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694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6945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Wang Hua Tony</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560" w:type="dxa"/>
            <w:vAlign w:val="bottom"/>
            <w:tcBorders>
              <w:top w:val="single" w:sz="8" w:color="0000EE"/>
              <w:bottom w:val="single" w:sz="8" w:color="9A9A9A"/>
            </w:tcBorders>
          </w:tcPr>
          <w:p>
            <w:pPr>
              <w:spacing w:after="0"/>
              <w:rPr>
                <w:sz w:val="17"/>
                <w:szCs w:val="17"/>
                <w:color w:val="auto"/>
              </w:rPr>
            </w:pPr>
          </w:p>
        </w:tc>
        <w:tc>
          <w:tcPr>
            <w:tcW w:w="150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04/01/2026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Agora,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API</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80" w:type="dxa"/>
            <w:vAlign w:val="bottom"/>
          </w:tcPr>
          <w:p>
            <w:pPr>
              <w:ind w:left="40"/>
              <w:spacing w:after="0"/>
              <w:rPr>
                <w:sz w:val="20"/>
                <w:szCs w:val="20"/>
                <w:color w:val="auto"/>
              </w:rPr>
            </w:pPr>
            <w:r>
              <w:rPr>
                <w:rFonts w:ascii="Arial" w:cs="Arial" w:eastAsia="Arial" w:hAnsi="Arial"/>
                <w:sz w:val="15"/>
                <w:szCs w:val="15"/>
                <w:color w:val="auto"/>
              </w:rPr>
              <w:t>(Last)</w:t>
            </w:r>
          </w:p>
        </w:tc>
        <w:tc>
          <w:tcPr>
            <w:tcW w:w="880" w:type="dxa"/>
            <w:vAlign w:val="bottom"/>
          </w:tcPr>
          <w:p>
            <w:pPr>
              <w:ind w:left="18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2804 MISSION COLLEGE BLVD.</w:t>
            </w:r>
          </w:p>
        </w:tc>
        <w:tc>
          <w:tcPr>
            <w:tcW w:w="0" w:type="dxa"/>
            <w:vAlign w:val="bottom"/>
          </w:tcPr>
          <w:p>
            <w:pPr>
              <w:spacing w:after="0"/>
              <w:rPr>
                <w:sz w:val="1"/>
                <w:szCs w:val="1"/>
                <w:color w:val="auto"/>
              </w:rPr>
            </w:pPr>
          </w:p>
        </w:tc>
      </w:tr>
      <w:tr>
        <w:trPr>
          <w:trHeight w:val="237"/>
        </w:trPr>
        <w:tc>
          <w:tcPr>
            <w:tcW w:w="880" w:type="dxa"/>
            <w:vAlign w:val="bottom"/>
            <w:tcBorders>
              <w:bottom w:val="single" w:sz="8" w:color="9A9A9A"/>
            </w:tcBorders>
          </w:tcPr>
          <w:p>
            <w:pPr>
              <w:spacing w:after="0"/>
              <w:rPr>
                <w:sz w:val="20"/>
                <w:szCs w:val="20"/>
                <w:color w:val="auto"/>
              </w:rPr>
            </w:pPr>
          </w:p>
        </w:tc>
        <w:tc>
          <w:tcPr>
            <w:tcW w:w="880" w:type="dxa"/>
            <w:vAlign w:val="bottom"/>
            <w:tcBorders>
              <w:bottom w:val="single" w:sz="8" w:color="9A9A9A"/>
            </w:tcBorders>
          </w:tcPr>
          <w:p>
            <w:pPr>
              <w:spacing w:after="0"/>
              <w:rPr>
                <w:sz w:val="20"/>
                <w:szCs w:val="20"/>
                <w:color w:val="auto"/>
              </w:rPr>
            </w:pPr>
          </w:p>
        </w:tc>
        <w:tc>
          <w:tcPr>
            <w:tcW w:w="134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303"/>
        </w:trPr>
        <w:tc>
          <w:tcPr>
            <w:tcW w:w="88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SANTA</w:t>
            </w:r>
          </w:p>
        </w:tc>
        <w:tc>
          <w:tcPr>
            <w:tcW w:w="88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CA</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95054</w:t>
            </w:r>
          </w:p>
        </w:tc>
        <w:tc>
          <w:tcPr>
            <w:tcW w:w="0" w:type="dxa"/>
            <w:vAlign w:val="bottom"/>
          </w:tcPr>
          <w:p>
            <w:pPr>
              <w:spacing w:after="0"/>
              <w:rPr>
                <w:sz w:val="1"/>
                <w:szCs w:val="1"/>
                <w:color w:val="auto"/>
              </w:rPr>
            </w:pPr>
          </w:p>
        </w:tc>
      </w:tr>
      <w:tr>
        <w:trPr>
          <w:trHeight w:val="134"/>
        </w:trPr>
        <w:tc>
          <w:tcPr>
            <w:tcW w:w="88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CLARA</w:t>
            </w:r>
          </w:p>
        </w:tc>
        <w:tc>
          <w:tcPr>
            <w:tcW w:w="88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88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303"/>
        <w:spacing w:after="0"/>
        <w:rPr>
          <w:sz w:val="20"/>
          <w:szCs w:val="20"/>
          <w:color w:val="auto"/>
        </w:rPr>
      </w:pPr>
      <w:r>
        <w:rPr>
          <w:rFonts w:ascii="Times New Roman" w:cs="Times New Roman" w:eastAsia="Times New Roman" w:hAnsi="Times New Roman"/>
          <w:sz w:val="20"/>
          <w:szCs w:val="20"/>
          <w:color w:val="0000FF"/>
        </w:rPr>
        <w:t>Chief Revenue Officer of Agora</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60"/>
              <w:spacing w:after="0"/>
              <w:rPr>
                <w:sz w:val="20"/>
                <w:szCs w:val="20"/>
                <w:color w:val="auto"/>
              </w:rPr>
            </w:pPr>
            <w:r>
              <w:rPr>
                <w:rFonts w:ascii="Arial" w:cs="Arial" w:eastAsia="Arial" w:hAnsi="Arial"/>
                <w:sz w:val="15"/>
                <w:szCs w:val="15"/>
                <w:b w:val="1"/>
                <w:bCs w:val="1"/>
                <w:color w:val="auto"/>
              </w:rPr>
              <w:t>2. Amount of Securities</w:t>
            </w: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20" w:type="dxa"/>
            <w:vAlign w:val="bottom"/>
            <w:gridSpan w:val="4"/>
          </w:tcPr>
          <w:p>
            <w:pPr>
              <w:ind w:left="60"/>
              <w:spacing w:after="0" w:line="165" w:lineRule="exact"/>
              <w:rPr>
                <w:sz w:val="20"/>
                <w:szCs w:val="20"/>
                <w:color w:val="auto"/>
              </w:rPr>
            </w:pPr>
            <w:r>
              <w:rPr>
                <w:rFonts w:ascii="Arial" w:cs="Arial" w:eastAsia="Arial" w:hAnsi="Arial"/>
                <w:sz w:val="15"/>
                <w:szCs w:val="15"/>
                <w:b w:val="1"/>
                <w:bCs w:val="1"/>
                <w:color w:val="auto"/>
              </w:rPr>
              <w:t>Beneficially Owned (Instr.   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4)</w:t>
            </w:r>
          </w:p>
        </w:tc>
        <w:tc>
          <w:tcPr>
            <w:tcW w:w="1520" w:type="dxa"/>
            <w:vAlign w:val="bottom"/>
            <w:gridSpan w:val="3"/>
          </w:tcPr>
          <w:p>
            <w:pPr>
              <w:ind w:left="340"/>
              <w:spacing w:after="0" w:line="165" w:lineRule="exact"/>
              <w:rPr>
                <w:sz w:val="20"/>
                <w:szCs w:val="20"/>
                <w:color w:val="auto"/>
              </w:rPr>
            </w:pPr>
            <w:r>
              <w:rPr>
                <w:rFonts w:ascii="Arial" w:cs="Arial" w:eastAsia="Arial" w:hAnsi="Arial"/>
                <w:sz w:val="15"/>
                <w:szCs w:val="15"/>
                <w:b w:val="1"/>
                <w:bCs w:val="1"/>
                <w:color w:val="auto"/>
              </w:rPr>
              <w:t>(D) or Indirect</w:t>
            </w:r>
          </w:p>
        </w:tc>
        <w:tc>
          <w:tcPr>
            <w:tcW w:w="3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1520" w:type="dxa"/>
            <w:vAlign w:val="bottom"/>
            <w:gridSpan w:val="3"/>
          </w:tcPr>
          <w:p>
            <w:pPr>
              <w:ind w:left="340"/>
              <w:spacing w:after="0"/>
              <w:rPr>
                <w:sz w:val="20"/>
                <w:szCs w:val="20"/>
                <w:color w:val="auto"/>
              </w:rPr>
            </w:pPr>
            <w:r>
              <w:rPr>
                <w:rFonts w:ascii="Arial" w:cs="Arial" w:eastAsia="Arial" w:hAnsi="Arial"/>
                <w:sz w:val="15"/>
                <w:szCs w:val="15"/>
                <w:b w:val="1"/>
                <w:bCs w:val="1"/>
                <w:color w:val="auto"/>
              </w:rPr>
              <w:t>(I) (Instr. 5)</w:t>
            </w: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ADS</w:t>
            </w:r>
            <w:r>
              <w:rPr>
                <w:rFonts w:ascii="Times New Roman" w:cs="Times New Roman" w:eastAsia="Times New Roman" w:hAnsi="Times New Roman"/>
                <w:sz w:val="25"/>
                <w:szCs w:val="25"/>
                <w:color w:val="008000"/>
                <w:vertAlign w:val="superscript"/>
              </w:rPr>
              <w:t>(1)</w:t>
            </w:r>
          </w:p>
        </w:tc>
        <w:tc>
          <w:tcPr>
            <w:tcW w:w="2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ind w:left="700"/>
              <w:spacing w:after="0"/>
              <w:rPr>
                <w:sz w:val="20"/>
                <w:szCs w:val="20"/>
                <w:color w:val="auto"/>
              </w:rPr>
            </w:pPr>
            <w:r>
              <w:rPr>
                <w:rFonts w:ascii="Times New Roman" w:cs="Times New Roman" w:eastAsia="Times New Roman" w:hAnsi="Times New Roman"/>
                <w:sz w:val="20"/>
                <w:szCs w:val="20"/>
                <w:color w:val="0000FF"/>
              </w:rPr>
              <w:t>334,090</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5160" w:type="dxa"/>
            <w:vAlign w:val="bottom"/>
            <w:tcBorders>
              <w:top w:val="single" w:sz="8" w:color="2C2C2C"/>
            </w:tcBorders>
            <w:gridSpan w:val="6"/>
          </w:tcPr>
          <w:p>
            <w:pPr>
              <w:ind w:left="18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8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27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20" w:type="dxa"/>
            <w:vAlign w:val="bottom"/>
          </w:tcPr>
          <w:p>
            <w:pPr>
              <w:spacing w:after="0"/>
              <w:rPr>
                <w:sz w:val="18"/>
                <w:szCs w:val="18"/>
                <w:color w:val="auto"/>
              </w:rPr>
            </w:pPr>
          </w:p>
        </w:tc>
        <w:tc>
          <w:tcPr>
            <w:tcW w:w="184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760" w:type="dxa"/>
            <w:vAlign w:val="bottom"/>
            <w:gridSpan w:val="3"/>
          </w:tcPr>
          <w:p>
            <w:pPr>
              <w:ind w:left="12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4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6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760" w:type="dxa"/>
            <w:vAlign w:val="bottom"/>
            <w:gridSpan w:val="3"/>
          </w:tcPr>
          <w:p>
            <w:pPr>
              <w:ind w:left="12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800" w:type="dxa"/>
            <w:vAlign w:val="bottom"/>
          </w:tcPr>
          <w:p>
            <w:pPr>
              <w:ind w:left="120"/>
              <w:spacing w:after="0" w:line="165" w:lineRule="exact"/>
              <w:rPr>
                <w:sz w:val="20"/>
                <w:szCs w:val="20"/>
                <w:color w:val="auto"/>
              </w:rPr>
            </w:pPr>
            <w:r>
              <w:rPr>
                <w:rFonts w:ascii="Arial" w:cs="Arial" w:eastAsia="Arial" w:hAnsi="Arial"/>
                <w:sz w:val="15"/>
                <w:szCs w:val="15"/>
                <w:b w:val="1"/>
                <w:bCs w:val="1"/>
                <w:color w:val="auto"/>
              </w:rPr>
              <w:t>(Instr. 4)</w:t>
            </w:r>
          </w:p>
        </w:tc>
        <w:tc>
          <w:tcPr>
            <w:tcW w:w="9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Beneficial</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60" w:type="dxa"/>
            <w:vAlign w:val="bottom"/>
          </w:tcPr>
          <w:p>
            <w:pPr>
              <w:spacing w:after="0"/>
              <w:rPr>
                <w:sz w:val="5"/>
                <w:szCs w:val="5"/>
                <w:color w:val="auto"/>
              </w:rPr>
            </w:pPr>
          </w:p>
        </w:tc>
        <w:tc>
          <w:tcPr>
            <w:tcW w:w="1800" w:type="dxa"/>
            <w:vAlign w:val="bottom"/>
          </w:tcPr>
          <w:p>
            <w:pPr>
              <w:spacing w:after="0"/>
              <w:rPr>
                <w:sz w:val="5"/>
                <w:szCs w:val="5"/>
                <w:color w:val="auto"/>
              </w:rPr>
            </w:pPr>
          </w:p>
        </w:tc>
        <w:tc>
          <w:tcPr>
            <w:tcW w:w="9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Amount or</w:t>
            </w:r>
          </w:p>
        </w:tc>
        <w:tc>
          <w:tcPr>
            <w:tcW w:w="940" w:type="dxa"/>
            <w:vAlign w:val="bottom"/>
            <w:gridSpan w:val="2"/>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gridSpan w:val="2"/>
          </w:tcPr>
          <w:p>
            <w:pPr>
              <w:ind w:left="4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800" w:type="dxa"/>
            <w:vAlign w:val="bottom"/>
            <w:vMerge w:val="restart"/>
          </w:tcPr>
          <w:p>
            <w:pPr>
              <w:ind w:left="12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Number of</w:t>
            </w:r>
          </w:p>
        </w:tc>
        <w:tc>
          <w:tcPr>
            <w:tcW w:w="94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6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800" w:type="dxa"/>
            <w:vAlign w:val="bottom"/>
            <w:vMerge w:val="continue"/>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Incentive Stock Option (Right to</w:t>
            </w:r>
          </w:p>
        </w:tc>
        <w:tc>
          <w:tcPr>
            <w:tcW w:w="12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5"/>
                <w:szCs w:val="15"/>
                <w:color w:val="0000FF"/>
              </w:rPr>
              <w:t>09/04/2034</w:t>
            </w:r>
          </w:p>
        </w:tc>
        <w:tc>
          <w:tcPr>
            <w:tcW w:w="1800" w:type="dxa"/>
            <w:vAlign w:val="bottom"/>
            <w:vMerge w:val="restart"/>
          </w:tcPr>
          <w:p>
            <w:pPr>
              <w:ind w:left="680"/>
              <w:spacing w:after="0"/>
              <w:rPr>
                <w:sz w:val="20"/>
                <w:szCs w:val="20"/>
                <w:color w:val="auto"/>
              </w:rPr>
            </w:pPr>
            <w:r>
              <w:rPr>
                <w:rFonts w:ascii="Times New Roman" w:cs="Times New Roman" w:eastAsia="Times New Roman" w:hAnsi="Times New Roman"/>
                <w:sz w:val="20"/>
                <w:szCs w:val="20"/>
                <w:color w:val="0000FF"/>
              </w:rPr>
              <w:t>ADSs</w:t>
            </w:r>
          </w:p>
        </w:tc>
        <w:tc>
          <w:tcPr>
            <w:tcW w:w="9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0000FF"/>
              </w:rPr>
              <w:t>1,200,000</w:t>
            </w:r>
          </w:p>
        </w:tc>
        <w:tc>
          <w:tcPr>
            <w:tcW w:w="40" w:type="dxa"/>
            <w:vAlign w:val="bottom"/>
          </w:tcPr>
          <w:p>
            <w:pPr>
              <w:spacing w:after="0"/>
              <w:rPr>
                <w:sz w:val="24"/>
                <w:szCs w:val="24"/>
                <w:color w:val="auto"/>
              </w:rPr>
            </w:pPr>
          </w:p>
        </w:tc>
        <w:tc>
          <w:tcPr>
            <w:tcW w:w="56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4</w:t>
            </w:r>
          </w:p>
        </w:tc>
        <w:tc>
          <w:tcPr>
            <w:tcW w:w="380" w:type="dxa"/>
            <w:vAlign w:val="bottom"/>
          </w:tcPr>
          <w:p>
            <w:pPr>
              <w:spacing w:after="0"/>
              <w:rPr>
                <w:sz w:val="24"/>
                <w:szCs w:val="24"/>
                <w:color w:val="auto"/>
              </w:rPr>
            </w:pPr>
          </w:p>
        </w:tc>
        <w:tc>
          <w:tcPr>
            <w:tcW w:w="940" w:type="dxa"/>
            <w:vAlign w:val="bottom"/>
            <w:vMerge w:val="restart"/>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760" w:type="dxa"/>
            <w:vAlign w:val="bottom"/>
            <w:vMerge w:val="restart"/>
          </w:tcPr>
          <w:p>
            <w:pPr>
              <w:ind w:left="80"/>
              <w:spacing w:after="0"/>
              <w:rPr>
                <w:sz w:val="20"/>
                <w:szCs w:val="20"/>
                <w:color w:val="auto"/>
              </w:rPr>
            </w:pPr>
            <w:r>
              <w:rPr>
                <w:rFonts w:ascii="Times New Roman" w:cs="Times New Roman" w:eastAsia="Times New Roman" w:hAnsi="Times New Roman"/>
                <w:sz w:val="20"/>
                <w:szCs w:val="20"/>
                <w:color w:val="0000FF"/>
              </w:rPr>
              <w:t>Buy)</w:t>
            </w:r>
          </w:p>
        </w:tc>
        <w:tc>
          <w:tcPr>
            <w:tcW w:w="1200" w:type="dxa"/>
            <w:vAlign w:val="bottom"/>
            <w:gridSpan w:val="2"/>
            <w:vMerge w:val="continue"/>
          </w:tcPr>
          <w:p>
            <w:pPr>
              <w:spacing w:after="0"/>
              <w:rPr>
                <w:sz w:val="11"/>
                <w:szCs w:val="11"/>
                <w:color w:val="auto"/>
              </w:rPr>
            </w:pPr>
          </w:p>
        </w:tc>
        <w:tc>
          <w:tcPr>
            <w:tcW w:w="860" w:type="dxa"/>
            <w:vAlign w:val="bottom"/>
            <w:vMerge w:val="continue"/>
          </w:tcPr>
          <w:p>
            <w:pPr>
              <w:spacing w:after="0"/>
              <w:rPr>
                <w:sz w:val="11"/>
                <w:szCs w:val="11"/>
                <w:color w:val="auto"/>
              </w:rPr>
            </w:pPr>
          </w:p>
        </w:tc>
        <w:tc>
          <w:tcPr>
            <w:tcW w:w="180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1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22"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One ADS represents four Class A Ordinary Shares.</w:t>
      </w:r>
    </w:p>
    <w:p>
      <w:pPr>
        <w:spacing w:after="0" w:line="52" w:lineRule="exact"/>
        <w:rPr>
          <w:rFonts w:ascii="Times New Roman" w:cs="Times New Roman" w:eastAsia="Times New Roman" w:hAnsi="Times New Roman"/>
          <w:sz w:val="15"/>
          <w:szCs w:val="15"/>
          <w:color w:val="008000"/>
        </w:rPr>
      </w:pPr>
    </w:p>
    <w:p>
      <w:pPr>
        <w:ind w:left="40" w:right="220" w:firstLine="5"/>
        <w:spacing w:after="0" w:line="244"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Options were granted on September 4, 2024, with the following vesting conditions: 400,000 ADSs subject to the Options shall vest upon meeting or exceeding the first Performance Goal, another 400,000 ADSs subject to the Options shall vest upon meeting or exceeding the second Performance Goal, and the remaining 400,000 ADSs subject to the Options shall vest upon meeting or exceeding the third Performance Goal.</w:t>
      </w:r>
    </w:p>
    <w:p>
      <w:pPr>
        <w:spacing w:after="0" w:line="39"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4"/>
              </w:rPr>
              <w:t>WANG HUA TONY</w:t>
            </w:r>
          </w:p>
        </w:tc>
        <w:tc>
          <w:tcPr>
            <w:tcW w:w="540" w:type="dxa"/>
            <w:vAlign w:val="bottom"/>
          </w:tcPr>
          <w:p>
            <w:pPr>
              <w:spacing w:after="0"/>
              <w:rPr>
                <w:sz w:val="19"/>
                <w:szCs w:val="19"/>
                <w:color w:val="auto"/>
              </w:rPr>
            </w:pPr>
          </w:p>
        </w:tc>
        <w:tc>
          <w:tcPr>
            <w:tcW w:w="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0000FF"/>
                <w:w w:val="96"/>
              </w:rPr>
              <w:t>04/01/2026</w:t>
            </w: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40"/>
      </w:cols>
      <w:pgMar w:left="480" w:top="230" w:right="4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2126708" TargetMode="External"/><Relationship Id="rId11" Type="http://schemas.openxmlformats.org/officeDocument/2006/relationships/hyperlink" Target="http://www.sec.gov/cgi-bin/browse-edgar?action=getcompany&amp;CIK=00018028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2026-04-01T20:56:46Z</dcterms:created>
  <dcterms:modified xsi:type="dcterms:W3CDTF">2026-04-01T20:56:46Z</dcterms:modified>
</cp:coreProperties>
</file>