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4"/>
          <w:szCs w:val="14"/>
          <w:b w:val="1"/>
          <w:bCs w:val="1"/>
          <w:color w:val="003082"/>
        </w:rPr>
        <w:t>Filed Pursuant to Rule 424(b)(4)</w:t>
      </w:r>
    </w:p>
    <w:p>
      <w:pPr>
        <w:spacing w:after="0" w:line="17"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003082"/>
        </w:rPr>
        <w:t>Registration No. 333-238960</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003082"/>
        </w:rPr>
        <w:t>PROSPECTUS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i w:val="1"/>
          <w:iCs w:val="1"/>
          <w:color w:val="003082"/>
        </w:rPr>
        <w:t>17,500,000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74930</wp:posOffset>
            </wp:positionV>
            <wp:extent cx="202311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11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i w:val="1"/>
          <w:iCs w:val="1"/>
          <w:color w:val="003082"/>
        </w:rPr>
        <w:t>Agora, Inc.</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003082"/>
        </w:rPr>
        <w:t>Representing 70,000,000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95885</wp:posOffset>
            </wp:positionV>
            <wp:extent cx="23742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48" w:lineRule="exact"/>
        <w:rPr>
          <w:sz w:val="24"/>
          <w:szCs w:val="24"/>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003082"/>
        </w:rPr>
        <w:t>Agora, Inc. is offering 17,500,000 American depositary shares, or ADSs. This is our initial public offering and no public market currently exists for our ADSs or Class A ordinary shares. Each ADS represents four of our Class A ordinary shares, par value US$0.0001 per share.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003082"/>
        </w:rPr>
        <w:t>The ADSs have been approved for listing on the Nasdaq Global Select Market under the symbol “API.”</w:t>
      </w:r>
    </w:p>
    <w:p>
      <w:pPr>
        <w:spacing w:after="0" w:line="86" w:lineRule="exact"/>
        <w:rPr>
          <w:sz w:val="24"/>
          <w:szCs w:val="24"/>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003082"/>
        </w:rPr>
        <w:t>We are an “emerging growth company” under applicable U.S. federal securities laws and are eligible for reduced public company reporting requirements. Upon the completion of this offering and the concurrent private placement, we will be a “controlled company” as defined under the Nasdaq Stock Market corporate governance rules because our chief executive officer will beneficially own all of our issued and outstanding Class B ordinary shares, representing more than 50% of our total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124460</wp:posOffset>
            </wp:positionV>
            <wp:extent cx="2374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003082"/>
        </w:rPr>
        <w:t>Investing in our ADSs involves risks. See “Risk Factors” beginning on page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100330</wp:posOffset>
            </wp:positionV>
            <wp:extent cx="23742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003082"/>
        </w:rPr>
        <w:t>PRICE US$20.00 PER ADS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100330</wp:posOffset>
            </wp:positionV>
            <wp:extent cx="23742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b w:val="1"/>
                <w:bCs w:val="1"/>
                <w:i w:val="1"/>
                <w:iCs w:val="1"/>
                <w:color w:val="003082"/>
                <w:w w:val="83"/>
              </w:rPr>
              <w:t>Price to</w:t>
            </w: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b w:val="1"/>
                <w:bCs w:val="1"/>
                <w:i w:val="1"/>
                <w:iCs w:val="1"/>
                <w:color w:val="003082"/>
                <w:w w:val="84"/>
              </w:rPr>
              <w:t>Underwriting Discounts</w:t>
            </w:r>
          </w:p>
        </w:tc>
        <w:tc>
          <w:tcPr>
            <w:tcW w:w="1800" w:type="dxa"/>
            <w:vAlign w:val="bottom"/>
          </w:tcPr>
          <w:p>
            <w:pPr>
              <w:spacing w:after="0"/>
              <w:rPr>
                <w:sz w:val="12"/>
                <w:szCs w:val="12"/>
                <w:color w:val="auto"/>
              </w:rPr>
            </w:pPr>
          </w:p>
        </w:tc>
      </w:tr>
      <w:tr>
        <w:trPr>
          <w:trHeight w:val="170"/>
        </w:trPr>
        <w:tc>
          <w:tcPr>
            <w:tcW w:w="5640" w:type="dxa"/>
            <w:vAlign w:val="bottom"/>
          </w:tcPr>
          <w:p>
            <w:pPr>
              <w:spacing w:after="0"/>
              <w:rPr>
                <w:sz w:val="14"/>
                <w:szCs w:val="14"/>
                <w:color w:val="auto"/>
              </w:rPr>
            </w:pPr>
          </w:p>
        </w:tc>
        <w:tc>
          <w:tcPr>
            <w:tcW w:w="1800" w:type="dxa"/>
            <w:vAlign w:val="bottom"/>
            <w:tcBorders>
              <w:bottom w:val="single" w:sz="8" w:color="3D5588"/>
            </w:tcBorders>
          </w:tcPr>
          <w:p>
            <w:pPr>
              <w:jc w:val="center"/>
              <w:spacing w:after="0"/>
              <w:rPr>
                <w:sz w:val="20"/>
                <w:szCs w:val="20"/>
                <w:color w:val="auto"/>
              </w:rPr>
            </w:pPr>
            <w:r>
              <w:rPr>
                <w:rFonts w:ascii="Arial" w:cs="Arial" w:eastAsia="Arial" w:hAnsi="Arial"/>
                <w:sz w:val="13"/>
                <w:szCs w:val="13"/>
                <w:b w:val="1"/>
                <w:bCs w:val="1"/>
                <w:i w:val="1"/>
                <w:iCs w:val="1"/>
                <w:color w:val="003082"/>
                <w:w w:val="87"/>
              </w:rPr>
              <w:t>Public</w:t>
            </w:r>
          </w:p>
        </w:tc>
        <w:tc>
          <w:tcPr>
            <w:tcW w:w="100" w:type="dxa"/>
            <w:vAlign w:val="bottom"/>
          </w:tcPr>
          <w:p>
            <w:pPr>
              <w:spacing w:after="0"/>
              <w:rPr>
                <w:sz w:val="14"/>
                <w:szCs w:val="14"/>
                <w:color w:val="auto"/>
              </w:rPr>
            </w:pPr>
          </w:p>
        </w:tc>
        <w:tc>
          <w:tcPr>
            <w:tcW w:w="1800" w:type="dxa"/>
            <w:vAlign w:val="bottom"/>
            <w:tcBorders>
              <w:bottom w:val="single" w:sz="8" w:color="3D5588"/>
            </w:tcBorders>
          </w:tcPr>
          <w:p>
            <w:pPr>
              <w:jc w:val="center"/>
              <w:spacing w:after="0"/>
              <w:rPr>
                <w:sz w:val="20"/>
                <w:szCs w:val="20"/>
                <w:color w:val="auto"/>
              </w:rPr>
            </w:pPr>
            <w:r>
              <w:rPr>
                <w:rFonts w:ascii="Arial" w:cs="Arial" w:eastAsia="Arial" w:hAnsi="Arial"/>
                <w:sz w:val="13"/>
                <w:szCs w:val="13"/>
                <w:b w:val="1"/>
                <w:bCs w:val="1"/>
                <w:i w:val="1"/>
                <w:iCs w:val="1"/>
                <w:color w:val="003082"/>
                <w:w w:val="83"/>
              </w:rPr>
              <w:t>and Commissions</w:t>
            </w:r>
            <w:r>
              <w:rPr>
                <w:rFonts w:ascii="Arial" w:cs="Arial" w:eastAsia="Arial" w:hAnsi="Arial"/>
                <w:sz w:val="10"/>
                <w:szCs w:val="10"/>
                <w:b w:val="1"/>
                <w:bCs w:val="1"/>
                <w:i w:val="1"/>
                <w:iCs w:val="1"/>
                <w:color w:val="003082"/>
                <w:w w:val="83"/>
              </w:rPr>
              <w:t>(1)</w:t>
            </w:r>
          </w:p>
        </w:tc>
        <w:tc>
          <w:tcPr>
            <w:tcW w:w="100" w:type="dxa"/>
            <w:vAlign w:val="bottom"/>
          </w:tcPr>
          <w:p>
            <w:pPr>
              <w:spacing w:after="0"/>
              <w:rPr>
                <w:sz w:val="14"/>
                <w:szCs w:val="14"/>
                <w:color w:val="auto"/>
              </w:rPr>
            </w:pPr>
          </w:p>
        </w:tc>
        <w:tc>
          <w:tcPr>
            <w:tcW w:w="1800" w:type="dxa"/>
            <w:vAlign w:val="bottom"/>
            <w:tcBorders>
              <w:bottom w:val="single" w:sz="8" w:color="3D5588"/>
            </w:tcBorders>
          </w:tcPr>
          <w:p>
            <w:pPr>
              <w:jc w:val="center"/>
              <w:spacing w:after="0"/>
              <w:rPr>
                <w:sz w:val="20"/>
                <w:szCs w:val="20"/>
                <w:color w:val="auto"/>
              </w:rPr>
            </w:pPr>
            <w:r>
              <w:rPr>
                <w:rFonts w:ascii="Arial" w:cs="Arial" w:eastAsia="Arial" w:hAnsi="Arial"/>
                <w:sz w:val="13"/>
                <w:szCs w:val="13"/>
                <w:b w:val="1"/>
                <w:bCs w:val="1"/>
                <w:i w:val="1"/>
                <w:iCs w:val="1"/>
                <w:color w:val="003082"/>
                <w:w w:val="80"/>
              </w:rPr>
              <w:t>Proceeds to Us</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i w:val="1"/>
                <w:iCs w:val="1"/>
                <w:color w:val="003082"/>
              </w:rPr>
              <w:t>Per ADS</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003082"/>
                <w:w w:val="89"/>
              </w:rPr>
              <w:t>US$20.00</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003082"/>
                <w:w w:val="89"/>
              </w:rPr>
              <w:t>US$1.40</w:t>
            </w:r>
          </w:p>
        </w:tc>
        <w:tc>
          <w:tcPr>
            <w:tcW w:w="1800" w:type="dxa"/>
            <w:vAlign w:val="bottom"/>
          </w:tcPr>
          <w:p>
            <w:pPr>
              <w:jc w:val="center"/>
              <w:spacing w:after="0"/>
              <w:rPr>
                <w:sz w:val="20"/>
                <w:szCs w:val="20"/>
                <w:color w:val="auto"/>
              </w:rPr>
            </w:pPr>
            <w:r>
              <w:rPr>
                <w:rFonts w:ascii="Arial" w:cs="Arial" w:eastAsia="Arial" w:hAnsi="Arial"/>
                <w:sz w:val="16"/>
                <w:szCs w:val="16"/>
                <w:i w:val="1"/>
                <w:iCs w:val="1"/>
                <w:color w:val="003082"/>
                <w:w w:val="89"/>
              </w:rPr>
              <w:t>US$18.60</w:t>
            </w:r>
          </w:p>
        </w:tc>
      </w:tr>
      <w:tr>
        <w:trPr>
          <w:trHeight w:val="270"/>
        </w:trPr>
        <w:tc>
          <w:tcPr>
            <w:tcW w:w="5640" w:type="dxa"/>
            <w:vAlign w:val="bottom"/>
          </w:tcPr>
          <w:p>
            <w:pPr>
              <w:ind w:left="20"/>
              <w:spacing w:after="0"/>
              <w:rPr>
                <w:sz w:val="20"/>
                <w:szCs w:val="20"/>
                <w:color w:val="auto"/>
              </w:rPr>
            </w:pPr>
            <w:r>
              <w:rPr>
                <w:rFonts w:ascii="Arial" w:cs="Arial" w:eastAsia="Arial" w:hAnsi="Arial"/>
                <w:sz w:val="16"/>
                <w:szCs w:val="16"/>
                <w:i w:val="1"/>
                <w:iCs w:val="1"/>
                <w:color w:val="003082"/>
              </w:rPr>
              <w:t>Total</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003082"/>
                <w:w w:val="89"/>
              </w:rPr>
              <w:t>US$350,000,000</w:t>
            </w:r>
          </w:p>
        </w:tc>
        <w:tc>
          <w:tcPr>
            <w:tcW w:w="19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003082"/>
                <w:w w:val="89"/>
              </w:rPr>
              <w:t>US$24,500,000</w:t>
            </w:r>
          </w:p>
        </w:tc>
        <w:tc>
          <w:tcPr>
            <w:tcW w:w="1800" w:type="dxa"/>
            <w:vAlign w:val="bottom"/>
          </w:tcPr>
          <w:p>
            <w:pPr>
              <w:jc w:val="center"/>
              <w:spacing w:after="0"/>
              <w:rPr>
                <w:sz w:val="20"/>
                <w:szCs w:val="20"/>
                <w:color w:val="auto"/>
              </w:rPr>
            </w:pPr>
            <w:r>
              <w:rPr>
                <w:rFonts w:ascii="Arial" w:cs="Arial" w:eastAsia="Arial" w:hAnsi="Arial"/>
                <w:sz w:val="16"/>
                <w:szCs w:val="16"/>
                <w:i w:val="1"/>
                <w:iCs w:val="1"/>
                <w:color w:val="003082"/>
                <w:w w:val="89"/>
              </w:rPr>
              <w:t>US$325,500,000</w:t>
            </w:r>
          </w:p>
        </w:tc>
      </w:tr>
      <w:tr>
        <w:trPr>
          <w:trHeight w:val="200"/>
        </w:trPr>
        <w:tc>
          <w:tcPr>
            <w:tcW w:w="5640" w:type="dxa"/>
            <w:vAlign w:val="bottom"/>
          </w:tcPr>
          <w:p>
            <w:pPr>
              <w:spacing w:after="0"/>
              <w:rPr>
                <w:sz w:val="20"/>
                <w:szCs w:val="20"/>
                <w:color w:val="auto"/>
              </w:rPr>
            </w:pPr>
            <w:r>
              <w:rPr>
                <w:rFonts w:ascii="Arial" w:cs="Arial" w:eastAsia="Arial" w:hAnsi="Arial"/>
                <w:sz w:val="11"/>
                <w:szCs w:val="11"/>
                <w:color w:val="003082"/>
              </w:rPr>
              <w:t>________________________</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bl>
    <w:p>
      <w:pPr>
        <w:spacing w:after="0" w:line="3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i w:val="1"/>
          <w:iCs w:val="1"/>
          <w:color w:val="003082"/>
        </w:rPr>
      </w:pPr>
      <w:r>
        <w:rPr>
          <w:rFonts w:ascii="Arial" w:cs="Arial" w:eastAsia="Arial" w:hAnsi="Arial"/>
          <w:sz w:val="14"/>
          <w:szCs w:val="14"/>
          <w:i w:val="1"/>
          <w:iCs w:val="1"/>
          <w:color w:val="003082"/>
        </w:rPr>
        <w:t>See “Underwriters” beginning on page 193 of this prospectus for additional information regarding underwriting compensation.</w:t>
      </w:r>
    </w:p>
    <w:p>
      <w:pPr>
        <w:spacing w:after="0" w:line="118"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i w:val="1"/>
          <w:iCs w:val="1"/>
          <w:color w:val="003082"/>
        </w:rPr>
        <w:t>We have granted the underwriters the right to purchase up to an additional 2,625,000 ADSs to cover over-allotments at the initial public offering price, less underwriting discounts and commissions.</w:t>
      </w:r>
    </w:p>
    <w:p>
      <w:pPr>
        <w:spacing w:after="0" w:line="37" w:lineRule="exact"/>
        <w:rPr>
          <w:sz w:val="24"/>
          <w:szCs w:val="24"/>
          <w:color w:val="auto"/>
        </w:rPr>
      </w:pPr>
    </w:p>
    <w:p>
      <w:pPr>
        <w:jc w:val="both"/>
        <w:spacing w:after="0" w:line="275" w:lineRule="auto"/>
        <w:rPr>
          <w:sz w:val="20"/>
          <w:szCs w:val="20"/>
          <w:color w:val="auto"/>
        </w:rPr>
      </w:pPr>
      <w:r>
        <w:rPr>
          <w:rFonts w:ascii="Arial" w:cs="Arial" w:eastAsia="Arial" w:hAnsi="Arial"/>
          <w:sz w:val="16"/>
          <w:szCs w:val="16"/>
          <w:i w:val="1"/>
          <w:iCs w:val="1"/>
          <w:color w:val="003082"/>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i w:val="1"/>
          <w:iCs w:val="1"/>
          <w:color w:val="003082"/>
        </w:rPr>
        <w:t>The underwriters expect to deliver the ADSs against payment in U.S. dollars in New York, New York on or about June 30, 2020.</w:t>
      </w:r>
    </w:p>
    <w:p>
      <w:pPr>
        <w:spacing w:after="0" w:line="86" w:lineRule="exact"/>
        <w:rPr>
          <w:sz w:val="24"/>
          <w:szCs w:val="24"/>
          <w:color w:val="auto"/>
        </w:rPr>
      </w:pPr>
    </w:p>
    <w:p>
      <w:pPr>
        <w:jc w:val="both"/>
        <w:spacing w:after="0" w:line="256" w:lineRule="auto"/>
        <w:rPr>
          <w:sz w:val="20"/>
          <w:szCs w:val="20"/>
          <w:color w:val="auto"/>
        </w:rPr>
      </w:pPr>
      <w:r>
        <w:rPr>
          <w:rFonts w:ascii="Arial" w:cs="Arial" w:eastAsia="Arial" w:hAnsi="Arial"/>
          <w:sz w:val="16"/>
          <w:szCs w:val="16"/>
          <w:i w:val="1"/>
          <w:iCs w:val="1"/>
          <w:color w:val="003082"/>
        </w:rPr>
        <w:t>Coatue CPP 10 LLC, which is an affiliate of one of our existing shareholders, Neumann Capital and an entity affiliated with Vitruvian Partners have agreed to purchase US$50.0 million, US$30.0 million and US$30.0 million of our Class A ordinary shares, respectively, from us in a private placement at a price per share equal to the initial public offering price adjusted for the ADS-to-Class A ordinary share ratio. This transaction is contingent upon, and is scheduled to close immediately following, the closing of this offering.</w:t>
      </w:r>
    </w:p>
    <w:p>
      <w:pPr>
        <w:spacing w:after="0" w:line="52" w:lineRule="exact"/>
        <w:rPr>
          <w:sz w:val="24"/>
          <w:szCs w:val="24"/>
          <w:color w:val="auto"/>
        </w:rPr>
      </w:pPr>
    </w:p>
    <w:p>
      <w:pPr>
        <w:jc w:val="both"/>
        <w:spacing w:after="0" w:line="251" w:lineRule="auto"/>
        <w:rPr>
          <w:sz w:val="20"/>
          <w:szCs w:val="20"/>
          <w:color w:val="auto"/>
        </w:rPr>
      </w:pPr>
      <w:r>
        <w:rPr>
          <w:rFonts w:ascii="Arial" w:cs="Arial" w:eastAsia="Arial" w:hAnsi="Arial"/>
          <w:sz w:val="16"/>
          <w:szCs w:val="16"/>
          <w:i w:val="1"/>
          <w:iCs w:val="1"/>
          <w:color w:val="003082"/>
        </w:rPr>
        <w:t>Upon the completion of this offering, our issued and outstanding share capital will consist of Class A ordinary shares and Class B ordinary shares, par value US$0.0001 per share. Our founder, Mr. Bin (Tony) Zhao, who is also our chief executive officer and chairman, will beneficially own all of our then issued and outstanding Class B ordinary shares and will be able to exercise 83.0% of the total voting power of our issued and outstanding share capital immediately following the completion of this offering and the concurrent private placement, assuming the underwriters do not exercise their over-allotment option, or 82.5% if the underwriters exercise their over-allotment option in full.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Class A ordinary shares are not convertible into Class B ordinary shares under any circumstances.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76835</wp:posOffset>
            </wp:positionV>
            <wp:extent cx="23742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74" w:lineRule="exact"/>
        <w:rPr>
          <w:sz w:val="24"/>
          <w:szCs w:val="24"/>
          <w:color w:val="auto"/>
        </w:rPr>
      </w:pPr>
    </w:p>
    <w:p>
      <w:pPr>
        <w:ind w:left="1500"/>
        <w:spacing w:after="0"/>
        <w:tabs>
          <w:tab w:leader="none" w:pos="7180" w:val="left"/>
        </w:tabs>
        <w:rPr>
          <w:sz w:val="20"/>
          <w:szCs w:val="20"/>
          <w:color w:val="auto"/>
        </w:rPr>
      </w:pPr>
      <w:r>
        <w:rPr>
          <w:rFonts w:ascii="Arial" w:cs="Arial" w:eastAsia="Arial" w:hAnsi="Arial"/>
          <w:sz w:val="29"/>
          <w:szCs w:val="29"/>
          <w:color w:val="003082"/>
        </w:rPr>
        <w:t>MORGAN STANLEY</w:t>
      </w:r>
      <w:r>
        <w:rPr>
          <w:sz w:val="20"/>
          <w:szCs w:val="20"/>
          <w:color w:val="auto"/>
        </w:rPr>
        <w:tab/>
      </w:r>
      <w:r>
        <w:rPr>
          <w:rFonts w:ascii="Arial" w:cs="Arial" w:eastAsia="Arial" w:hAnsi="Arial"/>
          <w:sz w:val="27"/>
          <w:szCs w:val="27"/>
          <w:color w:val="003082"/>
        </w:rPr>
        <w:t>BOFA SECURITIES</w:t>
      </w:r>
    </w:p>
    <w:p>
      <w:pPr>
        <w:spacing w:after="0" w:line="335" w:lineRule="exact"/>
        <w:rPr>
          <w:sz w:val="24"/>
          <w:szCs w:val="24"/>
          <w:color w:val="auto"/>
        </w:rPr>
      </w:pPr>
    </w:p>
    <w:p>
      <w:pPr>
        <w:jc w:val="center"/>
        <w:spacing w:after="0"/>
        <w:rPr>
          <w:sz w:val="20"/>
          <w:szCs w:val="20"/>
          <w:color w:val="auto"/>
        </w:rPr>
      </w:pPr>
      <w:r>
        <w:rPr>
          <w:rFonts w:ascii="Arial" w:cs="Arial" w:eastAsia="Arial" w:hAnsi="Arial"/>
          <w:sz w:val="20"/>
          <w:szCs w:val="20"/>
          <w:color w:val="003082"/>
        </w:rPr>
        <w:t>NEEDHAM &amp; COMPANY</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i w:val="1"/>
          <w:iCs w:val="1"/>
          <w:color w:val="003082"/>
        </w:rPr>
        <w:t>June 25, 2020.</w:t>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9043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9043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9043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995160" cy="9043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3082"/>
        </w:rPr>
        <w:t>TABLE OF CONTENTS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580" w:type="dxa"/>
            <w:vAlign w:val="bottom"/>
            <w:tcBorders>
              <w:bottom w:val="single" w:sz="8" w:color="3D5588"/>
            </w:tcBorders>
          </w:tcPr>
          <w:p>
            <w:pPr>
              <w:jc w:val="right"/>
              <w:ind w:right="51"/>
              <w:spacing w:after="0"/>
              <w:rPr>
                <w:sz w:val="20"/>
                <w:szCs w:val="20"/>
                <w:color w:val="auto"/>
              </w:rPr>
            </w:pPr>
            <w:r>
              <w:rPr>
                <w:rFonts w:ascii="Arial" w:cs="Arial" w:eastAsia="Arial" w:hAnsi="Arial"/>
                <w:sz w:val="14"/>
                <w:szCs w:val="14"/>
                <w:b w:val="1"/>
                <w:bCs w:val="1"/>
                <w:color w:val="003082"/>
              </w:rPr>
              <w:t>Page</w:t>
            </w:r>
          </w:p>
        </w:tc>
        <w:tc>
          <w:tcPr>
            <w:tcW w:w="5140" w:type="dxa"/>
            <w:vAlign w:val="bottom"/>
          </w:tcPr>
          <w:p>
            <w:pPr>
              <w:spacing w:after="0"/>
              <w:rPr>
                <w:sz w:val="16"/>
                <w:szCs w:val="16"/>
                <w:color w:val="auto"/>
              </w:rPr>
            </w:pPr>
          </w:p>
        </w:tc>
        <w:tc>
          <w:tcPr>
            <w:tcW w:w="600" w:type="dxa"/>
            <w:vAlign w:val="bottom"/>
            <w:tcBorders>
              <w:bottom w:val="single" w:sz="8" w:color="3D5588"/>
            </w:tcBorders>
          </w:tcPr>
          <w:p>
            <w:pPr>
              <w:jc w:val="right"/>
              <w:ind w:right="71"/>
              <w:spacing w:after="0"/>
              <w:rPr>
                <w:sz w:val="20"/>
                <w:szCs w:val="20"/>
                <w:color w:val="auto"/>
              </w:rPr>
            </w:pPr>
            <w:r>
              <w:rPr>
                <w:rFonts w:ascii="Arial" w:cs="Arial" w:eastAsia="Arial" w:hAnsi="Arial"/>
                <w:sz w:val="14"/>
                <w:szCs w:val="14"/>
                <w:b w:val="1"/>
                <w:bCs w:val="1"/>
                <w:color w:val="003082"/>
              </w:rPr>
              <w:t>Page</w:t>
            </w:r>
          </w:p>
        </w:tc>
        <w:tc>
          <w:tcPr>
            <w:tcW w:w="0" w:type="dxa"/>
            <w:vAlign w:val="bottom"/>
          </w:tcPr>
          <w:p>
            <w:pPr>
              <w:spacing w:after="0"/>
              <w:rPr>
                <w:sz w:val="1"/>
                <w:szCs w:val="1"/>
                <w:color w:val="auto"/>
              </w:rPr>
            </w:pPr>
          </w:p>
        </w:tc>
      </w:tr>
      <w:tr>
        <w:trPr>
          <w:trHeight w:val="243"/>
        </w:trPr>
        <w:tc>
          <w:tcPr>
            <w:tcW w:w="4860" w:type="dxa"/>
            <w:vAlign w:val="bottom"/>
          </w:tcPr>
          <w:p>
            <w:pPr>
              <w:spacing w:after="0"/>
              <w:rPr>
                <w:rFonts w:ascii="Arial" w:cs="Arial" w:eastAsia="Arial" w:hAnsi="Arial"/>
                <w:sz w:val="18"/>
                <w:szCs w:val="18"/>
                <w:color w:val="3D5588"/>
              </w:rPr>
            </w:pPr>
            <w:hyperlink w:anchor="page6">
              <w:r>
                <w:rPr>
                  <w:rFonts w:ascii="Arial" w:cs="Arial" w:eastAsia="Arial" w:hAnsi="Arial"/>
                  <w:sz w:val="18"/>
                  <w:szCs w:val="18"/>
                  <w:color w:val="3D5588"/>
                </w:rPr>
                <w:t>Prospectus Summary</w:t>
              </w:r>
            </w:hyperlink>
          </w:p>
        </w:tc>
        <w:tc>
          <w:tcPr>
            <w:tcW w:w="580" w:type="dxa"/>
            <w:vAlign w:val="bottom"/>
          </w:tcPr>
          <w:p>
            <w:pPr>
              <w:jc w:val="right"/>
              <w:spacing w:after="0"/>
              <w:rPr>
                <w:rFonts w:ascii="Arial" w:cs="Arial" w:eastAsia="Arial" w:hAnsi="Arial"/>
                <w:sz w:val="18"/>
                <w:szCs w:val="18"/>
                <w:color w:val="3D5588"/>
              </w:rPr>
            </w:pPr>
            <w:hyperlink w:anchor="page6">
              <w:r>
                <w:rPr>
                  <w:rFonts w:ascii="Arial" w:cs="Arial" w:eastAsia="Arial" w:hAnsi="Arial"/>
                  <w:sz w:val="18"/>
                  <w:szCs w:val="18"/>
                  <w:color w:val="3D5588"/>
                </w:rPr>
                <w:t>1</w:t>
              </w:r>
            </w:hyperlink>
          </w:p>
        </w:tc>
        <w:tc>
          <w:tcPr>
            <w:tcW w:w="5140" w:type="dxa"/>
            <w:vAlign w:val="bottom"/>
          </w:tcPr>
          <w:p>
            <w:pPr>
              <w:ind w:left="280"/>
              <w:spacing w:after="0"/>
              <w:rPr>
                <w:rFonts w:ascii="Arial" w:cs="Arial" w:eastAsia="Arial" w:hAnsi="Arial"/>
                <w:sz w:val="18"/>
                <w:szCs w:val="18"/>
                <w:color w:val="3D5588"/>
              </w:rPr>
            </w:pPr>
            <w:hyperlink w:anchor="page120">
              <w:r>
                <w:rPr>
                  <w:rFonts w:ascii="Arial" w:cs="Arial" w:eastAsia="Arial" w:hAnsi="Arial"/>
                  <w:sz w:val="18"/>
                  <w:szCs w:val="18"/>
                  <w:color w:val="3D5588"/>
                </w:rPr>
                <w:t>Business</w:t>
              </w:r>
            </w:hyperlink>
          </w:p>
        </w:tc>
        <w:tc>
          <w:tcPr>
            <w:tcW w:w="600" w:type="dxa"/>
            <w:vAlign w:val="bottom"/>
          </w:tcPr>
          <w:p>
            <w:pPr>
              <w:jc w:val="right"/>
              <w:spacing w:after="0"/>
              <w:rPr>
                <w:rFonts w:ascii="Arial" w:cs="Arial" w:eastAsia="Arial" w:hAnsi="Arial"/>
                <w:sz w:val="18"/>
                <w:szCs w:val="18"/>
                <w:color w:val="3D5588"/>
              </w:rPr>
            </w:pPr>
            <w:hyperlink w:anchor="page120">
              <w:r>
                <w:rPr>
                  <w:rFonts w:ascii="Arial" w:cs="Arial" w:eastAsia="Arial" w:hAnsi="Arial"/>
                  <w:sz w:val="18"/>
                  <w:szCs w:val="18"/>
                  <w:color w:val="3D5588"/>
                </w:rPr>
                <w:t>115</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25">
              <w:r>
                <w:rPr>
                  <w:rFonts w:ascii="Arial" w:cs="Arial" w:eastAsia="Arial" w:hAnsi="Arial"/>
                  <w:sz w:val="18"/>
                  <w:szCs w:val="18"/>
                  <w:color w:val="3D5588"/>
                </w:rPr>
                <w:t>Risk Factors</w:t>
              </w:r>
            </w:hyperlink>
          </w:p>
        </w:tc>
        <w:tc>
          <w:tcPr>
            <w:tcW w:w="580" w:type="dxa"/>
            <w:vAlign w:val="bottom"/>
          </w:tcPr>
          <w:p>
            <w:pPr>
              <w:jc w:val="right"/>
              <w:spacing w:after="0"/>
              <w:rPr>
                <w:rFonts w:ascii="Arial" w:cs="Arial" w:eastAsia="Arial" w:hAnsi="Arial"/>
                <w:sz w:val="18"/>
                <w:szCs w:val="18"/>
                <w:color w:val="3D5588"/>
              </w:rPr>
            </w:pPr>
            <w:hyperlink w:anchor="page25">
              <w:r>
                <w:rPr>
                  <w:rFonts w:ascii="Arial" w:cs="Arial" w:eastAsia="Arial" w:hAnsi="Arial"/>
                  <w:sz w:val="18"/>
                  <w:szCs w:val="18"/>
                  <w:color w:val="3D5588"/>
                </w:rPr>
                <w:t>20</w:t>
              </w:r>
            </w:hyperlink>
          </w:p>
        </w:tc>
        <w:tc>
          <w:tcPr>
            <w:tcW w:w="5140" w:type="dxa"/>
            <w:vAlign w:val="bottom"/>
          </w:tcPr>
          <w:p>
            <w:pPr>
              <w:ind w:left="280"/>
              <w:spacing w:after="0"/>
              <w:rPr>
                <w:rFonts w:ascii="Arial" w:cs="Arial" w:eastAsia="Arial" w:hAnsi="Arial"/>
                <w:sz w:val="18"/>
                <w:szCs w:val="18"/>
                <w:color w:val="3D5588"/>
              </w:rPr>
            </w:pPr>
            <w:hyperlink w:anchor="page133">
              <w:r>
                <w:rPr>
                  <w:rFonts w:ascii="Arial" w:cs="Arial" w:eastAsia="Arial" w:hAnsi="Arial"/>
                  <w:sz w:val="18"/>
                  <w:szCs w:val="18"/>
                  <w:color w:val="3D5588"/>
                </w:rPr>
                <w:t>Regulation</w:t>
              </w:r>
            </w:hyperlink>
          </w:p>
        </w:tc>
        <w:tc>
          <w:tcPr>
            <w:tcW w:w="600" w:type="dxa"/>
            <w:vAlign w:val="bottom"/>
          </w:tcPr>
          <w:p>
            <w:pPr>
              <w:jc w:val="right"/>
              <w:spacing w:after="0"/>
              <w:rPr>
                <w:rFonts w:ascii="Arial" w:cs="Arial" w:eastAsia="Arial" w:hAnsi="Arial"/>
                <w:sz w:val="18"/>
                <w:szCs w:val="18"/>
                <w:color w:val="3D5588"/>
              </w:rPr>
            </w:pPr>
            <w:hyperlink w:anchor="page133">
              <w:r>
                <w:rPr>
                  <w:rFonts w:ascii="Arial" w:cs="Arial" w:eastAsia="Arial" w:hAnsi="Arial"/>
                  <w:sz w:val="18"/>
                  <w:szCs w:val="18"/>
                  <w:color w:val="3D5588"/>
                </w:rPr>
                <w:t>128</w:t>
              </w:r>
            </w:hyperlink>
          </w:p>
        </w:tc>
        <w:tc>
          <w:tcPr>
            <w:tcW w:w="0" w:type="dxa"/>
            <w:vAlign w:val="bottom"/>
          </w:tcPr>
          <w:p>
            <w:pPr>
              <w:spacing w:after="0"/>
              <w:rPr>
                <w:sz w:val="1"/>
                <w:szCs w:val="1"/>
                <w:color w:val="auto"/>
              </w:rPr>
            </w:pPr>
          </w:p>
        </w:tc>
      </w:tr>
      <w:tr>
        <w:trPr>
          <w:trHeight w:val="256"/>
        </w:trPr>
        <w:tc>
          <w:tcPr>
            <w:tcW w:w="4860" w:type="dxa"/>
            <w:vAlign w:val="bottom"/>
          </w:tcPr>
          <w:p>
            <w:pPr>
              <w:spacing w:after="0"/>
              <w:rPr>
                <w:rFonts w:ascii="Arial" w:cs="Arial" w:eastAsia="Arial" w:hAnsi="Arial"/>
                <w:sz w:val="18"/>
                <w:szCs w:val="18"/>
                <w:color w:val="3D5588"/>
                <w:w w:val="91"/>
              </w:rPr>
            </w:pPr>
            <w:hyperlink w:anchor="page74">
              <w:r>
                <w:rPr>
                  <w:rFonts w:ascii="Arial" w:cs="Arial" w:eastAsia="Arial" w:hAnsi="Arial"/>
                  <w:sz w:val="18"/>
                  <w:szCs w:val="18"/>
                  <w:color w:val="3D5588"/>
                  <w:w w:val="91"/>
                </w:rPr>
                <w:t>Special Note Regarding Forward-Looking Statements and Industry</w:t>
              </w:r>
            </w:hyperlink>
          </w:p>
        </w:tc>
        <w:tc>
          <w:tcPr>
            <w:tcW w:w="580" w:type="dxa"/>
            <w:vAlign w:val="bottom"/>
          </w:tcPr>
          <w:p>
            <w:pPr>
              <w:spacing w:after="0"/>
              <w:rPr>
                <w:sz w:val="22"/>
                <w:szCs w:val="22"/>
                <w:color w:val="auto"/>
              </w:rPr>
            </w:pPr>
          </w:p>
        </w:tc>
        <w:tc>
          <w:tcPr>
            <w:tcW w:w="5140" w:type="dxa"/>
            <w:vAlign w:val="bottom"/>
          </w:tcPr>
          <w:p>
            <w:pPr>
              <w:ind w:left="280"/>
              <w:spacing w:after="0"/>
              <w:rPr>
                <w:rFonts w:ascii="Arial" w:cs="Arial" w:eastAsia="Arial" w:hAnsi="Arial"/>
                <w:sz w:val="18"/>
                <w:szCs w:val="18"/>
                <w:color w:val="3D5588"/>
              </w:rPr>
            </w:pPr>
            <w:hyperlink w:anchor="page144">
              <w:r>
                <w:rPr>
                  <w:rFonts w:ascii="Arial" w:cs="Arial" w:eastAsia="Arial" w:hAnsi="Arial"/>
                  <w:sz w:val="18"/>
                  <w:szCs w:val="18"/>
                  <w:color w:val="3D5588"/>
                </w:rPr>
                <w:t>Management</w:t>
              </w:r>
            </w:hyperlink>
          </w:p>
        </w:tc>
        <w:tc>
          <w:tcPr>
            <w:tcW w:w="600" w:type="dxa"/>
            <w:vAlign w:val="bottom"/>
          </w:tcPr>
          <w:p>
            <w:pPr>
              <w:jc w:val="right"/>
              <w:spacing w:after="0"/>
              <w:rPr>
                <w:rFonts w:ascii="Arial" w:cs="Arial" w:eastAsia="Arial" w:hAnsi="Arial"/>
                <w:sz w:val="18"/>
                <w:szCs w:val="18"/>
                <w:color w:val="3D5588"/>
              </w:rPr>
            </w:pPr>
            <w:hyperlink w:anchor="page144">
              <w:r>
                <w:rPr>
                  <w:rFonts w:ascii="Arial" w:cs="Arial" w:eastAsia="Arial" w:hAnsi="Arial"/>
                  <w:sz w:val="18"/>
                  <w:szCs w:val="18"/>
                  <w:color w:val="3D5588"/>
                </w:rPr>
                <w:t>139</w:t>
              </w:r>
            </w:hyperlink>
          </w:p>
        </w:tc>
        <w:tc>
          <w:tcPr>
            <w:tcW w:w="0" w:type="dxa"/>
            <w:vAlign w:val="bottom"/>
          </w:tcPr>
          <w:p>
            <w:pPr>
              <w:spacing w:after="0"/>
              <w:rPr>
                <w:sz w:val="1"/>
                <w:szCs w:val="1"/>
                <w:color w:val="auto"/>
              </w:rPr>
            </w:pPr>
          </w:p>
        </w:tc>
      </w:tr>
      <w:tr>
        <w:trPr>
          <w:trHeight w:val="270"/>
        </w:trPr>
        <w:tc>
          <w:tcPr>
            <w:tcW w:w="4860" w:type="dxa"/>
            <w:vAlign w:val="bottom"/>
          </w:tcPr>
          <w:p>
            <w:pPr>
              <w:ind w:left="160"/>
              <w:spacing w:after="0"/>
              <w:rPr>
                <w:rFonts w:ascii="Arial" w:cs="Arial" w:eastAsia="Arial" w:hAnsi="Arial"/>
                <w:sz w:val="18"/>
                <w:szCs w:val="18"/>
                <w:color w:val="3D5588"/>
              </w:rPr>
            </w:pPr>
            <w:hyperlink w:anchor="page74">
              <w:r>
                <w:rPr>
                  <w:rFonts w:ascii="Arial" w:cs="Arial" w:eastAsia="Arial" w:hAnsi="Arial"/>
                  <w:sz w:val="18"/>
                  <w:szCs w:val="18"/>
                  <w:color w:val="3D5588"/>
                </w:rPr>
                <w:t>Data</w:t>
              </w:r>
            </w:hyperlink>
          </w:p>
        </w:tc>
        <w:tc>
          <w:tcPr>
            <w:tcW w:w="580" w:type="dxa"/>
            <w:vAlign w:val="bottom"/>
          </w:tcPr>
          <w:p>
            <w:pPr>
              <w:jc w:val="right"/>
              <w:spacing w:after="0"/>
              <w:rPr>
                <w:rFonts w:ascii="Arial" w:cs="Arial" w:eastAsia="Arial" w:hAnsi="Arial"/>
                <w:sz w:val="18"/>
                <w:szCs w:val="18"/>
                <w:color w:val="3D5588"/>
              </w:rPr>
            </w:pPr>
            <w:hyperlink w:anchor="page74">
              <w:r>
                <w:rPr>
                  <w:rFonts w:ascii="Arial" w:cs="Arial" w:eastAsia="Arial" w:hAnsi="Arial"/>
                  <w:sz w:val="18"/>
                  <w:szCs w:val="18"/>
                  <w:color w:val="3D5588"/>
                </w:rPr>
                <w:t>69</w:t>
              </w:r>
            </w:hyperlink>
          </w:p>
        </w:tc>
        <w:tc>
          <w:tcPr>
            <w:tcW w:w="5140" w:type="dxa"/>
            <w:vAlign w:val="bottom"/>
          </w:tcPr>
          <w:p>
            <w:pPr>
              <w:ind w:left="280"/>
              <w:spacing w:after="0"/>
              <w:rPr>
                <w:rFonts w:ascii="Arial" w:cs="Arial" w:eastAsia="Arial" w:hAnsi="Arial"/>
                <w:sz w:val="18"/>
                <w:szCs w:val="18"/>
                <w:color w:val="3D5588"/>
              </w:rPr>
            </w:pPr>
            <w:hyperlink w:anchor="page159">
              <w:r>
                <w:rPr>
                  <w:rFonts w:ascii="Arial" w:cs="Arial" w:eastAsia="Arial" w:hAnsi="Arial"/>
                  <w:sz w:val="18"/>
                  <w:szCs w:val="18"/>
                  <w:color w:val="3D5588"/>
                </w:rPr>
                <w:t>Principal Shareholders</w:t>
              </w:r>
            </w:hyperlink>
          </w:p>
        </w:tc>
        <w:tc>
          <w:tcPr>
            <w:tcW w:w="600" w:type="dxa"/>
            <w:vAlign w:val="bottom"/>
          </w:tcPr>
          <w:p>
            <w:pPr>
              <w:jc w:val="right"/>
              <w:spacing w:after="0"/>
              <w:rPr>
                <w:rFonts w:ascii="Arial" w:cs="Arial" w:eastAsia="Arial" w:hAnsi="Arial"/>
                <w:sz w:val="18"/>
                <w:szCs w:val="18"/>
                <w:color w:val="3D5588"/>
              </w:rPr>
            </w:pPr>
            <w:hyperlink w:anchor="page159">
              <w:r>
                <w:rPr>
                  <w:rFonts w:ascii="Arial" w:cs="Arial" w:eastAsia="Arial" w:hAnsi="Arial"/>
                  <w:sz w:val="18"/>
                  <w:szCs w:val="18"/>
                  <w:color w:val="3D5588"/>
                </w:rPr>
                <w:t>154</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76">
              <w:r>
                <w:rPr>
                  <w:rFonts w:ascii="Arial" w:cs="Arial" w:eastAsia="Arial" w:hAnsi="Arial"/>
                  <w:sz w:val="18"/>
                  <w:szCs w:val="18"/>
                  <w:color w:val="3D5588"/>
                </w:rPr>
                <w:t>Use of Proceeds</w:t>
              </w:r>
            </w:hyperlink>
          </w:p>
        </w:tc>
        <w:tc>
          <w:tcPr>
            <w:tcW w:w="580" w:type="dxa"/>
            <w:vAlign w:val="bottom"/>
          </w:tcPr>
          <w:p>
            <w:pPr>
              <w:jc w:val="right"/>
              <w:spacing w:after="0"/>
              <w:rPr>
                <w:rFonts w:ascii="Arial" w:cs="Arial" w:eastAsia="Arial" w:hAnsi="Arial"/>
                <w:sz w:val="18"/>
                <w:szCs w:val="18"/>
                <w:color w:val="3D5588"/>
              </w:rPr>
            </w:pPr>
            <w:hyperlink w:anchor="page76">
              <w:r>
                <w:rPr>
                  <w:rFonts w:ascii="Arial" w:cs="Arial" w:eastAsia="Arial" w:hAnsi="Arial"/>
                  <w:sz w:val="18"/>
                  <w:szCs w:val="18"/>
                  <w:color w:val="3D5588"/>
                </w:rPr>
                <w:t>71</w:t>
              </w:r>
            </w:hyperlink>
          </w:p>
        </w:tc>
        <w:tc>
          <w:tcPr>
            <w:tcW w:w="5140" w:type="dxa"/>
            <w:vAlign w:val="bottom"/>
          </w:tcPr>
          <w:p>
            <w:pPr>
              <w:ind w:left="280"/>
              <w:spacing w:after="0"/>
              <w:rPr>
                <w:rFonts w:ascii="Arial" w:cs="Arial" w:eastAsia="Arial" w:hAnsi="Arial"/>
                <w:sz w:val="18"/>
                <w:szCs w:val="18"/>
                <w:color w:val="3D5588"/>
              </w:rPr>
            </w:pPr>
            <w:hyperlink w:anchor="page162">
              <w:r>
                <w:rPr>
                  <w:rFonts w:ascii="Arial" w:cs="Arial" w:eastAsia="Arial" w:hAnsi="Arial"/>
                  <w:sz w:val="18"/>
                  <w:szCs w:val="18"/>
                  <w:color w:val="3D5588"/>
                </w:rPr>
                <w:t>Related Party Transactions</w:t>
              </w:r>
            </w:hyperlink>
          </w:p>
        </w:tc>
        <w:tc>
          <w:tcPr>
            <w:tcW w:w="600" w:type="dxa"/>
            <w:vAlign w:val="bottom"/>
          </w:tcPr>
          <w:p>
            <w:pPr>
              <w:jc w:val="right"/>
              <w:spacing w:after="0"/>
              <w:rPr>
                <w:rFonts w:ascii="Arial" w:cs="Arial" w:eastAsia="Arial" w:hAnsi="Arial"/>
                <w:sz w:val="18"/>
                <w:szCs w:val="18"/>
                <w:color w:val="3D5588"/>
              </w:rPr>
            </w:pPr>
            <w:hyperlink w:anchor="page162">
              <w:r>
                <w:rPr>
                  <w:rFonts w:ascii="Arial" w:cs="Arial" w:eastAsia="Arial" w:hAnsi="Arial"/>
                  <w:sz w:val="18"/>
                  <w:szCs w:val="18"/>
                  <w:color w:val="3D5588"/>
                </w:rPr>
                <w:t>157</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77">
              <w:r>
                <w:rPr>
                  <w:rFonts w:ascii="Arial" w:cs="Arial" w:eastAsia="Arial" w:hAnsi="Arial"/>
                  <w:sz w:val="18"/>
                  <w:szCs w:val="18"/>
                  <w:color w:val="3D5588"/>
                </w:rPr>
                <w:t>Dividend Policy</w:t>
              </w:r>
            </w:hyperlink>
          </w:p>
        </w:tc>
        <w:tc>
          <w:tcPr>
            <w:tcW w:w="580" w:type="dxa"/>
            <w:vAlign w:val="bottom"/>
          </w:tcPr>
          <w:p>
            <w:pPr>
              <w:jc w:val="right"/>
              <w:spacing w:after="0"/>
              <w:rPr>
                <w:rFonts w:ascii="Arial" w:cs="Arial" w:eastAsia="Arial" w:hAnsi="Arial"/>
                <w:sz w:val="18"/>
                <w:szCs w:val="18"/>
                <w:color w:val="3D5588"/>
              </w:rPr>
            </w:pPr>
            <w:hyperlink w:anchor="page77">
              <w:r>
                <w:rPr>
                  <w:rFonts w:ascii="Arial" w:cs="Arial" w:eastAsia="Arial" w:hAnsi="Arial"/>
                  <w:sz w:val="18"/>
                  <w:szCs w:val="18"/>
                  <w:color w:val="3D5588"/>
                </w:rPr>
                <w:t>72</w:t>
              </w:r>
            </w:hyperlink>
          </w:p>
        </w:tc>
        <w:tc>
          <w:tcPr>
            <w:tcW w:w="5140" w:type="dxa"/>
            <w:vAlign w:val="bottom"/>
          </w:tcPr>
          <w:p>
            <w:pPr>
              <w:ind w:left="280"/>
              <w:spacing w:after="0"/>
              <w:rPr>
                <w:rFonts w:ascii="Arial" w:cs="Arial" w:eastAsia="Arial" w:hAnsi="Arial"/>
                <w:sz w:val="18"/>
                <w:szCs w:val="18"/>
                <w:color w:val="3D5588"/>
              </w:rPr>
            </w:pPr>
            <w:hyperlink w:anchor="page163">
              <w:r>
                <w:rPr>
                  <w:rFonts w:ascii="Arial" w:cs="Arial" w:eastAsia="Arial" w:hAnsi="Arial"/>
                  <w:sz w:val="18"/>
                  <w:szCs w:val="18"/>
                  <w:color w:val="3D5588"/>
                </w:rPr>
                <w:t>Description of Share Capital</w:t>
              </w:r>
            </w:hyperlink>
          </w:p>
        </w:tc>
        <w:tc>
          <w:tcPr>
            <w:tcW w:w="600" w:type="dxa"/>
            <w:vAlign w:val="bottom"/>
          </w:tcPr>
          <w:p>
            <w:pPr>
              <w:jc w:val="right"/>
              <w:spacing w:after="0"/>
              <w:rPr>
                <w:rFonts w:ascii="Arial" w:cs="Arial" w:eastAsia="Arial" w:hAnsi="Arial"/>
                <w:sz w:val="18"/>
                <w:szCs w:val="18"/>
                <w:color w:val="3D5588"/>
              </w:rPr>
            </w:pPr>
            <w:hyperlink w:anchor="page163">
              <w:r>
                <w:rPr>
                  <w:rFonts w:ascii="Arial" w:cs="Arial" w:eastAsia="Arial" w:hAnsi="Arial"/>
                  <w:sz w:val="18"/>
                  <w:szCs w:val="18"/>
                  <w:color w:val="3D5588"/>
                </w:rPr>
                <w:t>158</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78">
              <w:r>
                <w:rPr>
                  <w:rFonts w:ascii="Arial" w:cs="Arial" w:eastAsia="Arial" w:hAnsi="Arial"/>
                  <w:sz w:val="18"/>
                  <w:szCs w:val="18"/>
                  <w:color w:val="3D5588"/>
                </w:rPr>
                <w:t>Capitalization</w:t>
              </w:r>
            </w:hyperlink>
          </w:p>
        </w:tc>
        <w:tc>
          <w:tcPr>
            <w:tcW w:w="580" w:type="dxa"/>
            <w:vAlign w:val="bottom"/>
          </w:tcPr>
          <w:p>
            <w:pPr>
              <w:jc w:val="right"/>
              <w:spacing w:after="0"/>
              <w:rPr>
                <w:rFonts w:ascii="Arial" w:cs="Arial" w:eastAsia="Arial" w:hAnsi="Arial"/>
                <w:sz w:val="18"/>
                <w:szCs w:val="18"/>
                <w:color w:val="3D5588"/>
              </w:rPr>
            </w:pPr>
            <w:hyperlink w:anchor="page78">
              <w:r>
                <w:rPr>
                  <w:rFonts w:ascii="Arial" w:cs="Arial" w:eastAsia="Arial" w:hAnsi="Arial"/>
                  <w:sz w:val="18"/>
                  <w:szCs w:val="18"/>
                  <w:color w:val="3D5588"/>
                </w:rPr>
                <w:t>73</w:t>
              </w:r>
            </w:hyperlink>
          </w:p>
        </w:tc>
        <w:tc>
          <w:tcPr>
            <w:tcW w:w="5140" w:type="dxa"/>
            <w:vAlign w:val="bottom"/>
          </w:tcPr>
          <w:p>
            <w:pPr>
              <w:ind w:left="280"/>
              <w:spacing w:after="0"/>
              <w:rPr>
                <w:rFonts w:ascii="Arial" w:cs="Arial" w:eastAsia="Arial" w:hAnsi="Arial"/>
                <w:sz w:val="18"/>
                <w:szCs w:val="18"/>
                <w:color w:val="3D5588"/>
              </w:rPr>
            </w:pPr>
            <w:hyperlink w:anchor="page181">
              <w:r>
                <w:rPr>
                  <w:rFonts w:ascii="Arial" w:cs="Arial" w:eastAsia="Arial" w:hAnsi="Arial"/>
                  <w:sz w:val="18"/>
                  <w:szCs w:val="18"/>
                  <w:color w:val="3D5588"/>
                </w:rPr>
                <w:t>Description of American Depositary Shares</w:t>
              </w:r>
            </w:hyperlink>
          </w:p>
        </w:tc>
        <w:tc>
          <w:tcPr>
            <w:tcW w:w="600" w:type="dxa"/>
            <w:vAlign w:val="bottom"/>
          </w:tcPr>
          <w:p>
            <w:pPr>
              <w:jc w:val="right"/>
              <w:spacing w:after="0"/>
              <w:rPr>
                <w:rFonts w:ascii="Arial" w:cs="Arial" w:eastAsia="Arial" w:hAnsi="Arial"/>
                <w:sz w:val="18"/>
                <w:szCs w:val="18"/>
                <w:color w:val="3D5588"/>
              </w:rPr>
            </w:pPr>
            <w:hyperlink w:anchor="page181">
              <w:r>
                <w:rPr>
                  <w:rFonts w:ascii="Arial" w:cs="Arial" w:eastAsia="Arial" w:hAnsi="Arial"/>
                  <w:sz w:val="18"/>
                  <w:szCs w:val="18"/>
                  <w:color w:val="3D5588"/>
                </w:rPr>
                <w:t>176</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81">
              <w:r>
                <w:rPr>
                  <w:rFonts w:ascii="Arial" w:cs="Arial" w:eastAsia="Arial" w:hAnsi="Arial"/>
                  <w:sz w:val="18"/>
                  <w:szCs w:val="18"/>
                  <w:color w:val="3D5588"/>
                </w:rPr>
                <w:t>Dilution</w:t>
              </w:r>
            </w:hyperlink>
          </w:p>
        </w:tc>
        <w:tc>
          <w:tcPr>
            <w:tcW w:w="580" w:type="dxa"/>
            <w:vAlign w:val="bottom"/>
          </w:tcPr>
          <w:p>
            <w:pPr>
              <w:jc w:val="right"/>
              <w:spacing w:after="0"/>
              <w:rPr>
                <w:rFonts w:ascii="Arial" w:cs="Arial" w:eastAsia="Arial" w:hAnsi="Arial"/>
                <w:sz w:val="18"/>
                <w:szCs w:val="18"/>
                <w:color w:val="3D5588"/>
              </w:rPr>
            </w:pPr>
            <w:hyperlink w:anchor="page81">
              <w:r>
                <w:rPr>
                  <w:rFonts w:ascii="Arial" w:cs="Arial" w:eastAsia="Arial" w:hAnsi="Arial"/>
                  <w:sz w:val="18"/>
                  <w:szCs w:val="18"/>
                  <w:color w:val="3D5588"/>
                </w:rPr>
                <w:t>76</w:t>
              </w:r>
            </w:hyperlink>
          </w:p>
        </w:tc>
        <w:tc>
          <w:tcPr>
            <w:tcW w:w="5140" w:type="dxa"/>
            <w:vAlign w:val="bottom"/>
          </w:tcPr>
          <w:p>
            <w:pPr>
              <w:ind w:left="280"/>
              <w:spacing w:after="0"/>
              <w:rPr>
                <w:rFonts w:ascii="Arial" w:cs="Arial" w:eastAsia="Arial" w:hAnsi="Arial"/>
                <w:sz w:val="18"/>
                <w:szCs w:val="18"/>
                <w:color w:val="3D5588"/>
              </w:rPr>
            </w:pPr>
            <w:hyperlink w:anchor="page189">
              <w:r>
                <w:rPr>
                  <w:rFonts w:ascii="Arial" w:cs="Arial" w:eastAsia="Arial" w:hAnsi="Arial"/>
                  <w:sz w:val="18"/>
                  <w:szCs w:val="18"/>
                  <w:color w:val="3D5588"/>
                </w:rPr>
                <w:t>Shares Eligible for Future Sale</w:t>
              </w:r>
            </w:hyperlink>
          </w:p>
        </w:tc>
        <w:tc>
          <w:tcPr>
            <w:tcW w:w="600" w:type="dxa"/>
            <w:vAlign w:val="bottom"/>
          </w:tcPr>
          <w:p>
            <w:pPr>
              <w:jc w:val="right"/>
              <w:spacing w:after="0"/>
              <w:rPr>
                <w:rFonts w:ascii="Arial" w:cs="Arial" w:eastAsia="Arial" w:hAnsi="Arial"/>
                <w:sz w:val="18"/>
                <w:szCs w:val="18"/>
                <w:color w:val="3D5588"/>
              </w:rPr>
            </w:pPr>
            <w:hyperlink w:anchor="page189">
              <w:r>
                <w:rPr>
                  <w:rFonts w:ascii="Arial" w:cs="Arial" w:eastAsia="Arial" w:hAnsi="Arial"/>
                  <w:sz w:val="18"/>
                  <w:szCs w:val="18"/>
                  <w:color w:val="3D5588"/>
                </w:rPr>
                <w:t>184</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83">
              <w:r>
                <w:rPr>
                  <w:rFonts w:ascii="Arial" w:cs="Arial" w:eastAsia="Arial" w:hAnsi="Arial"/>
                  <w:sz w:val="18"/>
                  <w:szCs w:val="18"/>
                  <w:color w:val="3D5588"/>
                </w:rPr>
                <w:t>Enforceability of Civil Liabilities</w:t>
              </w:r>
            </w:hyperlink>
          </w:p>
        </w:tc>
        <w:tc>
          <w:tcPr>
            <w:tcW w:w="580" w:type="dxa"/>
            <w:vAlign w:val="bottom"/>
          </w:tcPr>
          <w:p>
            <w:pPr>
              <w:jc w:val="right"/>
              <w:spacing w:after="0"/>
              <w:rPr>
                <w:rFonts w:ascii="Arial" w:cs="Arial" w:eastAsia="Arial" w:hAnsi="Arial"/>
                <w:sz w:val="18"/>
                <w:szCs w:val="18"/>
                <w:color w:val="3D5588"/>
              </w:rPr>
            </w:pPr>
            <w:hyperlink w:anchor="page83">
              <w:r>
                <w:rPr>
                  <w:rFonts w:ascii="Arial" w:cs="Arial" w:eastAsia="Arial" w:hAnsi="Arial"/>
                  <w:sz w:val="18"/>
                  <w:szCs w:val="18"/>
                  <w:color w:val="3D5588"/>
                </w:rPr>
                <w:t>78</w:t>
              </w:r>
            </w:hyperlink>
          </w:p>
        </w:tc>
        <w:tc>
          <w:tcPr>
            <w:tcW w:w="5140" w:type="dxa"/>
            <w:vAlign w:val="bottom"/>
          </w:tcPr>
          <w:p>
            <w:pPr>
              <w:ind w:left="280"/>
              <w:spacing w:after="0"/>
              <w:rPr>
                <w:rFonts w:ascii="Arial" w:cs="Arial" w:eastAsia="Arial" w:hAnsi="Arial"/>
                <w:sz w:val="18"/>
                <w:szCs w:val="18"/>
                <w:color w:val="3D5588"/>
              </w:rPr>
            </w:pPr>
            <w:hyperlink w:anchor="page191">
              <w:r>
                <w:rPr>
                  <w:rFonts w:ascii="Arial" w:cs="Arial" w:eastAsia="Arial" w:hAnsi="Arial"/>
                  <w:sz w:val="18"/>
                  <w:szCs w:val="18"/>
                  <w:color w:val="3D5588"/>
                </w:rPr>
                <w:t>Taxation</w:t>
              </w:r>
            </w:hyperlink>
          </w:p>
        </w:tc>
        <w:tc>
          <w:tcPr>
            <w:tcW w:w="600" w:type="dxa"/>
            <w:vAlign w:val="bottom"/>
          </w:tcPr>
          <w:p>
            <w:pPr>
              <w:jc w:val="right"/>
              <w:spacing w:after="0"/>
              <w:rPr>
                <w:rFonts w:ascii="Arial" w:cs="Arial" w:eastAsia="Arial" w:hAnsi="Arial"/>
                <w:sz w:val="18"/>
                <w:szCs w:val="18"/>
                <w:color w:val="3D5588"/>
              </w:rPr>
            </w:pPr>
            <w:hyperlink w:anchor="page191">
              <w:r>
                <w:rPr>
                  <w:rFonts w:ascii="Arial" w:cs="Arial" w:eastAsia="Arial" w:hAnsi="Arial"/>
                  <w:sz w:val="18"/>
                  <w:szCs w:val="18"/>
                  <w:color w:val="3D5588"/>
                </w:rPr>
                <w:t>186</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84">
              <w:r>
                <w:rPr>
                  <w:rFonts w:ascii="Arial" w:cs="Arial" w:eastAsia="Arial" w:hAnsi="Arial"/>
                  <w:sz w:val="18"/>
                  <w:szCs w:val="18"/>
                  <w:color w:val="3D5588"/>
                </w:rPr>
                <w:t>Corporate History and Structure</w:t>
              </w:r>
            </w:hyperlink>
          </w:p>
        </w:tc>
        <w:tc>
          <w:tcPr>
            <w:tcW w:w="580" w:type="dxa"/>
            <w:vAlign w:val="bottom"/>
          </w:tcPr>
          <w:p>
            <w:pPr>
              <w:jc w:val="right"/>
              <w:spacing w:after="0"/>
              <w:rPr>
                <w:rFonts w:ascii="Arial" w:cs="Arial" w:eastAsia="Arial" w:hAnsi="Arial"/>
                <w:sz w:val="18"/>
                <w:szCs w:val="18"/>
                <w:color w:val="3D5588"/>
              </w:rPr>
            </w:pPr>
            <w:hyperlink w:anchor="page84">
              <w:r>
                <w:rPr>
                  <w:rFonts w:ascii="Arial" w:cs="Arial" w:eastAsia="Arial" w:hAnsi="Arial"/>
                  <w:sz w:val="18"/>
                  <w:szCs w:val="18"/>
                  <w:color w:val="3D5588"/>
                </w:rPr>
                <w:t>79</w:t>
              </w:r>
            </w:hyperlink>
          </w:p>
        </w:tc>
        <w:tc>
          <w:tcPr>
            <w:tcW w:w="5140" w:type="dxa"/>
            <w:vAlign w:val="bottom"/>
          </w:tcPr>
          <w:p>
            <w:pPr>
              <w:ind w:left="280"/>
              <w:spacing w:after="0"/>
              <w:rPr>
                <w:rFonts w:ascii="Arial" w:cs="Arial" w:eastAsia="Arial" w:hAnsi="Arial"/>
                <w:sz w:val="18"/>
                <w:szCs w:val="18"/>
                <w:color w:val="3D5588"/>
              </w:rPr>
            </w:pPr>
            <w:hyperlink w:anchor="page198">
              <w:r>
                <w:rPr>
                  <w:rFonts w:ascii="Arial" w:cs="Arial" w:eastAsia="Arial" w:hAnsi="Arial"/>
                  <w:sz w:val="18"/>
                  <w:szCs w:val="18"/>
                  <w:color w:val="3D5588"/>
                </w:rPr>
                <w:t>Underwriters</w:t>
              </w:r>
            </w:hyperlink>
          </w:p>
        </w:tc>
        <w:tc>
          <w:tcPr>
            <w:tcW w:w="600" w:type="dxa"/>
            <w:vAlign w:val="bottom"/>
          </w:tcPr>
          <w:p>
            <w:pPr>
              <w:jc w:val="right"/>
              <w:spacing w:after="0"/>
              <w:rPr>
                <w:rFonts w:ascii="Arial" w:cs="Arial" w:eastAsia="Arial" w:hAnsi="Arial"/>
                <w:sz w:val="18"/>
                <w:szCs w:val="18"/>
                <w:color w:val="3D5588"/>
              </w:rPr>
            </w:pPr>
            <w:hyperlink w:anchor="page198">
              <w:r>
                <w:rPr>
                  <w:rFonts w:ascii="Arial" w:cs="Arial" w:eastAsia="Arial" w:hAnsi="Arial"/>
                  <w:sz w:val="18"/>
                  <w:szCs w:val="18"/>
                  <w:color w:val="3D5588"/>
                </w:rPr>
                <w:t>193</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3D5588"/>
              </w:rPr>
            </w:pPr>
            <w:hyperlink w:anchor="page88">
              <w:r>
                <w:rPr>
                  <w:rFonts w:ascii="Arial" w:cs="Arial" w:eastAsia="Arial" w:hAnsi="Arial"/>
                  <w:sz w:val="18"/>
                  <w:szCs w:val="18"/>
                  <w:color w:val="3D5588"/>
                </w:rPr>
                <w:t>Selected Consolidated Financial and Operating Data</w:t>
              </w:r>
            </w:hyperlink>
          </w:p>
        </w:tc>
        <w:tc>
          <w:tcPr>
            <w:tcW w:w="580" w:type="dxa"/>
            <w:vAlign w:val="bottom"/>
          </w:tcPr>
          <w:p>
            <w:pPr>
              <w:jc w:val="right"/>
              <w:spacing w:after="0"/>
              <w:rPr>
                <w:rFonts w:ascii="Arial" w:cs="Arial" w:eastAsia="Arial" w:hAnsi="Arial"/>
                <w:sz w:val="18"/>
                <w:szCs w:val="18"/>
                <w:color w:val="3D5588"/>
              </w:rPr>
            </w:pPr>
            <w:hyperlink w:anchor="page88">
              <w:r>
                <w:rPr>
                  <w:rFonts w:ascii="Arial" w:cs="Arial" w:eastAsia="Arial" w:hAnsi="Arial"/>
                  <w:sz w:val="18"/>
                  <w:szCs w:val="18"/>
                  <w:color w:val="3D5588"/>
                </w:rPr>
                <w:t>83</w:t>
              </w:r>
            </w:hyperlink>
          </w:p>
        </w:tc>
        <w:tc>
          <w:tcPr>
            <w:tcW w:w="5140" w:type="dxa"/>
            <w:vAlign w:val="bottom"/>
          </w:tcPr>
          <w:p>
            <w:pPr>
              <w:ind w:left="280"/>
              <w:spacing w:after="0"/>
              <w:rPr>
                <w:rFonts w:ascii="Arial" w:cs="Arial" w:eastAsia="Arial" w:hAnsi="Arial"/>
                <w:sz w:val="18"/>
                <w:szCs w:val="18"/>
                <w:color w:val="3D5588"/>
              </w:rPr>
            </w:pPr>
            <w:hyperlink w:anchor="page207">
              <w:r>
                <w:rPr>
                  <w:rFonts w:ascii="Arial" w:cs="Arial" w:eastAsia="Arial" w:hAnsi="Arial"/>
                  <w:sz w:val="18"/>
                  <w:szCs w:val="18"/>
                  <w:color w:val="3D5588"/>
                </w:rPr>
                <w:t>Expenses Related to This Offering</w:t>
              </w:r>
            </w:hyperlink>
          </w:p>
        </w:tc>
        <w:tc>
          <w:tcPr>
            <w:tcW w:w="600" w:type="dxa"/>
            <w:vAlign w:val="bottom"/>
          </w:tcPr>
          <w:p>
            <w:pPr>
              <w:jc w:val="right"/>
              <w:spacing w:after="0"/>
              <w:rPr>
                <w:rFonts w:ascii="Arial" w:cs="Arial" w:eastAsia="Arial" w:hAnsi="Arial"/>
                <w:sz w:val="18"/>
                <w:szCs w:val="18"/>
                <w:color w:val="3D5588"/>
              </w:rPr>
            </w:pPr>
            <w:hyperlink w:anchor="page207">
              <w:r>
                <w:rPr>
                  <w:rFonts w:ascii="Arial" w:cs="Arial" w:eastAsia="Arial" w:hAnsi="Arial"/>
                  <w:sz w:val="18"/>
                  <w:szCs w:val="18"/>
                  <w:color w:val="3D5588"/>
                </w:rPr>
                <w:t>202</w:t>
              </w:r>
            </w:hyperlink>
          </w:p>
        </w:tc>
        <w:tc>
          <w:tcPr>
            <w:tcW w:w="0" w:type="dxa"/>
            <w:vAlign w:val="bottom"/>
          </w:tcPr>
          <w:p>
            <w:pPr>
              <w:spacing w:after="0"/>
              <w:rPr>
                <w:sz w:val="1"/>
                <w:szCs w:val="1"/>
                <w:color w:val="auto"/>
              </w:rPr>
            </w:pPr>
          </w:p>
        </w:tc>
      </w:tr>
      <w:tr>
        <w:trPr>
          <w:trHeight w:val="230"/>
        </w:trPr>
        <w:tc>
          <w:tcPr>
            <w:tcW w:w="4860" w:type="dxa"/>
            <w:vAlign w:val="bottom"/>
          </w:tcPr>
          <w:p>
            <w:pPr>
              <w:spacing w:after="0"/>
              <w:rPr>
                <w:rFonts w:ascii="Arial" w:cs="Arial" w:eastAsia="Arial" w:hAnsi="Arial"/>
                <w:sz w:val="18"/>
                <w:szCs w:val="18"/>
                <w:color w:val="3D5588"/>
                <w:w w:val="97"/>
              </w:rPr>
            </w:pPr>
            <w:hyperlink w:anchor="page91">
              <w:r>
                <w:rPr>
                  <w:rFonts w:ascii="Arial" w:cs="Arial" w:eastAsia="Arial" w:hAnsi="Arial"/>
                  <w:sz w:val="18"/>
                  <w:szCs w:val="18"/>
                  <w:color w:val="3D5588"/>
                  <w:w w:val="97"/>
                </w:rPr>
                <w:t>Management’s Discussion and Analysis of Financial Condition</w:t>
              </w:r>
            </w:hyperlink>
          </w:p>
        </w:tc>
        <w:tc>
          <w:tcPr>
            <w:tcW w:w="580" w:type="dxa"/>
            <w:vAlign w:val="bottom"/>
            <w:vMerge w:val="restart"/>
          </w:tcPr>
          <w:p>
            <w:pPr>
              <w:jc w:val="right"/>
              <w:spacing w:after="0"/>
              <w:rPr>
                <w:rFonts w:ascii="Arial" w:cs="Arial" w:eastAsia="Arial" w:hAnsi="Arial"/>
                <w:sz w:val="18"/>
                <w:szCs w:val="18"/>
                <w:color w:val="3D5588"/>
              </w:rPr>
            </w:pPr>
            <w:hyperlink w:anchor="page91">
              <w:r>
                <w:rPr>
                  <w:rFonts w:ascii="Arial" w:cs="Arial" w:eastAsia="Arial" w:hAnsi="Arial"/>
                  <w:sz w:val="18"/>
                  <w:szCs w:val="18"/>
                  <w:color w:val="3D5588"/>
                </w:rPr>
                <w:t>86</w:t>
              </w:r>
            </w:hyperlink>
          </w:p>
        </w:tc>
        <w:tc>
          <w:tcPr>
            <w:tcW w:w="5140" w:type="dxa"/>
            <w:vAlign w:val="bottom"/>
          </w:tcPr>
          <w:p>
            <w:pPr>
              <w:ind w:left="280"/>
              <w:spacing w:after="0"/>
              <w:rPr>
                <w:rFonts w:ascii="Arial" w:cs="Arial" w:eastAsia="Arial" w:hAnsi="Arial"/>
                <w:sz w:val="18"/>
                <w:szCs w:val="18"/>
                <w:color w:val="3D5588"/>
              </w:rPr>
            </w:pPr>
            <w:hyperlink w:anchor="page208">
              <w:r>
                <w:rPr>
                  <w:rFonts w:ascii="Arial" w:cs="Arial" w:eastAsia="Arial" w:hAnsi="Arial"/>
                  <w:sz w:val="18"/>
                  <w:szCs w:val="18"/>
                  <w:color w:val="3D5588"/>
                </w:rPr>
                <w:t>Concurrent Private Placement</w:t>
              </w:r>
            </w:hyperlink>
          </w:p>
        </w:tc>
        <w:tc>
          <w:tcPr>
            <w:tcW w:w="600" w:type="dxa"/>
            <w:vAlign w:val="bottom"/>
          </w:tcPr>
          <w:p>
            <w:pPr>
              <w:jc w:val="right"/>
              <w:spacing w:after="0"/>
              <w:rPr>
                <w:rFonts w:ascii="Arial" w:cs="Arial" w:eastAsia="Arial" w:hAnsi="Arial"/>
                <w:sz w:val="18"/>
                <w:szCs w:val="18"/>
                <w:color w:val="3D5588"/>
              </w:rPr>
            </w:pPr>
            <w:hyperlink w:anchor="page208">
              <w:r>
                <w:rPr>
                  <w:rFonts w:ascii="Arial" w:cs="Arial" w:eastAsia="Arial" w:hAnsi="Arial"/>
                  <w:sz w:val="18"/>
                  <w:szCs w:val="18"/>
                  <w:color w:val="3D5588"/>
                </w:rPr>
                <w:t>203</w:t>
              </w:r>
            </w:hyperlink>
          </w:p>
        </w:tc>
        <w:tc>
          <w:tcPr>
            <w:tcW w:w="0" w:type="dxa"/>
            <w:vAlign w:val="bottom"/>
          </w:tcPr>
          <w:p>
            <w:pPr>
              <w:spacing w:after="0"/>
              <w:rPr>
                <w:sz w:val="1"/>
                <w:szCs w:val="1"/>
                <w:color w:val="auto"/>
              </w:rPr>
            </w:pPr>
          </w:p>
        </w:tc>
      </w:tr>
      <w:tr>
        <w:trPr>
          <w:trHeight w:val="230"/>
        </w:trPr>
        <w:tc>
          <w:tcPr>
            <w:tcW w:w="4860" w:type="dxa"/>
            <w:vAlign w:val="bottom"/>
          </w:tcPr>
          <w:p>
            <w:pPr>
              <w:ind w:left="160"/>
              <w:spacing w:after="0"/>
              <w:rPr>
                <w:rFonts w:ascii="Arial" w:cs="Arial" w:eastAsia="Arial" w:hAnsi="Arial"/>
                <w:sz w:val="18"/>
                <w:szCs w:val="18"/>
                <w:color w:val="3D5588"/>
              </w:rPr>
            </w:pPr>
            <w:hyperlink w:anchor="page91">
              <w:r>
                <w:rPr>
                  <w:rFonts w:ascii="Arial" w:cs="Arial" w:eastAsia="Arial" w:hAnsi="Arial"/>
                  <w:sz w:val="18"/>
                  <w:szCs w:val="18"/>
                  <w:color w:val="3D5588"/>
                </w:rPr>
                <w:t>and Results of Operations</w:t>
              </w:r>
            </w:hyperlink>
          </w:p>
        </w:tc>
        <w:tc>
          <w:tcPr>
            <w:tcW w:w="580" w:type="dxa"/>
            <w:vAlign w:val="bottom"/>
            <w:vMerge w:val="continue"/>
          </w:tcPr>
          <w:p>
            <w:pPr>
              <w:spacing w:after="0"/>
              <w:rPr>
                <w:sz w:val="20"/>
                <w:szCs w:val="20"/>
                <w:color w:val="auto"/>
              </w:rPr>
            </w:pPr>
          </w:p>
        </w:tc>
        <w:tc>
          <w:tcPr>
            <w:tcW w:w="5140" w:type="dxa"/>
            <w:vAlign w:val="bottom"/>
            <w:vMerge w:val="restart"/>
          </w:tcPr>
          <w:p>
            <w:pPr>
              <w:ind w:left="280"/>
              <w:spacing w:after="0"/>
              <w:rPr>
                <w:rFonts w:ascii="Arial" w:cs="Arial" w:eastAsia="Arial" w:hAnsi="Arial"/>
                <w:sz w:val="18"/>
                <w:szCs w:val="18"/>
                <w:color w:val="3D5588"/>
              </w:rPr>
            </w:pPr>
            <w:hyperlink w:anchor="page209">
              <w:r>
                <w:rPr>
                  <w:rFonts w:ascii="Arial" w:cs="Arial" w:eastAsia="Arial" w:hAnsi="Arial"/>
                  <w:sz w:val="18"/>
                  <w:szCs w:val="18"/>
                  <w:color w:val="3D5588"/>
                </w:rPr>
                <w:t>Legal Matters</w:t>
              </w:r>
            </w:hyperlink>
          </w:p>
        </w:tc>
        <w:tc>
          <w:tcPr>
            <w:tcW w:w="600" w:type="dxa"/>
            <w:vAlign w:val="bottom"/>
            <w:vMerge w:val="restart"/>
          </w:tcPr>
          <w:p>
            <w:pPr>
              <w:jc w:val="right"/>
              <w:spacing w:after="0"/>
              <w:rPr>
                <w:rFonts w:ascii="Arial" w:cs="Arial" w:eastAsia="Arial" w:hAnsi="Arial"/>
                <w:sz w:val="18"/>
                <w:szCs w:val="18"/>
                <w:color w:val="3D5588"/>
              </w:rPr>
            </w:pPr>
            <w:hyperlink w:anchor="page209">
              <w:r>
                <w:rPr>
                  <w:rFonts w:ascii="Arial" w:cs="Arial" w:eastAsia="Arial" w:hAnsi="Arial"/>
                  <w:sz w:val="18"/>
                  <w:szCs w:val="18"/>
                  <w:color w:val="3D5588"/>
                </w:rPr>
                <w:t>204</w:t>
              </w:r>
            </w:hyperlink>
          </w:p>
        </w:tc>
        <w:tc>
          <w:tcPr>
            <w:tcW w:w="0" w:type="dxa"/>
            <w:vAlign w:val="bottom"/>
          </w:tcPr>
          <w:p>
            <w:pPr>
              <w:spacing w:after="0"/>
              <w:rPr>
                <w:sz w:val="1"/>
                <w:szCs w:val="1"/>
                <w:color w:val="auto"/>
              </w:rPr>
            </w:pPr>
          </w:p>
        </w:tc>
      </w:tr>
      <w:tr>
        <w:trPr>
          <w:trHeight w:val="94"/>
        </w:trPr>
        <w:tc>
          <w:tcPr>
            <w:tcW w:w="4860" w:type="dxa"/>
            <w:vAlign w:val="bottom"/>
            <w:vMerge w:val="restart"/>
          </w:tcPr>
          <w:p>
            <w:pPr>
              <w:spacing w:after="0"/>
              <w:rPr>
                <w:rFonts w:ascii="Arial" w:cs="Arial" w:eastAsia="Arial" w:hAnsi="Arial"/>
                <w:sz w:val="18"/>
                <w:szCs w:val="18"/>
                <w:color w:val="3D5588"/>
              </w:rPr>
            </w:pPr>
            <w:hyperlink w:anchor="page115">
              <w:r>
                <w:rPr>
                  <w:rFonts w:ascii="Arial" w:cs="Arial" w:eastAsia="Arial" w:hAnsi="Arial"/>
                  <w:sz w:val="18"/>
                  <w:szCs w:val="18"/>
                  <w:color w:val="3D5588"/>
                </w:rPr>
                <w:t>A Letter from Our Founder, Chairman and CEO</w:t>
              </w:r>
            </w:hyperlink>
          </w:p>
        </w:tc>
        <w:tc>
          <w:tcPr>
            <w:tcW w:w="580" w:type="dxa"/>
            <w:vAlign w:val="bottom"/>
            <w:vMerge w:val="restart"/>
          </w:tcPr>
          <w:p>
            <w:pPr>
              <w:jc w:val="right"/>
              <w:spacing w:after="0"/>
              <w:rPr>
                <w:rFonts w:ascii="Arial" w:cs="Arial" w:eastAsia="Arial" w:hAnsi="Arial"/>
                <w:sz w:val="18"/>
                <w:szCs w:val="18"/>
                <w:color w:val="3D5588"/>
              </w:rPr>
            </w:pPr>
            <w:hyperlink w:anchor="page115">
              <w:r>
                <w:rPr>
                  <w:rFonts w:ascii="Arial" w:cs="Arial" w:eastAsia="Arial" w:hAnsi="Arial"/>
                  <w:sz w:val="18"/>
                  <w:szCs w:val="18"/>
                  <w:color w:val="3D5588"/>
                </w:rPr>
                <w:t>110</w:t>
              </w:r>
            </w:hyperlink>
          </w:p>
        </w:tc>
        <w:tc>
          <w:tcPr>
            <w:tcW w:w="514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140" w:type="dxa"/>
            <w:vAlign w:val="bottom"/>
            <w:vMerge w:val="restart"/>
          </w:tcPr>
          <w:p>
            <w:pPr>
              <w:ind w:left="280"/>
              <w:spacing w:after="0"/>
              <w:rPr>
                <w:rFonts w:ascii="Arial" w:cs="Arial" w:eastAsia="Arial" w:hAnsi="Arial"/>
                <w:sz w:val="18"/>
                <w:szCs w:val="18"/>
                <w:color w:val="3D5588"/>
              </w:rPr>
            </w:pPr>
            <w:hyperlink w:anchor="page209">
              <w:r>
                <w:rPr>
                  <w:rFonts w:ascii="Arial" w:cs="Arial" w:eastAsia="Arial" w:hAnsi="Arial"/>
                  <w:sz w:val="18"/>
                  <w:szCs w:val="18"/>
                  <w:color w:val="3D5588"/>
                </w:rPr>
                <w:t>Experts</w:t>
              </w:r>
            </w:hyperlink>
          </w:p>
        </w:tc>
        <w:tc>
          <w:tcPr>
            <w:tcW w:w="600" w:type="dxa"/>
            <w:vAlign w:val="bottom"/>
            <w:vMerge w:val="restart"/>
          </w:tcPr>
          <w:p>
            <w:pPr>
              <w:jc w:val="right"/>
              <w:spacing w:after="0"/>
              <w:rPr>
                <w:rFonts w:ascii="Arial" w:cs="Arial" w:eastAsia="Arial" w:hAnsi="Arial"/>
                <w:sz w:val="18"/>
                <w:szCs w:val="18"/>
                <w:color w:val="3D5588"/>
              </w:rPr>
            </w:pPr>
            <w:hyperlink w:anchor="page209">
              <w:r>
                <w:rPr>
                  <w:rFonts w:ascii="Arial" w:cs="Arial" w:eastAsia="Arial" w:hAnsi="Arial"/>
                  <w:sz w:val="18"/>
                  <w:szCs w:val="18"/>
                  <w:color w:val="3D5588"/>
                </w:rPr>
                <w:t>204</w:t>
              </w:r>
            </w:hyperlink>
          </w:p>
        </w:tc>
        <w:tc>
          <w:tcPr>
            <w:tcW w:w="0" w:type="dxa"/>
            <w:vAlign w:val="bottom"/>
          </w:tcPr>
          <w:p>
            <w:pPr>
              <w:spacing w:after="0"/>
              <w:rPr>
                <w:sz w:val="1"/>
                <w:szCs w:val="1"/>
                <w:color w:val="auto"/>
              </w:rPr>
            </w:pPr>
          </w:p>
        </w:tc>
      </w:tr>
      <w:tr>
        <w:trPr>
          <w:trHeight w:val="108"/>
        </w:trPr>
        <w:tc>
          <w:tcPr>
            <w:tcW w:w="4860" w:type="dxa"/>
            <w:vAlign w:val="bottom"/>
            <w:vMerge w:val="restart"/>
          </w:tcPr>
          <w:p>
            <w:pPr>
              <w:spacing w:after="0"/>
              <w:rPr>
                <w:rFonts w:ascii="Arial" w:cs="Arial" w:eastAsia="Arial" w:hAnsi="Arial"/>
                <w:sz w:val="18"/>
                <w:szCs w:val="18"/>
                <w:color w:val="3D5588"/>
              </w:rPr>
            </w:pPr>
            <w:hyperlink w:anchor="page117">
              <w:r>
                <w:rPr>
                  <w:rFonts w:ascii="Arial" w:cs="Arial" w:eastAsia="Arial" w:hAnsi="Arial"/>
                  <w:sz w:val="18"/>
                  <w:szCs w:val="18"/>
                  <w:color w:val="3D5588"/>
                </w:rPr>
                <w:t>Industry</w:t>
              </w:r>
            </w:hyperlink>
          </w:p>
        </w:tc>
        <w:tc>
          <w:tcPr>
            <w:tcW w:w="580" w:type="dxa"/>
            <w:vAlign w:val="bottom"/>
            <w:vMerge w:val="restart"/>
          </w:tcPr>
          <w:p>
            <w:pPr>
              <w:jc w:val="right"/>
              <w:spacing w:after="0"/>
              <w:rPr>
                <w:rFonts w:ascii="Arial" w:cs="Arial" w:eastAsia="Arial" w:hAnsi="Arial"/>
                <w:sz w:val="18"/>
                <w:szCs w:val="18"/>
                <w:color w:val="3D5588"/>
              </w:rPr>
            </w:pPr>
            <w:hyperlink w:anchor="page117">
              <w:r>
                <w:rPr>
                  <w:rFonts w:ascii="Arial" w:cs="Arial" w:eastAsia="Arial" w:hAnsi="Arial"/>
                  <w:sz w:val="18"/>
                  <w:szCs w:val="18"/>
                  <w:color w:val="3D5588"/>
                </w:rPr>
                <w:t>112</w:t>
              </w:r>
            </w:hyperlink>
          </w:p>
        </w:tc>
        <w:tc>
          <w:tcPr>
            <w:tcW w:w="5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140" w:type="dxa"/>
            <w:vAlign w:val="bottom"/>
            <w:vMerge w:val="restart"/>
          </w:tcPr>
          <w:p>
            <w:pPr>
              <w:ind w:left="280"/>
              <w:spacing w:after="0"/>
              <w:rPr>
                <w:rFonts w:ascii="Arial" w:cs="Arial" w:eastAsia="Arial" w:hAnsi="Arial"/>
                <w:sz w:val="18"/>
                <w:szCs w:val="18"/>
                <w:color w:val="3D5588"/>
              </w:rPr>
            </w:pPr>
            <w:hyperlink w:anchor="page209">
              <w:r>
                <w:rPr>
                  <w:rFonts w:ascii="Arial" w:cs="Arial" w:eastAsia="Arial" w:hAnsi="Arial"/>
                  <w:sz w:val="18"/>
                  <w:szCs w:val="18"/>
                  <w:color w:val="3D5588"/>
                </w:rPr>
                <w:t>Where You Can Find Additional Information</w:t>
              </w:r>
            </w:hyperlink>
          </w:p>
        </w:tc>
        <w:tc>
          <w:tcPr>
            <w:tcW w:w="600" w:type="dxa"/>
            <w:vAlign w:val="bottom"/>
            <w:vMerge w:val="restart"/>
          </w:tcPr>
          <w:p>
            <w:pPr>
              <w:jc w:val="right"/>
              <w:spacing w:after="0"/>
              <w:rPr>
                <w:rFonts w:ascii="Arial" w:cs="Arial" w:eastAsia="Arial" w:hAnsi="Arial"/>
                <w:sz w:val="18"/>
                <w:szCs w:val="18"/>
                <w:color w:val="3D5588"/>
              </w:rPr>
            </w:pPr>
            <w:hyperlink w:anchor="page209">
              <w:r>
                <w:rPr>
                  <w:rFonts w:ascii="Arial" w:cs="Arial" w:eastAsia="Arial" w:hAnsi="Arial"/>
                  <w:sz w:val="18"/>
                  <w:szCs w:val="18"/>
                  <w:color w:val="3D5588"/>
                </w:rPr>
                <w:t>204</w:t>
              </w:r>
            </w:hyperlink>
          </w:p>
        </w:tc>
        <w:tc>
          <w:tcPr>
            <w:tcW w:w="0" w:type="dxa"/>
            <w:vAlign w:val="bottom"/>
          </w:tcPr>
          <w:p>
            <w:pPr>
              <w:spacing w:after="0"/>
              <w:rPr>
                <w:sz w:val="1"/>
                <w:szCs w:val="1"/>
                <w:color w:val="auto"/>
              </w:rPr>
            </w:pPr>
          </w:p>
        </w:tc>
      </w:tr>
      <w:tr>
        <w:trPr>
          <w:trHeight w:val="108"/>
        </w:trPr>
        <w:tc>
          <w:tcPr>
            <w:tcW w:w="48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140" w:type="dxa"/>
            <w:vAlign w:val="bottom"/>
          </w:tcPr>
          <w:p>
            <w:pPr>
              <w:ind w:left="280"/>
              <w:spacing w:after="0"/>
              <w:rPr>
                <w:rFonts w:ascii="Arial" w:cs="Arial" w:eastAsia="Arial" w:hAnsi="Arial"/>
                <w:sz w:val="18"/>
                <w:szCs w:val="18"/>
                <w:color w:val="3D5588"/>
              </w:rPr>
            </w:pPr>
            <w:hyperlink w:anchor="page210">
              <w:r>
                <w:rPr>
                  <w:rFonts w:ascii="Arial" w:cs="Arial" w:eastAsia="Arial" w:hAnsi="Arial"/>
                  <w:sz w:val="18"/>
                  <w:szCs w:val="18"/>
                  <w:color w:val="3D5588"/>
                </w:rPr>
                <w:t>Index to Consolidated Financial Statements</w:t>
              </w:r>
            </w:hyperlink>
          </w:p>
        </w:tc>
        <w:tc>
          <w:tcPr>
            <w:tcW w:w="600" w:type="dxa"/>
            <w:vAlign w:val="bottom"/>
          </w:tcPr>
          <w:p>
            <w:pPr>
              <w:jc w:val="right"/>
              <w:spacing w:after="0"/>
              <w:rPr>
                <w:rFonts w:ascii="Arial" w:cs="Arial" w:eastAsia="Arial" w:hAnsi="Arial"/>
                <w:sz w:val="18"/>
                <w:szCs w:val="18"/>
                <w:color w:val="3D5588"/>
              </w:rPr>
            </w:pPr>
            <w:hyperlink w:anchor="page210">
              <w:r>
                <w:rPr>
                  <w:rFonts w:ascii="Arial" w:cs="Arial" w:eastAsia="Arial" w:hAnsi="Arial"/>
                  <w:sz w:val="18"/>
                  <w:szCs w:val="18"/>
                  <w:color w:val="3D5588"/>
                </w:rPr>
                <w:t>F-1</w:t>
              </w:r>
            </w:hyperlink>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80"/>
        <w:spacing w:after="0"/>
        <w:rPr>
          <w:sz w:val="20"/>
          <w:szCs w:val="20"/>
          <w:color w:val="auto"/>
        </w:rPr>
      </w:pPr>
      <w:r>
        <w:rPr>
          <w:rFonts w:ascii="Arial" w:cs="Arial" w:eastAsia="Arial" w:hAnsi="Arial"/>
          <w:sz w:val="18"/>
          <w:szCs w:val="18"/>
          <w:color w:val="003082"/>
        </w:rPr>
        <w:t>______________________________</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We are offering to sell, and seeking offers to buy, the ADSs only in jurisdictions where offers and sales are permitted. You should assume that the information appearing in this prospectus is true, complete and accurate only as of the date of this prospectus, regardless of the time of delivery of this prospectus or any sale of the ADSs. Our business, financial condition, results of operations and prospects may have changed since the date of this prospectus.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1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003082"/>
        </w:rPr>
        <w:t>Until July 20,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i</w:t>
      </w:r>
    </w:p>
    <w:p>
      <w:pPr>
        <w:sectPr>
          <w:pgSz w:w="11900" w:h="16838" w:orient="portrait"/>
          <w:cols w:equalWidth="0" w:num="1">
            <w:col w:w="11240"/>
          </w:cols>
          <w:pgMar w:left="320" w:top="44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22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t>PROSPECTUS SUMMARY</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003082"/>
        </w:rPr>
        <w:t>This summary highlights selected information contained in greater detail elsewhere in this prospectus. This summary may not contain all of the information that you should consider before investing in our ADSs. Before you make an investment decision, you should read the entire prospectus carefully, including the sections captioned “Risk Factors” and “Management's Discussion and Analysis of Financial Condition and Results of Operations” and our consolidated financial statements and the related notes included elsewhere in this prospectus.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AGORA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Our Mission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003082"/>
        </w:rPr>
        <w:t>To make real-time engagement ubiquitous, allowing everyone to interact with anyone, anytime and anywhere.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Overview</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People increasingly use real-time video or voice to interact and engage with others online. Traditionally, such engagement happens as standalone experiences in dedicated communication applications. However, in more and more cases users are looking for contextual real-time video or voice engagement embedded in the application they are already using, rather than having to use another application for that functionality. For example, students in an education application want to see their classmates and work on a group assignment together; players in a poker application want to see each other’s faces to pick up on visual tells; users in a dating application want to see their potential partners as they get to know one another; and buyers in a shopping application want to talk to sellers. The potential opportunities for such contextual real-time video or voice engagement are only limited by one’s imagination.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However, for many application developers, real-time video and voice engagement functionalities are too difficult and expensive to build. Real-time video or voice engagement requires reliable multi-way transmission of large amounts of data between users at millisecond latency. The public internet, however, is an open and best effort network with no assurance of service quality. Network conditions vary across time of day, geographies and network operators, often causing significant data packet loss and high latency. Furthermore, hardware and software proliferation and fragmentation has exacerbated the challenge developers face in providing broadly compatible solutions.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003082"/>
        </w:rPr>
        <w:t>We founded Agora to solve these problems.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003082"/>
        </w:rPr>
        <w:t>We want to empower every developer—whether working as a solo entrepreneur or part of a larger organization—to leverage real-time engagement to create innovative products, elevate user experiences and differentiate themselves from competition.</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and voice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1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the month of March 2020 alone, we powered more than 40 billion minutes of real-time engagement for end users in more than 100 countries through more than 10,000 active applications.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March 31, 2020, we had 1,176 active customers, which we define as customers who generate more than US$100 of revenue during the preceding 12 months. As our customers succeed, we share in their success through our usage-based revenue model. We believe a useful indicator of the increased activity from our customers is our Constant Currency</w:t>
      </w:r>
    </w:p>
    <w:p>
      <w:pPr>
        <w:sectPr>
          <w:pgSz w:w="11900" w:h="16838" w:orient="portrait"/>
          <w:cols w:equalWidth="0" w:num="1">
            <w:col w:w="9900"/>
          </w:cols>
          <w:pgMar w:left="1000" w:top="110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3082"/>
        </w:rPr>
        <w:t>1</w:t>
      </w:r>
    </w:p>
    <w:p>
      <w:pPr>
        <w:sectPr>
          <w:pgSz w:w="11900" w:h="16838" w:orient="portrait"/>
          <w:cols w:equalWidth="0" w:num="1">
            <w:col w:w="9900"/>
          </w:cols>
          <w:pgMar w:left="1000" w:top="1107" w:right="999" w:bottom="1440" w:gutter="0" w:footer="0" w:header="0"/>
          <w:type w:val="continuous"/>
        </w:sectPr>
      </w:pPr>
    </w:p>
    <w:bookmarkStart w:id="6" w:name="page7"/>
    <w:bookmarkEnd w:id="6"/>
    <w:p>
      <w:pPr>
        <w:jc w:val="both"/>
        <w:ind w:right="20"/>
        <w:spacing w:after="0" w:line="263" w:lineRule="auto"/>
        <w:rPr>
          <w:sz w:val="20"/>
          <w:szCs w:val="20"/>
          <w:color w:val="auto"/>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56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8156575"/>
                    </a:xfrm>
                    <a:prstGeom prst="rect">
                      <a:avLst/>
                    </a:prstGeom>
                    <a:noFill/>
                  </pic:spPr>
                </pic:pic>
              </a:graphicData>
            </a:graphic>
          </wp:anchor>
        </w:drawing>
        <w:t xml:space="preserve">Dollar-Based Net Expansion Rate, which was 133% and 131% for 2018 and 2019, respectively. See the section of this prospectus captioned “Management’s Discussion and Analysis of Financial Condition and Results of Operations—Key Operating and Financial Metrics—Constant </w:t>
      </w:r>
      <w:r>
        <w:rPr>
          <w:rFonts w:ascii="Arial" w:cs="Arial" w:eastAsia="Arial" w:hAnsi="Arial"/>
          <w:sz w:val="18"/>
          <w:szCs w:val="18"/>
          <w:color w:val="003082"/>
          <w:highlight w:val="white"/>
        </w:rPr>
        <w:t>Currency</w:t>
      </w:r>
      <w:r>
        <w:rPr>
          <w:rFonts w:ascii="Arial" w:cs="Arial" w:eastAsia="Arial" w:hAnsi="Arial"/>
          <w:sz w:val="18"/>
          <w:szCs w:val="18"/>
          <w:color w:val="003082"/>
        </w:rPr>
        <w:t xml:space="preserve"> Dollar-Based Net Expansion Rate.”</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Our business has experienced rapid growth and is capital efficient. From our inception in 2013 through March 31, 2020, we have raised US$170.4 million of equity capital, net of share and option repurchases, and we had US$151.7 million in cash and cash equivalents as of March 31, 2020. For the three months ended March 31, 2019 and 2020, our total revenue was US$13.4 million and US$35.6 million, respectively, an increase of 165.7%. For the three months ended March 31, 2019 and 2020, our net income (loss) was US$(0.7) million and US$3.0 million, respectively, and our Adjusted EBITDA was US$0.7 million and US$5.5 million, respectively. For 2018 and 2019, our total revenue was US$43.7 million and US$64.4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Industry Background</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3082"/>
        </w:rPr>
        <w:t>Rise of Platform-as-a-Service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role of software has evolved from traditional back office functions to become a strategic driver of how digital enterprises deliver competitive differentiation. As a result, there is a heightened focus on organizations to reduce their software development cycles and release new features at a faster pace. Platform-as-a-Service, or PaaS, has emerged as a powerful way to improve the efficiencies of software development, where developers can assemble ready-made software components connected to a cloud-based service instead of developing everything from scratch.</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3082"/>
        </w:rPr>
        <w:t>Users Demand Real-Time and Immersive Experiences</w:t>
      </w:r>
    </w:p>
    <w:p>
      <w:pPr>
        <w:spacing w:after="0" w:line="17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003082"/>
        </w:rPr>
        <w:t>Online experiences used to be largely asynchronous. Content was first created and later consumed. With the proliferation of smartphones and the ubiquity of the internet, users increasingly demand real-time and interactive experiences, with video as the preferred medium. Live video content is now created, consumed and interacted with at the same time, offering an immersive user experience. Moreover, users expect such real-time experiences to happen within the applications instead of switching applications or devices.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3082"/>
        </w:rPr>
        <w:t>Emergence of Real-Time Engagement PaaS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Users’ demand for real-time and immersive experiences, coupled with developers’ growing acceptance of PaaS solutions, have led to the emergence of real-time engagement PaaS, or RTE-PaaS. RTE-PaaS provides the software and infrastructure needed to enable real-time engagement through video, voice or messaging over the internet within applications.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003082"/>
        </w:rPr>
        <w:t>The demand for RTE-PaaS is primarily driven by the following types of use cases:</w:t>
      </w:r>
    </w:p>
    <w:p>
      <w:pPr>
        <w:spacing w:after="0" w:line="171" w:lineRule="exact"/>
        <w:rPr>
          <w:sz w:val="20"/>
          <w:szCs w:val="20"/>
          <w:color w:val="auto"/>
        </w:rPr>
      </w:pPr>
    </w:p>
    <w:p>
      <w:pPr>
        <w:ind w:left="640" w:right="20" w:hanging="322"/>
        <w:spacing w:after="0" w:line="277" w:lineRule="auto"/>
        <w:tabs>
          <w:tab w:leader="none" w:pos="640" w:val="left"/>
        </w:tabs>
        <w:numPr>
          <w:ilvl w:val="0"/>
          <w:numId w:val="2"/>
        </w:numPr>
        <w:rPr>
          <w:rFonts w:ascii="Arial" w:cs="Arial" w:eastAsia="Arial" w:hAnsi="Arial"/>
          <w:sz w:val="18"/>
          <w:szCs w:val="18"/>
          <w:color w:val="003082"/>
        </w:rPr>
      </w:pPr>
      <w:r>
        <w:rPr>
          <w:rFonts w:ascii="Arial" w:cs="Arial" w:eastAsia="Arial" w:hAnsi="Arial"/>
          <w:sz w:val="18"/>
          <w:szCs w:val="18"/>
          <w:b w:val="1"/>
          <w:bCs w:val="1"/>
          <w:i w:val="1"/>
          <w:iCs w:val="1"/>
          <w:color w:val="003082"/>
        </w:rPr>
        <w:t>Social, Education, Entertainment and Gaming</w:t>
      </w:r>
      <w:r>
        <w:rPr>
          <w:rFonts w:ascii="Arial" w:cs="Arial" w:eastAsia="Arial" w:hAnsi="Arial"/>
          <w:sz w:val="18"/>
          <w:szCs w:val="18"/>
          <w:color w:val="003082"/>
        </w:rPr>
        <w:t>, which includes one-to-one and group video and voice chat, remote classroom,</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live interactive streaming and video or voice interactions in multi-player games.</w:t>
      </w:r>
    </w:p>
    <w:p>
      <w:pPr>
        <w:spacing w:after="0" w:line="116" w:lineRule="exact"/>
        <w:rPr>
          <w:rFonts w:ascii="Arial" w:cs="Arial" w:eastAsia="Arial" w:hAnsi="Arial"/>
          <w:sz w:val="18"/>
          <w:szCs w:val="18"/>
          <w:color w:val="003082"/>
        </w:rPr>
      </w:pPr>
    </w:p>
    <w:p>
      <w:pPr>
        <w:ind w:left="640" w:right="20" w:hanging="322"/>
        <w:spacing w:after="0" w:line="277" w:lineRule="auto"/>
        <w:tabs>
          <w:tab w:leader="none" w:pos="640" w:val="left"/>
        </w:tabs>
        <w:numPr>
          <w:ilvl w:val="0"/>
          <w:numId w:val="2"/>
        </w:numPr>
        <w:rPr>
          <w:rFonts w:ascii="Arial" w:cs="Arial" w:eastAsia="Arial" w:hAnsi="Arial"/>
          <w:sz w:val="18"/>
          <w:szCs w:val="18"/>
          <w:color w:val="003082"/>
        </w:rPr>
      </w:pPr>
      <w:r>
        <w:rPr>
          <w:rFonts w:ascii="Arial" w:cs="Arial" w:eastAsia="Arial" w:hAnsi="Arial"/>
          <w:sz w:val="18"/>
          <w:szCs w:val="18"/>
          <w:b w:val="1"/>
          <w:bCs w:val="1"/>
          <w:i w:val="1"/>
          <w:iCs w:val="1"/>
          <w:color w:val="003082"/>
        </w:rPr>
        <w:t>Enterprise Solutions</w:t>
      </w:r>
      <w:r>
        <w:rPr>
          <w:rFonts w:ascii="Arial" w:cs="Arial" w:eastAsia="Arial" w:hAnsi="Arial"/>
          <w:sz w:val="18"/>
          <w:szCs w:val="18"/>
          <w:color w:val="003082"/>
        </w:rPr>
        <w:t>, which includes video conferencing and engagement-oriented workflows such as sales, customer support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and consultation.</w:t>
      </w:r>
    </w:p>
    <w:p>
      <w:pPr>
        <w:spacing w:after="0" w:line="116" w:lineRule="exact"/>
        <w:rPr>
          <w:rFonts w:ascii="Arial" w:cs="Arial" w:eastAsia="Arial" w:hAnsi="Arial"/>
          <w:sz w:val="18"/>
          <w:szCs w:val="18"/>
          <w:color w:val="003082"/>
        </w:rPr>
      </w:pPr>
    </w:p>
    <w:p>
      <w:pPr>
        <w:ind w:left="640" w:right="20" w:hanging="322"/>
        <w:spacing w:after="0" w:line="277" w:lineRule="auto"/>
        <w:tabs>
          <w:tab w:leader="none" w:pos="640" w:val="left"/>
        </w:tabs>
        <w:numPr>
          <w:ilvl w:val="0"/>
          <w:numId w:val="2"/>
        </w:numPr>
        <w:rPr>
          <w:rFonts w:ascii="Arial" w:cs="Arial" w:eastAsia="Arial" w:hAnsi="Arial"/>
          <w:sz w:val="18"/>
          <w:szCs w:val="18"/>
          <w:color w:val="003082"/>
        </w:rPr>
      </w:pPr>
      <w:r>
        <w:rPr>
          <w:rFonts w:ascii="Arial" w:cs="Arial" w:eastAsia="Arial" w:hAnsi="Arial"/>
          <w:sz w:val="18"/>
          <w:szCs w:val="18"/>
          <w:b w:val="1"/>
          <w:bCs w:val="1"/>
          <w:i w:val="1"/>
          <w:iCs w:val="1"/>
          <w:color w:val="003082"/>
        </w:rPr>
        <w:t>Internet of Things (IoT)</w:t>
      </w:r>
      <w:r>
        <w:rPr>
          <w:rFonts w:ascii="Arial" w:cs="Arial" w:eastAsia="Arial" w:hAnsi="Arial"/>
          <w:sz w:val="18"/>
          <w:szCs w:val="18"/>
          <w:color w:val="003082"/>
        </w:rPr>
        <w:t>, which includes the use of real-time video and voice engagement across IoT devices to optimize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operations, enhance public safety and increase employee productivity.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003082"/>
        </w:rPr>
        <w:t>Technological Challenges to Delivering Real-Time Engagement</w:t>
      </w:r>
    </w:p>
    <w:p>
      <w:pPr>
        <w:spacing w:after="0" w:line="171" w:lineRule="exact"/>
        <w:rPr>
          <w:sz w:val="20"/>
          <w:szCs w:val="20"/>
          <w:color w:val="auto"/>
        </w:rPr>
      </w:pPr>
    </w:p>
    <w:p>
      <w:pPr>
        <w:ind w:left="640" w:right="20" w:hanging="322"/>
        <w:spacing w:after="0" w:line="277" w:lineRule="auto"/>
        <w:tabs>
          <w:tab w:leader="none" w:pos="640" w:val="left"/>
        </w:tabs>
        <w:numPr>
          <w:ilvl w:val="0"/>
          <w:numId w:val="3"/>
        </w:numPr>
        <w:rPr>
          <w:rFonts w:ascii="Arial" w:cs="Arial" w:eastAsia="Arial" w:hAnsi="Arial"/>
          <w:sz w:val="18"/>
          <w:szCs w:val="18"/>
          <w:color w:val="003082"/>
        </w:rPr>
      </w:pPr>
      <w:r>
        <w:rPr>
          <w:rFonts w:ascii="Arial" w:cs="Arial" w:eastAsia="Arial" w:hAnsi="Arial"/>
          <w:sz w:val="18"/>
          <w:szCs w:val="18"/>
          <w:b w:val="1"/>
          <w:bCs w:val="1"/>
          <w:i w:val="1"/>
          <w:iCs w:val="1"/>
          <w:color w:val="003082"/>
        </w:rPr>
        <w:t>Public Internet is not Ideal for RTE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The public internet as it stands is an open and best efforts network with no assurance of</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service quality, which is not ideal for RTE. Network conditions vary across time of day,</w:t>
      </w:r>
    </w:p>
    <w:p>
      <w:pPr>
        <w:sectPr>
          <w:pgSz w:w="11900" w:h="16838" w:orient="portrait"/>
          <w:cols w:equalWidth="0" w:num="1">
            <w:col w:w="9900"/>
          </w:cols>
          <w:pgMar w:left="1000" w:top="100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003082"/>
        </w:rPr>
        <w:t>2</w:t>
      </w:r>
    </w:p>
    <w:p>
      <w:pPr>
        <w:sectPr>
          <w:pgSz w:w="11900" w:h="16838" w:orient="portrait"/>
          <w:cols w:equalWidth="0" w:num="1">
            <w:col w:w="9900"/>
          </w:cols>
          <w:pgMar w:left="1000" w:top="1003" w:right="999" w:bottom="1440" w:gutter="0" w:footer="0" w:header="0"/>
          <w:type w:val="continuous"/>
        </w:sectPr>
      </w:pPr>
    </w:p>
    <w:bookmarkStart w:id="7" w:name="page8"/>
    <w:bookmarkEnd w:id="7"/>
    <w:p>
      <w:pPr>
        <w:jc w:val="both"/>
        <w:ind w:left="322"/>
        <w:spacing w:after="0" w:line="263" w:lineRule="auto"/>
        <w:rPr>
          <w:sz w:val="20"/>
          <w:szCs w:val="20"/>
          <w:color w:val="auto"/>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5505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550535"/>
                    </a:xfrm>
                    <a:prstGeom prst="rect">
                      <a:avLst/>
                    </a:prstGeom>
                    <a:noFill/>
                  </pic:spPr>
                </pic:pic>
              </a:graphicData>
            </a:graphic>
          </wp:anchor>
        </w:drawing>
        <w:t>geographies and network operators, often causing significant data packet loss and high latency. Real-time video engagement is particularly challenging as it requires much higher data volume, bandwidth and computing power than other forms of engagement.</w:t>
      </w:r>
    </w:p>
    <w:p>
      <w:pPr>
        <w:spacing w:after="0" w:line="130" w:lineRule="exact"/>
        <w:rPr>
          <w:sz w:val="20"/>
          <w:szCs w:val="20"/>
          <w:color w:val="auto"/>
        </w:rPr>
      </w:pPr>
    </w:p>
    <w:p>
      <w:pPr>
        <w:jc w:val="both"/>
        <w:ind w:left="322" w:hanging="322"/>
        <w:spacing w:after="0" w:line="255" w:lineRule="auto"/>
        <w:tabs>
          <w:tab w:leader="none" w:pos="322" w:val="left"/>
        </w:tabs>
        <w:numPr>
          <w:ilvl w:val="0"/>
          <w:numId w:val="4"/>
        </w:numPr>
        <w:rPr>
          <w:rFonts w:ascii="Arial" w:cs="Arial" w:eastAsia="Arial" w:hAnsi="Arial"/>
          <w:sz w:val="18"/>
          <w:szCs w:val="18"/>
          <w:b w:val="1"/>
          <w:bCs w:val="1"/>
          <w:i w:val="1"/>
          <w:iCs w:val="1"/>
          <w:color w:val="003082"/>
        </w:rPr>
      </w:pPr>
      <w:r>
        <w:rPr>
          <w:rFonts w:ascii="Arial" w:cs="Arial" w:eastAsia="Arial" w:hAnsi="Arial"/>
          <w:sz w:val="18"/>
          <w:szCs w:val="18"/>
          <w:b w:val="1"/>
          <w:bCs w:val="1"/>
          <w:i w:val="1"/>
          <w:iCs w:val="1"/>
          <w:color w:val="003082"/>
        </w:rPr>
        <w:t>Multi-way RTE is Significantly more Complex than One-way Content Delivery</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Real-time engagement is by definition at least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two-way and involves transmission of data back and forth between users under varying network conditions, sometimes across distant geographies. As more users join an engagement, the amount of data transmitted and the associated technical complexity increase significantly. Even more challenging is the low latency requirement. To deliver effective real-time video or voice engagement, multiple data streams need to be created, transmitted, synchronized and consumed simultaneously with millisecond end-to-end latency.</w:t>
      </w:r>
    </w:p>
    <w:p>
      <w:pPr>
        <w:spacing w:after="0" w:line="138" w:lineRule="exact"/>
        <w:rPr>
          <w:sz w:val="20"/>
          <w:szCs w:val="20"/>
          <w:color w:val="auto"/>
        </w:rPr>
      </w:pPr>
    </w:p>
    <w:p>
      <w:pPr>
        <w:ind w:left="2"/>
        <w:spacing w:after="0"/>
        <w:rPr>
          <w:sz w:val="20"/>
          <w:szCs w:val="20"/>
          <w:color w:val="auto"/>
        </w:rPr>
      </w:pPr>
      <w:r>
        <w:rPr>
          <w:rFonts w:ascii="Arial" w:cs="Arial" w:eastAsia="Arial" w:hAnsi="Arial"/>
          <w:sz w:val="18"/>
          <w:szCs w:val="18"/>
          <w:b w:val="1"/>
          <w:bCs w:val="1"/>
          <w:i w:val="1"/>
          <w:iCs w:val="1"/>
          <w:color w:val="003082"/>
        </w:rPr>
        <w:t>Growth Drivers for the RTE-PaaS Industry</w:t>
      </w:r>
    </w:p>
    <w:p>
      <w:pPr>
        <w:spacing w:after="0" w:line="171" w:lineRule="exact"/>
        <w:rPr>
          <w:sz w:val="20"/>
          <w:szCs w:val="20"/>
          <w:color w:val="auto"/>
        </w:rPr>
      </w:pPr>
    </w:p>
    <w:p>
      <w:pPr>
        <w:jc w:val="both"/>
        <w:ind w:left="322" w:hanging="322"/>
        <w:spacing w:after="0" w:line="257" w:lineRule="auto"/>
        <w:tabs>
          <w:tab w:leader="none" w:pos="322" w:val="left"/>
        </w:tabs>
        <w:numPr>
          <w:ilvl w:val="0"/>
          <w:numId w:val="5"/>
        </w:numPr>
        <w:rPr>
          <w:rFonts w:ascii="Arial" w:cs="Arial" w:eastAsia="Arial" w:hAnsi="Arial"/>
          <w:sz w:val="18"/>
          <w:szCs w:val="18"/>
          <w:color w:val="003082"/>
        </w:rPr>
      </w:pPr>
      <w:r>
        <w:rPr>
          <w:rFonts w:ascii="Arial" w:cs="Arial" w:eastAsia="Arial" w:hAnsi="Arial"/>
          <w:sz w:val="18"/>
          <w:szCs w:val="18"/>
          <w:b w:val="1"/>
          <w:bCs w:val="1"/>
          <w:i w:val="1"/>
          <w:iCs w:val="1"/>
          <w:color w:val="003082"/>
        </w:rPr>
        <w:t>Convergence of Adoption Trends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The pace of RTE-PaaS adoption varies across regions. In the United States, enterprise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applications drive the market, with digital transformation, omni-channel customer interactions and integrated platform tools being the key technology growth drivers. In China and other countries in the Asia Pacific region, consumer applications in social, education, entertainment and gaming drive adoption of RTE-PaaS solutions. Over time, it is expected that adoption across enterprise and consumer use cases will converge globally.</w:t>
      </w:r>
    </w:p>
    <w:p>
      <w:pPr>
        <w:spacing w:after="0" w:line="133" w:lineRule="exact"/>
        <w:rPr>
          <w:rFonts w:ascii="Arial" w:cs="Arial" w:eastAsia="Arial" w:hAnsi="Arial"/>
          <w:sz w:val="18"/>
          <w:szCs w:val="18"/>
          <w:color w:val="003082"/>
        </w:rPr>
      </w:pPr>
    </w:p>
    <w:p>
      <w:pPr>
        <w:jc w:val="both"/>
        <w:ind w:left="322" w:hanging="322"/>
        <w:spacing w:after="0" w:line="259" w:lineRule="auto"/>
        <w:tabs>
          <w:tab w:leader="none" w:pos="322" w:val="left"/>
        </w:tabs>
        <w:numPr>
          <w:ilvl w:val="0"/>
          <w:numId w:val="5"/>
        </w:numPr>
        <w:rPr>
          <w:rFonts w:ascii="Arial" w:cs="Arial" w:eastAsia="Arial" w:hAnsi="Arial"/>
          <w:sz w:val="18"/>
          <w:szCs w:val="18"/>
          <w:color w:val="003082"/>
        </w:rPr>
      </w:pPr>
      <w:r>
        <w:rPr>
          <w:rFonts w:ascii="Arial" w:cs="Arial" w:eastAsia="Arial" w:hAnsi="Arial"/>
          <w:sz w:val="18"/>
          <w:szCs w:val="18"/>
          <w:b w:val="1"/>
          <w:bCs w:val="1"/>
          <w:i w:val="1"/>
          <w:iCs w:val="1"/>
          <w:color w:val="003082"/>
        </w:rPr>
        <w:t>Organic Growth from Applications Built upon RTE-PaaS solutions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Applications that RTE-PaaS solutions enable have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benefited from strong organic growth as end users demand a more immersive and high-quality video and voice engagement experience. As the number of applications built upon RTE proliferates and the end-user base and usage of these applications continue to increase, the demand for RTE-PaaS should continue to expand.</w:t>
      </w:r>
    </w:p>
    <w:p>
      <w:pPr>
        <w:spacing w:after="0" w:line="132" w:lineRule="exact"/>
        <w:rPr>
          <w:rFonts w:ascii="Arial" w:cs="Arial" w:eastAsia="Arial" w:hAnsi="Arial"/>
          <w:sz w:val="18"/>
          <w:szCs w:val="18"/>
          <w:color w:val="003082"/>
        </w:rPr>
      </w:pPr>
    </w:p>
    <w:p>
      <w:pPr>
        <w:jc w:val="both"/>
        <w:ind w:left="322" w:hanging="322"/>
        <w:spacing w:after="0" w:line="257" w:lineRule="auto"/>
        <w:tabs>
          <w:tab w:leader="none" w:pos="322" w:val="left"/>
        </w:tabs>
        <w:numPr>
          <w:ilvl w:val="0"/>
          <w:numId w:val="5"/>
        </w:numPr>
        <w:rPr>
          <w:rFonts w:ascii="Arial" w:cs="Arial" w:eastAsia="Arial" w:hAnsi="Arial"/>
          <w:sz w:val="18"/>
          <w:szCs w:val="18"/>
          <w:color w:val="003082"/>
        </w:rPr>
      </w:pPr>
      <w:r>
        <w:rPr>
          <w:rFonts w:ascii="Arial" w:cs="Arial" w:eastAsia="Arial" w:hAnsi="Arial"/>
          <w:sz w:val="18"/>
          <w:szCs w:val="18"/>
          <w:b w:val="1"/>
          <w:bCs w:val="1"/>
          <w:i w:val="1"/>
          <w:iCs w:val="1"/>
          <w:color w:val="003082"/>
        </w:rPr>
        <w:t>Rollout of 5G Will Likely Accelerate Innovation and Proliferation of RTE Use Cases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As 5G networks continue to be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deployed, internet infrastructure will improve generally and, in particular, end users will benefit from a better connection between their devices and the internet backbone. This will allow RTE-PaaS providers to significantly improve the quality of the end-user experience, which could drive popularity and usage of existing use cases and enable new ones, particularly centered on real-time video engagement.</w:t>
      </w:r>
    </w:p>
    <w:p>
      <w:pPr>
        <w:spacing w:after="0" w:line="133" w:lineRule="exact"/>
        <w:rPr>
          <w:rFonts w:ascii="Arial" w:cs="Arial" w:eastAsia="Arial" w:hAnsi="Arial"/>
          <w:sz w:val="18"/>
          <w:szCs w:val="18"/>
          <w:color w:val="003082"/>
        </w:rPr>
      </w:pPr>
    </w:p>
    <w:p>
      <w:pPr>
        <w:jc w:val="both"/>
        <w:ind w:left="322" w:hanging="322"/>
        <w:spacing w:after="0" w:line="275" w:lineRule="auto"/>
        <w:tabs>
          <w:tab w:leader="none" w:pos="322" w:val="left"/>
        </w:tabs>
        <w:numPr>
          <w:ilvl w:val="0"/>
          <w:numId w:val="5"/>
        </w:numPr>
        <w:rPr>
          <w:rFonts w:ascii="Arial" w:cs="Arial" w:eastAsia="Arial" w:hAnsi="Arial"/>
          <w:sz w:val="17"/>
          <w:szCs w:val="17"/>
          <w:color w:val="003082"/>
        </w:rPr>
      </w:pPr>
      <w:r>
        <w:rPr>
          <w:rFonts w:ascii="Arial" w:cs="Arial" w:eastAsia="Arial" w:hAnsi="Arial"/>
          <w:sz w:val="17"/>
          <w:szCs w:val="17"/>
          <w:b w:val="1"/>
          <w:bCs w:val="1"/>
          <w:i w:val="1"/>
          <w:iCs w:val="1"/>
          <w:color w:val="003082"/>
        </w:rPr>
        <w:t>Further Conversion from In-house</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In-house developers often lack the requisite expertise to develop RTE solutions, especially</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real-time video engagement. Even where the expertise exists, building the underlying infrastructure and maintaining compatibility with various hardware and software is time-consuming and expensive. With the rapid pace at which organizations are required to enhance their software applications to stay competitive and meet the evolving needs of their end users, RTE-PaaS solutions are expected to continue to displace in-house developed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98"/>
        <w:spacing w:after="0"/>
        <w:rPr>
          <w:sz w:val="20"/>
          <w:szCs w:val="20"/>
          <w:color w:val="auto"/>
        </w:rPr>
      </w:pPr>
      <w:r>
        <w:rPr>
          <w:rFonts w:ascii="Arial" w:cs="Arial" w:eastAsia="Arial" w:hAnsi="Arial"/>
          <w:sz w:val="18"/>
          <w:szCs w:val="18"/>
          <w:color w:val="003082"/>
        </w:rPr>
        <w:t>3</w:t>
      </w:r>
    </w:p>
    <w:p>
      <w:pPr>
        <w:sectPr>
          <w:pgSz w:w="11900" w:h="16838" w:orient="portrait"/>
          <w:cols w:equalWidth="0" w:num="1">
            <w:col w:w="9562"/>
          </w:cols>
          <w:pgMar w:left="1318" w:top="1003" w:right="10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036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8036560"/>
                    </a:xfrm>
                    <a:prstGeom prst="rect">
                      <a:avLst/>
                    </a:prstGeom>
                    <a:noFill/>
                  </pic:spPr>
                </pic:pic>
              </a:graphicData>
            </a:graphic>
          </wp:anchor>
        </w:drawing>
        <w:t>The Agora Platform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 These products can be accessed through simple APIs and are fully programmable.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Agora SDK contains all the software modules a developer needs to embed real-time engagement capabilities into an application, such as video and audio capturing, rendering, pre- and post-processing, encoding and decoding, packet loss compensation, as well as first- and last-mile transmission. The Agora SDK is customizable based on the functionalities needed by the developer and runs on end users’ devices as part of the developer’s application.</w:t>
      </w:r>
    </w:p>
    <w:p>
      <w:pPr>
        <w:spacing w:after="0" w:line="133"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003082"/>
        </w:rPr>
        <w:t>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Benefits of Our Platform</w:t>
      </w:r>
    </w:p>
    <w:p>
      <w:pPr>
        <w:spacing w:after="0" w:line="175" w:lineRule="exact"/>
        <w:rPr>
          <w:sz w:val="20"/>
          <w:szCs w:val="20"/>
          <w:color w:val="auto"/>
        </w:rPr>
      </w:pPr>
    </w:p>
    <w:p>
      <w:pPr>
        <w:jc w:val="both"/>
        <w:ind w:left="620" w:right="20" w:hanging="329"/>
        <w:spacing w:after="0" w:line="301" w:lineRule="auto"/>
        <w:tabs>
          <w:tab w:leader="none" w:pos="620" w:val="left"/>
        </w:tabs>
        <w:numPr>
          <w:ilvl w:val="0"/>
          <w:numId w:val="6"/>
        </w:numPr>
        <w:rPr>
          <w:rFonts w:ascii="Arial" w:cs="Arial" w:eastAsia="Arial" w:hAnsi="Arial"/>
          <w:sz w:val="16"/>
          <w:szCs w:val="16"/>
          <w:color w:val="003082"/>
        </w:rPr>
      </w:pPr>
      <w:r>
        <w:rPr>
          <w:rFonts w:ascii="Arial" w:cs="Arial" w:eastAsia="Arial" w:hAnsi="Arial"/>
          <w:sz w:val="16"/>
          <w:szCs w:val="16"/>
          <w:b w:val="1"/>
          <w:bCs w:val="1"/>
          <w:i w:val="1"/>
          <w:iCs w:val="1"/>
          <w:color w:val="003082"/>
        </w:rPr>
        <w:t>Quality and Reliability</w:t>
      </w:r>
      <w:r>
        <w:rPr>
          <w:rFonts w:ascii="Arial" w:cs="Arial" w:eastAsia="Arial" w:hAnsi="Arial"/>
          <w:sz w:val="16"/>
          <w:szCs w:val="16"/>
          <w:color w:val="003082"/>
        </w:rPr>
        <w:t>. The most important reason why developers choose the Agora platform is the quality and reliability of</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real-time engagement we power. Our platform delivers industry-leading performance around latency and media quality, and works under challenging network conditions with up to 70% packet loss. Our customers can take comfort from our service level agreements that provide assurances on availability (uptime) levels and, increasingly, experience levels such as latency.</w:t>
      </w:r>
    </w:p>
    <w:p>
      <w:pPr>
        <w:spacing w:after="0" w:line="103" w:lineRule="exact"/>
        <w:rPr>
          <w:rFonts w:ascii="Arial" w:cs="Arial" w:eastAsia="Arial" w:hAnsi="Arial"/>
          <w:sz w:val="16"/>
          <w:szCs w:val="16"/>
          <w:color w:val="003082"/>
        </w:rPr>
      </w:pPr>
    </w:p>
    <w:p>
      <w:pPr>
        <w:jc w:val="both"/>
        <w:ind w:left="620" w:right="20" w:hanging="329"/>
        <w:spacing w:after="0" w:line="275" w:lineRule="auto"/>
        <w:tabs>
          <w:tab w:leader="none" w:pos="620" w:val="left"/>
        </w:tabs>
        <w:numPr>
          <w:ilvl w:val="0"/>
          <w:numId w:val="6"/>
        </w:numPr>
        <w:rPr>
          <w:rFonts w:ascii="Arial" w:cs="Arial" w:eastAsia="Arial" w:hAnsi="Arial"/>
          <w:sz w:val="17"/>
          <w:szCs w:val="17"/>
          <w:color w:val="003082"/>
        </w:rPr>
      </w:pPr>
      <w:r>
        <w:rPr>
          <w:rFonts w:ascii="Arial" w:cs="Arial" w:eastAsia="Arial" w:hAnsi="Arial"/>
          <w:sz w:val="17"/>
          <w:szCs w:val="17"/>
          <w:b w:val="1"/>
          <w:bCs w:val="1"/>
          <w:i w:val="1"/>
          <w:iCs w:val="1"/>
          <w:color w:val="003082"/>
        </w:rPr>
        <w:t>Comprehensive Features</w:t>
      </w:r>
      <w:r>
        <w:rPr>
          <w:rFonts w:ascii="Arial" w:cs="Arial" w:eastAsia="Arial" w:hAnsi="Arial"/>
          <w:sz w:val="17"/>
          <w:szCs w:val="17"/>
          <w:color w:val="003082"/>
        </w:rPr>
        <w:t>. We offer a breadth of product features that go beyond just enabling the video and voice aspects of</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real-time engagement. We provide a spectrum of building blocks through hundreds of APIs, use case products and third-party plug-ins that improve our customers’ offerings and enhance end-user experience, such as content moderation in social applications, interactive whiteboard in education and voice masking in gaming. Developers often find that they can build a significant portion of their applications with our software modules and services.</w:t>
      </w:r>
    </w:p>
    <w:p>
      <w:pPr>
        <w:spacing w:after="0" w:line="122" w:lineRule="exact"/>
        <w:rPr>
          <w:rFonts w:ascii="Arial" w:cs="Arial" w:eastAsia="Arial" w:hAnsi="Arial"/>
          <w:sz w:val="17"/>
          <w:szCs w:val="17"/>
          <w:color w:val="003082"/>
        </w:rPr>
      </w:pPr>
    </w:p>
    <w:p>
      <w:pPr>
        <w:ind w:left="620" w:right="20" w:hanging="329"/>
        <w:spacing w:after="0" w:line="277" w:lineRule="auto"/>
        <w:tabs>
          <w:tab w:leader="none" w:pos="620" w:val="left"/>
        </w:tabs>
        <w:numPr>
          <w:ilvl w:val="0"/>
          <w:numId w:val="6"/>
        </w:numPr>
        <w:rPr>
          <w:rFonts w:ascii="Arial" w:cs="Arial" w:eastAsia="Arial" w:hAnsi="Arial"/>
          <w:sz w:val="18"/>
          <w:szCs w:val="18"/>
          <w:color w:val="003082"/>
        </w:rPr>
      </w:pPr>
      <w:r>
        <w:rPr>
          <w:rFonts w:ascii="Arial" w:cs="Arial" w:eastAsia="Arial" w:hAnsi="Arial"/>
          <w:sz w:val="18"/>
          <w:szCs w:val="18"/>
          <w:b w:val="1"/>
          <w:bCs w:val="1"/>
          <w:i w:val="1"/>
          <w:iCs w:val="1"/>
          <w:color w:val="003082"/>
        </w:rPr>
        <w:t>Easy to Integrate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Our SDK is designed to be easy to learn, simple to embed and highly customizable. We also provide detailed</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documentation, programming tools and a wide range of code samples. Compared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w:t>
      </w:r>
    </w:p>
    <w:p>
      <w:pPr>
        <w:sectPr>
          <w:pgSz w:w="11900" w:h="16838" w:orient="portrait"/>
          <w:cols w:equalWidth="0" w:num="1">
            <w:col w:w="9900"/>
          </w:cols>
          <w:pgMar w:left="1000" w:top="1107" w:right="999" w:bottom="1440" w:gutter="0" w:footer="0" w:header="0"/>
        </w:sectPr>
      </w:pPr>
    </w:p>
    <w:bookmarkStart w:id="9" w:name="page10"/>
    <w:bookmarkEnd w:id="9"/>
    <w:p>
      <w:pPr>
        <w:ind w:left="620"/>
        <w:spacing w:after="0" w:line="277" w:lineRule="auto"/>
        <w:rPr>
          <w:sz w:val="20"/>
          <w:szCs w:val="20"/>
          <w:color w:val="auto"/>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402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t>developing real-time engagement solutions in-house, adopting the Agora platform can significantly simplify software development and shorten time to market.</w:t>
      </w:r>
    </w:p>
    <w:p>
      <w:pPr>
        <w:spacing w:after="0" w:line="116" w:lineRule="exact"/>
        <w:rPr>
          <w:sz w:val="20"/>
          <w:szCs w:val="20"/>
          <w:color w:val="auto"/>
        </w:rPr>
      </w:pPr>
    </w:p>
    <w:p>
      <w:pPr>
        <w:ind w:left="620" w:hanging="329"/>
        <w:spacing w:after="0" w:line="277" w:lineRule="auto"/>
        <w:tabs>
          <w:tab w:leader="none" w:pos="620" w:val="left"/>
        </w:tabs>
        <w:numPr>
          <w:ilvl w:val="0"/>
          <w:numId w:val="7"/>
        </w:numPr>
        <w:rPr>
          <w:rFonts w:ascii="Arial" w:cs="Arial" w:eastAsia="Arial" w:hAnsi="Arial"/>
          <w:sz w:val="18"/>
          <w:szCs w:val="18"/>
          <w:color w:val="003082"/>
        </w:rPr>
      </w:pPr>
      <w:r>
        <w:rPr>
          <w:rFonts w:ascii="Arial" w:cs="Arial" w:eastAsia="Arial" w:hAnsi="Arial"/>
          <w:sz w:val="18"/>
          <w:szCs w:val="18"/>
          <w:b w:val="1"/>
          <w:bCs w:val="1"/>
          <w:i w:val="1"/>
          <w:iCs w:val="1"/>
          <w:color w:val="003082"/>
        </w:rPr>
        <w:t>Scalability</w:t>
      </w:r>
      <w:r>
        <w:rPr>
          <w:rFonts w:ascii="Arial" w:cs="Arial" w:eastAsia="Arial" w:hAnsi="Arial"/>
          <w:sz w:val="18"/>
          <w:szCs w:val="18"/>
          <w:color w:val="003082"/>
        </w:rPr>
        <w:t>. Our advanced architecture and global infrastructure allow applications to scale rapidly to serve millions of end users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across geographies while maintaining the quality of the user experience.</w:t>
      </w:r>
    </w:p>
    <w:p>
      <w:pPr>
        <w:spacing w:after="0" w:line="116" w:lineRule="exact"/>
        <w:rPr>
          <w:rFonts w:ascii="Arial" w:cs="Arial" w:eastAsia="Arial" w:hAnsi="Arial"/>
          <w:sz w:val="18"/>
          <w:szCs w:val="18"/>
          <w:color w:val="003082"/>
        </w:rPr>
      </w:pPr>
    </w:p>
    <w:p>
      <w:pPr>
        <w:jc w:val="both"/>
        <w:ind w:left="620" w:hanging="329"/>
        <w:spacing w:after="0" w:line="259" w:lineRule="auto"/>
        <w:tabs>
          <w:tab w:leader="none" w:pos="620" w:val="left"/>
        </w:tabs>
        <w:numPr>
          <w:ilvl w:val="0"/>
          <w:numId w:val="7"/>
        </w:numPr>
        <w:rPr>
          <w:rFonts w:ascii="Arial" w:cs="Arial" w:eastAsia="Arial" w:hAnsi="Arial"/>
          <w:sz w:val="18"/>
          <w:szCs w:val="18"/>
          <w:color w:val="003082"/>
        </w:rPr>
      </w:pPr>
      <w:r>
        <w:rPr>
          <w:rFonts w:ascii="Arial" w:cs="Arial" w:eastAsia="Arial" w:hAnsi="Arial"/>
          <w:sz w:val="18"/>
          <w:szCs w:val="18"/>
          <w:b w:val="1"/>
          <w:bCs w:val="1"/>
          <w:i w:val="1"/>
          <w:iCs w:val="1"/>
          <w:color w:val="003082"/>
        </w:rPr>
        <w:t>Cost Efficiency</w:t>
      </w:r>
      <w:r>
        <w:rPr>
          <w:rFonts w:ascii="Arial" w:cs="Arial" w:eastAsia="Arial" w:hAnsi="Arial"/>
          <w:sz w:val="18"/>
          <w:szCs w:val="18"/>
          <w:color w:val="003082"/>
        </w:rPr>
        <w:t>. Our usage-based pricing model with no upfront fee allows customers to minimize initial investment and</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efficiently manage costs. Given our scale and the fact that peak usage of applications that use our platform usually occur at different times, we can support more usage with the same bandwidth, enabling us to offer our customers attractive pricing. We believe our ability to offer this benefit will be enhanced as we continue to scale.</w:t>
      </w:r>
    </w:p>
    <w:p>
      <w:pPr>
        <w:spacing w:after="0" w:line="132" w:lineRule="exact"/>
        <w:rPr>
          <w:rFonts w:ascii="Arial" w:cs="Arial" w:eastAsia="Arial" w:hAnsi="Arial"/>
          <w:sz w:val="18"/>
          <w:szCs w:val="18"/>
          <w:color w:val="003082"/>
        </w:rPr>
      </w:pPr>
    </w:p>
    <w:p>
      <w:pPr>
        <w:jc w:val="both"/>
        <w:ind w:left="620" w:hanging="329"/>
        <w:spacing w:after="0" w:line="286" w:lineRule="auto"/>
        <w:tabs>
          <w:tab w:leader="none" w:pos="620" w:val="left"/>
        </w:tabs>
        <w:numPr>
          <w:ilvl w:val="0"/>
          <w:numId w:val="7"/>
        </w:numPr>
        <w:rPr>
          <w:rFonts w:ascii="Arial" w:cs="Arial" w:eastAsia="Arial" w:hAnsi="Arial"/>
          <w:sz w:val="17"/>
          <w:szCs w:val="17"/>
          <w:color w:val="003082"/>
        </w:rPr>
      </w:pPr>
      <w:r>
        <w:rPr>
          <w:rFonts w:ascii="Arial" w:cs="Arial" w:eastAsia="Arial" w:hAnsi="Arial"/>
          <w:sz w:val="17"/>
          <w:szCs w:val="17"/>
          <w:b w:val="1"/>
          <w:bCs w:val="1"/>
          <w:i w:val="1"/>
          <w:iCs w:val="1"/>
          <w:color w:val="003082"/>
        </w:rPr>
        <w:t>Compatibility</w:t>
      </w:r>
      <w:r>
        <w:rPr>
          <w:rFonts w:ascii="Arial" w:cs="Arial" w:eastAsia="Arial" w:hAnsi="Arial"/>
          <w:sz w:val="17"/>
          <w:szCs w:val="17"/>
          <w:color w:val="003082"/>
        </w:rPr>
        <w:t>. Our SDK is broadly compatible with major operating systems, development frameworks and programming</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languages, and a wide variety of phones, PCs and other connected devices, including older and less sophisticated models. Our SDK is also designed to be compact in size and efficient in CPU usage and power consumption.</w:t>
      </w:r>
    </w:p>
    <w:p>
      <w:pPr>
        <w:spacing w:after="0" w:line="111" w:lineRule="exact"/>
        <w:rPr>
          <w:rFonts w:ascii="Arial" w:cs="Arial" w:eastAsia="Arial" w:hAnsi="Arial"/>
          <w:sz w:val="17"/>
          <w:szCs w:val="17"/>
          <w:color w:val="003082"/>
        </w:rPr>
      </w:pPr>
    </w:p>
    <w:p>
      <w:pPr>
        <w:ind w:left="620" w:hanging="329"/>
        <w:spacing w:after="0" w:line="342" w:lineRule="auto"/>
        <w:tabs>
          <w:tab w:leader="none" w:pos="620" w:val="left"/>
        </w:tabs>
        <w:numPr>
          <w:ilvl w:val="0"/>
          <w:numId w:val="7"/>
        </w:numPr>
        <w:rPr>
          <w:rFonts w:ascii="Arial" w:cs="Arial" w:eastAsia="Arial" w:hAnsi="Arial"/>
          <w:sz w:val="16"/>
          <w:szCs w:val="16"/>
          <w:color w:val="003082"/>
        </w:rPr>
      </w:pPr>
      <w:r>
        <w:rPr>
          <w:rFonts w:ascii="Arial" w:cs="Arial" w:eastAsia="Arial" w:hAnsi="Arial"/>
          <w:sz w:val="16"/>
          <w:szCs w:val="16"/>
          <w:b w:val="1"/>
          <w:bCs w:val="1"/>
          <w:i w:val="1"/>
          <w:iCs w:val="1"/>
          <w:color w:val="003082"/>
        </w:rPr>
        <w:t>Transparency</w:t>
      </w:r>
      <w:r>
        <w:rPr>
          <w:rFonts w:ascii="Arial" w:cs="Arial" w:eastAsia="Arial" w:hAnsi="Arial"/>
          <w:sz w:val="16"/>
          <w:szCs w:val="16"/>
          <w:color w:val="003082"/>
        </w:rPr>
        <w:t>. Our platform is built with real-time analytics at the core, which allow customers to easily monitor and analyze</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the quality of each video and voice engagement session, manage billings and usage, and gain clear insights on user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Competitive Strengths</w:t>
      </w:r>
    </w:p>
    <w:p>
      <w:pPr>
        <w:spacing w:after="0" w:line="175" w:lineRule="exact"/>
        <w:rPr>
          <w:sz w:val="20"/>
          <w:szCs w:val="20"/>
          <w:color w:val="auto"/>
        </w:rPr>
      </w:pPr>
    </w:p>
    <w:p>
      <w:pPr>
        <w:jc w:val="both"/>
        <w:ind w:left="640" w:hanging="322"/>
        <w:spacing w:after="0" w:line="255" w:lineRule="auto"/>
        <w:tabs>
          <w:tab w:leader="none" w:pos="640" w:val="left"/>
        </w:tabs>
        <w:numPr>
          <w:ilvl w:val="0"/>
          <w:numId w:val="8"/>
        </w:numPr>
        <w:rPr>
          <w:rFonts w:ascii="Arial" w:cs="Arial" w:eastAsia="Arial" w:hAnsi="Arial"/>
          <w:sz w:val="18"/>
          <w:szCs w:val="18"/>
          <w:color w:val="003082"/>
        </w:rPr>
      </w:pPr>
      <w:r>
        <w:rPr>
          <w:rFonts w:ascii="Arial" w:cs="Arial" w:eastAsia="Arial" w:hAnsi="Arial"/>
          <w:sz w:val="18"/>
          <w:szCs w:val="18"/>
          <w:b w:val="1"/>
          <w:bCs w:val="1"/>
          <w:i w:val="1"/>
          <w:iCs w:val="1"/>
          <w:color w:val="003082"/>
        </w:rPr>
        <w:t>RTE-PaaS Pioneer and Global Leader</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pioneered RTE-PaaS and we are the global leader in this rapidly growing industry.</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Our platform is developed by a talented engineering team led by our founder and chief executive officer with extensive expertise in real-time engagement technology. As the industry leader we power more and more minutes for a growing number of customers and end users, which enables us to further improve the quality of experience of our products and in turn attract even more customers and end users. We believe the time and resources required to replicate our level of quality will only increase as we continue to scale our business.</w:t>
      </w:r>
    </w:p>
    <w:p>
      <w:pPr>
        <w:spacing w:after="0" w:line="138" w:lineRule="exact"/>
        <w:rPr>
          <w:rFonts w:ascii="Arial" w:cs="Arial" w:eastAsia="Arial" w:hAnsi="Arial"/>
          <w:sz w:val="18"/>
          <w:szCs w:val="18"/>
          <w:color w:val="003082"/>
        </w:rPr>
      </w:pPr>
    </w:p>
    <w:p>
      <w:pPr>
        <w:jc w:val="both"/>
        <w:ind w:left="640" w:hanging="322"/>
        <w:spacing w:after="0" w:line="257" w:lineRule="auto"/>
        <w:tabs>
          <w:tab w:leader="none" w:pos="640" w:val="left"/>
        </w:tabs>
        <w:numPr>
          <w:ilvl w:val="0"/>
          <w:numId w:val="8"/>
        </w:numPr>
        <w:rPr>
          <w:rFonts w:ascii="Arial" w:cs="Arial" w:eastAsia="Arial" w:hAnsi="Arial"/>
          <w:sz w:val="18"/>
          <w:szCs w:val="18"/>
          <w:color w:val="003082"/>
        </w:rPr>
      </w:pPr>
      <w:r>
        <w:rPr>
          <w:rFonts w:ascii="Arial" w:cs="Arial" w:eastAsia="Arial" w:hAnsi="Arial"/>
          <w:sz w:val="18"/>
          <w:szCs w:val="18"/>
          <w:b w:val="1"/>
          <w:bCs w:val="1"/>
          <w:i w:val="1"/>
          <w:iCs w:val="1"/>
          <w:color w:val="003082"/>
        </w:rPr>
        <w:t>Advanced Network Architecture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The SD-RTN is designed to handle the most demanding task in real-time engagement: real-time video. It runs on commodity hardware and adopts a globally distributed and all-software architecture, instead of relying on a few physical or private transmission lines. We believe our architecture is cost-effective, scalable, resilient and allows for highly flexible routing optimization, making it particularly suitable for enabling real-time video and voice engagement at massive scale.</w:t>
      </w:r>
    </w:p>
    <w:p>
      <w:pPr>
        <w:spacing w:after="0" w:line="133" w:lineRule="exact"/>
        <w:rPr>
          <w:rFonts w:ascii="Arial" w:cs="Arial" w:eastAsia="Arial" w:hAnsi="Arial"/>
          <w:sz w:val="18"/>
          <w:szCs w:val="18"/>
          <w:color w:val="003082"/>
        </w:rPr>
      </w:pPr>
    </w:p>
    <w:p>
      <w:pPr>
        <w:jc w:val="both"/>
        <w:ind w:left="640" w:hanging="322"/>
        <w:spacing w:after="0" w:line="275" w:lineRule="auto"/>
        <w:tabs>
          <w:tab w:leader="none" w:pos="640" w:val="left"/>
        </w:tabs>
        <w:numPr>
          <w:ilvl w:val="0"/>
          <w:numId w:val="8"/>
        </w:numPr>
        <w:rPr>
          <w:rFonts w:ascii="Arial" w:cs="Arial" w:eastAsia="Arial" w:hAnsi="Arial"/>
          <w:sz w:val="17"/>
          <w:szCs w:val="17"/>
          <w:color w:val="003082"/>
        </w:rPr>
      </w:pPr>
      <w:r>
        <w:rPr>
          <w:rFonts w:ascii="Arial" w:cs="Arial" w:eastAsia="Arial" w:hAnsi="Arial"/>
          <w:sz w:val="17"/>
          <w:szCs w:val="17"/>
          <w:b w:val="1"/>
          <w:bCs w:val="1"/>
          <w:i w:val="1"/>
          <w:iCs w:val="1"/>
          <w:color w:val="003082"/>
        </w:rPr>
        <w:t>Pure-Play and Independent Platform</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Our singular focus on real-time engagement means we prioritize our entire platform for</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minimizing latency, which is challenging for a full-service cloud provider given the competing needs of its non-real-time products. By being focused we are able to “go deeper” and offer more comprehensive features, more control and more visibility, thereby making us more developer-friendly. Our positioning as an independent platform is also attractive to developers and partners who want to avoid conflicts of interest or reliance on a single cloud provider.</w:t>
      </w:r>
    </w:p>
    <w:p>
      <w:pPr>
        <w:spacing w:after="0" w:line="122" w:lineRule="exact"/>
        <w:rPr>
          <w:rFonts w:ascii="Arial" w:cs="Arial" w:eastAsia="Arial" w:hAnsi="Arial"/>
          <w:sz w:val="17"/>
          <w:szCs w:val="17"/>
          <w:color w:val="003082"/>
        </w:rPr>
      </w:pPr>
    </w:p>
    <w:p>
      <w:pPr>
        <w:jc w:val="both"/>
        <w:ind w:left="640" w:hanging="322"/>
        <w:spacing w:after="0" w:line="259" w:lineRule="auto"/>
        <w:tabs>
          <w:tab w:leader="none" w:pos="640" w:val="left"/>
        </w:tabs>
        <w:numPr>
          <w:ilvl w:val="0"/>
          <w:numId w:val="8"/>
        </w:numPr>
        <w:rPr>
          <w:rFonts w:ascii="Arial" w:cs="Arial" w:eastAsia="Arial" w:hAnsi="Arial"/>
          <w:sz w:val="18"/>
          <w:szCs w:val="18"/>
          <w:color w:val="003082"/>
        </w:rPr>
      </w:pPr>
      <w:r>
        <w:rPr>
          <w:rFonts w:ascii="Arial" w:cs="Arial" w:eastAsia="Arial" w:hAnsi="Arial"/>
          <w:sz w:val="18"/>
          <w:szCs w:val="18"/>
          <w:b w:val="1"/>
          <w:bCs w:val="1"/>
          <w:i w:val="1"/>
          <w:iCs w:val="1"/>
          <w:color w:val="003082"/>
        </w:rPr>
        <w:t>Developer Mind Share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have cultivated a large and engaged developer community, with more than 180,000 applications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that have registered on our platform from our inception through March 31, 2020. We believe we are recognized by developers as the leading platform for real-time engagement. We set the standard for integrating and operating real-time engagement within software applications in China, and increasingly in other markets.</w:t>
      </w:r>
    </w:p>
    <w:p>
      <w:pPr>
        <w:spacing w:after="0" w:line="132" w:lineRule="exact"/>
        <w:rPr>
          <w:rFonts w:ascii="Arial" w:cs="Arial" w:eastAsia="Arial" w:hAnsi="Arial"/>
          <w:sz w:val="18"/>
          <w:szCs w:val="18"/>
          <w:color w:val="003082"/>
        </w:rPr>
      </w:pPr>
    </w:p>
    <w:p>
      <w:pPr>
        <w:jc w:val="both"/>
        <w:ind w:left="640" w:hanging="322"/>
        <w:spacing w:after="0" w:line="296" w:lineRule="auto"/>
        <w:tabs>
          <w:tab w:leader="none" w:pos="640" w:val="left"/>
        </w:tabs>
        <w:numPr>
          <w:ilvl w:val="0"/>
          <w:numId w:val="8"/>
        </w:numPr>
        <w:rPr>
          <w:rFonts w:ascii="Arial" w:cs="Arial" w:eastAsia="Arial" w:hAnsi="Arial"/>
          <w:sz w:val="16"/>
          <w:szCs w:val="16"/>
          <w:color w:val="003082"/>
        </w:rPr>
      </w:pPr>
      <w:r>
        <w:rPr>
          <w:rFonts w:ascii="Arial" w:cs="Arial" w:eastAsia="Arial" w:hAnsi="Arial"/>
          <w:sz w:val="16"/>
          <w:szCs w:val="16"/>
          <w:b w:val="1"/>
          <w:bCs w:val="1"/>
          <w:i w:val="1"/>
          <w:iCs w:val="1"/>
          <w:color w:val="003082"/>
        </w:rPr>
        <w:t>Loyal Customer Base</w:t>
      </w:r>
      <w:r>
        <w:rPr>
          <w:rFonts w:ascii="Arial" w:cs="Arial" w:eastAsia="Arial" w:hAnsi="Arial"/>
          <w:sz w:val="16"/>
          <w:szCs w:val="16"/>
          <w:i w:val="1"/>
          <w:iCs w:val="1"/>
          <w:color w:val="003082"/>
        </w:rPr>
        <w:t>.</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Once developers have integrated our SDK and experienced the quality and reliability of our platform, we</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believe they are less inclined to try alternatives and incur potentially high switching cost. We rarely lose customers to competitors and their loyalty is reflected in our Constant Currency Dollar-Based Net Expansion Rate, which was 133% and 131% for 2018 and 2019, respectively. Our Net Promoter Score, or NPS, was 64 in our most recent measurement period ended May 31, 2020, which likewise demonstrates a high level of customer satisfaction with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w:t>
      </w:r>
    </w:p>
    <w:p>
      <w:pPr>
        <w:sectPr>
          <w:pgSz w:w="11900" w:h="16838" w:orient="portrait"/>
          <w:cols w:equalWidth="0" w:num="1">
            <w:col w:w="9880"/>
          </w:cols>
          <w:pgMar w:left="1000" w:top="1003" w:right="101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916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t>Our Market Opportunity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Our market opportunity is large and growing. The real-time engagement powered by our platform today represents a fraction of the global opportunity for real-time engagement. In the month of March 2020, we powered more than 40 billion minutes of real-time engagement for end users in more than 100 countries through more than 10,000 active applications. Although this appears to be a large number of minutes in the aggregate, it represents approximately 0.2 minutes of real-time engagement per person per day if spread across the global population of 7.7 billion. By comparison, the average adult in the United States and in China currently spends approximately 400 minutes and 230 minutes a day online, respectively, according to eMarketer. As video becomes an increasingly important part of the online experience, either as a medium for content consumption or a method of engagement, the opportunity for us is significant. If the entire global population were to spend just 10 minutes a day on in-application video or voice to engage with others online, this would represent approximately 2.4 trillion minutes of real-time engagement per month, which is more than 50 times the real-time engagement we powered in March 2020.</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Our technology and products address use cases in multiple large software markets, namely the Communications Platform-as-a-Service, or CPaaS, Content Delivery Networks, or CDN, and Collaboration Applications markets.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According to International Data Corporation, or IDC, the worldwide CPaaS market is forecasted to grow from US$3.3 billion in 2018 to US$17.2 billion in 2023, at a compound annual growth rate, or CAGR, of 39.3%. Within the CPaaS market, video is forecasted to grow from US$0.6 billion in 2018 to US$3.5 billion in 2023, at a CAGR of 43.6%. Voice is forecasted to grow from US$1.5 billion in 2018 to US$8.0 billion in 2023, at a CAGR of 40.8% and data (messaging) is forecasted to grow from US$1.0 billion in 2018 to US$4.5 billion in 2023, at a CAGR of 35.4%. RTE products address the fastest growing, video portion of the CPaaS market, and voice and messaging stand to benefit from the adoption of RTE solutions as well.</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Furthermore, as online experiences become more interactive, the technology backbone of many applications is expected to transition from one-way distribution enabled by traditional CDNs to multi-way engagement powered by RTE technologies. The CDN market is expected to grow from US$5.9 billion in 2018 to US$13.0 billion in 2023, at a CAGR of 17.3%, and CPaaS providers with RTE capabilities stand to capture a portion of the total CDN market as a growing number of software applications integrate RTE technologies.</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3082"/>
        </w:rPr>
        <w:t>Additionally, RTE technologies can be used as the backbone for building Collaborative Applications, including web, audio and video conferencing solutions. According to IDC, this Collaborative Applications market is expected to grow from US$9.7 billion in 2018 to US$17.7 billion in 2023, at a CAGR of 12.8%.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Growth Strategies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003082"/>
        </w:rPr>
        <w:t>We intend to grow our business primarily through the following strategies:</w:t>
      </w:r>
    </w:p>
    <w:p>
      <w:pPr>
        <w:spacing w:after="0" w:line="171" w:lineRule="exact"/>
        <w:rPr>
          <w:sz w:val="20"/>
          <w:szCs w:val="20"/>
          <w:color w:val="auto"/>
        </w:rPr>
      </w:pPr>
    </w:p>
    <w:p>
      <w:pPr>
        <w:ind w:left="640" w:hanging="322"/>
        <w:spacing w:after="0"/>
        <w:tabs>
          <w:tab w:leader="none" w:pos="640" w:val="left"/>
        </w:tabs>
        <w:numPr>
          <w:ilvl w:val="0"/>
          <w:numId w:val="9"/>
        </w:numPr>
        <w:rPr>
          <w:rFonts w:ascii="Arial" w:cs="Arial" w:eastAsia="Arial" w:hAnsi="Arial"/>
          <w:sz w:val="18"/>
          <w:szCs w:val="18"/>
          <w:color w:val="003082"/>
        </w:rPr>
      </w:pPr>
      <w:r>
        <w:rPr>
          <w:rFonts w:ascii="Arial" w:cs="Arial" w:eastAsia="Arial" w:hAnsi="Arial"/>
          <w:sz w:val="18"/>
          <w:szCs w:val="18"/>
          <w:color w:val="003082"/>
        </w:rPr>
        <w:t>investing in our technology;</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9"/>
        </w:numPr>
        <w:rPr>
          <w:rFonts w:ascii="Arial" w:cs="Arial" w:eastAsia="Arial" w:hAnsi="Arial"/>
          <w:sz w:val="18"/>
          <w:szCs w:val="18"/>
          <w:color w:val="003082"/>
        </w:rPr>
      </w:pPr>
      <w:r>
        <w:rPr>
          <w:rFonts w:ascii="Arial" w:cs="Arial" w:eastAsia="Arial" w:hAnsi="Arial"/>
          <w:sz w:val="18"/>
          <w:szCs w:val="18"/>
          <w:color w:val="003082"/>
        </w:rPr>
        <w:t>growing our developer community;</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9"/>
        </w:numPr>
        <w:rPr>
          <w:rFonts w:ascii="Arial" w:cs="Arial" w:eastAsia="Arial" w:hAnsi="Arial"/>
          <w:sz w:val="18"/>
          <w:szCs w:val="18"/>
          <w:color w:val="003082"/>
        </w:rPr>
      </w:pPr>
      <w:r>
        <w:rPr>
          <w:rFonts w:ascii="Arial" w:cs="Arial" w:eastAsia="Arial" w:hAnsi="Arial"/>
          <w:sz w:val="18"/>
          <w:szCs w:val="18"/>
          <w:color w:val="003082"/>
        </w:rPr>
        <w:t>investing in our partnership ecosystem;</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9"/>
        </w:numPr>
        <w:rPr>
          <w:rFonts w:ascii="Arial" w:cs="Arial" w:eastAsia="Arial" w:hAnsi="Arial"/>
          <w:sz w:val="18"/>
          <w:szCs w:val="18"/>
          <w:color w:val="003082"/>
        </w:rPr>
      </w:pPr>
      <w:r>
        <w:rPr>
          <w:rFonts w:ascii="Arial" w:cs="Arial" w:eastAsia="Arial" w:hAnsi="Arial"/>
          <w:sz w:val="18"/>
          <w:szCs w:val="18"/>
          <w:color w:val="003082"/>
        </w:rPr>
        <w:t>expanding our focus on enterprises; and</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9"/>
        </w:numPr>
        <w:rPr>
          <w:rFonts w:ascii="Arial" w:cs="Arial" w:eastAsia="Arial" w:hAnsi="Arial"/>
          <w:sz w:val="18"/>
          <w:szCs w:val="18"/>
          <w:color w:val="003082"/>
        </w:rPr>
      </w:pPr>
      <w:r>
        <w:rPr>
          <w:rFonts w:ascii="Arial" w:cs="Arial" w:eastAsia="Arial" w:hAnsi="Arial"/>
          <w:sz w:val="18"/>
          <w:szCs w:val="18"/>
          <w:color w:val="003082"/>
        </w:rPr>
        <w:t>accelerating our international expansion.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Summary Risk Factors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003082"/>
        </w:rPr>
        <w:t>Our business is subject to numerous risks and uncertainties, including those highlighted in the section of this prospectus captioned “Risk Factors” immediately following this prospectus summary. These risks include, but are not limited to, the following:</w:t>
      </w:r>
    </w:p>
    <w:p>
      <w:pPr>
        <w:spacing w:after="0" w:line="92" w:lineRule="exact"/>
        <w:rPr>
          <w:sz w:val="20"/>
          <w:szCs w:val="20"/>
          <w:color w:val="auto"/>
        </w:rPr>
      </w:pPr>
    </w:p>
    <w:p>
      <w:pPr>
        <w:ind w:left="640" w:right="20" w:hanging="322"/>
        <w:spacing w:after="0" w:line="277" w:lineRule="auto"/>
        <w:tabs>
          <w:tab w:leader="none" w:pos="640" w:val="left"/>
        </w:tabs>
        <w:numPr>
          <w:ilvl w:val="0"/>
          <w:numId w:val="10"/>
        </w:numPr>
        <w:rPr>
          <w:rFonts w:ascii="Arial" w:cs="Arial" w:eastAsia="Arial" w:hAnsi="Arial"/>
          <w:sz w:val="18"/>
          <w:szCs w:val="18"/>
          <w:color w:val="003082"/>
        </w:rPr>
      </w:pPr>
      <w:r>
        <w:rPr>
          <w:rFonts w:ascii="Arial" w:cs="Arial" w:eastAsia="Arial" w:hAnsi="Arial"/>
          <w:sz w:val="18"/>
          <w:szCs w:val="18"/>
          <w:color w:val="003082"/>
        </w:rPr>
        <w:t>If our market does not grow as we expect, or if we cannot expand our services to meet the demands of this market, our revenue may decline, or fail to grow, and we may incur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w:t>
      </w:r>
    </w:p>
    <w:p>
      <w:pPr>
        <w:sectPr>
          <w:pgSz w:w="11900" w:h="16838" w:orient="portrait"/>
          <w:cols w:equalWidth="0" w:num="1">
            <w:col w:w="9900"/>
          </w:cols>
          <w:pgMar w:left="1000" w:top="1107" w:right="999" w:bottom="1440" w:gutter="0" w:footer="0" w:header="0"/>
        </w:sectPr>
      </w:pPr>
    </w:p>
    <w:bookmarkStart w:id="11" w:name="page12"/>
    <w:bookmarkEnd w:id="11"/>
    <w:p>
      <w:pPr>
        <w:ind w:left="640" w:right="20" w:hanging="322"/>
        <w:spacing w:after="0" w:line="277"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916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916545"/>
                    </a:xfrm>
                    <a:prstGeom prst="rect">
                      <a:avLst/>
                    </a:prstGeom>
                    <a:noFill/>
                  </pic:spPr>
                </pic:pic>
              </a:graphicData>
            </a:graphic>
          </wp:anchor>
        </w:drawing>
        <w:t>Our operating results and growth prospects depend on acquiring and retaining customers and increasing usage of customers’ applications that integrate our products.</w:t>
      </w:r>
    </w:p>
    <w:p>
      <w:pPr>
        <w:spacing w:after="0" w:line="116" w:lineRule="exact"/>
        <w:rPr>
          <w:rFonts w:ascii="Arial" w:cs="Arial" w:eastAsia="Arial" w:hAnsi="Arial"/>
          <w:sz w:val="18"/>
          <w:szCs w:val="18"/>
          <w:color w:val="003082"/>
        </w:rPr>
      </w:pPr>
    </w:p>
    <w:p>
      <w:pPr>
        <w:ind w:left="640" w:hanging="322"/>
        <w:spacing w:after="0"/>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The COVID-19 pandemic has severely disrupted our business and operations and may continue to do so.</w:t>
      </w:r>
    </w:p>
    <w:p>
      <w:pPr>
        <w:spacing w:after="0" w:line="171" w:lineRule="exact"/>
        <w:rPr>
          <w:rFonts w:ascii="Arial" w:cs="Arial" w:eastAsia="Arial" w:hAnsi="Arial"/>
          <w:sz w:val="18"/>
          <w:szCs w:val="18"/>
          <w:color w:val="003082"/>
        </w:rPr>
      </w:pPr>
    </w:p>
    <w:p>
      <w:pPr>
        <w:ind w:left="640" w:right="20" w:hanging="322"/>
        <w:spacing w:after="0" w:line="277"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The market in which we participate is competitive, and if we do not compete effectively, our business, operating results and financial condition could be harmed.</w:t>
      </w:r>
    </w:p>
    <w:p>
      <w:pPr>
        <w:spacing w:after="0" w:line="116" w:lineRule="exact"/>
        <w:rPr>
          <w:rFonts w:ascii="Arial" w:cs="Arial" w:eastAsia="Arial" w:hAnsi="Arial"/>
          <w:sz w:val="18"/>
          <w:szCs w:val="18"/>
          <w:color w:val="003082"/>
        </w:rPr>
      </w:pPr>
    </w:p>
    <w:p>
      <w:pPr>
        <w:ind w:left="640" w:hanging="322"/>
        <w:spacing w:after="0"/>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We may not successfully manage growth.</w:t>
      </w:r>
    </w:p>
    <w:p>
      <w:pPr>
        <w:spacing w:after="0" w:line="171" w:lineRule="exact"/>
        <w:rPr>
          <w:rFonts w:ascii="Arial" w:cs="Arial" w:eastAsia="Arial" w:hAnsi="Arial"/>
          <w:sz w:val="18"/>
          <w:szCs w:val="18"/>
          <w:color w:val="003082"/>
        </w:rPr>
      </w:pPr>
    </w:p>
    <w:p>
      <w:pPr>
        <w:ind w:left="640" w:right="20" w:hanging="322"/>
        <w:spacing w:after="0" w:line="277"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Our limited operating history and our history of operating losses makes it difficult to evaluate our current business and prospects and may increase the risks associated with your investment.</w:t>
      </w:r>
    </w:p>
    <w:p>
      <w:pPr>
        <w:spacing w:after="0" w:line="116" w:lineRule="exact"/>
        <w:rPr>
          <w:rFonts w:ascii="Arial" w:cs="Arial" w:eastAsia="Arial" w:hAnsi="Arial"/>
          <w:sz w:val="18"/>
          <w:szCs w:val="18"/>
          <w:color w:val="003082"/>
        </w:rPr>
      </w:pPr>
    </w:p>
    <w:p>
      <w:pPr>
        <w:ind w:left="640" w:right="20" w:hanging="322"/>
        <w:spacing w:after="0" w:line="308" w:lineRule="auto"/>
        <w:tabs>
          <w:tab w:leader="none" w:pos="640" w:val="left"/>
        </w:tabs>
        <w:numPr>
          <w:ilvl w:val="0"/>
          <w:numId w:val="11"/>
        </w:numPr>
        <w:rPr>
          <w:rFonts w:ascii="Arial" w:cs="Arial" w:eastAsia="Arial" w:hAnsi="Arial"/>
          <w:sz w:val="17"/>
          <w:szCs w:val="17"/>
          <w:color w:val="003082"/>
        </w:rPr>
      </w:pPr>
      <w:r>
        <w:rPr>
          <w:rFonts w:ascii="Arial" w:cs="Arial" w:eastAsia="Arial" w:hAnsi="Arial"/>
          <w:sz w:val="17"/>
          <w:szCs w:val="17"/>
          <w:color w:val="003082"/>
        </w:rPr>
        <w:t>If we fail to adapt and respond effectively to rapidly changing technology, evolving industry standards, changing regulations, and changing customer needs, requirements or preferences, our products may become less competitive.</w:t>
      </w:r>
    </w:p>
    <w:p>
      <w:pPr>
        <w:spacing w:after="0" w:line="92" w:lineRule="exact"/>
        <w:rPr>
          <w:rFonts w:ascii="Arial" w:cs="Arial" w:eastAsia="Arial" w:hAnsi="Arial"/>
          <w:sz w:val="17"/>
          <w:szCs w:val="17"/>
          <w:color w:val="003082"/>
        </w:rPr>
      </w:pPr>
    </w:p>
    <w:p>
      <w:pPr>
        <w:jc w:val="both"/>
        <w:ind w:left="640" w:right="20" w:hanging="322"/>
        <w:spacing w:after="0" w:line="263"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We rely on contractual arrangements with our VIE and its shareholders to operate our business, which may not be as effective as direct ownership in providing operational control and could adversely affect our business, operating results and financial condition.</w:t>
      </w:r>
    </w:p>
    <w:p>
      <w:pPr>
        <w:spacing w:after="0" w:line="129" w:lineRule="exact"/>
        <w:rPr>
          <w:rFonts w:ascii="Arial" w:cs="Arial" w:eastAsia="Arial" w:hAnsi="Arial"/>
          <w:sz w:val="18"/>
          <w:szCs w:val="18"/>
          <w:color w:val="003082"/>
        </w:rPr>
      </w:pPr>
    </w:p>
    <w:p>
      <w:pPr>
        <w:jc w:val="both"/>
        <w:ind w:left="640" w:right="20" w:hanging="322"/>
        <w:spacing w:after="0" w:line="311" w:lineRule="auto"/>
        <w:tabs>
          <w:tab w:leader="none" w:pos="640" w:val="left"/>
        </w:tabs>
        <w:numPr>
          <w:ilvl w:val="0"/>
          <w:numId w:val="11"/>
        </w:numPr>
        <w:rPr>
          <w:rFonts w:ascii="Arial" w:cs="Arial" w:eastAsia="Arial" w:hAnsi="Arial"/>
          <w:sz w:val="16"/>
          <w:szCs w:val="16"/>
          <w:color w:val="003082"/>
        </w:rPr>
      </w:pPr>
      <w:r>
        <w:rPr>
          <w:rFonts w:ascii="Arial" w:cs="Arial" w:eastAsia="Arial" w:hAnsi="Arial"/>
          <w:sz w:val="16"/>
          <w:szCs w:val="16"/>
          <w:color w:val="003082"/>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94" w:lineRule="exact"/>
        <w:rPr>
          <w:rFonts w:ascii="Arial" w:cs="Arial" w:eastAsia="Arial" w:hAnsi="Arial"/>
          <w:sz w:val="16"/>
          <w:szCs w:val="16"/>
          <w:color w:val="003082"/>
        </w:rPr>
      </w:pPr>
    </w:p>
    <w:p>
      <w:pPr>
        <w:jc w:val="both"/>
        <w:ind w:left="640" w:right="20" w:hanging="322"/>
        <w:spacing w:after="0" w:line="263"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Complexities of, and changes in, the political, legal, regulatory and economic policies of the PRC government could adversely affect our business, operating results and financial condition, and may result in our inability to sustain our growth and expansion strategies.</w:t>
      </w:r>
    </w:p>
    <w:p>
      <w:pPr>
        <w:spacing w:after="0" w:line="129" w:lineRule="exact"/>
        <w:rPr>
          <w:rFonts w:ascii="Arial" w:cs="Arial" w:eastAsia="Arial" w:hAnsi="Arial"/>
          <w:sz w:val="18"/>
          <w:szCs w:val="18"/>
          <w:color w:val="003082"/>
        </w:rPr>
      </w:pPr>
    </w:p>
    <w:p>
      <w:pPr>
        <w:jc w:val="both"/>
        <w:ind w:left="640" w:right="20" w:hanging="322"/>
        <w:spacing w:after="0" w:line="263"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29" w:lineRule="exact"/>
        <w:rPr>
          <w:rFonts w:ascii="Arial" w:cs="Arial" w:eastAsia="Arial" w:hAnsi="Arial"/>
          <w:sz w:val="18"/>
          <w:szCs w:val="18"/>
          <w:color w:val="003082"/>
        </w:rPr>
      </w:pPr>
    </w:p>
    <w:p>
      <w:pPr>
        <w:ind w:left="640" w:right="20" w:hanging="322"/>
        <w:spacing w:after="0" w:line="277" w:lineRule="auto"/>
        <w:tabs>
          <w:tab w:leader="none" w:pos="640" w:val="left"/>
        </w:tabs>
        <w:numPr>
          <w:ilvl w:val="0"/>
          <w:numId w:val="11"/>
        </w:numPr>
        <w:rPr>
          <w:rFonts w:ascii="Arial" w:cs="Arial" w:eastAsia="Arial" w:hAnsi="Arial"/>
          <w:sz w:val="18"/>
          <w:szCs w:val="18"/>
          <w:color w:val="003082"/>
        </w:rPr>
      </w:pPr>
      <w:r>
        <w:rPr>
          <w:rFonts w:ascii="Arial" w:cs="Arial" w:eastAsia="Arial" w:hAnsi="Arial"/>
          <w:sz w:val="18"/>
          <w:szCs w:val="18"/>
          <w:color w:val="003082"/>
        </w:rPr>
        <w:t>The voting rights of holders of ADSs are limited by the terms of the deposit agreement, and you may not be able to exercise your right to direct how the Class A ordinary shares which are represented by your ADSs are voted.</w:t>
      </w:r>
    </w:p>
    <w:p>
      <w:pPr>
        <w:spacing w:after="0" w:line="116" w:lineRule="exact"/>
        <w:rPr>
          <w:rFonts w:ascii="Arial" w:cs="Arial" w:eastAsia="Arial" w:hAnsi="Arial"/>
          <w:sz w:val="18"/>
          <w:szCs w:val="18"/>
          <w:color w:val="003082"/>
        </w:rPr>
      </w:pPr>
    </w:p>
    <w:p>
      <w:pPr>
        <w:jc w:val="both"/>
        <w:ind w:left="640" w:right="20" w:hanging="322"/>
        <w:spacing w:after="0" w:line="279" w:lineRule="auto"/>
        <w:tabs>
          <w:tab w:leader="none" w:pos="640" w:val="left"/>
        </w:tabs>
        <w:numPr>
          <w:ilvl w:val="0"/>
          <w:numId w:val="11"/>
        </w:numPr>
        <w:rPr>
          <w:rFonts w:ascii="Arial" w:cs="Arial" w:eastAsia="Arial" w:hAnsi="Arial"/>
          <w:sz w:val="17"/>
          <w:szCs w:val="17"/>
          <w:color w:val="003082"/>
        </w:rPr>
      </w:pPr>
      <w:r>
        <w:rPr>
          <w:rFonts w:ascii="Arial" w:cs="Arial" w:eastAsia="Arial" w:hAnsi="Arial"/>
          <w:sz w:val="17"/>
          <w:szCs w:val="17"/>
          <w:color w:val="003082"/>
        </w:rPr>
        <w:t>As a foreign private issuer and “emerging growth company” as defined under SEC rules, and as a “controlled company” as defined under the Nasdaq Stock Market corporate governance rules, we are exempt from a number of rules under the U.S. securities laws and the Nasdaq Stock Market corporate governance rules, and are permitted to file less information with the SEC than U.S. domestic public companies, all of which may limit the information available to holders of the ADSs.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Corporate History and Structure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highlight w:val="white"/>
        </w:rPr>
        <w:t>Agora, Inc., or Agora, was incorporated in November 2013 as an exempted company with limited liability in the Cayman Islands. In January and March 2014, respectively, we incorporated Agora Lab, Inc., or Agora Lab, a California corporation, and formed Shanghai Zhaoyan Network Technology Co., Ltd., or our VIE, a PRC limited liability company. We commenced operations through Agora Lab and our VIE in those same months, providing RTE-PaaS products.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highlight w:val="white"/>
        </w:rPr>
        <w:t>In December 2014, we incorporated Agora IO, Inc, or Agora IO, a Cayman Islands exempted company with limited liability, and Agora IO Hongkong Limited, or Agora HK, a Hong Kong corporation. In the same month, Agora IO, Agora and Agora Lab and their respective shareholders entered into a share swap arrangement which resulted in Agora and Agora Lab becoming wholly owned subsidiaries of Agora IO.</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highlight w:val="white"/>
        </w:rPr>
        <w:t>In April 2015, we incorporated Dayin Network Technology Co., Ltd., or our WFOE, a PRC limited liability company. Our WFOE is a wholly-owned subsidiary of Agora HK and has entered into certain contractual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w:t>
      </w:r>
    </w:p>
    <w:p>
      <w:pPr>
        <w:sectPr>
          <w:pgSz w:w="11900" w:h="16838" w:orient="portrait"/>
          <w:cols w:equalWidth="0" w:num="1">
            <w:col w:w="9900"/>
          </w:cols>
          <w:pgMar w:left="1000" w:top="1003" w:right="999" w:bottom="1440" w:gutter="0" w:footer="0" w:header="0"/>
        </w:sectPr>
      </w:pPr>
    </w:p>
    <w:bookmarkStart w:id="12" w:name="page13"/>
    <w:bookmarkEnd w:id="12"/>
    <w:p>
      <w:pPr>
        <w:jc w:val="both"/>
        <w:ind w:left="6"/>
        <w:spacing w:after="0" w:line="277" w:lineRule="auto"/>
        <w:rPr>
          <w:sz w:val="20"/>
          <w:szCs w:val="20"/>
          <w:color w:val="auto"/>
        </w:rPr>
      </w:pPr>
      <w:r>
        <w:rPr>
          <w:rFonts w:ascii="Arial" w:cs="Arial" w:eastAsia="Arial" w:hAnsi="Arial"/>
          <w:sz w:val="18"/>
          <w:szCs w:val="18"/>
          <w:color w:val="003082"/>
          <w:highlight w:val="white"/>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333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t>with our VIE and our VIE’s shareholders. See the section of this prospectus captioned “Corporate History and Structure—Contractual Arrangements among our WFOE, our VIE and our VIE’s Shareholders.”</w:t>
      </w:r>
    </w:p>
    <w:p>
      <w:pPr>
        <w:spacing w:after="0" w:line="116" w:lineRule="exact"/>
        <w:rPr>
          <w:sz w:val="20"/>
          <w:szCs w:val="20"/>
          <w:color w:val="auto"/>
        </w:rPr>
      </w:pPr>
    </w:p>
    <w:p>
      <w:pPr>
        <w:ind w:left="326"/>
        <w:spacing w:after="0"/>
        <w:rPr>
          <w:sz w:val="20"/>
          <w:szCs w:val="20"/>
          <w:color w:val="auto"/>
        </w:rPr>
      </w:pPr>
      <w:r>
        <w:rPr>
          <w:rFonts w:ascii="Arial" w:cs="Arial" w:eastAsia="Arial" w:hAnsi="Arial"/>
          <w:sz w:val="18"/>
          <w:szCs w:val="18"/>
          <w:color w:val="003082"/>
          <w:highlight w:val="white"/>
        </w:rPr>
        <w:t>In July 2019, we incorporated Agora.IO Ltd, a wholly owned subsidiary of Agora Lab, in the United Kingdom.</w:t>
      </w:r>
    </w:p>
    <w:p>
      <w:pPr>
        <w:spacing w:after="0" w:line="171" w:lineRule="exact"/>
        <w:rPr>
          <w:sz w:val="20"/>
          <w:szCs w:val="20"/>
          <w:color w:val="auto"/>
        </w:rPr>
      </w:pPr>
    </w:p>
    <w:p>
      <w:pPr>
        <w:jc w:val="both"/>
        <w:ind w:left="6" w:firstLine="324"/>
        <w:spacing w:after="0" w:line="263" w:lineRule="auto"/>
        <w:rPr>
          <w:sz w:val="20"/>
          <w:szCs w:val="20"/>
          <w:color w:val="auto"/>
        </w:rPr>
      </w:pPr>
      <w:r>
        <w:rPr>
          <w:rFonts w:ascii="Arial" w:cs="Arial" w:eastAsia="Arial" w:hAnsi="Arial"/>
          <w:sz w:val="18"/>
          <w:szCs w:val="18"/>
          <w:color w:val="003082"/>
          <w:highlight w:val="white"/>
        </w:rPr>
        <w:t>In January 2020, we completed a reorganization, which we refer to as the Corporate Reorganization, resulting in Agora IO becoming a wholly owned subsidiary of Agora and Agora becoming wholly owned by former Agora IO shareholders. See the section of this prospectus captioned “Corporate History and Structure.”</w:t>
      </w:r>
    </w:p>
    <w:p>
      <w:pPr>
        <w:spacing w:after="0" w:line="130" w:lineRule="exact"/>
        <w:rPr>
          <w:sz w:val="20"/>
          <w:szCs w:val="20"/>
          <w:color w:val="auto"/>
        </w:rPr>
      </w:pPr>
    </w:p>
    <w:p>
      <w:pPr>
        <w:jc w:val="both"/>
        <w:ind w:left="6" w:firstLine="324"/>
        <w:spacing w:after="0" w:line="272" w:lineRule="auto"/>
        <w:rPr>
          <w:sz w:val="20"/>
          <w:szCs w:val="20"/>
          <w:color w:val="auto"/>
        </w:rPr>
      </w:pPr>
      <w:r>
        <w:rPr>
          <w:rFonts w:ascii="Arial" w:cs="Arial" w:eastAsia="Arial" w:hAnsi="Arial"/>
          <w:sz w:val="17"/>
          <w:szCs w:val="17"/>
          <w:color w:val="003082"/>
          <w:highlight w:val="white"/>
        </w:rPr>
        <w:t>PRC laws and regulations place certain restrictions on foreign investment in and ownership of companies involved in the provision of internet-related services. Accordingly, we conduct our operations in the PRC mainly through our VIE. We have effective control over our VIE through a series of contractual arrangements by and among our WFOE, our VIE and our VIE’s shareholders. These contractual arrangements, as described in more detail below, collectively allow us to (1) exercise effective control over our VIE, (2) receive substantially all of the economic benefits of our VIE and (3) purchase all or part of the equity interests in our VIE pursuant to exclusive call option exercisable when so permitted under PRC laws. For more details, including risks associated with the VIE structure, see the section of this prospectus captioned “Risk Factors—Risks Related to Our Corporate Structure.”</w:t>
      </w:r>
    </w:p>
    <w:p>
      <w:pPr>
        <w:spacing w:after="0" w:line="123" w:lineRule="exact"/>
        <w:rPr>
          <w:sz w:val="20"/>
          <w:szCs w:val="20"/>
          <w:color w:val="auto"/>
        </w:rPr>
      </w:pPr>
    </w:p>
    <w:p>
      <w:pPr>
        <w:jc w:val="both"/>
        <w:ind w:left="6" w:right="20" w:firstLine="324"/>
        <w:spacing w:after="0" w:line="308" w:lineRule="auto"/>
        <w:rPr>
          <w:sz w:val="20"/>
          <w:szCs w:val="20"/>
          <w:color w:val="auto"/>
        </w:rPr>
      </w:pPr>
      <w:r>
        <w:rPr>
          <w:rFonts w:ascii="Arial" w:cs="Arial" w:eastAsia="Arial" w:hAnsi="Arial"/>
          <w:sz w:val="17"/>
          <w:szCs w:val="17"/>
          <w:color w:val="003082"/>
          <w:highlight w:val="white"/>
        </w:rPr>
        <w:t>As a result of our contractual arrangements with our VIE and its shareholders, we are the primary beneficiary of our VIE, and, therefore, have consolidated the financial results of our VIE in our consolidated financial statements in accordance with U.S. GAAP.</w:t>
      </w:r>
    </w:p>
    <w:p>
      <w:pPr>
        <w:spacing w:after="0" w:line="92" w:lineRule="exact"/>
        <w:rPr>
          <w:sz w:val="20"/>
          <w:szCs w:val="20"/>
          <w:color w:val="auto"/>
        </w:rPr>
      </w:pPr>
    </w:p>
    <w:p>
      <w:pPr>
        <w:ind w:left="326"/>
        <w:spacing w:after="0"/>
        <w:rPr>
          <w:sz w:val="20"/>
          <w:szCs w:val="20"/>
          <w:color w:val="auto"/>
        </w:rPr>
      </w:pPr>
      <w:r>
        <w:rPr>
          <w:rFonts w:ascii="Arial" w:cs="Arial" w:eastAsia="Arial" w:hAnsi="Arial"/>
          <w:sz w:val="17"/>
          <w:szCs w:val="17"/>
          <w:color w:val="003082"/>
          <w:highlight w:val="white"/>
        </w:rPr>
        <w:t>The following diagram illustrates our corporate structure as of the date of this prospectus, including our subsidiaries and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
        <w:spacing w:after="0"/>
        <w:rPr>
          <w:sz w:val="20"/>
          <w:szCs w:val="20"/>
          <w:color w:val="auto"/>
        </w:rPr>
      </w:pPr>
      <w:r>
        <w:rPr>
          <w:rFonts w:ascii="Arial" w:cs="Arial" w:eastAsia="Arial" w:hAnsi="Arial"/>
          <w:sz w:val="16"/>
          <w:szCs w:val="16"/>
          <w:color w:val="003082"/>
        </w:rPr>
        <w:t>________________</w:t>
      </w:r>
    </w:p>
    <w:p>
      <w:pPr>
        <w:spacing w:after="0" w:line="22" w:lineRule="exact"/>
        <w:rPr>
          <w:sz w:val="20"/>
          <w:szCs w:val="20"/>
          <w:color w:val="auto"/>
        </w:rPr>
      </w:pPr>
    </w:p>
    <w:p>
      <w:pPr>
        <w:ind w:left="326" w:right="20" w:hanging="326"/>
        <w:spacing w:after="0" w:line="270" w:lineRule="auto"/>
        <w:tabs>
          <w:tab w:leader="none" w:pos="326" w:val="left"/>
        </w:tabs>
        <w:numPr>
          <w:ilvl w:val="0"/>
          <w:numId w:val="12"/>
        </w:numPr>
        <w:rPr>
          <w:rFonts w:ascii="Arial" w:cs="Arial" w:eastAsia="Arial" w:hAnsi="Arial"/>
          <w:sz w:val="16"/>
          <w:szCs w:val="16"/>
          <w:color w:val="003082"/>
        </w:rPr>
      </w:pPr>
      <w:r>
        <w:rPr>
          <w:rFonts w:ascii="Arial" w:cs="Arial" w:eastAsia="Arial" w:hAnsi="Arial"/>
          <w:sz w:val="16"/>
          <w:szCs w:val="16"/>
          <w:color w:val="003082"/>
        </w:rPr>
        <w:t>Mr. Zhao, our founder, chief executive officer and chairman, holds 90% of the equity interests in our VIE, and Ms. Wenjing Ma, a nominee shareholder, holds the remaining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003082"/>
        </w:rPr>
        <w:t>8</w:t>
      </w:r>
    </w:p>
    <w:p>
      <w:pPr>
        <w:sectPr>
          <w:pgSz w:w="11900" w:h="16838" w:orient="portrait"/>
          <w:cols w:equalWidth="0" w:num="1">
            <w:col w:w="9906"/>
          </w:cols>
          <w:pgMar w:left="994" w:top="1003"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950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950835"/>
                    </a:xfrm>
                    <a:prstGeom prst="rect">
                      <a:avLst/>
                    </a:prstGeom>
                    <a:noFill/>
                  </pic:spPr>
                </pic:pic>
              </a:graphicData>
            </a:graphic>
          </wp:anchor>
        </w:drawing>
        <w:t>Our Corporate Information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principal executive offices are located at Floor 8, Building 12, Phase III of ChuangZhiTianDi, 333 Songhu Road, Yangpu District, Shanghai, People’s Republic of China. Our telephone number at this address is +86-400-632-6626. Our registered office in the Cayman Islands is located at the offices of Maples Corporate Services Limited, PO Box 309, Ugland House, Grand Cayman, KY1-1104, Cayman Islands. Investors should submit any inquiries to the address and telephone number of our principal executive offices set forth above.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Our main website is </w:t>
      </w:r>
      <w:r>
        <w:rPr>
          <w:rFonts w:ascii="Arial" w:cs="Arial" w:eastAsia="Arial" w:hAnsi="Arial"/>
          <w:sz w:val="18"/>
          <w:szCs w:val="18"/>
          <w:i w:val="1"/>
          <w:iCs w:val="1"/>
          <w:color w:val="003082"/>
        </w:rPr>
        <w:t>www.agora.io</w:t>
      </w:r>
      <w:r>
        <w:rPr>
          <w:rFonts w:ascii="Arial" w:cs="Arial" w:eastAsia="Arial" w:hAnsi="Arial"/>
          <w:sz w:val="18"/>
          <w:szCs w:val="18"/>
          <w:color w:val="003082"/>
        </w:rPr>
        <w:t>, and the information contained on, or that can be accessed through, our website is not a part of, and is not incorporated by reference into, this prospectus. Our agent for service of process in the United States is Agora Lab, Inc., located at 2804 Mission College Blvd., Suite 110, Santa Clara, California 95054.</w:t>
      </w:r>
    </w:p>
    <w:p>
      <w:pPr>
        <w:spacing w:after="0" w:line="130"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003082"/>
        </w:rPr>
        <w:t xml:space="preserve">“Agora,” the Agora logo, and other trademarks or service marks of Agora, Inc. appearing in this prospectus are the property of Agora, Inc. This prospectus contains additional trade names, trademarks, and service marks of others, which are the property of their respective owners. Solely for convenience, trademarks and trade names referred to in this prospectus may appear without the </w:t>
      </w:r>
      <w:r>
        <w:rPr>
          <w:rFonts w:ascii="Arial" w:cs="Arial" w:eastAsia="Arial" w:hAnsi="Arial"/>
          <w:sz w:val="25"/>
          <w:szCs w:val="25"/>
          <w:color w:val="003082"/>
          <w:vertAlign w:val="superscript"/>
        </w:rPr>
        <w:t>®</w:t>
      </w:r>
      <w:r>
        <w:rPr>
          <w:rFonts w:ascii="Arial" w:cs="Arial" w:eastAsia="Arial" w:hAnsi="Arial"/>
          <w:sz w:val="18"/>
          <w:szCs w:val="18"/>
          <w:color w:val="003082"/>
        </w:rPr>
        <w:t xml:space="preserve"> or TM symbols.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Implications of Being an Emerging Growth Company, a Foreign Private Issuer and a Controlled Company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for so long as a registrant qualifies as an emerging growth company it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We will remain an emerging growth company until the earliest of (1) the last day of the fiscal year during which we have total annual gross revenues of at least US$1.07 billion, (2) the last day of our fiscal year following the fifth anniversary of the completion of this offering, (3) the date on which we have, during the preceding three-year period, issued more than US$1.0 billion in non-convertible debt and (4)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We are a foreign private issuer within the meaning of the rules under the Exchange Act, and as such we are exempt from certain provisions of the securities rules and regulations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Stock Market corporate governance standards.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addition, upon the completion of this offering and the concurrent private placement, we will be a “controlled company” as defined under the Nasdaq Stock Market corporate governance rules because our chief executive officer, Mr. Zhao, will own more than 50% of our total voting power. 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w:t>
      </w:r>
    </w:p>
    <w:p>
      <w:pPr>
        <w:sectPr>
          <w:pgSz w:w="11900" w:h="16838" w:orient="portrait"/>
          <w:cols w:equalWidth="0" w:num="1">
            <w:col w:w="9900"/>
          </w:cols>
          <w:pgMar w:left="1000" w:top="1107" w:right="99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607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t>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 For so long as we remain a controlled company, we may rely on certain exemptions from the corporate governance rules of the Nasdaq Stock Market. See the section of this prospectus captioned “Risk Factors—Risks Related to the ADSs and this Offering—We will be a “controlled company” as defined under the Nasdaq Stock Market corporate governance rules. As a result, we will qualify for, and intend to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as described above.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Conventions That Apply to This Prospectus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003082"/>
        </w:rPr>
        <w:t>Except where the context otherwise requires and for purposes of this prospectus only:</w:t>
      </w:r>
    </w:p>
    <w:p>
      <w:pPr>
        <w:spacing w:after="0" w:line="171" w:lineRule="exact"/>
        <w:rPr>
          <w:sz w:val="20"/>
          <w:szCs w:val="20"/>
          <w:color w:val="auto"/>
        </w:rPr>
      </w:pPr>
    </w:p>
    <w:p>
      <w:pPr>
        <w:ind w:left="640" w:hanging="322"/>
        <w:spacing w:after="0"/>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“ADSs” refer to American depositary shares, each of which represents four of our Class A ordinary shares;</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“ADRs” refer to the American depositary receipts that evidence our ADSs;</w:t>
      </w:r>
    </w:p>
    <w:p>
      <w:pPr>
        <w:spacing w:after="0" w:line="171" w:lineRule="exact"/>
        <w:rPr>
          <w:rFonts w:ascii="Arial" w:cs="Arial" w:eastAsia="Arial" w:hAnsi="Arial"/>
          <w:sz w:val="18"/>
          <w:szCs w:val="18"/>
          <w:color w:val="003082"/>
        </w:rPr>
      </w:pPr>
    </w:p>
    <w:p>
      <w:pPr>
        <w:ind w:left="640" w:right="20" w:hanging="322"/>
        <w:spacing w:after="0" w:line="308" w:lineRule="auto"/>
        <w:tabs>
          <w:tab w:leader="none" w:pos="640" w:val="left"/>
        </w:tabs>
        <w:numPr>
          <w:ilvl w:val="0"/>
          <w:numId w:val="13"/>
        </w:numPr>
        <w:rPr>
          <w:rFonts w:ascii="Arial" w:cs="Arial" w:eastAsia="Arial" w:hAnsi="Arial"/>
          <w:sz w:val="17"/>
          <w:szCs w:val="17"/>
          <w:color w:val="003082"/>
        </w:rPr>
      </w:pPr>
      <w:r>
        <w:rPr>
          <w:rFonts w:ascii="Arial" w:cs="Arial" w:eastAsia="Arial" w:hAnsi="Arial"/>
          <w:sz w:val="17"/>
          <w:szCs w:val="17"/>
          <w:color w:val="003082"/>
        </w:rPr>
        <w:t>“Agora,” “we,” “us,” “our company” and “our” refer to Agora, Inc., a Cayman Islands exempted company and its subsidiaries and, in the context of describing our operations and consolidated financial information, also include our VIE.</w:t>
      </w:r>
    </w:p>
    <w:p>
      <w:pPr>
        <w:spacing w:after="0" w:line="92" w:lineRule="exact"/>
        <w:rPr>
          <w:rFonts w:ascii="Arial" w:cs="Arial" w:eastAsia="Arial" w:hAnsi="Arial"/>
          <w:sz w:val="17"/>
          <w:szCs w:val="17"/>
          <w:color w:val="003082"/>
        </w:rPr>
      </w:pPr>
    </w:p>
    <w:p>
      <w:pPr>
        <w:ind w:left="640" w:right="20" w:hanging="322"/>
        <w:spacing w:after="0" w:line="277" w:lineRule="auto"/>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“China” or “PRC” refer to the People’s Republic of China, excluding, for the purposes of this prospectus only, Taiwan, Hong Kong and Macau;</w:t>
      </w:r>
    </w:p>
    <w:p>
      <w:pPr>
        <w:spacing w:after="0" w:line="116" w:lineRule="exact"/>
        <w:rPr>
          <w:rFonts w:ascii="Arial" w:cs="Arial" w:eastAsia="Arial" w:hAnsi="Arial"/>
          <w:sz w:val="18"/>
          <w:szCs w:val="18"/>
          <w:color w:val="003082"/>
        </w:rPr>
      </w:pPr>
    </w:p>
    <w:p>
      <w:pPr>
        <w:ind w:left="640" w:hanging="322"/>
        <w:spacing w:after="0"/>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“Class A ordinary shares” refer to our Class A ordinary shares, par value US$0.0001 per share;</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“Class B ordinary shares” refer to our Class B ordinary shares, par value US$0.0001 per share;</w:t>
      </w:r>
    </w:p>
    <w:p>
      <w:pPr>
        <w:spacing w:after="0" w:line="171" w:lineRule="exact"/>
        <w:rPr>
          <w:rFonts w:ascii="Arial" w:cs="Arial" w:eastAsia="Arial" w:hAnsi="Arial"/>
          <w:sz w:val="18"/>
          <w:szCs w:val="18"/>
          <w:color w:val="003082"/>
        </w:rPr>
      </w:pPr>
    </w:p>
    <w:p>
      <w:pPr>
        <w:jc w:val="both"/>
        <w:ind w:left="640" w:right="20" w:hanging="322"/>
        <w:spacing w:after="0" w:line="270" w:lineRule="auto"/>
        <w:tabs>
          <w:tab w:leader="none" w:pos="640" w:val="left"/>
        </w:tabs>
        <w:numPr>
          <w:ilvl w:val="0"/>
          <w:numId w:val="13"/>
        </w:numPr>
        <w:rPr>
          <w:rFonts w:ascii="Arial" w:cs="Arial" w:eastAsia="Arial" w:hAnsi="Arial"/>
          <w:sz w:val="17"/>
          <w:szCs w:val="17"/>
          <w:color w:val="003082"/>
        </w:rPr>
      </w:pPr>
      <w:r>
        <w:rPr>
          <w:rFonts w:ascii="Arial" w:cs="Arial" w:eastAsia="Arial" w:hAnsi="Arial"/>
          <w:sz w:val="17"/>
          <w:szCs w:val="17"/>
          <w:color w:val="003082"/>
        </w:rPr>
        <w:t>“NPS” refers to our Net Promoter Score. NPS is a customer satisfaction and service quality metric based on a single survey question that asks developers how likely they are to recommend our platform to a friend or colleague. Developers respond using a numeric scale of zero to ten. The final NPS ranges from negative 100 to positive 100, and is calculated by subtracting the percent of detractors (those who respond with a six or lower) from the percent of promoters (those who respond with a nine or ten). NPS benchmarks vary significantly by industry, but a score greater than zero represents having more promoters than detractors. Our methodology of calculating NPS reflects responses from developers who use our platform and choose to respond to our NPS survey. In particular, it reflects responses given between May 19, 2020 and May 31, 2020, which is our most recent NPS measurement period, and reflects a sample size of 174 responses received from developers over that period. NPS gives no weight to developers who decline to answer the survey question;</w:t>
      </w:r>
    </w:p>
    <w:p>
      <w:pPr>
        <w:spacing w:after="0" w:line="126" w:lineRule="exact"/>
        <w:rPr>
          <w:rFonts w:ascii="Arial" w:cs="Arial" w:eastAsia="Arial" w:hAnsi="Arial"/>
          <w:sz w:val="17"/>
          <w:szCs w:val="17"/>
          <w:color w:val="003082"/>
        </w:rPr>
      </w:pPr>
    </w:p>
    <w:p>
      <w:pPr>
        <w:ind w:left="640" w:hanging="322"/>
        <w:spacing w:after="0"/>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“RMB” and “Renminbi” refers to the legal currency of China; and</w:t>
      </w:r>
    </w:p>
    <w:p>
      <w:pPr>
        <w:spacing w:after="0" w:line="171" w:lineRule="exact"/>
        <w:rPr>
          <w:rFonts w:ascii="Arial" w:cs="Arial" w:eastAsia="Arial" w:hAnsi="Arial"/>
          <w:sz w:val="18"/>
          <w:szCs w:val="18"/>
          <w:color w:val="003082"/>
        </w:rPr>
      </w:pPr>
    </w:p>
    <w:p>
      <w:pPr>
        <w:ind w:left="640" w:hanging="322"/>
        <w:spacing w:after="0"/>
        <w:tabs>
          <w:tab w:leader="none" w:pos="640" w:val="left"/>
        </w:tabs>
        <w:numPr>
          <w:ilvl w:val="0"/>
          <w:numId w:val="13"/>
        </w:numPr>
        <w:rPr>
          <w:rFonts w:ascii="Arial" w:cs="Arial" w:eastAsia="Arial" w:hAnsi="Arial"/>
          <w:sz w:val="18"/>
          <w:szCs w:val="18"/>
          <w:color w:val="003082"/>
        </w:rPr>
      </w:pPr>
      <w:r>
        <w:rPr>
          <w:rFonts w:ascii="Arial" w:cs="Arial" w:eastAsia="Arial" w:hAnsi="Arial"/>
          <w:sz w:val="18"/>
          <w:szCs w:val="18"/>
          <w:color w:val="003082"/>
        </w:rPr>
        <w:t>“US$,” “U.S. dollars,” or “dollars” refer to the legal currency of the United States.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reporting and functional currency is the U.S. dollar. The functional currency of our subsidiaries and VIE in China is the Renminbi. The functional currencies of our non-PRC subsidiaries are the respective currencies of the country in which they are domiciled, including the U.S. dollar. This prospectus contains translations between Renminbi and U.S. dollars solely for the convenience of the reader. The translations from Renminbi to U.S. dollars and from U.S. dollars to Renminbi in this prospectus were made at a rate of RMB6.9618 to US$1.00, the exchange rate set forth in the H.10 statistical release of the Federal Reserve Board on December 31, 2019. We make no representation that the Renminbi or U.S. dollar amounts referred to in this prospectus could have been or could be converted into U.S. dollars or Renminbi, as the case may be, at any particular rate or at all. On June 15, 2020, the noon buying rate for Renminbi was RMB7.0887 to US$1.00.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w:t>
      </w:r>
    </w:p>
    <w:p>
      <w:pPr>
        <w:sectPr>
          <w:pgSz w:w="11900" w:h="16838" w:orient="portrait"/>
          <w:cols w:equalWidth="0" w:num="1">
            <w:col w:w="9900"/>
          </w:cols>
          <w:pgMar w:left="1000" w:top="1003" w:right="9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6518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518910"/>
                    </a:xfrm>
                    <a:prstGeom prst="rect">
                      <a:avLst/>
                    </a:prstGeom>
                    <a:noFill/>
                  </pic:spPr>
                </pic:pic>
              </a:graphicData>
            </a:graphic>
          </wp:anchor>
        </w:drawing>
        <w:t>THE OFFERING</w:t>
      </w:r>
    </w:p>
    <w:p>
      <w:pPr>
        <w:spacing w:after="0" w:line="337"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Offering price</w:t>
      </w:r>
      <w:r>
        <w:rPr>
          <w:sz w:val="20"/>
          <w:szCs w:val="20"/>
          <w:color w:val="auto"/>
        </w:rPr>
        <w:tab/>
      </w:r>
      <w:r>
        <w:rPr>
          <w:rFonts w:ascii="Arial" w:cs="Arial" w:eastAsia="Arial" w:hAnsi="Arial"/>
          <w:sz w:val="16"/>
          <w:szCs w:val="16"/>
          <w:color w:val="003082"/>
        </w:rPr>
        <w:t>US$20.00 per ADS.</w:t>
      </w:r>
    </w:p>
    <w:p>
      <w:pPr>
        <w:spacing w:after="0" w:line="185"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ADSs offered by us</w:t>
      </w:r>
      <w:r>
        <w:rPr>
          <w:sz w:val="20"/>
          <w:szCs w:val="20"/>
          <w:color w:val="auto"/>
        </w:rPr>
        <w:tab/>
      </w:r>
      <w:r>
        <w:rPr>
          <w:rFonts w:ascii="Arial" w:cs="Arial" w:eastAsia="Arial" w:hAnsi="Arial"/>
          <w:sz w:val="16"/>
          <w:szCs w:val="16"/>
          <w:color w:val="003082"/>
        </w:rPr>
        <w:t>17,500,000 ADSs (or 20,125,000 ADSs if the underwriters exercise their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over-allotment option in full).</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ADSs outstanding immediately after this offering</w:t>
      </w:r>
      <w:r>
        <w:rPr>
          <w:sz w:val="20"/>
          <w:szCs w:val="20"/>
          <w:color w:val="auto"/>
        </w:rPr>
        <w:tab/>
      </w:r>
      <w:r>
        <w:rPr>
          <w:rFonts w:ascii="Arial" w:cs="Arial" w:eastAsia="Arial" w:hAnsi="Arial"/>
          <w:sz w:val="16"/>
          <w:szCs w:val="16"/>
          <w:color w:val="003082"/>
        </w:rPr>
        <w:t>17,500,000 ADSs (or 20,125,000 ADSs if the underwriters exercise their</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over-allotment option in full).</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Concurrent private placement of Class A ordinary shares</w:t>
      </w:r>
      <w:r>
        <w:rPr>
          <w:sz w:val="20"/>
          <w:szCs w:val="20"/>
          <w:color w:val="auto"/>
        </w:rPr>
        <w:tab/>
      </w:r>
      <w:r>
        <w:rPr>
          <w:rFonts w:ascii="Arial" w:cs="Arial" w:eastAsia="Arial" w:hAnsi="Arial"/>
          <w:sz w:val="16"/>
          <w:szCs w:val="16"/>
          <w:color w:val="003082"/>
        </w:rPr>
        <w:t>Immediately following the closing of this offering, Coatue CPP 10 LLC,</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which is an affiliate of one of our existing shareholders, Neumann</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Capital and an entity affiliated with Vitruvian Partners have agreed to</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purchase US$50.0 million, US$30.0 million and US$30.0 million of our</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Class A ordinary shares, respectively, from us in a private placement at a</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price per share equal to the initial public offering price adjusted for the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ADS-to-Class A ordinary share ratio. Based on the initial public offering</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price of US$20.00 per ADS, Coatue CPP 10 LLC, Neumann Capital and</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an entity affiliated with Vitruvian Partners will purchase 10,000,000,</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6,000,000 and 6,000,000 of our Class A ordinary shares, respectively, or</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22,000,000 Class A ordinary shares in the aggregate. We will receive the</w:t>
      </w:r>
    </w:p>
    <w:p>
      <w:pPr>
        <w:spacing w:after="0" w:line="32" w:lineRule="exact"/>
        <w:rPr>
          <w:sz w:val="20"/>
          <w:szCs w:val="20"/>
          <w:color w:val="auto"/>
        </w:rPr>
      </w:pPr>
    </w:p>
    <w:p>
      <w:pPr>
        <w:ind w:left="4560"/>
        <w:spacing w:after="0"/>
        <w:tabs>
          <w:tab w:leader="none" w:pos="4940" w:val="left"/>
          <w:tab w:leader="none" w:pos="5740" w:val="left"/>
          <w:tab w:leader="none" w:pos="6140" w:val="left"/>
          <w:tab w:leader="none" w:pos="6560" w:val="left"/>
          <w:tab w:leader="none" w:pos="6940" w:val="left"/>
          <w:tab w:leader="none" w:pos="7360" w:val="left"/>
          <w:tab w:leader="none" w:pos="7760" w:val="left"/>
          <w:tab w:leader="none" w:pos="8840" w:val="left"/>
          <w:tab w:leader="none" w:pos="9660" w:val="left"/>
        </w:tabs>
        <w:rPr>
          <w:sz w:val="20"/>
          <w:szCs w:val="20"/>
          <w:color w:val="auto"/>
        </w:rPr>
      </w:pPr>
      <w:r>
        <w:rPr>
          <w:rFonts w:ascii="Arial" w:cs="Arial" w:eastAsia="Arial" w:hAnsi="Arial"/>
          <w:sz w:val="18"/>
          <w:szCs w:val="18"/>
          <w:color w:val="003082"/>
        </w:rPr>
        <w:t>full</w:t>
        <w:tab/>
        <w:t>proceeds</w:t>
        <w:tab/>
        <w:t>and</w:t>
        <w:tab/>
        <w:t>will</w:t>
        <w:tab/>
        <w:t>not</w:t>
        <w:tab/>
        <w:t>pay</w:t>
        <w:tab/>
        <w:t>any</w:t>
        <w:tab/>
        <w:t>underwriting</w:t>
        <w:tab/>
        <w:t>discounts</w:t>
      </w:r>
      <w:r>
        <w:rPr>
          <w:sz w:val="20"/>
          <w:szCs w:val="20"/>
          <w:color w:val="auto"/>
        </w:rPr>
        <w:tab/>
      </w:r>
      <w:r>
        <w:rPr>
          <w:rFonts w:ascii="Arial" w:cs="Arial" w:eastAsia="Arial" w:hAnsi="Arial"/>
          <w:sz w:val="17"/>
          <w:szCs w:val="17"/>
          <w:color w:val="003082"/>
        </w:rPr>
        <w:t>or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commissions with respect to the Class A ordinary shares that we sell in</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the concurrent private placement. The sale of the Class A ordinary shares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in the concurrent private placement is contingent upon the completion of</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this offering but will not be registered in this offering. The Class A</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ordinary shares we sell in the concurrent private placement will be</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subject to lock-up agreements with the underwriters for a period of 180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003082"/>
        </w:rPr>
        <w:t>days after the date of this prospectus. We refer to the private placement</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of these Class A ordinary shares as the concurrent private placement.</w:t>
      </w:r>
    </w:p>
    <w:p>
      <w:pPr>
        <w:sectPr>
          <w:pgSz w:w="11900" w:h="16838" w:orient="portrait"/>
          <w:cols w:equalWidth="0" w:num="1">
            <w:col w:w="9840"/>
          </w:cols>
          <w:pgMar w:left="1020" w:top="1107" w:right="1039" w:bottom="1440" w:gutter="0" w:footer="0" w:header="0"/>
        </w:sectPr>
      </w:pPr>
    </w:p>
    <w:p>
      <w:pPr>
        <w:spacing w:after="0" w:line="182" w:lineRule="exact"/>
        <w:rPr>
          <w:sz w:val="20"/>
          <w:szCs w:val="20"/>
          <w:color w:val="auto"/>
        </w:rPr>
      </w:pPr>
    </w:p>
    <w:p>
      <w:pPr>
        <w:ind w:left="160" w:right="40" w:hanging="161"/>
        <w:spacing w:after="0" w:line="308" w:lineRule="auto"/>
        <w:rPr>
          <w:sz w:val="20"/>
          <w:szCs w:val="20"/>
          <w:color w:val="auto"/>
        </w:rPr>
      </w:pPr>
      <w:r>
        <w:rPr>
          <w:rFonts w:ascii="Arial" w:cs="Arial" w:eastAsia="Arial" w:hAnsi="Arial"/>
          <w:sz w:val="17"/>
          <w:szCs w:val="17"/>
          <w:color w:val="003082"/>
        </w:rPr>
        <w:t>Class A ordinary shares to be outstanding immediately after this offering and the concurrent private placement</w:t>
      </w:r>
    </w:p>
    <w:p>
      <w:pPr>
        <w:spacing w:after="0" w:line="106" w:lineRule="exact"/>
        <w:rPr>
          <w:sz w:val="20"/>
          <w:szCs w:val="20"/>
          <w:color w:val="auto"/>
        </w:rPr>
      </w:pPr>
    </w:p>
    <w:p>
      <w:pPr>
        <w:ind w:left="160" w:right="60" w:hanging="161"/>
        <w:spacing w:after="0" w:line="308" w:lineRule="auto"/>
        <w:rPr>
          <w:sz w:val="20"/>
          <w:szCs w:val="20"/>
          <w:color w:val="auto"/>
        </w:rPr>
      </w:pPr>
      <w:r>
        <w:rPr>
          <w:rFonts w:ascii="Arial" w:cs="Arial" w:eastAsia="Arial" w:hAnsi="Arial"/>
          <w:sz w:val="17"/>
          <w:szCs w:val="17"/>
          <w:color w:val="003082"/>
        </w:rPr>
        <w:t>Class B ordinary shares to be outstanding immediately after this offering and the concurrent private placement</w:t>
      </w:r>
    </w:p>
    <w:p>
      <w:pPr>
        <w:spacing w:after="0" w:line="106" w:lineRule="exact"/>
        <w:rPr>
          <w:sz w:val="20"/>
          <w:szCs w:val="20"/>
          <w:color w:val="auto"/>
        </w:rPr>
      </w:pPr>
    </w:p>
    <w:p>
      <w:pPr>
        <w:ind w:left="160" w:hanging="161"/>
        <w:spacing w:after="0" w:line="263" w:lineRule="auto"/>
        <w:rPr>
          <w:sz w:val="20"/>
          <w:szCs w:val="20"/>
          <w:color w:val="auto"/>
        </w:rPr>
      </w:pPr>
      <w:r>
        <w:rPr>
          <w:rFonts w:ascii="Arial" w:cs="Arial" w:eastAsia="Arial" w:hAnsi="Arial"/>
          <w:sz w:val="18"/>
          <w:szCs w:val="18"/>
          <w:color w:val="003082"/>
        </w:rPr>
        <w:t>Total Class A ordinary shares and Class B ordinary shares to be outstanding immediately after this offering and the concurrent private placement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003082"/>
        </w:rPr>
        <w:t>320,717,991 shares (or 331,217,991 shares if the underwriters exercise their over-allotment option in full).</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003082"/>
        </w:rPr>
        <w:t>76,179,938 shares.</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003082"/>
        </w:rPr>
        <w:t>396,897,929 shares (or 407,397,929 shares if the underwriters exercise their over-allotment option in full).</w:t>
      </w:r>
    </w:p>
    <w:p>
      <w:pPr>
        <w:spacing w:after="0" w:line="200" w:lineRule="exact"/>
        <w:rPr>
          <w:sz w:val="20"/>
          <w:szCs w:val="20"/>
          <w:color w:val="auto"/>
        </w:rPr>
      </w:pPr>
    </w:p>
    <w:p>
      <w:pPr>
        <w:sectPr>
          <w:pgSz w:w="11900" w:h="16838" w:orient="portrait"/>
          <w:cols w:equalWidth="0" w:num="2">
            <w:col w:w="4360" w:space="200"/>
            <w:col w:w="5280"/>
          </w:cols>
          <w:pgMar w:left="1020" w:top="1107"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3082"/>
        </w:rPr>
        <w:t>11</w:t>
      </w:r>
    </w:p>
    <w:p>
      <w:pPr>
        <w:sectPr>
          <w:pgSz w:w="11900" w:h="16838" w:orient="portrait"/>
          <w:cols w:equalWidth="0" w:num="1">
            <w:col w:w="9840"/>
          </w:cols>
          <w:pgMar w:left="1020" w:top="1107" w:right="1039" w:bottom="1440" w:gutter="0" w:footer="0" w:header="0"/>
          <w:type w:val="continuous"/>
        </w:sectPr>
      </w:pPr>
    </w:p>
    <w:bookmarkStart w:id="16" w:name="page17"/>
    <w:bookmarkEnd w:id="16"/>
    <w:p>
      <w:pPr>
        <w:spacing w:after="0"/>
        <w:tabs>
          <w:tab w:leader="none" w:pos="4540" w:val="left"/>
        </w:tabs>
        <w:rPr>
          <w:sz w:val="20"/>
          <w:szCs w:val="20"/>
          <w:color w:val="auto"/>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679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8679180"/>
                    </a:xfrm>
                    <a:prstGeom prst="rect">
                      <a:avLst/>
                    </a:prstGeom>
                    <a:noFill/>
                  </pic:spPr>
                </pic:pic>
              </a:graphicData>
            </a:graphic>
          </wp:anchor>
        </w:drawing>
        <w:t>The ADSs</w:t>
      </w:r>
      <w:r>
        <w:rPr>
          <w:sz w:val="20"/>
          <w:szCs w:val="20"/>
          <w:color w:val="auto"/>
        </w:rPr>
        <w:tab/>
      </w:r>
      <w:r>
        <w:rPr>
          <w:rFonts w:ascii="Arial" w:cs="Arial" w:eastAsia="Arial" w:hAnsi="Arial"/>
          <w:sz w:val="16"/>
          <w:szCs w:val="16"/>
          <w:color w:val="003082"/>
        </w:rPr>
        <w:t>Each ADS represents four Class A ordinary shares.</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The depositary will be the holder of the underlying Class A ordinary</w:t>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shares represented by the ADSs and you will have the rights of an ADR</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holder as provided in the deposit agreement among us, the depositary</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and registered holders and beneficial owners of ADSs from time to time.</w:t>
      </w:r>
    </w:p>
    <w:p>
      <w:pPr>
        <w:spacing w:after="0" w:line="234"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You may surrender your ADSs to the depositary to withdraw the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underlying Class A ordinary shares represented by your ADSs. The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depositary will charge you a fee for any such exchange.</w:t>
      </w:r>
    </w:p>
    <w:p>
      <w:pPr>
        <w:spacing w:after="0" w:line="21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We may amend or terminate the deposit agreement for any reason</w:t>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without your consent. Any amendment that imposes or increases fees or</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charges or which materially prejudices any substantial existing right you</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have as an ADS holder will not become effective as to outstanding ADSs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until 30 days after notice of the amendment is given to ADS holders. If</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an amendment becomes effective, you will be bound by the deposit</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agreement as amended if you continue to hold your ADSs.</w:t>
      </w:r>
    </w:p>
    <w:p>
      <w:pPr>
        <w:spacing w:after="0" w:line="21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To better understand the terms of the ADSs, see the section of this</w:t>
      </w:r>
    </w:p>
    <w:p>
      <w:pPr>
        <w:spacing w:after="0" w:line="35"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prospectus captioned “Description of American Depositary Shares.” We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also encourage you to read the deposit agreement, which is an exhibit to</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the registration statement that includes this prospectus.</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Over-allotment option</w:t>
      </w:r>
      <w:r>
        <w:rPr>
          <w:sz w:val="20"/>
          <w:szCs w:val="20"/>
          <w:color w:val="auto"/>
        </w:rPr>
        <w:tab/>
      </w:r>
      <w:r>
        <w:rPr>
          <w:rFonts w:ascii="Arial" w:cs="Arial" w:eastAsia="Arial" w:hAnsi="Arial"/>
          <w:sz w:val="17"/>
          <w:szCs w:val="17"/>
          <w:color w:val="003082"/>
        </w:rPr>
        <w:t>We have granted to the underwriters an option, exercisable within 30</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days from the date of this prospectus, to purchase up to an aggregate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of 2,625,000 additional ADSs at the initial public offering price, less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underwriting discounts and commissions.</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Use of proceeds</w:t>
      </w:r>
      <w:r>
        <w:rPr>
          <w:sz w:val="20"/>
          <w:szCs w:val="20"/>
          <w:color w:val="auto"/>
        </w:rPr>
        <w:tab/>
      </w:r>
      <w:r>
        <w:rPr>
          <w:rFonts w:ascii="Arial" w:cs="Arial" w:eastAsia="Arial" w:hAnsi="Arial"/>
          <w:sz w:val="17"/>
          <w:szCs w:val="17"/>
          <w:color w:val="003082"/>
        </w:rPr>
        <w:t>We  estimate  that  we  will  receive  net  proceeds  of  approximately</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US$434.8  million  from  this  offering  and  the  concurrent  private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placement (or US$483.7 million if the underwriters exercise their over-</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allotment option in full), after deducting underwriting discounts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commissions and estimated offering expenses payable by us.</w:t>
      </w:r>
    </w:p>
    <w:p>
      <w:pPr>
        <w:spacing w:after="0" w:line="21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The principal purposes of this offering are to create a public market for</w:t>
      </w:r>
    </w:p>
    <w:p>
      <w:pPr>
        <w:spacing w:after="0" w:line="46"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our shares, increase our visibility in our markets and facilitate our future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access to the public equity markets for us and our shareholders. We</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intend to use the net proceeds of this offering and the concurrent private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placement  for  research  and development,  marketing  and branding,</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investment in technology infrastructure as well as for working capital</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and other general corporate purposes. See the section of this prospectus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captioned “Use of Proceeds” for more information.</w:t>
      </w:r>
    </w:p>
    <w:p>
      <w:pPr>
        <w:spacing w:after="0" w:line="170"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003082"/>
        </w:rPr>
        <w:t>Voting rights</w:t>
      </w:r>
      <w:r>
        <w:rPr>
          <w:sz w:val="20"/>
          <w:szCs w:val="20"/>
          <w:color w:val="auto"/>
        </w:rPr>
        <w:tab/>
      </w:r>
      <w:r>
        <w:rPr>
          <w:rFonts w:ascii="Arial" w:cs="Arial" w:eastAsia="Arial" w:hAnsi="Arial"/>
          <w:sz w:val="16"/>
          <w:szCs w:val="16"/>
          <w:color w:val="003082"/>
        </w:rPr>
        <w:t>Upon the completion of this offering, our issued and outstanding share</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capital will consist of Class A ordinary shares and Class B ordinary</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shares. Holders of Class A ordinary shares and Class B ordinary shares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have the same rights except for voting and conversion rights. Each Class</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A ordinary share is entitled to one vote, and each Class B ordinary share</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is entitled to 20 votes and is convertible into one Class A ordinary share.</w:t>
      </w:r>
    </w:p>
    <w:p>
      <w:pPr>
        <w:spacing w:after="0" w:line="32" w:lineRule="exact"/>
        <w:rPr>
          <w:sz w:val="20"/>
          <w:szCs w:val="20"/>
          <w:color w:val="auto"/>
        </w:rPr>
      </w:pPr>
    </w:p>
    <w:p>
      <w:pPr>
        <w:jc w:val="right"/>
        <w:spacing w:after="0"/>
        <w:tabs>
          <w:tab w:leader="none" w:pos="4200" w:val="left"/>
          <w:tab w:leader="none" w:pos="3340" w:val="left"/>
          <w:tab w:leader="none" w:pos="2920" w:val="left"/>
          <w:tab w:leader="none" w:pos="2200" w:val="left"/>
          <w:tab w:leader="none" w:pos="1780" w:val="left"/>
          <w:tab w:leader="none" w:pos="1400" w:val="left"/>
          <w:tab w:leader="none" w:pos="480" w:val="left"/>
        </w:tabs>
        <w:rPr>
          <w:sz w:val="20"/>
          <w:szCs w:val="20"/>
          <w:color w:val="auto"/>
        </w:rPr>
      </w:pPr>
      <w:r>
        <w:rPr>
          <w:rFonts w:ascii="Arial" w:cs="Arial" w:eastAsia="Arial" w:hAnsi="Arial"/>
          <w:sz w:val="18"/>
          <w:szCs w:val="18"/>
          <w:color w:val="003082"/>
        </w:rPr>
        <w:t>Immediately</w:t>
        <w:tab/>
        <w:t>following</w:t>
        <w:tab/>
        <w:t>this</w:t>
        <w:tab/>
        <w:t>offering</w:t>
        <w:tab/>
        <w:t>and</w:t>
        <w:tab/>
        <w:t>the</w:t>
        <w:tab/>
        <w:t>concurrent</w:t>
      </w:r>
      <w:r>
        <w:rPr>
          <w:sz w:val="20"/>
          <w:szCs w:val="20"/>
          <w:color w:val="auto"/>
        </w:rPr>
        <w:tab/>
      </w:r>
      <w:r>
        <w:rPr>
          <w:rFonts w:ascii="Arial" w:cs="Arial" w:eastAsia="Arial" w:hAnsi="Arial"/>
          <w:sz w:val="16"/>
          <w:szCs w:val="16"/>
          <w:color w:val="003082"/>
        </w:rPr>
        <w:t>private</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7"/>
          <w:szCs w:val="17"/>
          <w:color w:val="003082"/>
        </w:rPr>
        <w:t>placement, the issued and outstanding Class B ordinary shares, all of</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which will be held by our chief executive officer, will represent</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approximately 82.6% of the voting power of our issued and outstanding</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6"/>
          <w:szCs w:val="16"/>
          <w:color w:val="003082"/>
        </w:rPr>
        <w:t>share capital. See the section of this prospectus captioned “Description</w:t>
      </w:r>
    </w:p>
    <w:p>
      <w:pPr>
        <w:spacing w:after="0" w:line="32" w:lineRule="exact"/>
        <w:rPr>
          <w:sz w:val="20"/>
          <w:szCs w:val="20"/>
          <w:color w:val="auto"/>
        </w:rPr>
      </w:pPr>
    </w:p>
    <w:p>
      <w:pPr>
        <w:ind w:left="4560"/>
        <w:spacing w:after="0"/>
        <w:rPr>
          <w:sz w:val="20"/>
          <w:szCs w:val="20"/>
          <w:color w:val="auto"/>
        </w:rPr>
      </w:pPr>
      <w:r>
        <w:rPr>
          <w:rFonts w:ascii="Arial" w:cs="Arial" w:eastAsia="Arial" w:hAnsi="Arial"/>
          <w:sz w:val="18"/>
          <w:szCs w:val="18"/>
          <w:color w:val="003082"/>
        </w:rPr>
        <w:t>of Share Capital.”</w:t>
      </w:r>
    </w:p>
    <w:p>
      <w:pPr>
        <w:sectPr>
          <w:pgSz w:w="11900" w:h="16838" w:orient="portrait"/>
          <w:cols w:equalWidth="0" w:num="1">
            <w:col w:w="9840"/>
          </w:cols>
          <w:pgMar w:left="1020" w:top="116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3082"/>
        </w:rPr>
        <w:t>12</w:t>
      </w:r>
    </w:p>
    <w:p>
      <w:pPr>
        <w:sectPr>
          <w:pgSz w:w="11900" w:h="16838" w:orient="portrait"/>
          <w:cols w:equalWidth="0" w:num="1">
            <w:col w:w="9840"/>
          </w:cols>
          <w:pgMar w:left="1020" w:top="1165" w:right="1039" w:bottom="1440" w:gutter="0" w:footer="0" w:header="0"/>
          <w:type w:val="continuous"/>
        </w:sectPr>
      </w:pPr>
    </w:p>
    <w:bookmarkStart w:id="17" w:name="page18"/>
    <w:bookmarkEnd w:id="17"/>
    <w:p>
      <w:pPr>
        <w:ind w:left="20"/>
        <w:spacing w:after="0"/>
        <w:tabs>
          <w:tab w:leader="none" w:pos="4560" w:val="left"/>
        </w:tabs>
        <w:rPr>
          <w:sz w:val="20"/>
          <w:szCs w:val="20"/>
          <w:color w:val="auto"/>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679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8679180"/>
                    </a:xfrm>
                    <a:prstGeom prst="rect">
                      <a:avLst/>
                    </a:prstGeom>
                    <a:noFill/>
                  </pic:spPr>
                </pic:pic>
              </a:graphicData>
            </a:graphic>
          </wp:anchor>
        </w:drawing>
        <w:t>Lock-up</w:t>
      </w:r>
      <w:r>
        <w:rPr>
          <w:sz w:val="20"/>
          <w:szCs w:val="20"/>
          <w:color w:val="auto"/>
        </w:rPr>
        <w:tab/>
      </w:r>
      <w:r>
        <w:rPr>
          <w:rFonts w:ascii="Arial" w:cs="Arial" w:eastAsia="Arial" w:hAnsi="Arial"/>
          <w:sz w:val="17"/>
          <w:szCs w:val="17"/>
          <w:color w:val="003082"/>
        </w:rPr>
        <w:t>We,  our  directors  and  executive  officers,  and  all  of  our  existing</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shareholders and the concurrent private placement purchasers have</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agreed with the underwriters, subject to certain exceptions, not to sell,</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transfer or otherwise dispose of any ADSs, ordinary shares or similar</w:t>
      </w:r>
    </w:p>
    <w:p>
      <w:pPr>
        <w:spacing w:after="0" w:line="21" w:lineRule="exact"/>
        <w:rPr>
          <w:sz w:val="20"/>
          <w:szCs w:val="20"/>
          <w:color w:val="auto"/>
        </w:rPr>
      </w:pPr>
    </w:p>
    <w:p>
      <w:pPr>
        <w:ind w:left="4580"/>
        <w:spacing w:after="0"/>
        <w:tabs>
          <w:tab w:leader="none" w:pos="5380" w:val="left"/>
          <w:tab w:leader="none" w:pos="5680" w:val="left"/>
          <w:tab w:leader="none" w:pos="6080" w:val="left"/>
          <w:tab w:leader="none" w:pos="6900" w:val="left"/>
          <w:tab w:leader="none" w:pos="7840" w:val="left"/>
          <w:tab w:leader="none" w:pos="8260" w:val="left"/>
          <w:tab w:leader="none" w:pos="8560" w:val="left"/>
          <w:tab w:leader="none" w:pos="9680" w:val="left"/>
        </w:tabs>
        <w:rPr>
          <w:sz w:val="20"/>
          <w:szCs w:val="20"/>
          <w:color w:val="auto"/>
        </w:rPr>
      </w:pPr>
      <w:r>
        <w:rPr>
          <w:rFonts w:ascii="Arial" w:cs="Arial" w:eastAsia="Arial" w:hAnsi="Arial"/>
          <w:sz w:val="18"/>
          <w:szCs w:val="18"/>
          <w:color w:val="003082"/>
        </w:rPr>
        <w:t>securities</w:t>
        <w:tab/>
        <w:t>or</w:t>
        <w:tab/>
        <w:t>any</w:t>
        <w:tab/>
        <w:t>securities</w:t>
        <w:tab/>
        <w:t>convertible</w:t>
        <w:tab/>
        <w:t>into</w:t>
        <w:tab/>
        <w:t>or</w:t>
        <w:tab/>
        <w:t>exchangeable</w:t>
      </w:r>
      <w:r>
        <w:rPr>
          <w:sz w:val="20"/>
          <w:szCs w:val="20"/>
          <w:color w:val="auto"/>
        </w:rPr>
        <w:tab/>
      </w:r>
      <w:r>
        <w:rPr>
          <w:rFonts w:ascii="Arial" w:cs="Arial" w:eastAsia="Arial" w:hAnsi="Arial"/>
          <w:sz w:val="17"/>
          <w:szCs w:val="17"/>
          <w:color w:val="003082"/>
        </w:rPr>
        <w:t>or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exercisable for our ordinary shares or ADSs, for a period of 180 days</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after the date of this prospectus. In addition, we will not authorize or</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color w:val="003082"/>
        </w:rPr>
        <w:t>permit The Bank of New York Mellon, as depositary, to accept any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deposit of any Class A ordinary shares or issue any ADSs for 180 days</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after the date of this prospectus unless we expressly consent to such</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deposit or issuance and we have agreed not to provide such consent</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without the prior written consent of the representatives on behalf of the</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underwriters. The foregoing does not affect the right of ADS holders to</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cancel their ADSs and withdraw the underlying Class A ordinary shares.</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See the sections of this prospectus captioned “Shares Eligible for Future</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8"/>
          <w:szCs w:val="18"/>
          <w:color w:val="003082"/>
        </w:rPr>
        <w:t>Sale” and “Underwriters.”</w:t>
      </w:r>
    </w:p>
    <w:p>
      <w:pPr>
        <w:spacing w:after="0" w:line="170"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003082"/>
        </w:rPr>
        <w:t>Risk factors</w:t>
      </w:r>
      <w:r>
        <w:rPr>
          <w:sz w:val="20"/>
          <w:szCs w:val="20"/>
          <w:color w:val="auto"/>
        </w:rPr>
        <w:tab/>
      </w:r>
      <w:r>
        <w:rPr>
          <w:rFonts w:ascii="Arial" w:cs="Arial" w:eastAsia="Arial" w:hAnsi="Arial"/>
          <w:sz w:val="17"/>
          <w:szCs w:val="17"/>
          <w:color w:val="003082"/>
        </w:rPr>
        <w:t>See the section of this prospectus captioned “Risk Factors” and other</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003082"/>
        </w:rPr>
        <w:t>information included in this prospectus for a discussion of the risks</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related to investing in the ADSs. You should carefully consider these</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color w:val="003082"/>
        </w:rPr>
        <w:t>risks before deciding to invest in our ADSs.</w:t>
      </w:r>
    </w:p>
    <w:p>
      <w:pPr>
        <w:spacing w:after="0" w:line="170"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6"/>
          <w:szCs w:val="16"/>
          <w:color w:val="003082"/>
        </w:rPr>
        <w:t>Listing</w:t>
      </w:r>
      <w:r>
        <w:rPr>
          <w:sz w:val="20"/>
          <w:szCs w:val="20"/>
          <w:color w:val="auto"/>
        </w:rPr>
        <w:tab/>
      </w:r>
      <w:r>
        <w:rPr>
          <w:rFonts w:ascii="Arial" w:cs="Arial" w:eastAsia="Arial" w:hAnsi="Arial"/>
          <w:sz w:val="16"/>
          <w:szCs w:val="16"/>
          <w:color w:val="003082"/>
        </w:rPr>
        <w:t>The ADSs have been approved for listing on the Nasdaq Global Select</w:t>
      </w:r>
    </w:p>
    <w:p>
      <w:pPr>
        <w:spacing w:after="0" w:line="46"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Market under the symbol “API.” Our Class A ordinary shares will not be</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listed on any exchange or quoted for trading on any over-the-counter</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color w:val="003082"/>
        </w:rPr>
        <w:t>trading system.</w:t>
      </w:r>
    </w:p>
    <w:p>
      <w:pPr>
        <w:spacing w:after="0" w:line="170"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003082"/>
        </w:rPr>
        <w:t>Payment and settlement</w:t>
      </w:r>
      <w:r>
        <w:rPr>
          <w:sz w:val="20"/>
          <w:szCs w:val="20"/>
          <w:color w:val="auto"/>
        </w:rPr>
        <w:tab/>
      </w:r>
      <w:r>
        <w:rPr>
          <w:rFonts w:ascii="Arial" w:cs="Arial" w:eastAsia="Arial" w:hAnsi="Arial"/>
          <w:sz w:val="17"/>
          <w:szCs w:val="17"/>
          <w:color w:val="003082"/>
        </w:rPr>
        <w:t>The underwriters expect to deliver the ADSs against payment on June</w:t>
      </w:r>
    </w:p>
    <w:p>
      <w:pPr>
        <w:spacing w:after="0" w:line="23" w:lineRule="exact"/>
        <w:rPr>
          <w:sz w:val="20"/>
          <w:szCs w:val="20"/>
          <w:color w:val="auto"/>
        </w:rPr>
      </w:pPr>
    </w:p>
    <w:p>
      <w:pPr>
        <w:ind w:left="4580" w:right="20"/>
        <w:spacing w:after="0" w:line="260" w:lineRule="auto"/>
        <w:rPr>
          <w:sz w:val="20"/>
          <w:szCs w:val="20"/>
          <w:color w:val="auto"/>
        </w:rPr>
      </w:pPr>
      <w:r>
        <w:rPr>
          <w:rFonts w:ascii="Arial" w:cs="Arial" w:eastAsia="Arial" w:hAnsi="Arial"/>
          <w:sz w:val="18"/>
          <w:szCs w:val="18"/>
          <w:color w:val="003082"/>
        </w:rPr>
        <w:t>30, 2020, through the facilities of the Depository Trust Company, or DTC.</w:t>
      </w:r>
    </w:p>
    <w:p>
      <w:pPr>
        <w:spacing w:after="0" w:line="145"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003082"/>
        </w:rPr>
        <w:t>Depositary</w:t>
      </w:r>
      <w:r>
        <w:rPr>
          <w:sz w:val="20"/>
          <w:szCs w:val="20"/>
          <w:color w:val="auto"/>
        </w:rPr>
        <w:tab/>
      </w:r>
      <w:r>
        <w:rPr>
          <w:rFonts w:ascii="Arial" w:cs="Arial" w:eastAsia="Arial" w:hAnsi="Arial"/>
          <w:sz w:val="18"/>
          <w:szCs w:val="18"/>
          <w:color w:val="003082"/>
        </w:rPr>
        <w:t>The Bank of New York Mellon.</w:t>
      </w:r>
    </w:p>
    <w:p>
      <w:pPr>
        <w:spacing w:after="0" w:line="182" w:lineRule="exact"/>
        <w:rPr>
          <w:sz w:val="20"/>
          <w:szCs w:val="20"/>
          <w:color w:val="auto"/>
        </w:rPr>
      </w:pPr>
    </w:p>
    <w:p>
      <w:pPr>
        <w:ind w:left="20"/>
        <w:spacing w:after="0"/>
        <w:tabs>
          <w:tab w:leader="none" w:pos="4560" w:val="left"/>
        </w:tabs>
        <w:rPr>
          <w:sz w:val="20"/>
          <w:szCs w:val="20"/>
          <w:color w:val="auto"/>
        </w:rPr>
      </w:pPr>
      <w:r>
        <w:rPr>
          <w:rFonts w:ascii="Arial" w:cs="Arial" w:eastAsia="Arial" w:hAnsi="Arial"/>
          <w:sz w:val="18"/>
          <w:szCs w:val="18"/>
          <w:color w:val="003082"/>
        </w:rPr>
        <w:t>Directed ADS Program</w:t>
      </w:r>
      <w:r>
        <w:rPr>
          <w:sz w:val="20"/>
          <w:szCs w:val="20"/>
          <w:color w:val="auto"/>
        </w:rPr>
        <w:tab/>
      </w:r>
      <w:r>
        <w:rPr>
          <w:rFonts w:ascii="Arial" w:cs="Arial" w:eastAsia="Arial" w:hAnsi="Arial"/>
          <w:sz w:val="17"/>
          <w:szCs w:val="17"/>
          <w:color w:val="003082"/>
        </w:rPr>
        <w:t xml:space="preserve">At our request, the underwriters have reserved up to 5% of the </w:t>
      </w:r>
      <w:r>
        <w:rPr>
          <w:rFonts w:ascii="Arial" w:cs="Arial" w:eastAsia="Arial" w:hAnsi="Arial"/>
          <w:sz w:val="18"/>
          <w:szCs w:val="18"/>
          <w:color w:val="003082"/>
        </w:rPr>
        <w:t>ADSs</w:t>
      </w:r>
    </w:p>
    <w:p>
      <w:pPr>
        <w:spacing w:after="0" w:line="41"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offered by this prospectus, for sale at the initial public offering price to</w:t>
      </w:r>
    </w:p>
    <w:p>
      <w:pPr>
        <w:spacing w:after="0" w:line="19"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our directors, non-executive employees and customers, to the extent</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permitted by local securities laws and regulations. If purchased by these</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persons, these ADSs will not be subject to a lock-up restriction except in</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7"/>
          <w:szCs w:val="17"/>
          <w:color w:val="003082"/>
        </w:rPr>
        <w:t>the case of ADSs purchased by any director, which will be subject to a</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color w:val="003082"/>
        </w:rPr>
        <w:t>180-day lock-up restriction. See the section of this prospectus captioned</w:t>
      </w:r>
    </w:p>
    <w:p>
      <w:pPr>
        <w:spacing w:after="0" w:line="32" w:lineRule="exact"/>
        <w:rPr>
          <w:sz w:val="20"/>
          <w:szCs w:val="20"/>
          <w:color w:val="auto"/>
        </w:rPr>
      </w:pPr>
    </w:p>
    <w:p>
      <w:pPr>
        <w:ind w:left="4580"/>
        <w:spacing w:after="0"/>
        <w:rPr>
          <w:sz w:val="20"/>
          <w:szCs w:val="20"/>
          <w:color w:val="auto"/>
        </w:rPr>
      </w:pPr>
      <w:r>
        <w:rPr>
          <w:rFonts w:ascii="Arial" w:cs="Arial" w:eastAsia="Arial" w:hAnsi="Arial"/>
          <w:sz w:val="18"/>
          <w:szCs w:val="18"/>
          <w:color w:val="003082"/>
        </w:rPr>
        <w:t>“Underwriters—Directed ADS Program.”</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total number of Class A ordinary shares and Class B ordinary shares that will be issued and outstanding immediately after this offering and the concurrent private placement is based on 304,897,929 ordinary shares issued and outstanding on an as-converted basis as of May 31, 2020, and excludes:</w:t>
      </w:r>
    </w:p>
    <w:p>
      <w:pPr>
        <w:spacing w:after="0" w:line="130" w:lineRule="exact"/>
        <w:rPr>
          <w:sz w:val="20"/>
          <w:szCs w:val="20"/>
          <w:color w:val="auto"/>
        </w:rPr>
      </w:pPr>
    </w:p>
    <w:p>
      <w:pPr>
        <w:ind w:left="640" w:hanging="322"/>
        <w:spacing w:after="0" w:line="277" w:lineRule="auto"/>
        <w:tabs>
          <w:tab w:leader="none" w:pos="640" w:val="left"/>
        </w:tabs>
        <w:numPr>
          <w:ilvl w:val="0"/>
          <w:numId w:val="14"/>
        </w:numPr>
        <w:rPr>
          <w:rFonts w:ascii="Arial" w:cs="Arial" w:eastAsia="Arial" w:hAnsi="Arial"/>
          <w:sz w:val="18"/>
          <w:szCs w:val="18"/>
          <w:color w:val="003082"/>
        </w:rPr>
      </w:pPr>
      <w:r>
        <w:rPr>
          <w:rFonts w:ascii="Arial" w:cs="Arial" w:eastAsia="Arial" w:hAnsi="Arial"/>
          <w:sz w:val="18"/>
          <w:szCs w:val="18"/>
          <w:color w:val="003082"/>
        </w:rPr>
        <w:t>43,694,845 Class A ordinary shares issuable upon the vesting of outstanding options under our 2014 Equity Incentive Plan, or the 2014 Plan, and our 2018 Equity Incentive Plan, or the 2018 Plan;</w:t>
      </w:r>
    </w:p>
    <w:p>
      <w:pPr>
        <w:spacing w:after="0" w:line="116" w:lineRule="exact"/>
        <w:rPr>
          <w:rFonts w:ascii="Arial" w:cs="Arial" w:eastAsia="Arial" w:hAnsi="Arial"/>
          <w:sz w:val="18"/>
          <w:szCs w:val="18"/>
          <w:color w:val="003082"/>
        </w:rPr>
      </w:pPr>
    </w:p>
    <w:p>
      <w:pPr>
        <w:ind w:left="640" w:hanging="322"/>
        <w:spacing w:after="0" w:line="277" w:lineRule="auto"/>
        <w:tabs>
          <w:tab w:leader="none" w:pos="640" w:val="left"/>
        </w:tabs>
        <w:numPr>
          <w:ilvl w:val="0"/>
          <w:numId w:val="14"/>
        </w:numPr>
        <w:rPr>
          <w:rFonts w:ascii="Arial" w:cs="Arial" w:eastAsia="Arial" w:hAnsi="Arial"/>
          <w:sz w:val="18"/>
          <w:szCs w:val="18"/>
          <w:color w:val="003082"/>
        </w:rPr>
      </w:pPr>
      <w:r>
        <w:rPr>
          <w:rFonts w:ascii="Arial" w:cs="Arial" w:eastAsia="Arial" w:hAnsi="Arial"/>
          <w:sz w:val="18"/>
          <w:szCs w:val="18"/>
          <w:color w:val="003082"/>
        </w:rPr>
        <w:t>16,716,035 Class A ordinary shares reserved for future issuance under our Global Equity Incentive Plan, or the Global Plan, which became effective one business day prior to the date of this prospectus; and</w:t>
      </w:r>
    </w:p>
    <w:p>
      <w:pPr>
        <w:spacing w:after="0" w:line="116" w:lineRule="exact"/>
        <w:rPr>
          <w:rFonts w:ascii="Arial" w:cs="Arial" w:eastAsia="Arial" w:hAnsi="Arial"/>
          <w:sz w:val="18"/>
          <w:szCs w:val="18"/>
          <w:color w:val="003082"/>
        </w:rPr>
      </w:pPr>
    </w:p>
    <w:p>
      <w:pPr>
        <w:ind w:left="640" w:hanging="322"/>
        <w:spacing w:after="0"/>
        <w:tabs>
          <w:tab w:leader="none" w:pos="640" w:val="left"/>
        </w:tabs>
        <w:numPr>
          <w:ilvl w:val="0"/>
          <w:numId w:val="14"/>
        </w:numPr>
        <w:rPr>
          <w:rFonts w:ascii="Arial" w:cs="Arial" w:eastAsia="Arial" w:hAnsi="Arial"/>
          <w:sz w:val="17"/>
          <w:szCs w:val="17"/>
          <w:color w:val="003082"/>
        </w:rPr>
      </w:pPr>
      <w:r>
        <w:rPr>
          <w:rFonts w:ascii="Arial" w:cs="Arial" w:eastAsia="Arial" w:hAnsi="Arial"/>
          <w:sz w:val="17"/>
          <w:szCs w:val="17"/>
          <w:color w:val="003082"/>
        </w:rPr>
        <w:t>3,000,000 Class A ordinary shares reserved for future issuance under our Employee Stock Purchase Plan, or the ESPP.</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Global Plan and ESPP provide for annual automatic increases in the number of Class A ordinary shares reserved thereunder, and our Global Plan also provides for increases to the number of Class A ordinary shares that may be granted thereunder based on shares under the 2014 Plan and the 2018 Plan that expire, are forfeited or are otherwise repurchased</w:t>
      </w:r>
    </w:p>
    <w:p>
      <w:pPr>
        <w:sectPr>
          <w:pgSz w:w="11900" w:h="16838" w:orient="portrait"/>
          <w:cols w:equalWidth="0" w:num="1">
            <w:col w:w="9880"/>
          </w:cols>
          <w:pgMar w:left="1000" w:top="1286"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3082"/>
        </w:rPr>
        <w:t>13</w:t>
      </w:r>
    </w:p>
    <w:p>
      <w:pPr>
        <w:sectPr>
          <w:pgSz w:w="11900" w:h="16838" w:orient="portrait"/>
          <w:cols w:equalWidth="0" w:num="1">
            <w:col w:w="9880"/>
          </w:cols>
          <w:pgMar w:left="1000" w:top="1286" w:right="1019" w:bottom="1440" w:gutter="0" w:footer="0" w:header="0"/>
          <w:type w:val="continuous"/>
        </w:sectPr>
      </w:pPr>
    </w:p>
    <w:bookmarkStart w:id="18" w:name="page19"/>
    <w:bookmarkEnd w:id="18"/>
    <w:p>
      <w:pPr>
        <w:spacing w:after="0" w:line="277" w:lineRule="auto"/>
        <w:rPr>
          <w:sz w:val="20"/>
          <w:szCs w:val="20"/>
          <w:color w:val="auto"/>
        </w:rPr>
      </w:pPr>
      <w:r>
        <w:rPr>
          <w:rFonts w:ascii="Arial" w:cs="Arial" w:eastAsia="Arial" w:hAnsi="Arial"/>
          <w:sz w:val="18"/>
          <w:szCs w:val="18"/>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3870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3870325"/>
                    </a:xfrm>
                    <a:prstGeom prst="rect">
                      <a:avLst/>
                    </a:prstGeom>
                    <a:noFill/>
                  </pic:spPr>
                </pic:pic>
              </a:graphicData>
            </a:graphic>
          </wp:anchor>
        </w:drawing>
        <w:t>by us. See the sections of this prospectus captioned “Management—Equity Incentive Plans—Global Equity Incentive Plan—Authorized Shares” and “—Employee Stock Purchase Plan—Authorized Shares.”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003082"/>
        </w:rPr>
        <w:t>Except as otherwise indicated, all information in this prospectus assumes:</w:t>
      </w:r>
    </w:p>
    <w:p>
      <w:pPr>
        <w:spacing w:after="0" w:line="171" w:lineRule="exact"/>
        <w:rPr>
          <w:sz w:val="20"/>
          <w:szCs w:val="20"/>
          <w:color w:val="auto"/>
        </w:rPr>
      </w:pPr>
    </w:p>
    <w:p>
      <w:pPr>
        <w:ind w:left="640" w:right="20" w:hanging="322"/>
        <w:spacing w:after="0" w:line="277" w:lineRule="auto"/>
        <w:tabs>
          <w:tab w:leader="none" w:pos="640" w:val="left"/>
        </w:tabs>
        <w:numPr>
          <w:ilvl w:val="0"/>
          <w:numId w:val="15"/>
        </w:numPr>
        <w:rPr>
          <w:rFonts w:ascii="Arial" w:cs="Arial" w:eastAsia="Arial" w:hAnsi="Arial"/>
          <w:sz w:val="18"/>
          <w:szCs w:val="18"/>
          <w:color w:val="003082"/>
        </w:rPr>
      </w:pPr>
      <w:r>
        <w:rPr>
          <w:rFonts w:ascii="Arial" w:cs="Arial" w:eastAsia="Arial" w:hAnsi="Arial"/>
          <w:sz w:val="18"/>
          <w:szCs w:val="18"/>
          <w:color w:val="003082"/>
        </w:rPr>
        <w:t>the re-designation of 76,179,938 ordinary shares beneficially owned by our chief executive officer into Class B ordinary shares on a one-for-one basis immediately prior to the completion of this offering;</w:t>
      </w:r>
    </w:p>
    <w:p>
      <w:pPr>
        <w:spacing w:after="0" w:line="116" w:lineRule="exact"/>
        <w:rPr>
          <w:rFonts w:ascii="Arial" w:cs="Arial" w:eastAsia="Arial" w:hAnsi="Arial"/>
          <w:sz w:val="18"/>
          <w:szCs w:val="18"/>
          <w:color w:val="003082"/>
        </w:rPr>
      </w:pPr>
    </w:p>
    <w:p>
      <w:pPr>
        <w:ind w:left="640" w:right="20" w:hanging="322"/>
        <w:spacing w:after="0" w:line="342" w:lineRule="auto"/>
        <w:tabs>
          <w:tab w:leader="none" w:pos="640" w:val="left"/>
        </w:tabs>
        <w:numPr>
          <w:ilvl w:val="0"/>
          <w:numId w:val="15"/>
        </w:numPr>
        <w:rPr>
          <w:rFonts w:ascii="Arial" w:cs="Arial" w:eastAsia="Arial" w:hAnsi="Arial"/>
          <w:sz w:val="16"/>
          <w:szCs w:val="16"/>
          <w:color w:val="003082"/>
        </w:rPr>
      </w:pPr>
      <w:r>
        <w:rPr>
          <w:rFonts w:ascii="Arial" w:cs="Arial" w:eastAsia="Arial" w:hAnsi="Arial"/>
          <w:sz w:val="16"/>
          <w:szCs w:val="16"/>
          <w:color w:val="003082"/>
        </w:rPr>
        <w:t>the re-designation of all of the remaining issued and outstanding ordinary shares (that are not beneficially owned by our chief executive officer) into Class A ordinary shares on a one-for-one basis immediately prior to the completion of this offering;</w:t>
      </w:r>
    </w:p>
    <w:p>
      <w:pPr>
        <w:spacing w:after="0" w:line="69" w:lineRule="exact"/>
        <w:rPr>
          <w:rFonts w:ascii="Arial" w:cs="Arial" w:eastAsia="Arial" w:hAnsi="Arial"/>
          <w:sz w:val="16"/>
          <w:szCs w:val="16"/>
          <w:color w:val="003082"/>
        </w:rPr>
      </w:pPr>
    </w:p>
    <w:p>
      <w:pPr>
        <w:ind w:left="640" w:right="20" w:hanging="322"/>
        <w:spacing w:after="0" w:line="277" w:lineRule="auto"/>
        <w:tabs>
          <w:tab w:leader="none" w:pos="640" w:val="left"/>
        </w:tabs>
        <w:numPr>
          <w:ilvl w:val="0"/>
          <w:numId w:val="15"/>
        </w:numPr>
        <w:rPr>
          <w:rFonts w:ascii="Arial" w:cs="Arial" w:eastAsia="Arial" w:hAnsi="Arial"/>
          <w:sz w:val="18"/>
          <w:szCs w:val="18"/>
          <w:color w:val="003082"/>
        </w:rPr>
      </w:pPr>
      <w:r>
        <w:rPr>
          <w:rFonts w:ascii="Arial" w:cs="Arial" w:eastAsia="Arial" w:hAnsi="Arial"/>
          <w:sz w:val="18"/>
          <w:szCs w:val="18"/>
          <w:color w:val="003082"/>
        </w:rPr>
        <w:t>the automatic conversion and the re-designation of all of our issued and outstanding preferred shares on a one-for-one basis into Class A ordinary shares immediately prior to the completion of this offering;</w:t>
      </w:r>
    </w:p>
    <w:p>
      <w:pPr>
        <w:spacing w:after="0" w:line="116" w:lineRule="exact"/>
        <w:rPr>
          <w:rFonts w:ascii="Arial" w:cs="Arial" w:eastAsia="Arial" w:hAnsi="Arial"/>
          <w:sz w:val="18"/>
          <w:szCs w:val="18"/>
          <w:color w:val="003082"/>
        </w:rPr>
      </w:pPr>
    </w:p>
    <w:p>
      <w:pPr>
        <w:ind w:left="640" w:right="20" w:hanging="322"/>
        <w:spacing w:after="0" w:line="277" w:lineRule="auto"/>
        <w:tabs>
          <w:tab w:leader="none" w:pos="640" w:val="left"/>
        </w:tabs>
        <w:numPr>
          <w:ilvl w:val="0"/>
          <w:numId w:val="15"/>
        </w:numPr>
        <w:rPr>
          <w:rFonts w:ascii="Arial" w:cs="Arial" w:eastAsia="Arial" w:hAnsi="Arial"/>
          <w:sz w:val="18"/>
          <w:szCs w:val="18"/>
          <w:color w:val="003082"/>
        </w:rPr>
      </w:pPr>
      <w:r>
        <w:rPr>
          <w:rFonts w:ascii="Arial" w:cs="Arial" w:eastAsia="Arial" w:hAnsi="Arial"/>
          <w:sz w:val="18"/>
          <w:szCs w:val="18"/>
          <w:color w:val="003082"/>
        </w:rPr>
        <w:t>the issuance of 22,000,000 Class A ordinary shares in the concurrent private placement immediately following the closing of this offering;</w:t>
      </w:r>
    </w:p>
    <w:p>
      <w:pPr>
        <w:spacing w:after="0" w:line="116" w:lineRule="exact"/>
        <w:rPr>
          <w:rFonts w:ascii="Arial" w:cs="Arial" w:eastAsia="Arial" w:hAnsi="Arial"/>
          <w:sz w:val="18"/>
          <w:szCs w:val="18"/>
          <w:color w:val="003082"/>
        </w:rPr>
      </w:pPr>
    </w:p>
    <w:p>
      <w:pPr>
        <w:jc w:val="both"/>
        <w:ind w:left="640" w:right="20" w:hanging="322"/>
        <w:spacing w:after="0" w:line="259" w:lineRule="auto"/>
        <w:tabs>
          <w:tab w:leader="none" w:pos="640" w:val="left"/>
        </w:tabs>
        <w:numPr>
          <w:ilvl w:val="0"/>
          <w:numId w:val="15"/>
        </w:numPr>
        <w:rPr>
          <w:rFonts w:ascii="Arial" w:cs="Arial" w:eastAsia="Arial" w:hAnsi="Arial"/>
          <w:sz w:val="18"/>
          <w:szCs w:val="18"/>
          <w:color w:val="003082"/>
        </w:rPr>
      </w:pPr>
      <w:r>
        <w:rPr>
          <w:rFonts w:ascii="Arial" w:cs="Arial" w:eastAsia="Arial" w:hAnsi="Arial"/>
          <w:sz w:val="18"/>
          <w:szCs w:val="18"/>
          <w:color w:val="003082"/>
        </w:rPr>
        <w:t>the completion of the Corporate Reorganization through which Agora, Agora IO and their shareholders entered into a share swap agreement and undertook mutual share repurchases, ultimately resulting in Agora IO becoming a wholly owned subsidiary of Agora and Agora becoming wholly owned by former Agora IO shareholders, as further described in the section of this prospectus captioned “Corporate History and Structure”; and</w:t>
      </w:r>
    </w:p>
    <w:p>
      <w:pPr>
        <w:spacing w:after="0" w:line="132" w:lineRule="exact"/>
        <w:rPr>
          <w:rFonts w:ascii="Arial" w:cs="Arial" w:eastAsia="Arial" w:hAnsi="Arial"/>
          <w:sz w:val="18"/>
          <w:szCs w:val="18"/>
          <w:color w:val="003082"/>
        </w:rPr>
      </w:pPr>
    </w:p>
    <w:p>
      <w:pPr>
        <w:ind w:left="640" w:hanging="322"/>
        <w:spacing w:after="0"/>
        <w:tabs>
          <w:tab w:leader="none" w:pos="640" w:val="left"/>
        </w:tabs>
        <w:numPr>
          <w:ilvl w:val="0"/>
          <w:numId w:val="15"/>
        </w:numPr>
        <w:rPr>
          <w:rFonts w:ascii="Arial" w:cs="Arial" w:eastAsia="Arial" w:hAnsi="Arial"/>
          <w:sz w:val="18"/>
          <w:szCs w:val="18"/>
          <w:color w:val="003082"/>
        </w:rPr>
      </w:pPr>
      <w:r>
        <w:rPr>
          <w:rFonts w:ascii="Arial" w:cs="Arial" w:eastAsia="Arial" w:hAnsi="Arial"/>
          <w:sz w:val="18"/>
          <w:szCs w:val="18"/>
          <w:color w:val="003082"/>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w:t>
      </w:r>
    </w:p>
    <w:p>
      <w:pPr>
        <w:sectPr>
          <w:pgSz w:w="11900" w:h="16838" w:orient="portrait"/>
          <w:cols w:equalWidth="0" w:num="1">
            <w:col w:w="9900"/>
          </w:cols>
          <w:pgMar w:left="1000" w:top="1003" w:right="9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010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8010525"/>
                    </a:xfrm>
                    <a:prstGeom prst="rect">
                      <a:avLst/>
                    </a:prstGeom>
                    <a:noFill/>
                  </pic:spPr>
                </pic:pic>
              </a:graphicData>
            </a:graphic>
          </wp:anchor>
        </w:drawing>
        <w:t>SUMMARY CONSOLIDATED FINANCIAL AND OPERATING DATA</w:t>
      </w:r>
    </w:p>
    <w:p>
      <w:pPr>
        <w:spacing w:after="0" w:line="175" w:lineRule="exact"/>
        <w:rPr>
          <w:sz w:val="20"/>
          <w:szCs w:val="20"/>
          <w:color w:val="auto"/>
        </w:rPr>
      </w:pPr>
    </w:p>
    <w:p>
      <w:pPr>
        <w:jc w:val="both"/>
        <w:ind w:left="20" w:firstLine="324"/>
        <w:spacing w:after="0" w:line="288" w:lineRule="auto"/>
        <w:rPr>
          <w:sz w:val="20"/>
          <w:szCs w:val="20"/>
          <w:color w:val="auto"/>
        </w:rPr>
      </w:pPr>
      <w:r>
        <w:rPr>
          <w:rFonts w:ascii="Arial" w:cs="Arial" w:eastAsia="Arial" w:hAnsi="Arial"/>
          <w:sz w:val="16"/>
          <w:szCs w:val="16"/>
          <w:color w:val="003082"/>
        </w:rPr>
        <w:t>The following summary consolidated statements of comprehensive income data and summary consolidated statements of cash flows data for the years ended December 31, 2018 and 2019 have been derived from our audited consolidated financial statements included elsewhere in this prospectus. The summary consolidated statements of comprehensive income data and summary consolidated statements of cash flows data for the three months ended March 31, 2019 and 2020, and summary consolidated balance sheet data as of March 31, 2020, have been derived from our unaudited interim condensed consolidated financial statements included elsewhere in this prospectus. Our consolidated financial statements are prepared and presented in accordance with the generally accepted accounting principles in the United States, or U.S. GAAP. Our historical results are not necessarily indicative of our future results. The following summary consolidated financial data for the periods and as of the dates indicated are qualified by reference to, and should be read in conjunction with, our consolidated financial statements and the related notes included elsewhere in this prospectus and the information in the section of this prospectus captioned “Management’s Discussion and Analysis of Financial Condition and Results of Operations.”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082"/>
        </w:rPr>
        <w:t>Consolidated Statements of Comprehensive Income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5"/>
          </w:tcPr>
          <w:p>
            <w:pPr>
              <w:ind w:left="240"/>
              <w:spacing w:after="0"/>
              <w:rPr>
                <w:sz w:val="20"/>
                <w:szCs w:val="20"/>
                <w:color w:val="auto"/>
              </w:rPr>
            </w:pPr>
            <w:r>
              <w:rPr>
                <w:rFonts w:ascii="Arial" w:cs="Arial" w:eastAsia="Arial" w:hAnsi="Arial"/>
                <w:sz w:val="14"/>
                <w:szCs w:val="14"/>
                <w:b w:val="1"/>
                <w:bCs w:val="1"/>
                <w:color w:val="003082"/>
              </w:rPr>
              <w:t>Year Ended December 31,</w:t>
            </w:r>
          </w:p>
        </w:tc>
        <w:tc>
          <w:tcPr>
            <w:tcW w:w="260" w:type="dxa"/>
            <w:vAlign w:val="bottom"/>
          </w:tcPr>
          <w:p>
            <w:pPr>
              <w:spacing w:after="0"/>
              <w:rPr>
                <w:sz w:val="16"/>
                <w:szCs w:val="16"/>
                <w:color w:val="auto"/>
              </w:rPr>
            </w:pPr>
          </w:p>
        </w:tc>
        <w:tc>
          <w:tcPr>
            <w:tcW w:w="24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320" w:type="dxa"/>
            <w:vAlign w:val="bottom"/>
            <w:tcBorders>
              <w:top w:val="single" w:sz="8" w:color="3D5588"/>
              <w:bottom w:val="single" w:sz="8" w:color="3D5588"/>
            </w:tcBorders>
          </w:tcPr>
          <w:p>
            <w:pPr>
              <w:spacing w:after="0"/>
              <w:rPr>
                <w:sz w:val="22"/>
                <w:szCs w:val="22"/>
                <w:color w:val="auto"/>
              </w:rPr>
            </w:pPr>
          </w:p>
        </w:tc>
        <w:tc>
          <w:tcPr>
            <w:tcW w:w="980" w:type="dxa"/>
            <w:vAlign w:val="bottom"/>
            <w:tcBorders>
              <w:top w:val="single" w:sz="8" w:color="3D5588"/>
              <w:bottom w:val="single" w:sz="8" w:color="3D5588"/>
            </w:tcBorders>
          </w:tcPr>
          <w:p>
            <w:pPr>
              <w:jc w:val="right"/>
              <w:ind w:right="412"/>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3D5588"/>
            </w:tcBorders>
          </w:tcPr>
          <w:p>
            <w:pPr>
              <w:spacing w:after="0"/>
              <w:rPr>
                <w:sz w:val="22"/>
                <w:szCs w:val="22"/>
                <w:color w:val="auto"/>
              </w:rPr>
            </w:pPr>
          </w:p>
        </w:tc>
        <w:tc>
          <w:tcPr>
            <w:tcW w:w="320" w:type="dxa"/>
            <w:vAlign w:val="bottom"/>
            <w:tcBorders>
              <w:top w:val="single" w:sz="8" w:color="3D5588"/>
              <w:bottom w:val="single" w:sz="8" w:color="3D5588"/>
            </w:tcBorders>
          </w:tcPr>
          <w:p>
            <w:pPr>
              <w:spacing w:after="0"/>
              <w:rPr>
                <w:sz w:val="22"/>
                <w:szCs w:val="22"/>
                <w:color w:val="auto"/>
              </w:rPr>
            </w:pPr>
          </w:p>
        </w:tc>
        <w:tc>
          <w:tcPr>
            <w:tcW w:w="980" w:type="dxa"/>
            <w:vAlign w:val="bottom"/>
            <w:tcBorders>
              <w:top w:val="single" w:sz="8" w:color="3D5588"/>
              <w:bottom w:val="single" w:sz="8" w:color="3D5588"/>
            </w:tcBorders>
          </w:tcPr>
          <w:p>
            <w:pPr>
              <w:jc w:val="right"/>
              <w:ind w:right="411"/>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260" w:type="dxa"/>
            <w:vAlign w:val="bottom"/>
            <w:tcBorders>
              <w:top w:val="single" w:sz="8" w:color="3D5588"/>
              <w:bottom w:val="single" w:sz="8" w:color="3D5588"/>
            </w:tcBorders>
          </w:tcPr>
          <w:p>
            <w:pPr>
              <w:spacing w:after="0"/>
              <w:rPr>
                <w:sz w:val="22"/>
                <w:szCs w:val="22"/>
                <w:color w:val="auto"/>
              </w:rPr>
            </w:pPr>
          </w:p>
        </w:tc>
        <w:tc>
          <w:tcPr>
            <w:tcW w:w="1040" w:type="dxa"/>
            <w:vAlign w:val="bottom"/>
            <w:tcBorders>
              <w:top w:val="single" w:sz="8" w:color="3D5588"/>
              <w:bottom w:val="single" w:sz="8" w:color="3D5588"/>
            </w:tcBorders>
          </w:tcPr>
          <w:p>
            <w:pPr>
              <w:jc w:val="right"/>
              <w:ind w:right="412"/>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top w:val="single" w:sz="8" w:color="3D5588"/>
              <w:bottom w:val="single" w:sz="8" w:color="3D5588"/>
            </w:tcBorders>
          </w:tcPr>
          <w:p>
            <w:pPr>
              <w:spacing w:after="0"/>
              <w:rPr>
                <w:sz w:val="22"/>
                <w:szCs w:val="22"/>
                <w:color w:val="auto"/>
              </w:rPr>
            </w:pPr>
          </w:p>
        </w:tc>
        <w:tc>
          <w:tcPr>
            <w:tcW w:w="400" w:type="dxa"/>
            <w:vAlign w:val="bottom"/>
            <w:tcBorders>
              <w:top w:val="single" w:sz="8" w:color="3D5588"/>
              <w:bottom w:val="single" w:sz="8" w:color="3D5588"/>
            </w:tcBorders>
          </w:tcPr>
          <w:p>
            <w:pPr>
              <w:spacing w:after="0"/>
              <w:rPr>
                <w:sz w:val="22"/>
                <w:szCs w:val="22"/>
                <w:color w:val="auto"/>
              </w:rPr>
            </w:pPr>
          </w:p>
        </w:tc>
        <w:tc>
          <w:tcPr>
            <w:tcW w:w="900" w:type="dxa"/>
            <w:vAlign w:val="bottom"/>
            <w:tcBorders>
              <w:top w:val="single" w:sz="8" w:color="3D5588"/>
              <w:bottom w:val="single" w:sz="8" w:color="3D5588"/>
            </w:tcBorders>
          </w:tcPr>
          <w:p>
            <w:pPr>
              <w:jc w:val="right"/>
              <w:ind w:right="411"/>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80" w:type="dxa"/>
            <w:vAlign w:val="bottom"/>
            <w:gridSpan w:val="9"/>
          </w:tcPr>
          <w:p>
            <w:pPr>
              <w:jc w:val="right"/>
              <w:ind w:right="30"/>
              <w:spacing w:after="0"/>
              <w:rPr>
                <w:sz w:val="20"/>
                <w:szCs w:val="20"/>
                <w:color w:val="auto"/>
              </w:rPr>
            </w:pPr>
            <w:r>
              <w:rPr>
                <w:rFonts w:ascii="Arial" w:cs="Arial" w:eastAsia="Arial" w:hAnsi="Arial"/>
                <w:sz w:val="14"/>
                <w:szCs w:val="14"/>
                <w:b w:val="1"/>
                <w:bCs w:val="1"/>
                <w:color w:val="003082"/>
              </w:rPr>
              <w:t>(US$ in thousands, except for share and per share data)</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Real-time engagement service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43,199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63,925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3082"/>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13,287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35,446</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003082"/>
              </w:rPr>
              <w:t>Other revenues</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458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003082"/>
              </w:rPr>
              <w:t>503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114</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0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Total 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64,429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13,362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35,560</w:t>
            </w:r>
          </w:p>
        </w:tc>
        <w:tc>
          <w:tcPr>
            <w:tcW w:w="0" w:type="dxa"/>
            <w:vAlign w:val="bottom"/>
          </w:tcPr>
          <w:p>
            <w:pPr>
              <w:spacing w:after="0"/>
              <w:rPr>
                <w:sz w:val="1"/>
                <w:szCs w:val="1"/>
                <w:color w:val="auto"/>
              </w:rPr>
            </w:pPr>
          </w:p>
        </w:tc>
      </w:tr>
      <w:tr>
        <w:trPr>
          <w:trHeight w:val="270"/>
        </w:trPr>
        <w:tc>
          <w:tcPr>
            <w:tcW w:w="44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003082"/>
              </w:rPr>
              <w:t>Cost of revenues</w:t>
            </w:r>
            <w:r>
              <w:rPr>
                <w:rFonts w:ascii="Arial" w:cs="Arial" w:eastAsia="Arial" w:hAnsi="Arial"/>
                <w:sz w:val="25"/>
                <w:szCs w:val="25"/>
                <w:color w:val="003082"/>
                <w:vertAlign w:val="superscript"/>
              </w:rPr>
              <w:t>(1)</w:t>
            </w:r>
          </w:p>
        </w:tc>
        <w:tc>
          <w:tcPr>
            <w:tcW w:w="320" w:type="dxa"/>
            <w:vAlign w:val="bottom"/>
            <w:tcBorders>
              <w:bottom w:val="single" w:sz="8" w:color="3D5588"/>
            </w:tcBorders>
          </w:tcPr>
          <w:p>
            <w:pPr>
              <w:spacing w:after="0"/>
              <w:rPr>
                <w:sz w:val="23"/>
                <w:szCs w:val="23"/>
                <w:color w:val="auto"/>
              </w:rPr>
            </w:pPr>
          </w:p>
        </w:tc>
        <w:tc>
          <w:tcPr>
            <w:tcW w:w="9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(12,635)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3D5588"/>
            </w:tcBorders>
          </w:tcPr>
          <w:p>
            <w:pPr>
              <w:spacing w:after="0"/>
              <w:rPr>
                <w:sz w:val="23"/>
                <w:szCs w:val="23"/>
                <w:color w:val="auto"/>
              </w:rPr>
            </w:pPr>
          </w:p>
        </w:tc>
        <w:tc>
          <w:tcPr>
            <w:tcW w:w="9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(20,417)</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3D5588"/>
            </w:tcBorders>
          </w:tcPr>
          <w:p>
            <w:pPr>
              <w:spacing w:after="0"/>
              <w:rPr>
                <w:sz w:val="23"/>
                <w:szCs w:val="23"/>
                <w:color w:val="auto"/>
              </w:rPr>
            </w:pPr>
          </w:p>
        </w:tc>
        <w:tc>
          <w:tcPr>
            <w:tcW w:w="10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(4,152)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3D5588"/>
            </w:tcBorders>
          </w:tcPr>
          <w:p>
            <w:pPr>
              <w:spacing w:after="0"/>
              <w:rPr>
                <w:sz w:val="23"/>
                <w:szCs w:val="23"/>
                <w:color w:val="auto"/>
              </w:rPr>
            </w:pPr>
          </w:p>
        </w:tc>
        <w:tc>
          <w:tcPr>
            <w:tcW w:w="9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(11,082)</w:t>
            </w: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44,011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9,211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24,478</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003082"/>
              </w:rPr>
              <w:t>Operating expenses:</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003082"/>
              </w:rPr>
              <w:t>Research and development expenses</w:t>
            </w:r>
            <w:r>
              <w:rPr>
                <w:rFonts w:ascii="Arial" w:cs="Arial" w:eastAsia="Arial" w:hAnsi="Arial"/>
                <w:sz w:val="25"/>
                <w:szCs w:val="25"/>
                <w:color w:val="003082"/>
                <w:vertAlign w:val="superscript"/>
              </w:rPr>
              <w:t>(1)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(14,426)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(23,623)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(4,200)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(11,688)</w:t>
            </w:r>
          </w:p>
        </w:tc>
        <w:tc>
          <w:tcPr>
            <w:tcW w:w="0" w:type="dxa"/>
            <w:vAlign w:val="bottom"/>
          </w:tcPr>
          <w:p>
            <w:pPr>
              <w:spacing w:after="0"/>
              <w:rPr>
                <w:sz w:val="1"/>
                <w:szCs w:val="1"/>
                <w:color w:val="auto"/>
              </w:rPr>
            </w:pPr>
          </w:p>
        </w:tc>
      </w:tr>
      <w:tr>
        <w:trPr>
          <w:trHeight w:val="270"/>
        </w:trPr>
        <w:tc>
          <w:tcPr>
            <w:tcW w:w="4400" w:type="dxa"/>
            <w:vAlign w:val="bottom"/>
          </w:tcPr>
          <w:p>
            <w:pPr>
              <w:ind w:left="160"/>
              <w:spacing w:after="0" w:line="270" w:lineRule="exact"/>
              <w:rPr>
                <w:sz w:val="20"/>
                <w:szCs w:val="20"/>
                <w:color w:val="auto"/>
              </w:rPr>
            </w:pPr>
            <w:r>
              <w:rPr>
                <w:rFonts w:ascii="Arial" w:cs="Arial" w:eastAsia="Arial" w:hAnsi="Arial"/>
                <w:sz w:val="18"/>
                <w:szCs w:val="18"/>
                <w:color w:val="003082"/>
              </w:rPr>
              <w:t>Sales and marketing expenses</w:t>
            </w:r>
            <w:r>
              <w:rPr>
                <w:rFonts w:ascii="Arial" w:cs="Arial" w:eastAsia="Arial" w:hAnsi="Arial"/>
                <w:sz w:val="25"/>
                <w:szCs w:val="25"/>
                <w:color w:val="003082"/>
                <w:vertAlign w:val="superscript"/>
              </w:rPr>
              <w:t>(1)</w:t>
            </w: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(11,986)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(19,408)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(4,006)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(6,002)</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003082"/>
              </w:rPr>
              <w:t>General and administrative expenses</w:t>
            </w:r>
            <w:r>
              <w:rPr>
                <w:rFonts w:ascii="Arial" w:cs="Arial" w:eastAsia="Arial" w:hAnsi="Arial"/>
                <w:sz w:val="25"/>
                <w:szCs w:val="25"/>
                <w:color w:val="003082"/>
                <w:vertAlign w:val="superscript"/>
              </w:rPr>
              <w:t>(1)</w:t>
            </w:r>
          </w:p>
        </w:tc>
        <w:tc>
          <w:tcPr>
            <w:tcW w:w="320" w:type="dxa"/>
            <w:vAlign w:val="bottom"/>
            <w:tcBorders>
              <w:bottom w:val="single" w:sz="8" w:color="3D5588"/>
            </w:tcBorders>
            <w:shd w:val="clear" w:color="auto" w:fill="CCEEFF"/>
          </w:tcPr>
          <w:p>
            <w:pPr>
              <w:spacing w:after="0"/>
              <w:rPr>
                <w:sz w:val="23"/>
                <w:szCs w:val="23"/>
                <w:color w:val="auto"/>
              </w:rPr>
            </w:pPr>
          </w:p>
        </w:tc>
        <w:tc>
          <w:tcPr>
            <w:tcW w:w="9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(5,373)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3D5588"/>
            </w:tcBorders>
            <w:shd w:val="clear" w:color="auto" w:fill="CCEEFF"/>
          </w:tcPr>
          <w:p>
            <w:pPr>
              <w:spacing w:after="0"/>
              <w:rPr>
                <w:sz w:val="23"/>
                <w:szCs w:val="23"/>
                <w:color w:val="auto"/>
              </w:rPr>
            </w:pPr>
          </w:p>
        </w:tc>
        <w:tc>
          <w:tcPr>
            <w:tcW w:w="9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(7,177)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3D5588"/>
            </w:tcBorders>
            <w:shd w:val="clear" w:color="auto" w:fill="CCEEFF"/>
          </w:tcPr>
          <w:p>
            <w:pPr>
              <w:spacing w:after="0"/>
              <w:rPr>
                <w:sz w:val="23"/>
                <w:szCs w:val="23"/>
                <w:color w:val="auto"/>
              </w:rPr>
            </w:pPr>
          </w:p>
        </w:tc>
        <w:tc>
          <w:tcPr>
            <w:tcW w:w="10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(1,562)</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3D5588"/>
            </w:tcBorders>
            <w:shd w:val="clear" w:color="auto" w:fill="CCEEFF"/>
          </w:tcPr>
          <w:p>
            <w:pPr>
              <w:spacing w:after="0"/>
              <w:rPr>
                <w:sz w:val="23"/>
                <w:szCs w:val="23"/>
                <w:color w:val="auto"/>
              </w:rPr>
            </w:pPr>
          </w:p>
        </w:tc>
        <w:tc>
          <w:tcPr>
            <w:tcW w:w="9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(3,545)</w:t>
            </w:r>
          </w:p>
        </w:tc>
        <w:tc>
          <w:tcPr>
            <w:tcW w:w="0" w:type="dxa"/>
            <w:vAlign w:val="bottom"/>
          </w:tcPr>
          <w:p>
            <w:pPr>
              <w:spacing w:after="0"/>
              <w:rPr>
                <w:sz w:val="1"/>
                <w:szCs w:val="1"/>
                <w:color w:val="auto"/>
              </w:rPr>
            </w:pPr>
          </w:p>
        </w:tc>
      </w:tr>
      <w:tr>
        <w:trPr>
          <w:trHeight w:val="237"/>
        </w:trPr>
        <w:tc>
          <w:tcPr>
            <w:tcW w:w="4400" w:type="dxa"/>
            <w:vAlign w:val="bottom"/>
          </w:tcPr>
          <w:p>
            <w:pPr>
              <w:ind w:left="40"/>
              <w:spacing w:after="0"/>
              <w:rPr>
                <w:sz w:val="20"/>
                <w:szCs w:val="20"/>
                <w:color w:val="auto"/>
              </w:rPr>
            </w:pPr>
            <w:r>
              <w:rPr>
                <w:rFonts w:ascii="Arial" w:cs="Arial" w:eastAsia="Arial" w:hAnsi="Arial"/>
                <w:sz w:val="18"/>
                <w:szCs w:val="18"/>
                <w:color w:val="003082"/>
              </w:rPr>
              <w:t>Total operating expenses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(31,785)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(50,208)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(9,768)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(21,236)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operating income</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23</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003082"/>
              </w:rPr>
              <w:t>Income (loss) from operations</w:t>
            </w:r>
          </w:p>
        </w:tc>
        <w:tc>
          <w:tcPr>
            <w:tcW w:w="32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263</w:t>
            </w:r>
          </w:p>
        </w:tc>
        <w:tc>
          <w:tcPr>
            <w:tcW w:w="100" w:type="dxa"/>
            <w:vAlign w:val="bottom"/>
          </w:tcPr>
          <w:p>
            <w:pPr>
              <w:spacing w:after="0"/>
              <w:rPr>
                <w:sz w:val="20"/>
                <w:szCs w:val="20"/>
                <w:color w:val="auto"/>
              </w:rPr>
            </w:pPr>
          </w:p>
        </w:tc>
        <w:tc>
          <w:tcPr>
            <w:tcW w:w="32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(6,089)</w:t>
            </w:r>
          </w:p>
        </w:tc>
        <w:tc>
          <w:tcPr>
            <w:tcW w:w="100" w:type="dxa"/>
            <w:vAlign w:val="bottom"/>
          </w:tcPr>
          <w:p>
            <w:pPr>
              <w:spacing w:after="0"/>
              <w:rPr>
                <w:sz w:val="20"/>
                <w:szCs w:val="20"/>
                <w:color w:val="auto"/>
              </w:rPr>
            </w:pPr>
          </w:p>
        </w:tc>
        <w:tc>
          <w:tcPr>
            <w:tcW w:w="260" w:type="dxa"/>
            <w:vAlign w:val="bottom"/>
            <w:tcBorders>
              <w:top w:val="single" w:sz="8" w:color="3D5588"/>
            </w:tcBorders>
          </w:tcPr>
          <w:p>
            <w:pPr>
              <w:spacing w:after="0"/>
              <w:rPr>
                <w:sz w:val="20"/>
                <w:szCs w:val="20"/>
                <w:color w:val="auto"/>
              </w:rPr>
            </w:pPr>
          </w:p>
        </w:tc>
        <w:tc>
          <w:tcPr>
            <w:tcW w:w="104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(552)</w:t>
            </w:r>
          </w:p>
        </w:tc>
        <w:tc>
          <w:tcPr>
            <w:tcW w:w="100" w:type="dxa"/>
            <w:vAlign w:val="bottom"/>
          </w:tcPr>
          <w:p>
            <w:pPr>
              <w:spacing w:after="0"/>
              <w:rPr>
                <w:sz w:val="20"/>
                <w:szCs w:val="20"/>
                <w:color w:val="auto"/>
              </w:rPr>
            </w:pPr>
          </w:p>
        </w:tc>
        <w:tc>
          <w:tcPr>
            <w:tcW w:w="400" w:type="dxa"/>
            <w:vAlign w:val="bottom"/>
            <w:tcBorders>
              <w:top w:val="single" w:sz="8" w:color="3D5588"/>
            </w:tcBorders>
          </w:tcPr>
          <w:p>
            <w:pPr>
              <w:spacing w:after="0"/>
              <w:rPr>
                <w:sz w:val="20"/>
                <w:szCs w:val="20"/>
                <w:color w:val="auto"/>
              </w:rPr>
            </w:pPr>
          </w:p>
        </w:tc>
        <w:tc>
          <w:tcPr>
            <w:tcW w:w="9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3,266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Exchange gain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003082"/>
              </w:rPr>
              <w:t>Interest income</w:t>
            </w:r>
          </w:p>
        </w:tc>
        <w:tc>
          <w:tcPr>
            <w:tcW w:w="3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003082"/>
              </w:rPr>
              <w:t>626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97</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0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3,356</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003082"/>
              </w:rPr>
              <w:t>Income taxes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(801)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(190)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(369)</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0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2,987</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003082"/>
              </w:rPr>
              <w:t>Less: cumulative undeclared dividends on convertible</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003082"/>
              </w:rPr>
              <w:t>redeemable preferred shares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(9,961)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(9,961)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(2,490)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(3,399)</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003082"/>
                <w:w w:val="91"/>
              </w:rPr>
              <w:t>Less: accretion on convertible redeemable preferred shares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3082"/>
              </w:rPr>
              <w:t>to redemption value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(33,235)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(50,715)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(10,179)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(35,964)</w:t>
            </w:r>
          </w:p>
        </w:tc>
        <w:tc>
          <w:tcPr>
            <w:tcW w:w="0" w:type="dxa"/>
            <w:vAlign w:val="bottom"/>
          </w:tcPr>
          <w:p>
            <w:pPr>
              <w:spacing w:after="0"/>
              <w:rPr>
                <w:sz w:val="1"/>
                <w:szCs w:val="1"/>
                <w:color w:val="auto"/>
              </w:rPr>
            </w:pPr>
          </w:p>
        </w:tc>
      </w:tr>
      <w:tr>
        <w:trPr>
          <w:trHeight w:val="2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003082"/>
              </w:rPr>
              <w:t>Net income (loss) attributable to ordinary shareholders</w:t>
            </w:r>
          </w:p>
        </w:tc>
        <w:tc>
          <w:tcPr>
            <w:tcW w:w="320" w:type="dxa"/>
            <w:vAlign w:val="bottom"/>
            <w:tcBorders>
              <w:top w:val="single" w:sz="8" w:color="3D5588"/>
              <w:bottom w:val="single" w:sz="8" w:color="3D5588"/>
            </w:tcBorders>
          </w:tcPr>
          <w:p>
            <w:pPr>
              <w:jc w:val="right"/>
              <w:ind w:right="11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(42,820)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3D5588"/>
              <w:bottom w:val="single" w:sz="8" w:color="3D5588"/>
            </w:tcBorders>
          </w:tcPr>
          <w:p>
            <w:pPr>
              <w:jc w:val="right"/>
              <w:ind w:right="11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(66,854)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3D5588"/>
              <w:bottom w:val="single" w:sz="8" w:color="3D5588"/>
            </w:tcBorders>
          </w:tcPr>
          <w:p>
            <w:pPr>
              <w:jc w:val="right"/>
              <w:ind w:right="50"/>
              <w:spacing w:after="0"/>
              <w:rPr>
                <w:sz w:val="20"/>
                <w:szCs w:val="20"/>
                <w:color w:val="auto"/>
              </w:rPr>
            </w:pPr>
            <w:r>
              <w:rPr>
                <w:rFonts w:ascii="Arial" w:cs="Arial" w:eastAsia="Arial" w:hAnsi="Arial"/>
                <w:sz w:val="18"/>
                <w:szCs w:val="18"/>
                <w:color w:val="003082"/>
                <w:w w:val="99"/>
              </w:rPr>
              <w:t>$</w:t>
            </w:r>
          </w:p>
        </w:tc>
        <w:tc>
          <w:tcPr>
            <w:tcW w:w="104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(13,387)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3D5588"/>
              <w:bottom w:val="single" w:sz="8" w:color="3D5588"/>
            </w:tcBorders>
          </w:tcPr>
          <w:p>
            <w:pPr>
              <w:jc w:val="right"/>
              <w:ind w:right="170"/>
              <w:spacing w:after="0"/>
              <w:rPr>
                <w:sz w:val="20"/>
                <w:szCs w:val="20"/>
                <w:color w:val="auto"/>
              </w:rPr>
            </w:pPr>
            <w:r>
              <w:rPr>
                <w:rFonts w:ascii="Arial" w:cs="Arial" w:eastAsia="Arial" w:hAnsi="Arial"/>
                <w:sz w:val="18"/>
                <w:szCs w:val="18"/>
                <w:color w:val="003082"/>
              </w:rPr>
              <w:t>$</w:t>
            </w:r>
          </w:p>
        </w:tc>
        <w:tc>
          <w:tcPr>
            <w:tcW w:w="9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(36,376)</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Other comprehensive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003082"/>
              </w:rPr>
              <w:t>Foreign currency translation adjustments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(749)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(358)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003082"/>
              </w:rPr>
              <w:t>321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(501)</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0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003082"/>
                <w:w w:val="96"/>
              </w:rPr>
              <w:t>Total comprehensive income (loss) attributable to Agora,</w:t>
            </w:r>
          </w:p>
        </w:tc>
        <w:tc>
          <w:tcPr>
            <w:tcW w:w="3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(43,569)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(67,212)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(13,066)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(36,877)</w:t>
            </w:r>
          </w:p>
        </w:tc>
        <w:tc>
          <w:tcPr>
            <w:tcW w:w="0" w:type="dxa"/>
            <w:vAlign w:val="bottom"/>
          </w:tcPr>
          <w:p>
            <w:pPr>
              <w:spacing w:after="0"/>
              <w:rPr>
                <w:sz w:val="1"/>
                <w:szCs w:val="1"/>
                <w:color w:val="auto"/>
              </w:rPr>
            </w:pPr>
          </w:p>
        </w:tc>
      </w:tr>
      <w:tr>
        <w:trPr>
          <w:trHeight w:val="237"/>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003082"/>
              </w:rPr>
              <w:t>Inc.’s ordinary shareholders</w:t>
            </w:r>
          </w:p>
        </w:tc>
        <w:tc>
          <w:tcPr>
            <w:tcW w:w="320" w:type="dxa"/>
            <w:vAlign w:val="bottom"/>
            <w:tcBorders>
              <w:bottom w:val="single" w:sz="8" w:color="3D5588"/>
            </w:tcBorders>
            <w:shd w:val="clear" w:color="auto" w:fill="CCEEFF"/>
          </w:tcPr>
          <w:p>
            <w:pPr>
              <w:spacing w:after="0"/>
              <w:rPr>
                <w:sz w:val="20"/>
                <w:szCs w:val="20"/>
                <w:color w:val="auto"/>
              </w:rPr>
            </w:pPr>
          </w:p>
        </w:tc>
        <w:tc>
          <w:tcPr>
            <w:tcW w:w="980" w:type="dxa"/>
            <w:vAlign w:val="bottom"/>
            <w:tcBorders>
              <w:bottom w:val="single" w:sz="8" w:color="3D5588"/>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3D5588"/>
            </w:tcBorders>
            <w:shd w:val="clear" w:color="auto" w:fill="CCEEFF"/>
          </w:tcPr>
          <w:p>
            <w:pPr>
              <w:spacing w:after="0"/>
              <w:rPr>
                <w:sz w:val="20"/>
                <w:szCs w:val="20"/>
                <w:color w:val="auto"/>
              </w:rPr>
            </w:pPr>
          </w:p>
        </w:tc>
        <w:tc>
          <w:tcPr>
            <w:tcW w:w="980" w:type="dxa"/>
            <w:vAlign w:val="bottom"/>
            <w:tcBorders>
              <w:bottom w:val="single" w:sz="8" w:color="3D5588"/>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3D5588"/>
            </w:tcBorders>
            <w:shd w:val="clear" w:color="auto" w:fill="CCEEFF"/>
          </w:tcPr>
          <w:p>
            <w:pPr>
              <w:spacing w:after="0"/>
              <w:rPr>
                <w:sz w:val="20"/>
                <w:szCs w:val="20"/>
                <w:color w:val="auto"/>
              </w:rPr>
            </w:pPr>
          </w:p>
        </w:tc>
        <w:tc>
          <w:tcPr>
            <w:tcW w:w="1040" w:type="dxa"/>
            <w:vAlign w:val="bottom"/>
            <w:tcBorders>
              <w:bottom w:val="single" w:sz="8" w:color="3D5588"/>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3D5588"/>
            </w:tcBorders>
            <w:shd w:val="clear" w:color="auto" w:fill="CCEEFF"/>
          </w:tcPr>
          <w:p>
            <w:pPr>
              <w:spacing w:after="0"/>
              <w:rPr>
                <w:sz w:val="20"/>
                <w:szCs w:val="20"/>
                <w:color w:val="auto"/>
              </w:rPr>
            </w:pPr>
          </w:p>
        </w:tc>
        <w:tc>
          <w:tcPr>
            <w:tcW w:w="900" w:type="dxa"/>
            <w:vAlign w:val="bottom"/>
            <w:tcBorders>
              <w:bottom w:val="single" w:sz="8" w:color="3D5588"/>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15</w:t>
      </w:r>
    </w:p>
    <w:p>
      <w:pPr>
        <w:sectPr>
          <w:pgSz w:w="11900" w:h="16838" w:orient="portrait"/>
          <w:cols w:equalWidth="0" w:num="1">
            <w:col w:w="9920"/>
          </w:cols>
          <w:pgMar w:left="980" w:top="1107" w:right="9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2400" w:type="dxa"/>
            <w:vAlign w:val="bottom"/>
            <w:tcBorders>
              <w:bottom w:val="single" w:sz="8" w:color="3D5588"/>
            </w:tcBorders>
            <w:gridSpan w:val="8"/>
          </w:tcPr>
          <w:p>
            <w:pPr>
              <w:jc w:val="right"/>
              <w:ind w:right="440"/>
              <w:spacing w:after="0"/>
              <w:rPr>
                <w:sz w:val="20"/>
                <w:szCs w:val="20"/>
                <w:color w:val="auto"/>
              </w:rPr>
            </w:pPr>
            <w:r>
              <w:rPr>
                <w:rFonts w:ascii="Arial" w:cs="Arial" w:eastAsia="Arial" w:hAnsi="Arial"/>
                <w:sz w:val="14"/>
                <w:szCs w:val="14"/>
                <w:b w:val="1"/>
                <w:bCs w:val="1"/>
                <w:color w:val="003082"/>
              </w:rPr>
              <w:t>Year Ended December 31,</w:t>
            </w:r>
          </w:p>
        </w:tc>
        <w:tc>
          <w:tcPr>
            <w:tcW w:w="10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Borders>
              <w:bottom w:val="single" w:sz="8" w:color="3D5588"/>
            </w:tcBorders>
            <w:gridSpan w:val="6"/>
          </w:tcPr>
          <w:p>
            <w:pPr>
              <w:jc w:val="right"/>
              <w:ind w:right="320"/>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ind w:right="281"/>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bottom w:val="single" w:sz="8" w:color="3D5588"/>
            </w:tcBorders>
          </w:tcPr>
          <w:p>
            <w:pPr>
              <w:spacing w:after="0"/>
              <w:rPr>
                <w:sz w:val="22"/>
                <w:szCs w:val="22"/>
                <w:color w:val="auto"/>
              </w:rPr>
            </w:pPr>
          </w:p>
        </w:tc>
        <w:tc>
          <w:tcPr>
            <w:tcW w:w="20" w:type="dxa"/>
            <w:vAlign w:val="bottom"/>
            <w:tcBorders>
              <w:bottom w:val="single" w:sz="8" w:color="3D5588"/>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177"/>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80" w:type="dxa"/>
            <w:vAlign w:val="bottom"/>
            <w:tcBorders>
              <w:bottom w:val="single" w:sz="8" w:color="3D5588"/>
            </w:tcBorders>
            <w:gridSpan w:val="2"/>
          </w:tcPr>
          <w:p>
            <w:pPr>
              <w:jc w:val="right"/>
              <w:ind w:right="128"/>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900" w:type="dxa"/>
            <w:vAlign w:val="bottom"/>
            <w:tcBorders>
              <w:bottom w:val="single" w:sz="8" w:color="3D5588"/>
            </w:tcBorders>
          </w:tcPr>
          <w:p>
            <w:pPr>
              <w:jc w:val="right"/>
              <w:ind w:right="36"/>
              <w:spacing w:after="0"/>
              <w:rPr>
                <w:sz w:val="20"/>
                <w:szCs w:val="20"/>
                <w:color w:val="auto"/>
              </w:rPr>
            </w:pPr>
            <w:r>
              <w:rPr>
                <w:rFonts w:ascii="Arial" w:cs="Arial" w:eastAsia="Arial" w:hAnsi="Arial"/>
                <w:sz w:val="14"/>
                <w:szCs w:val="14"/>
                <w:b w:val="1"/>
                <w:bCs w:val="1"/>
                <w:color w:val="003082"/>
              </w:rPr>
              <w:t>2020</w:t>
            </w:r>
          </w:p>
        </w:tc>
        <w:tc>
          <w:tcPr>
            <w:tcW w:w="360" w:type="dxa"/>
            <w:vAlign w:val="bottom"/>
            <w:tcBorders>
              <w:bottom w:val="single" w:sz="8" w:color="3D5588"/>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40" w:type="dxa"/>
            <w:vAlign w:val="bottom"/>
            <w:gridSpan w:val="16"/>
          </w:tcPr>
          <w:p>
            <w:pPr>
              <w:jc w:val="right"/>
              <w:ind w:right="1000"/>
              <w:spacing w:after="0"/>
              <w:rPr>
                <w:sz w:val="20"/>
                <w:szCs w:val="20"/>
                <w:color w:val="auto"/>
              </w:rPr>
            </w:pPr>
            <w:r>
              <w:rPr>
                <w:rFonts w:ascii="Arial" w:cs="Arial" w:eastAsia="Arial" w:hAnsi="Arial"/>
                <w:sz w:val="14"/>
                <w:szCs w:val="14"/>
                <w:b w:val="1"/>
                <w:bCs w:val="1"/>
                <w:color w:val="003082"/>
              </w:rPr>
              <w:t>(US$ in thousands, except for share and per share data)</w:t>
            </w:r>
          </w:p>
        </w:tc>
        <w:tc>
          <w:tcPr>
            <w:tcW w:w="0" w:type="dxa"/>
            <w:vAlign w:val="bottom"/>
          </w:tcPr>
          <w:p>
            <w:pPr>
              <w:spacing w:after="0"/>
              <w:rPr>
                <w:sz w:val="1"/>
                <w:szCs w:val="1"/>
                <w:color w:val="auto"/>
              </w:rPr>
            </w:pPr>
          </w:p>
        </w:tc>
      </w:tr>
      <w:tr>
        <w:trPr>
          <w:trHeight w:val="241"/>
        </w:trPr>
        <w:tc>
          <w:tcPr>
            <w:tcW w:w="4420" w:type="dxa"/>
            <w:vAlign w:val="bottom"/>
            <w:gridSpan w:val="2"/>
          </w:tcPr>
          <w:p>
            <w:pPr>
              <w:ind w:left="20"/>
              <w:spacing w:after="0"/>
              <w:rPr>
                <w:sz w:val="20"/>
                <w:szCs w:val="20"/>
                <w:color w:val="auto"/>
              </w:rPr>
            </w:pPr>
            <w:r>
              <w:rPr>
                <w:rFonts w:ascii="Arial" w:cs="Arial" w:eastAsia="Arial" w:hAnsi="Arial"/>
                <w:sz w:val="18"/>
                <w:szCs w:val="18"/>
                <w:color w:val="003082"/>
              </w:rPr>
              <w:t>Net loss per share attributable to Agora, Inc.’s ordinary</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vMerge w:val="restart"/>
          </w:tcPr>
          <w:p>
            <w:pPr>
              <w:jc w:val="right"/>
              <w:spacing w:after="0"/>
              <w:rPr>
                <w:sz w:val="20"/>
                <w:szCs w:val="20"/>
                <w:color w:val="auto"/>
              </w:rPr>
            </w:pPr>
            <w:r>
              <w:rPr>
                <w:rFonts w:ascii="Arial" w:cs="Arial" w:eastAsia="Arial" w:hAnsi="Arial"/>
                <w:sz w:val="18"/>
                <w:szCs w:val="18"/>
                <w:color w:val="003082"/>
              </w:rPr>
              <w:t>(0.39)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4"/>
            <w:vMerge w:val="restart"/>
          </w:tcPr>
          <w:p>
            <w:pPr>
              <w:jc w:val="right"/>
              <w:spacing w:after="0"/>
              <w:rPr>
                <w:sz w:val="20"/>
                <w:szCs w:val="20"/>
                <w:color w:val="auto"/>
              </w:rPr>
            </w:pPr>
            <w:r>
              <w:rPr>
                <w:rFonts w:ascii="Arial" w:cs="Arial" w:eastAsia="Arial" w:hAnsi="Arial"/>
                <w:sz w:val="18"/>
                <w:szCs w:val="18"/>
                <w:color w:val="003082"/>
              </w:rPr>
              <w:t>(0.58)</w:t>
            </w:r>
          </w:p>
        </w:tc>
        <w:tc>
          <w:tcPr>
            <w:tcW w:w="1360" w:type="dxa"/>
            <w:vAlign w:val="bottom"/>
            <w:gridSpan w:val="4"/>
            <w:vMerge w:val="restart"/>
          </w:tcPr>
          <w:p>
            <w:pPr>
              <w:jc w:val="right"/>
              <w:spacing w:after="0"/>
              <w:rPr>
                <w:sz w:val="20"/>
                <w:szCs w:val="20"/>
                <w:color w:val="auto"/>
              </w:rPr>
            </w:pPr>
            <w:r>
              <w:rPr>
                <w:rFonts w:ascii="Arial" w:cs="Arial" w:eastAsia="Arial" w:hAnsi="Arial"/>
                <w:sz w:val="18"/>
                <w:szCs w:val="18"/>
                <w:color w:val="003082"/>
              </w:rPr>
              <w:t>(0.12)</w:t>
            </w:r>
          </w:p>
        </w:tc>
        <w:tc>
          <w:tcPr>
            <w:tcW w:w="120" w:type="dxa"/>
            <w:vAlign w:val="bottom"/>
          </w:tcPr>
          <w:p>
            <w:pPr>
              <w:spacing w:after="0"/>
              <w:rPr>
                <w:sz w:val="20"/>
                <w:szCs w:val="20"/>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3082"/>
              </w:rPr>
              <w:t>(0.30)</w:t>
            </w:r>
          </w:p>
        </w:tc>
        <w:tc>
          <w:tcPr>
            <w:tcW w:w="0" w:type="dxa"/>
            <w:vAlign w:val="bottom"/>
          </w:tcPr>
          <w:p>
            <w:pPr>
              <w:spacing w:after="0"/>
              <w:rPr>
                <w:sz w:val="1"/>
                <w:szCs w:val="1"/>
                <w:color w:val="auto"/>
              </w:rPr>
            </w:pPr>
          </w:p>
        </w:tc>
      </w:tr>
      <w:tr>
        <w:trPr>
          <w:trHeight w:val="284"/>
        </w:trPr>
        <w:tc>
          <w:tcPr>
            <w:tcW w:w="4420" w:type="dxa"/>
            <w:vAlign w:val="bottom"/>
            <w:gridSpan w:val="2"/>
          </w:tcPr>
          <w:p>
            <w:pPr>
              <w:ind w:left="240"/>
              <w:spacing w:after="0" w:line="244" w:lineRule="exact"/>
              <w:rPr>
                <w:sz w:val="20"/>
                <w:szCs w:val="20"/>
                <w:color w:val="auto"/>
              </w:rPr>
            </w:pPr>
            <w:r>
              <w:rPr>
                <w:rFonts w:ascii="Arial" w:cs="Arial" w:eastAsia="Arial" w:hAnsi="Arial"/>
                <w:sz w:val="18"/>
                <w:szCs w:val="18"/>
                <w:color w:val="003082"/>
              </w:rPr>
              <w:t>shareholders—basic and diluted</w:t>
            </w:r>
            <w:r>
              <w:rPr>
                <w:rFonts w:ascii="Arial" w:cs="Arial" w:eastAsia="Arial" w:hAnsi="Arial"/>
                <w:sz w:val="25"/>
                <w:szCs w:val="25"/>
                <w:color w:val="003082"/>
                <w:vertAlign w:val="superscript"/>
              </w:rPr>
              <w:t>(2)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4"/>
            <w:vMerge w:val="continue"/>
          </w:tcPr>
          <w:p>
            <w:pPr>
              <w:spacing w:after="0"/>
              <w:rPr>
                <w:sz w:val="24"/>
                <w:szCs w:val="24"/>
                <w:color w:val="auto"/>
              </w:rPr>
            </w:pPr>
          </w:p>
        </w:tc>
        <w:tc>
          <w:tcPr>
            <w:tcW w:w="136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003082"/>
                <w:w w:val="96"/>
              </w:rPr>
              <w:t>Weighted average number of ordinary shares—basic and</w:t>
            </w: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3D5588"/>
            </w:tcBorders>
            <w:shd w:val="clear" w:color="auto" w:fill="CCEEFF"/>
          </w:tcPr>
          <w:p>
            <w:pPr>
              <w:spacing w:after="0"/>
              <w:rPr>
                <w:sz w:val="15"/>
                <w:szCs w:val="15"/>
                <w:color w:val="auto"/>
              </w:rPr>
            </w:pPr>
          </w:p>
        </w:tc>
        <w:tc>
          <w:tcPr>
            <w:tcW w:w="960" w:type="dxa"/>
            <w:vAlign w:val="bottom"/>
            <w:tcBorders>
              <w:top w:val="single" w:sz="8" w:color="3D5588"/>
            </w:tcBorders>
            <w:shd w:val="clear" w:color="auto" w:fill="CCEEFF"/>
          </w:tcPr>
          <w:p>
            <w:pPr>
              <w:spacing w:after="0"/>
              <w:rPr>
                <w:sz w:val="15"/>
                <w:szCs w:val="15"/>
                <w:color w:val="auto"/>
              </w:rPr>
            </w:pPr>
          </w:p>
        </w:tc>
        <w:tc>
          <w:tcPr>
            <w:tcW w:w="100" w:type="dxa"/>
            <w:vAlign w:val="bottom"/>
            <w:tcBorders>
              <w:top w:val="single" w:sz="8" w:color="3D5588"/>
            </w:tcBorders>
            <w:shd w:val="clear" w:color="auto" w:fill="CCEEFF"/>
          </w:tcPr>
          <w:p>
            <w:pPr>
              <w:spacing w:after="0"/>
              <w:rPr>
                <w:sz w:val="15"/>
                <w:szCs w:val="15"/>
                <w:color w:val="auto"/>
              </w:rPr>
            </w:pPr>
          </w:p>
        </w:tc>
        <w:tc>
          <w:tcPr>
            <w:tcW w:w="20" w:type="dxa"/>
            <w:vAlign w:val="bottom"/>
            <w:tcBorders>
              <w:top w:val="single" w:sz="8" w:color="3D5588"/>
            </w:tcBorders>
            <w:shd w:val="clear" w:color="auto" w:fill="CCEEFF"/>
          </w:tcPr>
          <w:p>
            <w:pPr>
              <w:spacing w:after="0"/>
              <w:rPr>
                <w:sz w:val="15"/>
                <w:szCs w:val="15"/>
                <w:color w:val="auto"/>
              </w:rPr>
            </w:pPr>
          </w:p>
        </w:tc>
        <w:tc>
          <w:tcPr>
            <w:tcW w:w="40" w:type="dxa"/>
            <w:vAlign w:val="bottom"/>
            <w:tcBorders>
              <w:top w:val="single" w:sz="8" w:color="3D5588"/>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3D5588"/>
            </w:tcBorders>
            <w:shd w:val="clear" w:color="auto" w:fill="CCEEFF"/>
          </w:tcPr>
          <w:p>
            <w:pPr>
              <w:spacing w:after="0"/>
              <w:rPr>
                <w:sz w:val="15"/>
                <w:szCs w:val="15"/>
                <w:color w:val="auto"/>
              </w:rPr>
            </w:pPr>
          </w:p>
        </w:tc>
        <w:tc>
          <w:tcPr>
            <w:tcW w:w="100" w:type="dxa"/>
            <w:vAlign w:val="bottom"/>
            <w:tcBorders>
              <w:top w:val="single" w:sz="8" w:color="3D5588"/>
            </w:tcBorders>
            <w:shd w:val="clear" w:color="auto" w:fill="CCEEFF"/>
          </w:tcPr>
          <w:p>
            <w:pPr>
              <w:spacing w:after="0"/>
              <w:rPr>
                <w:sz w:val="15"/>
                <w:szCs w:val="15"/>
                <w:color w:val="auto"/>
              </w:rPr>
            </w:pPr>
          </w:p>
        </w:tc>
        <w:tc>
          <w:tcPr>
            <w:tcW w:w="40" w:type="dxa"/>
            <w:vAlign w:val="bottom"/>
            <w:tcBorders>
              <w:top w:val="single" w:sz="8" w:color="3D5588"/>
            </w:tcBorders>
            <w:shd w:val="clear" w:color="auto" w:fill="CCEEFF"/>
          </w:tcPr>
          <w:p>
            <w:pPr>
              <w:spacing w:after="0"/>
              <w:rPr>
                <w:sz w:val="15"/>
                <w:szCs w:val="15"/>
                <w:color w:val="auto"/>
              </w:rPr>
            </w:pPr>
          </w:p>
        </w:tc>
        <w:tc>
          <w:tcPr>
            <w:tcW w:w="100" w:type="dxa"/>
            <w:vAlign w:val="bottom"/>
            <w:tcBorders>
              <w:top w:val="single" w:sz="8" w:color="3D5588"/>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3D5588"/>
            </w:tcBorders>
            <w:shd w:val="clear" w:color="auto" w:fill="CCEEFF"/>
          </w:tcPr>
          <w:p>
            <w:pPr>
              <w:spacing w:after="0"/>
              <w:rPr>
                <w:sz w:val="15"/>
                <w:szCs w:val="15"/>
                <w:color w:val="auto"/>
              </w:rPr>
            </w:pPr>
          </w:p>
        </w:tc>
        <w:tc>
          <w:tcPr>
            <w:tcW w:w="100" w:type="dxa"/>
            <w:vAlign w:val="bottom"/>
            <w:tcBorders>
              <w:top w:val="single" w:sz="8" w:color="3D5588"/>
            </w:tcBorders>
            <w:shd w:val="clear" w:color="auto" w:fill="CCEEFF"/>
          </w:tcPr>
          <w:p>
            <w:pPr>
              <w:spacing w:after="0"/>
              <w:rPr>
                <w:sz w:val="15"/>
                <w:szCs w:val="15"/>
                <w:color w:val="auto"/>
              </w:rPr>
            </w:pPr>
          </w:p>
        </w:tc>
        <w:tc>
          <w:tcPr>
            <w:tcW w:w="180" w:type="dxa"/>
            <w:vAlign w:val="bottom"/>
            <w:tcBorders>
              <w:top w:val="single" w:sz="8" w:color="3D5588"/>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3D5588"/>
            </w:tcBorders>
            <w:shd w:val="clear" w:color="auto" w:fill="CCEEFF"/>
          </w:tcPr>
          <w:p>
            <w:pPr>
              <w:spacing w:after="0"/>
              <w:rPr>
                <w:sz w:val="15"/>
                <w:szCs w:val="15"/>
                <w:color w:val="auto"/>
              </w:rPr>
            </w:pPr>
          </w:p>
        </w:tc>
        <w:tc>
          <w:tcPr>
            <w:tcW w:w="360" w:type="dxa"/>
            <w:vAlign w:val="bottom"/>
            <w:tcBorders>
              <w:top w:val="single" w:sz="8" w:color="3D5588"/>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420" w:type="dxa"/>
            <w:vAlign w:val="bottom"/>
            <w:gridSpan w:val="2"/>
            <w:shd w:val="clear" w:color="auto" w:fill="CCEEFF"/>
          </w:tcPr>
          <w:p>
            <w:pPr>
              <w:ind w:left="240"/>
              <w:spacing w:after="0" w:line="257" w:lineRule="exact"/>
              <w:rPr>
                <w:sz w:val="20"/>
                <w:szCs w:val="20"/>
                <w:color w:val="auto"/>
              </w:rPr>
            </w:pPr>
            <w:r>
              <w:rPr>
                <w:rFonts w:ascii="Arial" w:cs="Arial" w:eastAsia="Arial" w:hAnsi="Arial"/>
                <w:sz w:val="18"/>
                <w:szCs w:val="18"/>
                <w:color w:val="003082"/>
              </w:rPr>
              <w:t>diluted</w:t>
            </w:r>
            <w:r>
              <w:rPr>
                <w:rFonts w:ascii="Arial" w:cs="Arial" w:eastAsia="Arial" w:hAnsi="Arial"/>
                <w:sz w:val="25"/>
                <w:szCs w:val="25"/>
                <w:color w:val="003082"/>
                <w:vertAlign w:val="superscript"/>
              </w:rPr>
              <w:t>(2)</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003082"/>
                <w:w w:val="99"/>
              </w:rPr>
              <w:t>109,141,311</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3082"/>
              </w:rPr>
              <w:t>115,716,392</w:t>
            </w:r>
          </w:p>
        </w:tc>
        <w:tc>
          <w:tcPr>
            <w:tcW w:w="10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003082"/>
              </w:rPr>
              <w:t>113,245,308</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003082"/>
              </w:rPr>
              <w:t>119,882,136</w:t>
            </w:r>
          </w:p>
        </w:tc>
        <w:tc>
          <w:tcPr>
            <w:tcW w:w="0" w:type="dxa"/>
            <w:vAlign w:val="bottom"/>
          </w:tcPr>
          <w:p>
            <w:pPr>
              <w:spacing w:after="0"/>
              <w:rPr>
                <w:sz w:val="1"/>
                <w:szCs w:val="1"/>
                <w:color w:val="auto"/>
              </w:rPr>
            </w:pPr>
          </w:p>
        </w:tc>
      </w:tr>
      <w:tr>
        <w:trPr>
          <w:trHeight w:val="310"/>
        </w:trPr>
        <w:tc>
          <w:tcPr>
            <w:tcW w:w="442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003082"/>
                <w:w w:val="93"/>
              </w:rPr>
              <w:t>Pro forma basic earnings per ordinary share (unaudited)</w:t>
            </w:r>
            <w:r>
              <w:rPr>
                <w:rFonts w:ascii="Arial" w:cs="Arial" w:eastAsia="Arial" w:hAnsi="Arial"/>
                <w:sz w:val="25"/>
                <w:szCs w:val="25"/>
                <w:color w:val="003082"/>
                <w:w w:val="93"/>
                <w:vertAlign w:val="superscript"/>
              </w:rPr>
              <w:t>(3)</w:t>
            </w: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3D5588"/>
            </w:tcBorders>
            <w:gridSpan w:val="4"/>
          </w:tcPr>
          <w:p>
            <w:pPr>
              <w:jc w:val="right"/>
              <w:spacing w:after="0"/>
              <w:rPr>
                <w:sz w:val="20"/>
                <w:szCs w:val="20"/>
                <w:color w:val="auto"/>
              </w:rPr>
            </w:pPr>
            <w:r>
              <w:rPr>
                <w:rFonts w:ascii="Arial" w:cs="Arial" w:eastAsia="Arial" w:hAnsi="Arial"/>
                <w:sz w:val="18"/>
                <w:szCs w:val="18"/>
                <w:color w:val="003082"/>
              </w:rPr>
              <w:t>(0.02)</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3D5588"/>
            </w:tcBorders>
            <w:gridSpan w:val="2"/>
          </w:tcPr>
          <w:p>
            <w:pPr>
              <w:jc w:val="right"/>
              <w:ind w:right="80"/>
              <w:spacing w:after="0"/>
              <w:rPr>
                <w:sz w:val="20"/>
                <w:szCs w:val="20"/>
                <w:color w:val="auto"/>
              </w:rPr>
            </w:pPr>
            <w:r>
              <w:rPr>
                <w:rFonts w:ascii="Arial" w:cs="Arial" w:eastAsia="Arial" w:hAnsi="Arial"/>
                <w:sz w:val="18"/>
                <w:szCs w:val="18"/>
                <w:color w:val="003082"/>
              </w:rPr>
              <w:t>0.01</w:t>
            </w:r>
          </w:p>
        </w:tc>
        <w:tc>
          <w:tcPr>
            <w:tcW w:w="0" w:type="dxa"/>
            <w:vAlign w:val="bottom"/>
          </w:tcPr>
          <w:p>
            <w:pPr>
              <w:spacing w:after="0"/>
              <w:rPr>
                <w:sz w:val="1"/>
                <w:szCs w:val="1"/>
                <w:color w:val="auto"/>
              </w:rPr>
            </w:pPr>
          </w:p>
        </w:tc>
      </w:tr>
      <w:tr>
        <w:trPr>
          <w:trHeight w:val="251"/>
        </w:trPr>
        <w:tc>
          <w:tcPr>
            <w:tcW w:w="4420" w:type="dxa"/>
            <w:vAlign w:val="bottom"/>
            <w:tcBorders>
              <w:bottom w:val="single" w:sz="8" w:color="CCEEFF"/>
            </w:tcBorders>
            <w:gridSpan w:val="2"/>
            <w:shd w:val="clear" w:color="auto" w:fill="CCEEFF"/>
          </w:tcPr>
          <w:p>
            <w:pPr>
              <w:ind w:left="20"/>
              <w:spacing w:after="0" w:line="251" w:lineRule="exact"/>
              <w:rPr>
                <w:sz w:val="20"/>
                <w:szCs w:val="20"/>
                <w:color w:val="auto"/>
              </w:rPr>
            </w:pPr>
            <w:r>
              <w:rPr>
                <w:rFonts w:ascii="Arial" w:cs="Arial" w:eastAsia="Arial" w:hAnsi="Arial"/>
                <w:sz w:val="18"/>
                <w:szCs w:val="18"/>
                <w:color w:val="003082"/>
                <w:w w:val="91"/>
              </w:rPr>
              <w:t>Pro forma diluted earnings per ordinary share (unaudited)</w:t>
            </w:r>
            <w:r>
              <w:rPr>
                <w:rFonts w:ascii="Arial" w:cs="Arial" w:eastAsia="Arial" w:hAnsi="Arial"/>
                <w:sz w:val="25"/>
                <w:szCs w:val="25"/>
                <w:color w:val="003082"/>
                <w:w w:val="91"/>
                <w:vertAlign w:val="superscript"/>
              </w:rPr>
              <w:t>(3)</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3D5588"/>
            </w:tcBorders>
            <w:gridSpan w:val="4"/>
            <w:shd w:val="clear" w:color="auto" w:fill="CCEEFF"/>
          </w:tcPr>
          <w:p>
            <w:pPr>
              <w:jc w:val="right"/>
              <w:spacing w:after="0"/>
              <w:rPr>
                <w:sz w:val="20"/>
                <w:szCs w:val="20"/>
                <w:color w:val="auto"/>
              </w:rPr>
            </w:pPr>
            <w:r>
              <w:rPr>
                <w:rFonts w:ascii="Arial" w:cs="Arial" w:eastAsia="Arial" w:hAnsi="Arial"/>
                <w:sz w:val="18"/>
                <w:szCs w:val="18"/>
                <w:color w:val="003082"/>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3D5588"/>
            </w:tcBorders>
            <w:gridSpan w:val="2"/>
            <w:shd w:val="clear" w:color="auto" w:fill="CCEEFF"/>
          </w:tcPr>
          <w:p>
            <w:pPr>
              <w:jc w:val="right"/>
              <w:ind w:right="80"/>
              <w:spacing w:after="0"/>
              <w:rPr>
                <w:sz w:val="20"/>
                <w:szCs w:val="20"/>
                <w:color w:val="auto"/>
              </w:rPr>
            </w:pPr>
            <w:r>
              <w:rPr>
                <w:rFonts w:ascii="Arial" w:cs="Arial" w:eastAsia="Arial" w:hAnsi="Arial"/>
                <w:sz w:val="18"/>
                <w:szCs w:val="18"/>
                <w:color w:val="003082"/>
              </w:rPr>
              <w:t>0.01</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20"/>
              <w:spacing w:after="0"/>
              <w:rPr>
                <w:sz w:val="20"/>
                <w:szCs w:val="20"/>
                <w:color w:val="auto"/>
              </w:rPr>
            </w:pPr>
            <w:r>
              <w:rPr>
                <w:rFonts w:ascii="Arial" w:cs="Arial" w:eastAsia="Arial" w:hAnsi="Arial"/>
                <w:sz w:val="18"/>
                <w:szCs w:val="18"/>
                <w:color w:val="003082"/>
                <w:w w:val="90"/>
              </w:rPr>
              <w:t>Denominator for pro forma basic earnings per ordinary share</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4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8"/>
                <w:szCs w:val="18"/>
                <w:color w:val="003082"/>
              </w:rPr>
              <w:t>283,571,873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003082"/>
              </w:rPr>
              <w:t>295,848,199</w:t>
            </w:r>
          </w:p>
        </w:tc>
        <w:tc>
          <w:tcPr>
            <w:tcW w:w="0" w:type="dxa"/>
            <w:vAlign w:val="bottom"/>
          </w:tcPr>
          <w:p>
            <w:pPr>
              <w:spacing w:after="0"/>
              <w:rPr>
                <w:sz w:val="1"/>
                <w:szCs w:val="1"/>
                <w:color w:val="auto"/>
              </w:rPr>
            </w:pPr>
          </w:p>
        </w:tc>
      </w:tr>
      <w:tr>
        <w:trPr>
          <w:trHeight w:val="284"/>
        </w:trPr>
        <w:tc>
          <w:tcPr>
            <w:tcW w:w="4420" w:type="dxa"/>
            <w:vAlign w:val="bottom"/>
            <w:tcBorders>
              <w:bottom w:val="single" w:sz="8" w:color="CCEEFF"/>
            </w:tcBorders>
            <w:gridSpan w:val="2"/>
          </w:tcPr>
          <w:p>
            <w:pPr>
              <w:ind w:left="240"/>
              <w:spacing w:after="0" w:line="244" w:lineRule="exact"/>
              <w:rPr>
                <w:sz w:val="20"/>
                <w:szCs w:val="20"/>
                <w:color w:val="auto"/>
              </w:rPr>
            </w:pPr>
            <w:r>
              <w:rPr>
                <w:rFonts w:ascii="Arial" w:cs="Arial" w:eastAsia="Arial" w:hAnsi="Arial"/>
                <w:sz w:val="18"/>
                <w:szCs w:val="18"/>
                <w:color w:val="003082"/>
              </w:rPr>
              <w:t>(unaudited)</w:t>
            </w:r>
            <w:r>
              <w:rPr>
                <w:rFonts w:ascii="Arial" w:cs="Arial" w:eastAsia="Arial" w:hAnsi="Arial"/>
                <w:sz w:val="25"/>
                <w:szCs w:val="25"/>
                <w:color w:val="003082"/>
                <w:vertAlign w:val="superscript"/>
              </w:rPr>
              <w:t>(3)</w:t>
            </w: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3D5588"/>
            </w:tcBorders>
            <w:gridSpan w:val="3"/>
            <w:vMerge w:val="continue"/>
          </w:tcPr>
          <w:p>
            <w:pPr>
              <w:spacing w:after="0"/>
              <w:rPr>
                <w:sz w:val="24"/>
                <w:szCs w:val="24"/>
                <w:color w:val="auto"/>
              </w:rPr>
            </w:pPr>
          </w:p>
        </w:tc>
        <w:tc>
          <w:tcPr>
            <w:tcW w:w="100" w:type="dxa"/>
            <w:vAlign w:val="bottom"/>
            <w:tcBorders>
              <w:bottom w:val="single" w:sz="8" w:color="3D5588"/>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3D5588"/>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4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003082"/>
                <w:w w:val="98"/>
              </w:rPr>
              <w:t>Denominator for pro forma diluted earnings per ordinary</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003082"/>
              </w:rPr>
              <w:t>283,571,873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003082"/>
              </w:rPr>
              <w:t>331,484,554</w:t>
            </w:r>
          </w:p>
        </w:tc>
        <w:tc>
          <w:tcPr>
            <w:tcW w:w="0" w:type="dxa"/>
            <w:vAlign w:val="bottom"/>
          </w:tcPr>
          <w:p>
            <w:pPr>
              <w:spacing w:after="0"/>
              <w:rPr>
                <w:sz w:val="1"/>
                <w:szCs w:val="1"/>
                <w:color w:val="auto"/>
              </w:rPr>
            </w:pPr>
          </w:p>
        </w:tc>
      </w:tr>
      <w:tr>
        <w:trPr>
          <w:trHeight w:val="244"/>
        </w:trPr>
        <w:tc>
          <w:tcPr>
            <w:tcW w:w="4420" w:type="dxa"/>
            <w:vAlign w:val="bottom"/>
            <w:tcBorders>
              <w:bottom w:val="single" w:sz="8" w:color="CCEEFF"/>
            </w:tcBorders>
            <w:gridSpan w:val="2"/>
            <w:shd w:val="clear" w:color="auto" w:fill="CCEEFF"/>
          </w:tcPr>
          <w:p>
            <w:pPr>
              <w:ind w:left="240"/>
              <w:spacing w:after="0" w:line="244" w:lineRule="exact"/>
              <w:rPr>
                <w:sz w:val="20"/>
                <w:szCs w:val="20"/>
                <w:color w:val="auto"/>
              </w:rPr>
            </w:pPr>
            <w:r>
              <w:rPr>
                <w:rFonts w:ascii="Arial" w:cs="Arial" w:eastAsia="Arial" w:hAnsi="Arial"/>
                <w:sz w:val="18"/>
                <w:szCs w:val="18"/>
                <w:color w:val="003082"/>
              </w:rPr>
              <w:t>share (unaudited)</w:t>
            </w:r>
            <w:r>
              <w:rPr>
                <w:rFonts w:ascii="Arial" w:cs="Arial" w:eastAsia="Arial" w:hAnsi="Arial"/>
                <w:sz w:val="25"/>
                <w:szCs w:val="25"/>
                <w:color w:val="003082"/>
                <w:vertAlign w:val="superscript"/>
              </w:rPr>
              <w:t>(3)</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3D5588"/>
            </w:tcBorders>
            <w:gridSpan w:val="3"/>
            <w:vMerge w:val="continue"/>
            <w:shd w:val="clear" w:color="auto" w:fill="CCEEFF"/>
          </w:tcPr>
          <w:p>
            <w:pPr>
              <w:spacing w:after="0"/>
              <w:rPr>
                <w:sz w:val="21"/>
                <w:szCs w:val="21"/>
                <w:color w:val="auto"/>
              </w:rPr>
            </w:pPr>
          </w:p>
        </w:tc>
        <w:tc>
          <w:tcPr>
            <w:tcW w:w="100" w:type="dxa"/>
            <w:vAlign w:val="bottom"/>
            <w:tcBorders>
              <w:bottom w:val="single" w:sz="8" w:color="3D5588"/>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3D5588"/>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20"/>
              <w:spacing w:after="0"/>
              <w:rPr>
                <w:sz w:val="20"/>
                <w:szCs w:val="20"/>
                <w:color w:val="auto"/>
              </w:rPr>
            </w:pPr>
            <w:r>
              <w:rPr>
                <w:rFonts w:ascii="Arial" w:cs="Arial" w:eastAsia="Arial" w:hAnsi="Arial"/>
                <w:sz w:val="16"/>
                <w:szCs w:val="16"/>
                <w:color w:val="003082"/>
              </w:rPr>
              <w:t>________________</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4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060" w:type="dxa"/>
            <w:vAlign w:val="bottom"/>
            <w:gridSpan w:val="12"/>
          </w:tcPr>
          <w:p>
            <w:pPr>
              <w:ind w:left="20"/>
              <w:spacing w:after="0"/>
              <w:rPr>
                <w:sz w:val="20"/>
                <w:szCs w:val="20"/>
                <w:color w:val="auto"/>
              </w:rPr>
            </w:pPr>
            <w:r>
              <w:rPr>
                <w:rFonts w:ascii="Arial" w:cs="Arial" w:eastAsia="Arial" w:hAnsi="Arial"/>
                <w:sz w:val="16"/>
                <w:szCs w:val="16"/>
                <w:color w:val="003082"/>
                <w:w w:val="90"/>
              </w:rPr>
              <w:t>(1)  S</w:t>
            </w:r>
            <w:r>
              <w:rPr>
                <w:rFonts w:ascii="Arial" w:cs="Arial" w:eastAsia="Arial" w:hAnsi="Arial"/>
                <w:sz w:val="16"/>
                <w:szCs w:val="16"/>
                <w:color w:val="003082"/>
                <w:highlight w:val="white"/>
                <w:w w:val="90"/>
              </w:rPr>
              <w:t>hare-based compensation expense was allocated to cost of revenue and operating expenses as follows</w:t>
            </w:r>
            <w:r>
              <w:rPr>
                <w:rFonts w:ascii="Arial" w:cs="Arial" w:eastAsia="Arial" w:hAnsi="Arial"/>
                <w:sz w:val="16"/>
                <w:szCs w:val="16"/>
                <w:color w:val="003082"/>
                <w:w w:val="90"/>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003082"/>
              </w:rPr>
              <w:t>Year Ended December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003082"/>
                <w:w w:val="96"/>
              </w:rPr>
              <w:t>Three Months Ended March 31,</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40" w:type="dxa"/>
            <w:vAlign w:val="bottom"/>
            <w:tcBorders>
              <w:top w:val="single" w:sz="8" w:color="3D5588"/>
              <w:bottom w:val="single" w:sz="8" w:color="3D5588"/>
            </w:tcBorders>
          </w:tcPr>
          <w:p>
            <w:pPr>
              <w:spacing w:after="0"/>
              <w:rPr>
                <w:sz w:val="22"/>
                <w:szCs w:val="22"/>
                <w:color w:val="auto"/>
              </w:rPr>
            </w:pPr>
          </w:p>
        </w:tc>
        <w:tc>
          <w:tcPr>
            <w:tcW w:w="200" w:type="dxa"/>
            <w:vAlign w:val="bottom"/>
            <w:tcBorders>
              <w:top w:val="single" w:sz="8" w:color="3D5588"/>
              <w:bottom w:val="single" w:sz="8" w:color="3D5588"/>
            </w:tcBorders>
          </w:tcPr>
          <w:p>
            <w:pPr>
              <w:spacing w:after="0"/>
              <w:rPr>
                <w:sz w:val="22"/>
                <w:szCs w:val="22"/>
                <w:color w:val="auto"/>
              </w:rPr>
            </w:pPr>
          </w:p>
        </w:tc>
        <w:tc>
          <w:tcPr>
            <w:tcW w:w="960" w:type="dxa"/>
            <w:vAlign w:val="bottom"/>
            <w:tcBorders>
              <w:top w:val="single" w:sz="8" w:color="3D5588"/>
              <w:bottom w:val="single" w:sz="8" w:color="3D5588"/>
            </w:tcBorders>
          </w:tcPr>
          <w:p>
            <w:pPr>
              <w:jc w:val="right"/>
              <w:ind w:right="381"/>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3D5588"/>
            </w:tcBorders>
          </w:tcPr>
          <w:p>
            <w:pPr>
              <w:spacing w:after="0"/>
              <w:rPr>
                <w:sz w:val="22"/>
                <w:szCs w:val="22"/>
                <w:color w:val="auto"/>
              </w:rPr>
            </w:pPr>
          </w:p>
        </w:tc>
        <w:tc>
          <w:tcPr>
            <w:tcW w:w="20" w:type="dxa"/>
            <w:vAlign w:val="bottom"/>
            <w:tcBorders>
              <w:top w:val="single" w:sz="8" w:color="3D5588"/>
              <w:bottom w:val="single" w:sz="8" w:color="3D5588"/>
            </w:tcBorders>
          </w:tcPr>
          <w:p>
            <w:pPr>
              <w:spacing w:after="0"/>
              <w:rPr>
                <w:sz w:val="22"/>
                <w:szCs w:val="22"/>
                <w:color w:val="auto"/>
              </w:rPr>
            </w:pPr>
          </w:p>
        </w:tc>
        <w:tc>
          <w:tcPr>
            <w:tcW w:w="40" w:type="dxa"/>
            <w:vAlign w:val="bottom"/>
            <w:tcBorders>
              <w:top w:val="single" w:sz="8" w:color="3D5588"/>
              <w:bottom w:val="single" w:sz="8" w:color="3D5588"/>
            </w:tcBorders>
          </w:tcPr>
          <w:p>
            <w:pPr>
              <w:spacing w:after="0"/>
              <w:rPr>
                <w:sz w:val="22"/>
                <w:szCs w:val="22"/>
                <w:color w:val="auto"/>
              </w:rPr>
            </w:pPr>
          </w:p>
        </w:tc>
        <w:tc>
          <w:tcPr>
            <w:tcW w:w="100" w:type="dxa"/>
            <w:vAlign w:val="bottom"/>
            <w:tcBorders>
              <w:top w:val="single" w:sz="8" w:color="3D5588"/>
              <w:bottom w:val="single" w:sz="8" w:color="3D5588"/>
            </w:tcBorders>
          </w:tcPr>
          <w:p>
            <w:pPr>
              <w:spacing w:after="0"/>
              <w:rPr>
                <w:sz w:val="22"/>
                <w:szCs w:val="22"/>
                <w:color w:val="auto"/>
              </w:rPr>
            </w:pPr>
          </w:p>
        </w:tc>
        <w:tc>
          <w:tcPr>
            <w:tcW w:w="1040" w:type="dxa"/>
            <w:vAlign w:val="bottom"/>
            <w:tcBorders>
              <w:top w:val="single" w:sz="8" w:color="3D5588"/>
              <w:bottom w:val="single" w:sz="8" w:color="3D5588"/>
            </w:tcBorders>
          </w:tcPr>
          <w:p>
            <w:pPr>
              <w:jc w:val="right"/>
              <w:ind w:right="377"/>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40" w:type="dxa"/>
            <w:vAlign w:val="bottom"/>
            <w:tcBorders>
              <w:top w:val="single" w:sz="8" w:color="3D5588"/>
              <w:bottom w:val="single" w:sz="8" w:color="3D5588"/>
            </w:tcBorders>
          </w:tcPr>
          <w:p>
            <w:pPr>
              <w:spacing w:after="0"/>
              <w:rPr>
                <w:sz w:val="22"/>
                <w:szCs w:val="22"/>
                <w:color w:val="auto"/>
              </w:rPr>
            </w:pPr>
          </w:p>
        </w:tc>
        <w:tc>
          <w:tcPr>
            <w:tcW w:w="100" w:type="dxa"/>
            <w:vAlign w:val="bottom"/>
            <w:tcBorders>
              <w:top w:val="single" w:sz="8" w:color="3D5588"/>
              <w:bottom w:val="single" w:sz="8" w:color="3D5588"/>
            </w:tcBorders>
          </w:tcPr>
          <w:p>
            <w:pPr>
              <w:spacing w:after="0"/>
              <w:rPr>
                <w:sz w:val="22"/>
                <w:szCs w:val="22"/>
                <w:color w:val="auto"/>
              </w:rPr>
            </w:pPr>
          </w:p>
        </w:tc>
        <w:tc>
          <w:tcPr>
            <w:tcW w:w="1080" w:type="dxa"/>
            <w:vAlign w:val="bottom"/>
            <w:tcBorders>
              <w:top w:val="single" w:sz="8" w:color="3D5588"/>
              <w:bottom w:val="single" w:sz="8" w:color="3D5588"/>
            </w:tcBorders>
            <w:gridSpan w:val="2"/>
          </w:tcPr>
          <w:p>
            <w:pPr>
              <w:jc w:val="right"/>
              <w:ind w:right="388"/>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top w:val="single" w:sz="8" w:color="3D5588"/>
              <w:bottom w:val="single" w:sz="8" w:color="3D5588"/>
            </w:tcBorders>
          </w:tcPr>
          <w:p>
            <w:pPr>
              <w:spacing w:after="0"/>
              <w:rPr>
                <w:sz w:val="22"/>
                <w:szCs w:val="22"/>
                <w:color w:val="auto"/>
              </w:rPr>
            </w:pPr>
          </w:p>
        </w:tc>
        <w:tc>
          <w:tcPr>
            <w:tcW w:w="180" w:type="dxa"/>
            <w:vAlign w:val="bottom"/>
            <w:tcBorders>
              <w:top w:val="single" w:sz="8" w:color="3D5588"/>
              <w:bottom w:val="single" w:sz="8" w:color="3D5588"/>
            </w:tcBorders>
          </w:tcPr>
          <w:p>
            <w:pPr>
              <w:spacing w:after="0"/>
              <w:rPr>
                <w:sz w:val="22"/>
                <w:szCs w:val="22"/>
                <w:color w:val="auto"/>
              </w:rPr>
            </w:pPr>
          </w:p>
        </w:tc>
        <w:tc>
          <w:tcPr>
            <w:tcW w:w="120" w:type="dxa"/>
            <w:vAlign w:val="bottom"/>
            <w:tcBorders>
              <w:top w:val="single" w:sz="8" w:color="3D5588"/>
              <w:bottom w:val="single" w:sz="8" w:color="3D5588"/>
            </w:tcBorders>
          </w:tcPr>
          <w:p>
            <w:pPr>
              <w:spacing w:after="0"/>
              <w:rPr>
                <w:sz w:val="22"/>
                <w:szCs w:val="22"/>
                <w:color w:val="auto"/>
              </w:rPr>
            </w:pPr>
          </w:p>
        </w:tc>
        <w:tc>
          <w:tcPr>
            <w:tcW w:w="900" w:type="dxa"/>
            <w:vAlign w:val="bottom"/>
            <w:tcBorders>
              <w:top w:val="single" w:sz="8" w:color="3D5588"/>
              <w:bottom w:val="single" w:sz="8" w:color="3D5588"/>
            </w:tcBorders>
          </w:tcPr>
          <w:p>
            <w:pPr>
              <w:jc w:val="right"/>
              <w:ind w:right="376"/>
              <w:spacing w:after="0"/>
              <w:rPr>
                <w:sz w:val="20"/>
                <w:szCs w:val="20"/>
                <w:color w:val="auto"/>
              </w:rPr>
            </w:pPr>
            <w:r>
              <w:rPr>
                <w:rFonts w:ascii="Arial" w:cs="Arial" w:eastAsia="Arial" w:hAnsi="Arial"/>
                <w:sz w:val="14"/>
                <w:szCs w:val="14"/>
                <w:b w:val="1"/>
                <w:bCs w:val="1"/>
                <w:color w:val="003082"/>
              </w:rPr>
              <w:t>2020</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7"/>
          </w:tcPr>
          <w:p>
            <w:pPr>
              <w:ind w:left="520"/>
              <w:spacing w:after="0"/>
              <w:rPr>
                <w:sz w:val="20"/>
                <w:szCs w:val="20"/>
                <w:color w:val="auto"/>
              </w:rPr>
            </w:pPr>
            <w:r>
              <w:rPr>
                <w:rFonts w:ascii="Arial" w:cs="Arial" w:eastAsia="Arial" w:hAnsi="Arial"/>
                <w:sz w:val="14"/>
                <w:szCs w:val="14"/>
                <w:b w:val="1"/>
                <w:bCs w:val="1"/>
                <w:color w:val="003082"/>
              </w:rPr>
              <w:t>(US$ in thousands)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Cost of revenues</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003082"/>
                <w:w w:val="89"/>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003082"/>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003082"/>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80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3082"/>
                <w:w w:val="71"/>
              </w:rPr>
              <w:t>$</w:t>
            </w:r>
          </w:p>
        </w:tc>
        <w:tc>
          <w:tcPr>
            <w:tcW w:w="10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003082"/>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31</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6"/>
                <w:szCs w:val="16"/>
                <w:color w:val="003082"/>
              </w:rPr>
              <w:t>Research and development expenses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3082"/>
              </w:rPr>
              <w:t>920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3082"/>
              </w:rPr>
              <w:t>1,473</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6"/>
                <w:szCs w:val="16"/>
                <w:color w:val="003082"/>
              </w:rPr>
              <w:t>327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3082"/>
              </w:rPr>
              <w:t>292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Sales and marketing expenses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003082"/>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003082"/>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485</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6"/>
                <w:szCs w:val="16"/>
                <w:color w:val="003082"/>
              </w:rPr>
              <w:t>General and administrative expenses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003082"/>
              </w:rPr>
              <w:t>905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3082"/>
              </w:rPr>
              <w:t>1,046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6"/>
                <w:szCs w:val="16"/>
                <w:color w:val="003082"/>
              </w:rPr>
              <w:t>221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3082"/>
              </w:rPr>
              <w:t>639</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240" w:type="dxa"/>
            <w:vAlign w:val="bottom"/>
            <w:tcBorders>
              <w:bottom w:val="single" w:sz="8" w:color="3D5588"/>
            </w:tcBorders>
            <w:gridSpan w:val="2"/>
          </w:tcPr>
          <w:p>
            <w:pPr>
              <w:spacing w:after="0"/>
              <w:rPr>
                <w:sz w:val="2"/>
                <w:szCs w:val="2"/>
                <w:color w:val="auto"/>
              </w:rPr>
            </w:pPr>
          </w:p>
        </w:tc>
        <w:tc>
          <w:tcPr>
            <w:tcW w:w="96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3D5588"/>
            </w:tcBorders>
          </w:tcPr>
          <w:p>
            <w:pPr>
              <w:spacing w:after="0"/>
              <w:rPr>
                <w:sz w:val="2"/>
                <w:szCs w:val="2"/>
                <w:color w:val="auto"/>
              </w:rPr>
            </w:pPr>
          </w:p>
        </w:tc>
        <w:tc>
          <w:tcPr>
            <w:tcW w:w="140" w:type="dxa"/>
            <w:vAlign w:val="bottom"/>
            <w:tcBorders>
              <w:bottom w:val="single" w:sz="8" w:color="3D5588"/>
            </w:tcBorders>
            <w:gridSpan w:val="2"/>
          </w:tcPr>
          <w:p>
            <w:pPr>
              <w:spacing w:after="0"/>
              <w:rPr>
                <w:sz w:val="2"/>
                <w:szCs w:val="2"/>
                <w:color w:val="auto"/>
              </w:rPr>
            </w:pPr>
          </w:p>
        </w:tc>
        <w:tc>
          <w:tcPr>
            <w:tcW w:w="10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3D5588"/>
            </w:tcBorders>
          </w:tcPr>
          <w:p>
            <w:pPr>
              <w:spacing w:after="0"/>
              <w:rPr>
                <w:sz w:val="2"/>
                <w:szCs w:val="2"/>
                <w:color w:val="auto"/>
              </w:rPr>
            </w:pPr>
          </w:p>
        </w:tc>
        <w:tc>
          <w:tcPr>
            <w:tcW w:w="100" w:type="dxa"/>
            <w:vAlign w:val="bottom"/>
            <w:tcBorders>
              <w:bottom w:val="single" w:sz="8" w:color="3D5588"/>
            </w:tcBorders>
          </w:tcPr>
          <w:p>
            <w:pPr>
              <w:spacing w:after="0"/>
              <w:rPr>
                <w:sz w:val="2"/>
                <w:szCs w:val="2"/>
                <w:color w:val="auto"/>
              </w:rPr>
            </w:pPr>
          </w:p>
        </w:tc>
        <w:tc>
          <w:tcPr>
            <w:tcW w:w="1080" w:type="dxa"/>
            <w:vAlign w:val="bottom"/>
            <w:tcBorders>
              <w:bottom w:val="single" w:sz="8" w:color="3D5588"/>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3D5588"/>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Total share-based compensation expense</w:t>
            </w:r>
          </w:p>
        </w:tc>
        <w:tc>
          <w:tcPr>
            <w:tcW w:w="240" w:type="dxa"/>
            <w:vAlign w:val="bottom"/>
            <w:tcBorders>
              <w:bottom w:val="single" w:sz="8" w:color="3D5588"/>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003082"/>
                <w:w w:val="89"/>
              </w:rPr>
              <w:t>$</w:t>
            </w:r>
          </w:p>
        </w:tc>
        <w:tc>
          <w:tcPr>
            <w:tcW w:w="960" w:type="dxa"/>
            <w:vAlign w:val="bottom"/>
            <w:tcBorders>
              <w:bottom w:val="single" w:sz="8" w:color="3D5588"/>
            </w:tcBorders>
            <w:shd w:val="clear" w:color="auto" w:fill="CCEEFF"/>
          </w:tcPr>
          <w:p>
            <w:pPr>
              <w:jc w:val="right"/>
              <w:ind w:right="1"/>
              <w:spacing w:after="0"/>
              <w:rPr>
                <w:sz w:val="20"/>
                <w:szCs w:val="20"/>
                <w:color w:val="auto"/>
              </w:rPr>
            </w:pPr>
            <w:r>
              <w:rPr>
                <w:rFonts w:ascii="Arial" w:cs="Arial" w:eastAsia="Arial" w:hAnsi="Arial"/>
                <w:sz w:val="16"/>
                <w:szCs w:val="16"/>
                <w:color w:val="003082"/>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3D5588"/>
            </w:tcBorders>
            <w:shd w:val="clear" w:color="auto" w:fill="CCEEFF"/>
          </w:tcPr>
          <w:p>
            <w:pPr>
              <w:spacing w:after="0"/>
              <w:rPr>
                <w:sz w:val="21"/>
                <w:szCs w:val="21"/>
                <w:color w:val="auto"/>
              </w:rPr>
            </w:pPr>
          </w:p>
        </w:tc>
        <w:tc>
          <w:tcPr>
            <w:tcW w:w="140" w:type="dxa"/>
            <w:vAlign w:val="bottom"/>
            <w:tcBorders>
              <w:bottom w:val="single" w:sz="8" w:color="3D5588"/>
            </w:tcBorders>
            <w:gridSpan w:val="2"/>
            <w:shd w:val="clear" w:color="auto" w:fill="CCEEFF"/>
          </w:tcPr>
          <w:p>
            <w:pPr>
              <w:jc w:val="right"/>
              <w:ind w:right="40"/>
              <w:spacing w:after="0"/>
              <w:rPr>
                <w:sz w:val="20"/>
                <w:szCs w:val="20"/>
                <w:color w:val="auto"/>
              </w:rPr>
            </w:pPr>
            <w:r>
              <w:rPr>
                <w:rFonts w:ascii="Arial" w:cs="Arial" w:eastAsia="Arial" w:hAnsi="Arial"/>
                <w:sz w:val="16"/>
                <w:szCs w:val="16"/>
                <w:color w:val="003082"/>
                <w:w w:val="89"/>
              </w:rPr>
              <w:t>$</w:t>
            </w:r>
          </w:p>
        </w:tc>
        <w:tc>
          <w:tcPr>
            <w:tcW w:w="10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6"/>
                <w:szCs w:val="16"/>
                <w:color w:val="003082"/>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3D5588"/>
            </w:tcBorders>
            <w:shd w:val="clear" w:color="auto" w:fill="CCEEFF"/>
          </w:tcPr>
          <w:p>
            <w:pPr>
              <w:spacing w:after="0"/>
              <w:rPr>
                <w:sz w:val="21"/>
                <w:szCs w:val="21"/>
                <w:color w:val="auto"/>
              </w:rPr>
            </w:pPr>
          </w:p>
        </w:tc>
        <w:tc>
          <w:tcPr>
            <w:tcW w:w="1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5"/>
                <w:szCs w:val="15"/>
                <w:color w:val="003082"/>
                <w:w w:val="71"/>
              </w:rPr>
              <w:t>$</w:t>
            </w:r>
          </w:p>
        </w:tc>
        <w:tc>
          <w:tcPr>
            <w:tcW w:w="1080" w:type="dxa"/>
            <w:vAlign w:val="bottom"/>
            <w:tcBorders>
              <w:bottom w:val="single" w:sz="8" w:color="3D5588"/>
            </w:tcBorders>
            <w:gridSpan w:val="2"/>
            <w:shd w:val="clear" w:color="auto" w:fill="CCEEFF"/>
          </w:tcPr>
          <w:p>
            <w:pPr>
              <w:jc w:val="right"/>
              <w:ind w:right="8"/>
              <w:spacing w:after="0"/>
              <w:rPr>
                <w:sz w:val="20"/>
                <w:szCs w:val="20"/>
                <w:color w:val="auto"/>
              </w:rPr>
            </w:pPr>
            <w:r>
              <w:rPr>
                <w:rFonts w:ascii="Arial" w:cs="Arial" w:eastAsia="Arial" w:hAnsi="Arial"/>
                <w:sz w:val="16"/>
                <w:szCs w:val="16"/>
                <w:color w:val="003082"/>
              </w:rPr>
              <w:t>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6"/>
                <w:szCs w:val="16"/>
                <w:color w:val="003082"/>
              </w:rPr>
              <w:t>$</w:t>
            </w:r>
          </w:p>
        </w:tc>
        <w:tc>
          <w:tcPr>
            <w:tcW w:w="120" w:type="dxa"/>
            <w:vAlign w:val="bottom"/>
            <w:tcBorders>
              <w:bottom w:val="single" w:sz="8" w:color="3D5588"/>
            </w:tcBorders>
            <w:shd w:val="clear" w:color="auto" w:fill="CCEEFF"/>
          </w:tcPr>
          <w:p>
            <w:pPr>
              <w:spacing w:after="0"/>
              <w:rPr>
                <w:sz w:val="21"/>
                <w:szCs w:val="21"/>
                <w:color w:val="auto"/>
              </w:rPr>
            </w:pPr>
          </w:p>
        </w:tc>
        <w:tc>
          <w:tcPr>
            <w:tcW w:w="9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6"/>
                <w:szCs w:val="16"/>
                <w:color w:val="003082"/>
              </w:rPr>
              <w:t>1,447</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3794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379460"/>
                    </a:xfrm>
                    <a:prstGeom prst="rect">
                      <a:avLst/>
                    </a:prstGeom>
                    <a:noFill/>
                  </pic:spPr>
                </pic:pic>
              </a:graphicData>
            </a:graphic>
          </wp:anchor>
        </w:drawing>
      </w:r>
    </w:p>
    <w:p>
      <w:pPr>
        <w:jc w:val="both"/>
        <w:ind w:left="340" w:hanging="326"/>
        <w:spacing w:after="0" w:line="276" w:lineRule="auto"/>
        <w:tabs>
          <w:tab w:leader="none" w:pos="340" w:val="left"/>
        </w:tabs>
        <w:numPr>
          <w:ilvl w:val="0"/>
          <w:numId w:val="16"/>
        </w:numPr>
        <w:rPr>
          <w:rFonts w:ascii="Arial" w:cs="Arial" w:eastAsia="Arial" w:hAnsi="Arial"/>
          <w:sz w:val="16"/>
          <w:szCs w:val="16"/>
          <w:color w:val="003082"/>
        </w:rPr>
      </w:pPr>
      <w:r>
        <w:rPr>
          <w:rFonts w:ascii="Arial" w:cs="Arial" w:eastAsia="Arial" w:hAnsi="Arial"/>
          <w:sz w:val="16"/>
          <w:szCs w:val="16"/>
          <w:color w:val="003082"/>
        </w:rPr>
        <w:t>See Note 14 to our consolidated financial statements and Note 14 to our unaudited interim condensed consolidated financial statements included elsewhere in this prospectus for an explanation of the calculation of our net income (loss) per share attributable to ordinary shareholders</w:t>
      </w:r>
      <w:r>
        <w:rPr>
          <w:rFonts w:ascii="Arial" w:cs="Arial" w:eastAsia="Arial" w:hAnsi="Arial"/>
          <w:sz w:val="17"/>
          <w:szCs w:val="17"/>
          <w:color w:val="003082"/>
        </w:rPr>
        <w:t>—</w:t>
      </w:r>
      <w:r>
        <w:rPr>
          <w:rFonts w:ascii="Arial" w:cs="Arial" w:eastAsia="Arial" w:hAnsi="Arial"/>
          <w:sz w:val="16"/>
          <w:szCs w:val="16"/>
          <w:color w:val="003082"/>
        </w:rPr>
        <w:t>basic and diluted.</w:t>
      </w:r>
    </w:p>
    <w:p>
      <w:pPr>
        <w:jc w:val="both"/>
        <w:ind w:left="340" w:hanging="326"/>
        <w:spacing w:after="0" w:line="314" w:lineRule="auto"/>
        <w:tabs>
          <w:tab w:leader="none" w:pos="340" w:val="left"/>
        </w:tabs>
        <w:numPr>
          <w:ilvl w:val="0"/>
          <w:numId w:val="16"/>
        </w:numPr>
        <w:rPr>
          <w:rFonts w:ascii="Arial" w:cs="Arial" w:eastAsia="Arial" w:hAnsi="Arial"/>
          <w:sz w:val="14"/>
          <w:szCs w:val="14"/>
          <w:color w:val="003082"/>
        </w:rPr>
      </w:pPr>
      <w:r>
        <w:rPr>
          <w:rFonts w:ascii="Arial" w:cs="Arial" w:eastAsia="Arial" w:hAnsi="Arial"/>
          <w:sz w:val="14"/>
          <w:szCs w:val="14"/>
          <w:color w:val="003082"/>
        </w:rPr>
        <w:t>See Note 17 to our consolidated financial statements and Note 17 to our unaudited interim condensed consolidated financial statements included elsewhere in this prospectus for an explanation of the calculation of our pro forma net income (loss) per share attributable to ordinary shareholders</w:t>
      </w:r>
    </w:p>
    <w:p>
      <w:pPr>
        <w:spacing w:after="0" w:line="1" w:lineRule="exact"/>
        <w:rPr>
          <w:rFonts w:ascii="Arial" w:cs="Arial" w:eastAsia="Arial" w:hAnsi="Arial"/>
          <w:sz w:val="14"/>
          <w:szCs w:val="14"/>
          <w:color w:val="003082"/>
        </w:rPr>
      </w:pPr>
    </w:p>
    <w:p>
      <w:pPr>
        <w:ind w:left="340"/>
        <w:spacing w:after="0"/>
        <w:rPr>
          <w:rFonts w:ascii="Arial" w:cs="Arial" w:eastAsia="Arial" w:hAnsi="Arial"/>
          <w:sz w:val="14"/>
          <w:szCs w:val="14"/>
          <w:color w:val="003082"/>
        </w:rPr>
      </w:pPr>
      <w:r>
        <w:rPr>
          <w:rFonts w:ascii="Arial" w:cs="Arial" w:eastAsia="Arial" w:hAnsi="Arial"/>
          <w:sz w:val="18"/>
          <w:szCs w:val="18"/>
          <w:color w:val="003082"/>
        </w:rPr>
        <w:t>—</w:t>
      </w:r>
      <w:r>
        <w:rPr>
          <w:rFonts w:ascii="Arial" w:cs="Arial" w:eastAsia="Arial" w:hAnsi="Arial"/>
          <w:sz w:val="16"/>
          <w:szCs w:val="16"/>
          <w:color w:val="003082"/>
        </w:rPr>
        <w:t>basic and diluted.</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082"/>
        </w:rPr>
        <w:t>Consolidated Cash Flow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003082"/>
              </w:rPr>
              <w:t>Years Ended December 31,</w:t>
            </w:r>
          </w:p>
        </w:tc>
        <w:tc>
          <w:tcPr>
            <w:tcW w:w="260" w:type="dxa"/>
            <w:vAlign w:val="bottom"/>
          </w:tcPr>
          <w:p>
            <w:pPr>
              <w:spacing w:after="0"/>
              <w:rPr>
                <w:sz w:val="16"/>
                <w:szCs w:val="16"/>
                <w:color w:val="auto"/>
              </w:rPr>
            </w:pPr>
          </w:p>
        </w:tc>
        <w:tc>
          <w:tcPr>
            <w:tcW w:w="24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003082"/>
              </w:rPr>
              <w:t>Three Months Ended March 31,</w:t>
            </w:r>
          </w:p>
        </w:tc>
      </w:tr>
      <w:tr>
        <w:trPr>
          <w:trHeight w:val="263"/>
        </w:trPr>
        <w:tc>
          <w:tcPr>
            <w:tcW w:w="4400" w:type="dxa"/>
            <w:vAlign w:val="bottom"/>
          </w:tcPr>
          <w:p>
            <w:pPr>
              <w:spacing w:after="0"/>
              <w:rPr>
                <w:sz w:val="22"/>
                <w:szCs w:val="22"/>
                <w:color w:val="auto"/>
              </w:rPr>
            </w:pPr>
          </w:p>
        </w:tc>
        <w:tc>
          <w:tcPr>
            <w:tcW w:w="320" w:type="dxa"/>
            <w:vAlign w:val="bottom"/>
            <w:tcBorders>
              <w:top w:val="single" w:sz="8" w:color="3D5588"/>
              <w:bottom w:val="single" w:sz="8" w:color="3D5588"/>
            </w:tcBorders>
          </w:tcPr>
          <w:p>
            <w:pPr>
              <w:spacing w:after="0"/>
              <w:rPr>
                <w:sz w:val="22"/>
                <w:szCs w:val="22"/>
                <w:color w:val="auto"/>
              </w:rPr>
            </w:pPr>
          </w:p>
        </w:tc>
        <w:tc>
          <w:tcPr>
            <w:tcW w:w="1020" w:type="dxa"/>
            <w:vAlign w:val="bottom"/>
            <w:tcBorders>
              <w:top w:val="single" w:sz="8" w:color="3D5588"/>
              <w:bottom w:val="single" w:sz="8" w:color="3D5588"/>
            </w:tcBorders>
          </w:tcPr>
          <w:p>
            <w:pPr>
              <w:jc w:val="right"/>
              <w:ind w:right="454"/>
              <w:spacing w:after="0"/>
              <w:rPr>
                <w:sz w:val="20"/>
                <w:szCs w:val="20"/>
                <w:color w:val="auto"/>
              </w:rPr>
            </w:pPr>
            <w:r>
              <w:rPr>
                <w:rFonts w:ascii="Arial" w:cs="Arial" w:eastAsia="Arial" w:hAnsi="Arial"/>
                <w:sz w:val="14"/>
                <w:szCs w:val="14"/>
                <w:b w:val="1"/>
                <w:bCs w:val="1"/>
                <w:color w:val="003082"/>
              </w:rPr>
              <w:t>2018</w:t>
            </w:r>
          </w:p>
        </w:tc>
        <w:tc>
          <w:tcPr>
            <w:tcW w:w="380" w:type="dxa"/>
            <w:vAlign w:val="bottom"/>
            <w:tcBorders>
              <w:top w:val="single" w:sz="8" w:color="3D5588"/>
              <w:bottom w:val="single" w:sz="8" w:color="3D5588"/>
            </w:tcBorders>
          </w:tcPr>
          <w:p>
            <w:pPr>
              <w:spacing w:after="0"/>
              <w:rPr>
                <w:sz w:val="22"/>
                <w:szCs w:val="22"/>
                <w:color w:val="auto"/>
              </w:rPr>
            </w:pPr>
          </w:p>
        </w:tc>
        <w:tc>
          <w:tcPr>
            <w:tcW w:w="980" w:type="dxa"/>
            <w:vAlign w:val="bottom"/>
            <w:tcBorders>
              <w:top w:val="single" w:sz="8" w:color="3D5588"/>
              <w:bottom w:val="single" w:sz="8" w:color="3D5588"/>
            </w:tcBorders>
          </w:tcPr>
          <w:p>
            <w:pPr>
              <w:jc w:val="right"/>
              <w:ind w:right="414"/>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26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74"/>
              <w:spacing w:after="0"/>
              <w:rPr>
                <w:sz w:val="20"/>
                <w:szCs w:val="20"/>
                <w:color w:val="auto"/>
              </w:rPr>
            </w:pPr>
            <w:r>
              <w:rPr>
                <w:rFonts w:ascii="Arial" w:cs="Arial" w:eastAsia="Arial" w:hAnsi="Arial"/>
                <w:sz w:val="14"/>
                <w:szCs w:val="14"/>
                <w:b w:val="1"/>
                <w:bCs w:val="1"/>
                <w:color w:val="003082"/>
              </w:rPr>
              <w:t>2019</w:t>
            </w:r>
          </w:p>
        </w:tc>
        <w:tc>
          <w:tcPr>
            <w:tcW w:w="360" w:type="dxa"/>
            <w:vAlign w:val="bottom"/>
            <w:tcBorders>
              <w:top w:val="single" w:sz="8" w:color="3D5588"/>
              <w:bottom w:val="single" w:sz="8" w:color="3D5588"/>
            </w:tcBorders>
          </w:tcPr>
          <w:p>
            <w:pPr>
              <w:spacing w:after="0"/>
              <w:rPr>
                <w:sz w:val="22"/>
                <w:szCs w:val="22"/>
                <w:color w:val="auto"/>
              </w:rPr>
            </w:pPr>
          </w:p>
        </w:tc>
        <w:tc>
          <w:tcPr>
            <w:tcW w:w="980" w:type="dxa"/>
            <w:vAlign w:val="bottom"/>
            <w:tcBorders>
              <w:top w:val="single" w:sz="8" w:color="3D5588"/>
              <w:bottom w:val="single" w:sz="8" w:color="3D5588"/>
            </w:tcBorders>
          </w:tcPr>
          <w:p>
            <w:pPr>
              <w:jc w:val="right"/>
              <w:ind w:right="412"/>
              <w:spacing w:after="0"/>
              <w:rPr>
                <w:sz w:val="20"/>
                <w:szCs w:val="20"/>
                <w:color w:val="auto"/>
              </w:rPr>
            </w:pPr>
            <w:r>
              <w:rPr>
                <w:rFonts w:ascii="Arial" w:cs="Arial" w:eastAsia="Arial" w:hAnsi="Arial"/>
                <w:sz w:val="14"/>
                <w:szCs w:val="14"/>
                <w:b w:val="1"/>
                <w:bCs w:val="1"/>
                <w:color w:val="003082"/>
              </w:rPr>
              <w:t>2020</w:t>
            </w:r>
          </w:p>
        </w:tc>
      </w:tr>
      <w:tr>
        <w:trPr>
          <w:trHeight w:val="250"/>
        </w:trPr>
        <w:tc>
          <w:tcPr>
            <w:tcW w:w="4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4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003082"/>
              </w:rPr>
              <w:t>(US$ in thousands)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generated from (used in)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536</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3,619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(919)</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003082"/>
              </w:rPr>
              <w:t>Net cash used in investing activities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3082"/>
              </w:rPr>
              <w:t>(3,773)</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(3,353)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(5,951)</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(2,496)</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65,772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49,769</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003082"/>
              </w:rPr>
              <w:t>Effect of foreign exchange rate changes on cash, cash</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003082"/>
              </w:rPr>
              <w:t>equivalents and restricted cash</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003082"/>
              </w:rPr>
              <w:t>(556)</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(269)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003082"/>
              </w:rPr>
              <w:t>194</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(303)</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Net increase (decrease) in cash, cash equivalents and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restricted cash</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61,979</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(2,915)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(2,139)</w:t>
            </w: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46,050</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003082"/>
                <w:w w:val="93"/>
              </w:rPr>
              <w:t>Cash, cash equivalents and restricted cash at beginning of</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003082"/>
              </w:rPr>
              <w:t>year</w:t>
            </w:r>
          </w:p>
        </w:tc>
        <w:tc>
          <w:tcPr>
            <w:tcW w:w="32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003082"/>
              </w:rPr>
              <w:t>46,619</w:t>
            </w:r>
          </w:p>
        </w:tc>
        <w:tc>
          <w:tcPr>
            <w:tcW w:w="3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003082"/>
              </w:rPr>
              <w:t>108,598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003082"/>
              </w:rPr>
              <w:t>108,598</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105,683</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003082"/>
                <w:w w:val="95"/>
              </w:rPr>
              <w:t>Cash, cash equivalents and restricted cash at end of year</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003082"/>
              </w:rPr>
              <w:t>108,598</w:t>
            </w:r>
          </w:p>
        </w:tc>
        <w:tc>
          <w:tcPr>
            <w:tcW w:w="3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003082"/>
              </w:rPr>
              <w:t>105,683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003082"/>
              </w:rPr>
              <w:t>106,459</w:t>
            </w:r>
          </w:p>
        </w:tc>
        <w:tc>
          <w:tcPr>
            <w:tcW w:w="3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151,733</w:t>
            </w:r>
          </w:p>
        </w:tc>
      </w:tr>
      <w:tr>
        <w:trPr>
          <w:trHeight w:val="27"/>
        </w:trPr>
        <w:tc>
          <w:tcPr>
            <w:tcW w:w="4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16</w:t>
      </w:r>
    </w:p>
    <w:p>
      <w:pPr>
        <w:sectPr>
          <w:pgSz w:w="11900" w:h="16838" w:orient="portrait"/>
          <w:cols w:equalWidth="0" w:num="1">
            <w:col w:w="9900"/>
          </w:cols>
          <w:pgMar w:left="980" w:top="1224" w:right="1019" w:bottom="1440" w:gutter="0" w:footer="0" w:header="0"/>
        </w:sectPr>
      </w:pPr>
    </w:p>
    <w:bookmarkStart w:id="21" w:name="page22"/>
    <w:bookmarkEnd w:id="21"/>
    <w:p>
      <w:pPr>
        <w:ind w:left="20"/>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75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753350"/>
                    </a:xfrm>
                    <a:prstGeom prst="rect">
                      <a:avLst/>
                    </a:prstGeom>
                    <a:noFill/>
                  </pic:spPr>
                </pic:pic>
              </a:graphicData>
            </a:graphic>
          </wp:anchor>
        </w:drawing>
        <w:t>Key Operating and Financial Metrics:</w:t>
      </w:r>
    </w:p>
    <w:p>
      <w:pPr>
        <w:spacing w:after="0" w:line="175"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003082"/>
        </w:rPr>
        <w:t>We measure our business using both financial and operating metrics. We use these metrics to assess the progress of our business, make decisions on where to allocate capital, time and technology investments and assess the near-term and longer-term performance of our business. The key financial and operating metrics we use are: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2540" w:type="dxa"/>
            <w:vAlign w:val="bottom"/>
            <w:tcBorders>
              <w:bottom w:val="single" w:sz="8" w:color="3D5588"/>
            </w:tcBorders>
            <w:gridSpan w:val="4"/>
          </w:tcPr>
          <w:p>
            <w:pPr>
              <w:ind w:left="360"/>
              <w:spacing w:after="0"/>
              <w:rPr>
                <w:sz w:val="20"/>
                <w:szCs w:val="20"/>
                <w:color w:val="auto"/>
              </w:rPr>
            </w:pPr>
            <w:r>
              <w:rPr>
                <w:rFonts w:ascii="Arial" w:cs="Arial" w:eastAsia="Arial" w:hAnsi="Arial"/>
                <w:sz w:val="14"/>
                <w:szCs w:val="14"/>
                <w:b w:val="1"/>
                <w:bCs w:val="1"/>
                <w:color w:val="003082"/>
              </w:rPr>
              <w:t>Year Ended December 31,</w:t>
            </w: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60" w:type="dxa"/>
            <w:vAlign w:val="bottom"/>
            <w:tcBorders>
              <w:bottom w:val="single" w:sz="8" w:color="3D5588"/>
            </w:tcBorders>
          </w:tcPr>
          <w:p>
            <w:pPr>
              <w:spacing w:after="0"/>
              <w:rPr>
                <w:sz w:val="22"/>
                <w:szCs w:val="22"/>
                <w:color w:val="auto"/>
              </w:rPr>
            </w:pPr>
          </w:p>
        </w:tc>
        <w:tc>
          <w:tcPr>
            <w:tcW w:w="1080" w:type="dxa"/>
            <w:vAlign w:val="bottom"/>
            <w:tcBorders>
              <w:bottom w:val="single" w:sz="8" w:color="3D5588"/>
            </w:tcBorders>
          </w:tcPr>
          <w:p>
            <w:pPr>
              <w:jc w:val="right"/>
              <w:ind w:right="439"/>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3D5588"/>
            </w:tcBorders>
          </w:tcPr>
          <w:p>
            <w:pPr>
              <w:spacing w:after="0"/>
              <w:rPr>
                <w:sz w:val="22"/>
                <w:szCs w:val="22"/>
                <w:color w:val="auto"/>
              </w:rPr>
            </w:pPr>
          </w:p>
        </w:tc>
        <w:tc>
          <w:tcPr>
            <w:tcW w:w="920" w:type="dxa"/>
            <w:vAlign w:val="bottom"/>
            <w:tcBorders>
              <w:bottom w:val="single" w:sz="8" w:color="3D5588"/>
            </w:tcBorders>
          </w:tcPr>
          <w:p>
            <w:pPr>
              <w:jc w:val="right"/>
              <w:ind w:right="435"/>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line="269" w:lineRule="exact"/>
              <w:rPr>
                <w:sz w:val="20"/>
                <w:szCs w:val="20"/>
                <w:color w:val="auto"/>
              </w:rPr>
            </w:pPr>
            <w:r>
              <w:rPr>
                <w:rFonts w:ascii="Arial" w:cs="Arial" w:eastAsia="Arial" w:hAnsi="Arial"/>
                <w:sz w:val="18"/>
                <w:szCs w:val="18"/>
                <w:color w:val="003082"/>
              </w:rPr>
              <w:t>Dollar-Based Net Expansion Rate</w:t>
            </w:r>
            <w:r>
              <w:rPr>
                <w:rFonts w:ascii="Arial" w:cs="Arial" w:eastAsia="Arial" w:hAnsi="Arial"/>
                <w:sz w:val="25"/>
                <w:szCs w:val="25"/>
                <w:color w:val="003082"/>
                <w:vertAlign w:val="superscript"/>
              </w:rPr>
              <w:t>(1)</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135%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127%</w:t>
            </w:r>
          </w:p>
        </w:tc>
        <w:tc>
          <w:tcPr>
            <w:tcW w:w="0" w:type="dxa"/>
            <w:vAlign w:val="bottom"/>
          </w:tcPr>
          <w:p>
            <w:pPr>
              <w:spacing w:after="0"/>
              <w:rPr>
                <w:sz w:val="1"/>
                <w:szCs w:val="1"/>
                <w:color w:val="auto"/>
              </w:rPr>
            </w:pPr>
          </w:p>
        </w:tc>
      </w:tr>
      <w:tr>
        <w:trPr>
          <w:trHeight w:val="341"/>
        </w:trPr>
        <w:tc>
          <w:tcPr>
            <w:tcW w:w="4400" w:type="dxa"/>
            <w:vAlign w:val="bottom"/>
          </w:tcPr>
          <w:p>
            <w:pPr>
              <w:ind w:left="20"/>
              <w:spacing w:after="0"/>
              <w:rPr>
                <w:sz w:val="20"/>
                <w:szCs w:val="20"/>
                <w:color w:val="auto"/>
              </w:rPr>
            </w:pPr>
            <w:r>
              <w:rPr>
                <w:rFonts w:ascii="Arial" w:cs="Arial" w:eastAsia="Arial" w:hAnsi="Arial"/>
                <w:sz w:val="18"/>
                <w:szCs w:val="18"/>
                <w:color w:val="003082"/>
                <w:w w:val="98"/>
              </w:rPr>
              <w:t>Constant Currency Dollar-Based Net Expansion Rate</w:t>
            </w:r>
            <w:r>
              <w:rPr>
                <w:rFonts w:ascii="Arial" w:cs="Arial" w:eastAsia="Arial" w:hAnsi="Arial"/>
                <w:sz w:val="25"/>
                <w:szCs w:val="25"/>
                <w:color w:val="003082"/>
                <w:w w:val="98"/>
                <w:vertAlign w:val="superscript"/>
              </w:rPr>
              <w:t>(2)</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133%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3082"/>
              </w:rPr>
              <w:t>131%</w:t>
            </w: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280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003082"/>
                <w:w w:val="95"/>
              </w:rPr>
              <w:t>As of and for the Year Ended December 31,</w:t>
            </w:r>
          </w:p>
        </w:tc>
        <w:tc>
          <w:tcPr>
            <w:tcW w:w="160" w:type="dxa"/>
            <w:vAlign w:val="bottom"/>
          </w:tcPr>
          <w:p>
            <w:pPr>
              <w:spacing w:after="0"/>
              <w:rPr>
                <w:sz w:val="24"/>
                <w:szCs w:val="24"/>
                <w:color w:val="auto"/>
              </w:rPr>
            </w:pPr>
          </w:p>
        </w:tc>
        <w:tc>
          <w:tcPr>
            <w:tcW w:w="2540" w:type="dxa"/>
            <w:vAlign w:val="bottom"/>
            <w:gridSpan w:val="4"/>
          </w:tcPr>
          <w:p>
            <w:pPr>
              <w:jc w:val="center"/>
              <w:ind w:right="35"/>
              <w:spacing w:after="0"/>
              <w:rPr>
                <w:sz w:val="20"/>
                <w:szCs w:val="20"/>
                <w:color w:val="auto"/>
              </w:rPr>
            </w:pPr>
            <w:r>
              <w:rPr>
                <w:rFonts w:ascii="Arial" w:cs="Arial" w:eastAsia="Arial" w:hAnsi="Arial"/>
                <w:sz w:val="14"/>
                <w:szCs w:val="14"/>
                <w:b w:val="1"/>
                <w:bCs w:val="1"/>
                <w:color w:val="003082"/>
                <w:w w:val="93"/>
              </w:rPr>
              <w:t>As of and for the Three Months Ended</w:t>
            </w: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280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003082"/>
                <w:w w:val="95"/>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00" w:type="dxa"/>
            <w:vAlign w:val="bottom"/>
          </w:tcPr>
          <w:p>
            <w:pPr>
              <w:spacing w:after="0"/>
              <w:rPr>
                <w:sz w:val="22"/>
                <w:szCs w:val="22"/>
                <w:color w:val="auto"/>
              </w:rPr>
            </w:pPr>
          </w:p>
        </w:tc>
        <w:tc>
          <w:tcPr>
            <w:tcW w:w="320" w:type="dxa"/>
            <w:vAlign w:val="bottom"/>
            <w:tcBorders>
              <w:top w:val="single" w:sz="8" w:color="3D5588"/>
              <w:bottom w:val="single" w:sz="8" w:color="3D5588"/>
            </w:tcBorders>
          </w:tcPr>
          <w:p>
            <w:pPr>
              <w:spacing w:after="0"/>
              <w:rPr>
                <w:sz w:val="22"/>
                <w:szCs w:val="22"/>
                <w:color w:val="auto"/>
              </w:rPr>
            </w:pPr>
          </w:p>
        </w:tc>
        <w:tc>
          <w:tcPr>
            <w:tcW w:w="1020" w:type="dxa"/>
            <w:vAlign w:val="bottom"/>
            <w:tcBorders>
              <w:top w:val="single" w:sz="8" w:color="3D5588"/>
              <w:bottom w:val="single" w:sz="8" w:color="3D5588"/>
            </w:tcBorders>
          </w:tcPr>
          <w:p>
            <w:pPr>
              <w:jc w:val="right"/>
              <w:ind w:right="455"/>
              <w:spacing w:after="0"/>
              <w:rPr>
                <w:sz w:val="20"/>
                <w:szCs w:val="20"/>
                <w:color w:val="auto"/>
              </w:rPr>
            </w:pPr>
            <w:r>
              <w:rPr>
                <w:rFonts w:ascii="Arial" w:cs="Arial" w:eastAsia="Arial" w:hAnsi="Arial"/>
                <w:sz w:val="14"/>
                <w:szCs w:val="14"/>
                <w:b w:val="1"/>
                <w:bCs w:val="1"/>
                <w:color w:val="003082"/>
              </w:rPr>
              <w:t>2018</w:t>
            </w:r>
          </w:p>
        </w:tc>
        <w:tc>
          <w:tcPr>
            <w:tcW w:w="300" w:type="dxa"/>
            <w:vAlign w:val="bottom"/>
            <w:tcBorders>
              <w:top w:val="single" w:sz="8" w:color="3D5588"/>
              <w:bottom w:val="single" w:sz="8" w:color="3D5588"/>
            </w:tcBorders>
          </w:tcPr>
          <w:p>
            <w:pPr>
              <w:spacing w:after="0"/>
              <w:rPr>
                <w:sz w:val="22"/>
                <w:szCs w:val="22"/>
                <w:color w:val="auto"/>
              </w:rPr>
            </w:pPr>
          </w:p>
        </w:tc>
        <w:tc>
          <w:tcPr>
            <w:tcW w:w="1060" w:type="dxa"/>
            <w:vAlign w:val="bottom"/>
            <w:tcBorders>
              <w:top w:val="single" w:sz="8" w:color="3D5588"/>
              <w:bottom w:val="single" w:sz="8" w:color="3D5588"/>
            </w:tcBorders>
          </w:tcPr>
          <w:p>
            <w:pPr>
              <w:jc w:val="right"/>
              <w:ind w:right="417"/>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160" w:type="dxa"/>
            <w:vAlign w:val="bottom"/>
            <w:tcBorders>
              <w:top w:val="single" w:sz="8" w:color="3D5588"/>
              <w:bottom w:val="single" w:sz="8" w:color="3D5588"/>
            </w:tcBorders>
          </w:tcPr>
          <w:p>
            <w:pPr>
              <w:spacing w:after="0"/>
              <w:rPr>
                <w:sz w:val="22"/>
                <w:szCs w:val="22"/>
                <w:color w:val="auto"/>
              </w:rPr>
            </w:pPr>
          </w:p>
        </w:tc>
        <w:tc>
          <w:tcPr>
            <w:tcW w:w="1080" w:type="dxa"/>
            <w:vAlign w:val="bottom"/>
            <w:tcBorders>
              <w:top w:val="single" w:sz="8" w:color="3D5588"/>
              <w:bottom w:val="single" w:sz="8" w:color="3D5588"/>
            </w:tcBorders>
          </w:tcPr>
          <w:p>
            <w:pPr>
              <w:ind w:left="360"/>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top w:val="single" w:sz="8" w:color="3D5588"/>
              <w:bottom w:val="single" w:sz="8" w:color="3D5588"/>
            </w:tcBorders>
          </w:tcPr>
          <w:p>
            <w:pPr>
              <w:spacing w:after="0"/>
              <w:rPr>
                <w:sz w:val="22"/>
                <w:szCs w:val="22"/>
                <w:color w:val="auto"/>
              </w:rPr>
            </w:pPr>
          </w:p>
        </w:tc>
        <w:tc>
          <w:tcPr>
            <w:tcW w:w="420" w:type="dxa"/>
            <w:vAlign w:val="bottom"/>
            <w:tcBorders>
              <w:top w:val="single" w:sz="8" w:color="3D5588"/>
              <w:bottom w:val="single" w:sz="8" w:color="3D5588"/>
            </w:tcBorders>
          </w:tcPr>
          <w:p>
            <w:pPr>
              <w:spacing w:after="0"/>
              <w:rPr>
                <w:sz w:val="22"/>
                <w:szCs w:val="22"/>
                <w:color w:val="auto"/>
              </w:rPr>
            </w:pPr>
          </w:p>
        </w:tc>
        <w:tc>
          <w:tcPr>
            <w:tcW w:w="920" w:type="dxa"/>
            <w:vAlign w:val="bottom"/>
            <w:tcBorders>
              <w:top w:val="single" w:sz="8" w:color="3D5588"/>
              <w:bottom w:val="single" w:sz="8" w:color="3D5588"/>
            </w:tcBorders>
          </w:tcPr>
          <w:p>
            <w:pPr>
              <w:jc w:val="right"/>
              <w:ind w:right="415"/>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5"/>
          </w:tcPr>
          <w:p>
            <w:pPr>
              <w:ind w:left="100"/>
              <w:spacing w:after="0"/>
              <w:rPr>
                <w:sz w:val="20"/>
                <w:szCs w:val="20"/>
                <w:color w:val="auto"/>
              </w:rPr>
            </w:pPr>
            <w:r>
              <w:rPr>
                <w:rFonts w:ascii="Arial" w:cs="Arial" w:eastAsia="Arial" w:hAnsi="Arial"/>
                <w:sz w:val="14"/>
                <w:szCs w:val="14"/>
                <w:b w:val="1"/>
                <w:bCs w:val="1"/>
                <w:color w:val="003082"/>
              </w:rPr>
              <w:t>(US$ in thousands, except values)</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003082"/>
              </w:rPr>
              <w:t>Active customers</w:t>
            </w:r>
            <w:r>
              <w:rPr>
                <w:rFonts w:ascii="Arial" w:cs="Arial" w:eastAsia="Arial" w:hAnsi="Arial"/>
                <w:sz w:val="25"/>
                <w:szCs w:val="25"/>
                <w:color w:val="003082"/>
                <w:vertAlign w:val="superscript"/>
              </w:rPr>
              <w:t>(3)</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003082"/>
              </w:rPr>
              <w:t>586</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003082"/>
              </w:rPr>
              <w:t>1,041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678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1,176</w:t>
            </w:r>
          </w:p>
        </w:tc>
        <w:tc>
          <w:tcPr>
            <w:tcW w:w="0" w:type="dxa"/>
            <w:vAlign w:val="bottom"/>
          </w:tcPr>
          <w:p>
            <w:pPr>
              <w:spacing w:after="0"/>
              <w:rPr>
                <w:sz w:val="1"/>
                <w:szCs w:val="1"/>
                <w:color w:val="auto"/>
              </w:rPr>
            </w:pPr>
          </w:p>
        </w:tc>
      </w:tr>
      <w:tr>
        <w:trPr>
          <w:trHeight w:val="270"/>
        </w:trPr>
        <w:tc>
          <w:tcPr>
            <w:tcW w:w="4400" w:type="dxa"/>
            <w:vAlign w:val="bottom"/>
          </w:tcPr>
          <w:p>
            <w:pPr>
              <w:ind w:left="20"/>
              <w:spacing w:after="0" w:line="270" w:lineRule="exact"/>
              <w:rPr>
                <w:sz w:val="20"/>
                <w:szCs w:val="20"/>
                <w:color w:val="auto"/>
              </w:rPr>
            </w:pPr>
            <w:r>
              <w:rPr>
                <w:rFonts w:ascii="Arial" w:cs="Arial" w:eastAsia="Arial" w:hAnsi="Arial"/>
                <w:sz w:val="18"/>
                <w:szCs w:val="18"/>
                <w:color w:val="003082"/>
              </w:rPr>
              <w:t>Adjusted EBITDA</w:t>
            </w:r>
            <w:r>
              <w:rPr>
                <w:rFonts w:ascii="Arial" w:cs="Arial" w:eastAsia="Arial" w:hAnsi="Arial"/>
                <w:sz w:val="25"/>
                <w:szCs w:val="25"/>
                <w:color w:val="003082"/>
                <w:vertAlign w:val="superscript"/>
              </w:rPr>
              <w:t>(4)</w:t>
            </w:r>
          </w:p>
        </w:tc>
        <w:tc>
          <w:tcPr>
            <w:tcW w:w="320" w:type="dxa"/>
            <w:vAlign w:val="bottom"/>
          </w:tcPr>
          <w:p>
            <w:pPr>
              <w:ind w:left="20"/>
              <w:spacing w:after="0"/>
              <w:rPr>
                <w:sz w:val="20"/>
                <w:szCs w:val="20"/>
                <w:color w:val="auto"/>
              </w:rPr>
            </w:pPr>
            <w:r>
              <w:rPr>
                <w:rFonts w:ascii="Arial" w:cs="Arial" w:eastAsia="Arial" w:hAnsi="Arial"/>
                <w:sz w:val="18"/>
                <w:szCs w:val="18"/>
                <w:color w:val="003082"/>
              </w:rPr>
              <w:t>$</w:t>
            </w:r>
          </w:p>
        </w:tc>
        <w:tc>
          <w:tcPr>
            <w:tcW w:w="1020" w:type="dxa"/>
            <w:vAlign w:val="bottom"/>
          </w:tcPr>
          <w:p>
            <w:pPr>
              <w:jc w:val="right"/>
              <w:ind w:right="55"/>
              <w:spacing w:after="0"/>
              <w:rPr>
                <w:sz w:val="20"/>
                <w:szCs w:val="20"/>
                <w:color w:val="auto"/>
              </w:rPr>
            </w:pPr>
            <w:r>
              <w:rPr>
                <w:rFonts w:ascii="Arial" w:cs="Arial" w:eastAsia="Arial" w:hAnsi="Arial"/>
                <w:sz w:val="18"/>
                <w:szCs w:val="18"/>
                <w:color w:val="003082"/>
              </w:rPr>
              <w:t>4,035</w:t>
            </w:r>
          </w:p>
        </w:tc>
        <w:tc>
          <w:tcPr>
            <w:tcW w:w="300" w:type="dxa"/>
            <w:vAlign w:val="bottom"/>
          </w:tcPr>
          <w:p>
            <w:pPr>
              <w:jc w:val="right"/>
              <w:ind w:right="30"/>
              <w:spacing w:after="0"/>
              <w:rPr>
                <w:sz w:val="20"/>
                <w:szCs w:val="20"/>
                <w:color w:val="auto"/>
              </w:rPr>
            </w:pPr>
            <w:r>
              <w:rPr>
                <w:rFonts w:ascii="Arial" w:cs="Arial" w:eastAsia="Arial" w:hAnsi="Arial"/>
                <w:sz w:val="18"/>
                <w:szCs w:val="18"/>
                <w:color w:val="003082"/>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003082"/>
              </w:rPr>
              <w:t>31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003082"/>
              </w:rPr>
              <w:t>720</w:t>
            </w:r>
          </w:p>
        </w:tc>
        <w:tc>
          <w:tcPr>
            <w:tcW w:w="120" w:type="dxa"/>
            <w:vAlign w:val="bottom"/>
          </w:tcPr>
          <w:p>
            <w:pPr>
              <w:spacing w:after="0"/>
              <w:rPr>
                <w:sz w:val="23"/>
                <w:szCs w:val="23"/>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003082"/>
              </w:rPr>
              <w:t>$</w:t>
            </w:r>
          </w:p>
        </w:tc>
        <w:tc>
          <w:tcPr>
            <w:tcW w:w="920" w:type="dxa"/>
            <w:vAlign w:val="bottom"/>
          </w:tcPr>
          <w:p>
            <w:pPr>
              <w:jc w:val="right"/>
              <w:spacing w:after="0"/>
              <w:rPr>
                <w:sz w:val="20"/>
                <w:szCs w:val="20"/>
                <w:color w:val="auto"/>
              </w:rPr>
            </w:pPr>
            <w:r>
              <w:rPr>
                <w:rFonts w:ascii="Arial" w:cs="Arial" w:eastAsia="Arial" w:hAnsi="Arial"/>
                <w:sz w:val="18"/>
                <w:szCs w:val="18"/>
                <w:color w:val="003082"/>
              </w:rPr>
              <w:t>5,458</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003082"/>
              </w:rPr>
              <w:t>Free cash flow</w:t>
            </w:r>
            <w:r>
              <w:rPr>
                <w:rFonts w:ascii="Arial" w:cs="Arial" w:eastAsia="Arial" w:hAnsi="Arial"/>
                <w:sz w:val="25"/>
                <w:szCs w:val="25"/>
                <w:color w:val="003082"/>
                <w:vertAlign w:val="superscript"/>
              </w:rPr>
              <w:t>(5)</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(1,725)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30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(4,096)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2,855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0030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(3,416)</w:t>
            </w:r>
          </w:p>
        </w:tc>
        <w:tc>
          <w:tcPr>
            <w:tcW w:w="0" w:type="dxa"/>
            <w:vAlign w:val="bottom"/>
          </w:tcPr>
          <w:p>
            <w:pPr>
              <w:spacing w:after="0"/>
              <w:rPr>
                <w:sz w:val="1"/>
                <w:szCs w:val="1"/>
                <w:color w:val="auto"/>
              </w:rPr>
            </w:pPr>
          </w:p>
        </w:tc>
      </w:tr>
      <w:tr>
        <w:trPr>
          <w:trHeight w:val="193"/>
        </w:trPr>
        <w:tc>
          <w:tcPr>
            <w:tcW w:w="4400" w:type="dxa"/>
            <w:vAlign w:val="bottom"/>
          </w:tcPr>
          <w:p>
            <w:pPr>
              <w:ind w:left="20"/>
              <w:spacing w:after="0"/>
              <w:rPr>
                <w:sz w:val="20"/>
                <w:szCs w:val="20"/>
                <w:color w:val="auto"/>
              </w:rPr>
            </w:pPr>
            <w:r>
              <w:rPr>
                <w:rFonts w:ascii="Arial" w:cs="Arial" w:eastAsia="Arial" w:hAnsi="Arial"/>
                <w:sz w:val="16"/>
                <w:szCs w:val="16"/>
                <w:color w:val="003082"/>
              </w:rPr>
              <w:t>________________</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right="20" w:hanging="326"/>
        <w:spacing w:after="0" w:line="262" w:lineRule="auto"/>
        <w:tabs>
          <w:tab w:leader="none" w:pos="340" w:val="left"/>
        </w:tabs>
        <w:numPr>
          <w:ilvl w:val="0"/>
          <w:numId w:val="17"/>
        </w:numPr>
        <w:rPr>
          <w:rFonts w:ascii="Arial" w:cs="Arial" w:eastAsia="Arial" w:hAnsi="Arial"/>
          <w:sz w:val="15"/>
          <w:szCs w:val="15"/>
          <w:color w:val="003082"/>
        </w:rPr>
      </w:pPr>
      <w:r>
        <w:rPr>
          <w:rFonts w:ascii="Arial" w:cs="Arial" w:eastAsia="Arial" w:hAnsi="Arial"/>
          <w:sz w:val="15"/>
          <w:szCs w:val="15"/>
          <w:color w:val="003082"/>
        </w:rPr>
        <w:t>Our Dollar-Based Net Expansion Rate measures our ability to increase revenue generated from our existing customer base. To calculate Dollar-Based Net Expansion Rate for a given year, we first identify all customers in the prior year, then calculate the quotient from dividing the revenue generated from such customers in the given year by the revenue generated from the same group of customers in the prior year.</w:t>
      </w:r>
    </w:p>
    <w:p>
      <w:pPr>
        <w:spacing w:after="0" w:line="2" w:lineRule="exact"/>
        <w:rPr>
          <w:rFonts w:ascii="Arial" w:cs="Arial" w:eastAsia="Arial" w:hAnsi="Arial"/>
          <w:sz w:val="15"/>
          <w:szCs w:val="15"/>
          <w:color w:val="003082"/>
        </w:rPr>
      </w:pPr>
    </w:p>
    <w:p>
      <w:pPr>
        <w:jc w:val="both"/>
        <w:ind w:left="340" w:right="20" w:hanging="326"/>
        <w:spacing w:after="0" w:line="262" w:lineRule="auto"/>
        <w:tabs>
          <w:tab w:leader="none" w:pos="340" w:val="left"/>
        </w:tabs>
        <w:numPr>
          <w:ilvl w:val="0"/>
          <w:numId w:val="17"/>
        </w:numPr>
        <w:rPr>
          <w:rFonts w:ascii="Arial" w:cs="Arial" w:eastAsia="Arial" w:hAnsi="Arial"/>
          <w:sz w:val="15"/>
          <w:szCs w:val="15"/>
          <w:color w:val="003082"/>
        </w:rPr>
      </w:pPr>
      <w:r>
        <w:rPr>
          <w:rFonts w:ascii="Arial" w:cs="Arial" w:eastAsia="Arial" w:hAnsi="Arial"/>
          <w:sz w:val="15"/>
          <w:szCs w:val="15"/>
          <w:color w:val="003082"/>
        </w:rPr>
        <w:t>Our Constant Currency Dollar-Based Net Expansion Rate is calculated the same way as our Dollar-Based Net Expansion Rate but using fixed exchange rates based on the daily average exchange rates prevailing during the prior year to remove the impact of foreign currency translations. We believe Constant Currency Dollar-Based Net Expansion Rate facilitates operating performance comparisons on a period-to-period basis as we do not consider the impact of foreign currency fluctuations to be indicative of our core operating performance.</w:t>
      </w:r>
    </w:p>
    <w:p>
      <w:pPr>
        <w:spacing w:after="0" w:line="2" w:lineRule="exact"/>
        <w:rPr>
          <w:rFonts w:ascii="Arial" w:cs="Arial" w:eastAsia="Arial" w:hAnsi="Arial"/>
          <w:sz w:val="15"/>
          <w:szCs w:val="15"/>
          <w:color w:val="003082"/>
        </w:rPr>
      </w:pPr>
    </w:p>
    <w:p>
      <w:pPr>
        <w:jc w:val="both"/>
        <w:ind w:left="340" w:right="20" w:hanging="326"/>
        <w:spacing w:after="0" w:line="262" w:lineRule="auto"/>
        <w:tabs>
          <w:tab w:leader="none" w:pos="340" w:val="left"/>
        </w:tabs>
        <w:numPr>
          <w:ilvl w:val="0"/>
          <w:numId w:val="17"/>
        </w:numPr>
        <w:rPr>
          <w:rFonts w:ascii="Arial" w:cs="Arial" w:eastAsia="Arial" w:hAnsi="Arial"/>
          <w:sz w:val="15"/>
          <w:szCs w:val="15"/>
          <w:color w:val="003082"/>
        </w:rPr>
      </w:pPr>
      <w:r>
        <w:rPr>
          <w:rFonts w:ascii="Arial" w:cs="Arial" w:eastAsia="Arial" w:hAnsi="Arial"/>
          <w:sz w:val="15"/>
          <w:szCs w:val="15"/>
          <w:color w:val="003082"/>
        </w:rPr>
        <w:t>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w:t>
      </w:r>
    </w:p>
    <w:p>
      <w:pPr>
        <w:spacing w:after="0" w:line="2" w:lineRule="exact"/>
        <w:rPr>
          <w:rFonts w:ascii="Arial" w:cs="Arial" w:eastAsia="Arial" w:hAnsi="Arial"/>
          <w:sz w:val="15"/>
          <w:szCs w:val="15"/>
          <w:color w:val="003082"/>
        </w:rPr>
      </w:pPr>
    </w:p>
    <w:p>
      <w:pPr>
        <w:jc w:val="both"/>
        <w:ind w:left="340" w:right="20" w:hanging="326"/>
        <w:spacing w:after="0" w:line="262" w:lineRule="auto"/>
        <w:tabs>
          <w:tab w:leader="none" w:pos="340" w:val="left"/>
        </w:tabs>
        <w:numPr>
          <w:ilvl w:val="0"/>
          <w:numId w:val="17"/>
        </w:numPr>
        <w:rPr>
          <w:rFonts w:ascii="Arial" w:cs="Arial" w:eastAsia="Arial" w:hAnsi="Arial"/>
          <w:sz w:val="15"/>
          <w:szCs w:val="15"/>
          <w:color w:val="003082"/>
        </w:rPr>
      </w:pPr>
      <w:r>
        <w:rPr>
          <w:rFonts w:ascii="Arial" w:cs="Arial" w:eastAsia="Arial" w:hAnsi="Arial"/>
          <w:sz w:val="15"/>
          <w:szCs w:val="15"/>
          <w:color w:val="003082"/>
        </w:rPr>
        <w:t>To provide investors with additional information regarding our financial results, we have disclosed in the table above and elsewhere in this prospectus Adjusted EBITDA, a non-GAAP financial measure that we calculate as net income (loss) before exchange gain (loss), interest income, income taxes, depreciation and amortization, and adjusted to exclude the effects of share-based compensation expense. We have provided a reconciliation below of Adjusted EBITDA to net income (loss), the most directly comparable GAAP financial measure.</w:t>
      </w:r>
    </w:p>
    <w:p>
      <w:pPr>
        <w:spacing w:after="0" w:line="2" w:lineRule="exact"/>
        <w:rPr>
          <w:rFonts w:ascii="Arial" w:cs="Arial" w:eastAsia="Arial" w:hAnsi="Arial"/>
          <w:sz w:val="15"/>
          <w:szCs w:val="15"/>
          <w:color w:val="003082"/>
        </w:rPr>
      </w:pPr>
    </w:p>
    <w:p>
      <w:pPr>
        <w:jc w:val="both"/>
        <w:ind w:left="340"/>
        <w:spacing w:after="0" w:line="248" w:lineRule="auto"/>
        <w:rPr>
          <w:rFonts w:ascii="Arial" w:cs="Arial" w:eastAsia="Arial" w:hAnsi="Arial"/>
          <w:sz w:val="15"/>
          <w:szCs w:val="15"/>
          <w:color w:val="003082"/>
        </w:rPr>
      </w:pPr>
      <w:r>
        <w:rPr>
          <w:rFonts w:ascii="Arial" w:cs="Arial" w:eastAsia="Arial" w:hAnsi="Arial"/>
          <w:sz w:val="16"/>
          <w:szCs w:val="16"/>
          <w:color w:val="003082"/>
        </w:rPr>
        <w:t>We have included Adjusted EBITDA in this prospectus because it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Accordingly, we believe that Adjusted EBITDA provides useful information to investors and others in understanding and evaluating our operating results in the same manner as our management and board of directors.</w:t>
      </w:r>
    </w:p>
    <w:p>
      <w:pPr>
        <w:spacing w:after="0" w:line="87" w:lineRule="exact"/>
        <w:rPr>
          <w:rFonts w:ascii="Arial" w:cs="Arial" w:eastAsia="Arial" w:hAnsi="Arial"/>
          <w:sz w:val="15"/>
          <w:szCs w:val="15"/>
          <w:color w:val="003082"/>
        </w:rPr>
      </w:pPr>
    </w:p>
    <w:p>
      <w:pPr>
        <w:ind w:left="340"/>
        <w:spacing w:after="0" w:line="275" w:lineRule="auto"/>
        <w:rPr>
          <w:rFonts w:ascii="Arial" w:cs="Arial" w:eastAsia="Arial" w:hAnsi="Arial"/>
          <w:sz w:val="15"/>
          <w:szCs w:val="15"/>
          <w:color w:val="003082"/>
        </w:rPr>
      </w:pPr>
      <w:r>
        <w:rPr>
          <w:rFonts w:ascii="Arial" w:cs="Arial" w:eastAsia="Arial" w:hAnsi="Arial"/>
          <w:sz w:val="16"/>
          <w:szCs w:val="16"/>
          <w:color w:val="003082"/>
        </w:rPr>
        <w:t>Adjusted EBITDA has limitations as an analytical tool, and you should not consider it in isolation or as a substitute for analysis of our results as reported under GAAP. Some of these limitations are:</w:t>
      </w:r>
    </w:p>
    <w:p>
      <w:pPr>
        <w:spacing w:after="0" w:line="64" w:lineRule="exact"/>
        <w:rPr>
          <w:rFonts w:ascii="Arial" w:cs="Arial" w:eastAsia="Arial" w:hAnsi="Arial"/>
          <w:sz w:val="15"/>
          <w:szCs w:val="15"/>
          <w:color w:val="003082"/>
        </w:rPr>
      </w:pPr>
    </w:p>
    <w:p>
      <w:pPr>
        <w:jc w:val="both"/>
        <w:ind w:left="660" w:right="20" w:hanging="322"/>
        <w:spacing w:after="0" w:line="261" w:lineRule="auto"/>
        <w:tabs>
          <w:tab w:leader="none" w:pos="660" w:val="left"/>
        </w:tabs>
        <w:numPr>
          <w:ilvl w:val="1"/>
          <w:numId w:val="17"/>
        </w:numPr>
        <w:rPr>
          <w:rFonts w:ascii="Arial" w:cs="Arial" w:eastAsia="Arial" w:hAnsi="Arial"/>
          <w:sz w:val="16"/>
          <w:szCs w:val="16"/>
          <w:color w:val="003082"/>
        </w:rPr>
      </w:pPr>
      <w:r>
        <w:rPr>
          <w:rFonts w:ascii="Arial" w:cs="Arial" w:eastAsia="Arial" w:hAnsi="Arial"/>
          <w:sz w:val="16"/>
          <w:szCs w:val="16"/>
          <w:color w:val="003082"/>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4" w:lineRule="exact"/>
        <w:rPr>
          <w:rFonts w:ascii="Arial" w:cs="Arial" w:eastAsia="Arial" w:hAnsi="Arial"/>
          <w:sz w:val="16"/>
          <w:szCs w:val="16"/>
          <w:color w:val="003082"/>
        </w:rPr>
      </w:pPr>
    </w:p>
    <w:p>
      <w:pPr>
        <w:ind w:left="660" w:hanging="322"/>
        <w:spacing w:after="0"/>
        <w:tabs>
          <w:tab w:leader="none" w:pos="660" w:val="left"/>
        </w:tabs>
        <w:numPr>
          <w:ilvl w:val="1"/>
          <w:numId w:val="17"/>
        </w:numPr>
        <w:rPr>
          <w:rFonts w:ascii="Arial" w:cs="Arial" w:eastAsia="Arial" w:hAnsi="Arial"/>
          <w:sz w:val="16"/>
          <w:szCs w:val="16"/>
          <w:color w:val="003082"/>
        </w:rPr>
      </w:pPr>
      <w:r>
        <w:rPr>
          <w:rFonts w:ascii="Arial" w:cs="Arial" w:eastAsia="Arial" w:hAnsi="Arial"/>
          <w:sz w:val="16"/>
          <w:szCs w:val="16"/>
          <w:color w:val="003082"/>
        </w:rPr>
        <w:t>Adjusted EBITDA does not reflect changes in exchange gain (loss);</w:t>
      </w:r>
    </w:p>
    <w:p>
      <w:pPr>
        <w:spacing w:after="0" w:line="113" w:lineRule="exact"/>
        <w:rPr>
          <w:rFonts w:ascii="Arial" w:cs="Arial" w:eastAsia="Arial" w:hAnsi="Arial"/>
          <w:sz w:val="16"/>
          <w:szCs w:val="16"/>
          <w:color w:val="003082"/>
        </w:rPr>
      </w:pPr>
    </w:p>
    <w:p>
      <w:pPr>
        <w:ind w:left="660" w:hanging="322"/>
        <w:spacing w:after="0"/>
        <w:tabs>
          <w:tab w:leader="none" w:pos="660" w:val="left"/>
        </w:tabs>
        <w:numPr>
          <w:ilvl w:val="1"/>
          <w:numId w:val="17"/>
        </w:numPr>
        <w:rPr>
          <w:rFonts w:ascii="Arial" w:cs="Arial" w:eastAsia="Arial" w:hAnsi="Arial"/>
          <w:sz w:val="16"/>
          <w:szCs w:val="16"/>
          <w:color w:val="003082"/>
        </w:rPr>
      </w:pPr>
      <w:r>
        <w:rPr>
          <w:rFonts w:ascii="Arial" w:cs="Arial" w:eastAsia="Arial" w:hAnsi="Arial"/>
          <w:sz w:val="16"/>
          <w:szCs w:val="16"/>
          <w:color w:val="003082"/>
        </w:rPr>
        <w:t>Adjusted EBITDA does not reflect changes in, or cash requirements for, our working capital needs;</w:t>
      </w:r>
    </w:p>
    <w:p>
      <w:pPr>
        <w:spacing w:after="0" w:line="113" w:lineRule="exact"/>
        <w:rPr>
          <w:rFonts w:ascii="Arial" w:cs="Arial" w:eastAsia="Arial" w:hAnsi="Arial"/>
          <w:sz w:val="16"/>
          <w:szCs w:val="16"/>
          <w:color w:val="003082"/>
        </w:rPr>
      </w:pPr>
    </w:p>
    <w:p>
      <w:pPr>
        <w:ind w:left="660" w:hanging="322"/>
        <w:spacing w:after="0"/>
        <w:tabs>
          <w:tab w:leader="none" w:pos="660" w:val="left"/>
        </w:tabs>
        <w:numPr>
          <w:ilvl w:val="1"/>
          <w:numId w:val="17"/>
        </w:numPr>
        <w:rPr>
          <w:rFonts w:ascii="Arial" w:cs="Arial" w:eastAsia="Arial" w:hAnsi="Arial"/>
          <w:sz w:val="16"/>
          <w:szCs w:val="16"/>
          <w:color w:val="003082"/>
        </w:rPr>
      </w:pPr>
      <w:r>
        <w:rPr>
          <w:rFonts w:ascii="Arial" w:cs="Arial" w:eastAsia="Arial" w:hAnsi="Arial"/>
          <w:sz w:val="16"/>
          <w:szCs w:val="16"/>
          <w:color w:val="003082"/>
        </w:rPr>
        <w:t>Adjusted EBITDA does not consider the potentially dilutive impact of share-based compensation;</w:t>
      </w:r>
    </w:p>
    <w:p>
      <w:pPr>
        <w:spacing w:after="0" w:line="113" w:lineRule="exact"/>
        <w:rPr>
          <w:rFonts w:ascii="Arial" w:cs="Arial" w:eastAsia="Arial" w:hAnsi="Arial"/>
          <w:sz w:val="16"/>
          <w:szCs w:val="16"/>
          <w:color w:val="003082"/>
        </w:rPr>
      </w:pPr>
    </w:p>
    <w:p>
      <w:pPr>
        <w:ind w:left="660" w:hanging="322"/>
        <w:spacing w:after="0"/>
        <w:tabs>
          <w:tab w:leader="none" w:pos="660" w:val="left"/>
        </w:tabs>
        <w:numPr>
          <w:ilvl w:val="1"/>
          <w:numId w:val="17"/>
        </w:numPr>
        <w:rPr>
          <w:rFonts w:ascii="Arial" w:cs="Arial" w:eastAsia="Arial" w:hAnsi="Arial"/>
          <w:sz w:val="16"/>
          <w:szCs w:val="16"/>
          <w:color w:val="003082"/>
        </w:rPr>
      </w:pPr>
      <w:r>
        <w:rPr>
          <w:rFonts w:ascii="Arial" w:cs="Arial" w:eastAsia="Arial" w:hAnsi="Arial"/>
          <w:sz w:val="16"/>
          <w:szCs w:val="16"/>
          <w:color w:val="003082"/>
        </w:rPr>
        <w:t>Adjusted EBITDA does not reflect tax payments that may represent a reduction in cash available to 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17</w:t>
      </w:r>
    </w:p>
    <w:p>
      <w:pPr>
        <w:sectPr>
          <w:pgSz w:w="11900" w:h="16838" w:orient="portrait"/>
          <w:cols w:equalWidth="0" w:num="1">
            <w:col w:w="9920"/>
          </w:cols>
          <w:pgMar w:left="980" w:top="1107" w:right="999" w:bottom="1440" w:gutter="0" w:footer="0" w:header="0"/>
        </w:sectPr>
      </w:pPr>
    </w:p>
    <w:bookmarkStart w:id="22" w:name="page23"/>
    <w:bookmarkEnd w:id="22"/>
    <w:p>
      <w:pPr>
        <w:ind w:left="646" w:right="20" w:hanging="322"/>
        <w:spacing w:after="0" w:line="275" w:lineRule="auto"/>
        <w:tabs>
          <w:tab w:leader="none" w:pos="646" w:val="left"/>
        </w:tabs>
        <w:numPr>
          <w:ilvl w:val="0"/>
          <w:numId w:val="18"/>
        </w:numPr>
        <w:rPr>
          <w:rFonts w:ascii="Arial" w:cs="Arial" w:eastAsia="Arial" w:hAnsi="Arial"/>
          <w:sz w:val="16"/>
          <w:szCs w:val="16"/>
          <w:color w:val="003082"/>
        </w:rPr>
      </w:pPr>
      <w:r>
        <w:rPr>
          <w:rFonts w:ascii="Arial" w:cs="Arial" w:eastAsia="Arial" w:hAnsi="Arial"/>
          <w:sz w:val="16"/>
          <w:szCs w:val="16"/>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513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513320"/>
                    </a:xfrm>
                    <a:prstGeom prst="rect">
                      <a:avLst/>
                    </a:prstGeom>
                    <a:noFill/>
                  </pic:spPr>
                </pic:pic>
              </a:graphicData>
            </a:graphic>
          </wp:anchor>
        </w:drawing>
        <w:t>other companies, including companies in our industry, may calculate Adjusted EBITDA differently, which reduces its usefulness as a comparative measure.</w:t>
      </w:r>
    </w:p>
    <w:p>
      <w:pPr>
        <w:spacing w:after="0" w:line="64" w:lineRule="exact"/>
        <w:rPr>
          <w:sz w:val="20"/>
          <w:szCs w:val="20"/>
          <w:color w:val="auto"/>
        </w:rPr>
      </w:pPr>
    </w:p>
    <w:p>
      <w:pPr>
        <w:ind w:left="326" w:right="20"/>
        <w:spacing w:after="0" w:line="275" w:lineRule="auto"/>
        <w:rPr>
          <w:sz w:val="20"/>
          <w:szCs w:val="20"/>
          <w:color w:val="auto"/>
        </w:rPr>
      </w:pPr>
      <w:r>
        <w:rPr>
          <w:rFonts w:ascii="Arial" w:cs="Arial" w:eastAsia="Arial" w:hAnsi="Arial"/>
          <w:sz w:val="16"/>
          <w:szCs w:val="16"/>
          <w:color w:val="003082"/>
        </w:rPr>
        <w:t>Because of these limitations, you should consider Adjusted EBITDA alongside other financial performance measures, including various cash flow metrics, net income and our other GAAP results.</w:t>
      </w:r>
    </w:p>
    <w:p>
      <w:pPr>
        <w:spacing w:after="0" w:line="64" w:lineRule="exact"/>
        <w:rPr>
          <w:sz w:val="20"/>
          <w:szCs w:val="20"/>
          <w:color w:val="auto"/>
        </w:rPr>
      </w:pPr>
    </w:p>
    <w:p>
      <w:pPr>
        <w:ind w:left="326"/>
        <w:spacing w:after="0"/>
        <w:rPr>
          <w:sz w:val="20"/>
          <w:szCs w:val="20"/>
          <w:color w:val="auto"/>
        </w:rPr>
      </w:pPr>
      <w:r>
        <w:rPr>
          <w:rFonts w:ascii="Arial" w:cs="Arial" w:eastAsia="Arial" w:hAnsi="Arial"/>
          <w:sz w:val="16"/>
          <w:szCs w:val="16"/>
          <w:color w:val="003082"/>
        </w:rPr>
        <w:t>A reconciliation of non-GAAP Adjusted EBITDA to net income (loss) is as follows:</w:t>
      </w:r>
    </w:p>
    <w:p>
      <w:pPr>
        <w:spacing w:after="0" w:line="222" w:lineRule="exact"/>
        <w:rPr>
          <w:sz w:val="20"/>
          <w:szCs w:val="20"/>
          <w:color w:val="auto"/>
        </w:rPr>
      </w:pPr>
    </w:p>
    <w:tbl>
      <w:tblPr>
        <w:tblLayout w:type="fixed"/>
        <w:tblInd w:w="326"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Arial" w:cs="Arial" w:eastAsia="Arial" w:hAnsi="Arial"/>
                <w:sz w:val="14"/>
                <w:szCs w:val="14"/>
                <w:b w:val="1"/>
                <w:bCs w:val="1"/>
                <w:color w:val="003082"/>
              </w:rPr>
              <w:t>Year Ended December 31,</w:t>
            </w:r>
          </w:p>
        </w:tc>
        <w:tc>
          <w:tcPr>
            <w:tcW w:w="180" w:type="dxa"/>
            <w:vAlign w:val="bottom"/>
          </w:tcPr>
          <w:p>
            <w:pPr>
              <w:spacing w:after="0"/>
              <w:rPr>
                <w:sz w:val="16"/>
                <w:szCs w:val="16"/>
                <w:color w:val="auto"/>
              </w:rPr>
            </w:pPr>
          </w:p>
        </w:tc>
        <w:tc>
          <w:tcPr>
            <w:tcW w:w="23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003082"/>
                <w:w w:val="98"/>
              </w:rPr>
              <w:t>Three Months Ended March 31,</w:t>
            </w:r>
          </w:p>
        </w:tc>
      </w:tr>
      <w:tr>
        <w:trPr>
          <w:trHeight w:val="264"/>
        </w:trPr>
        <w:tc>
          <w:tcPr>
            <w:tcW w:w="4080" w:type="dxa"/>
            <w:vAlign w:val="bottom"/>
          </w:tcPr>
          <w:p>
            <w:pPr>
              <w:spacing w:after="0"/>
              <w:rPr>
                <w:sz w:val="22"/>
                <w:szCs w:val="22"/>
                <w:color w:val="auto"/>
              </w:rPr>
            </w:pPr>
          </w:p>
        </w:tc>
        <w:tc>
          <w:tcPr>
            <w:tcW w:w="740" w:type="dxa"/>
            <w:vAlign w:val="bottom"/>
            <w:tcBorders>
              <w:top w:val="single" w:sz="8" w:color="3D5588"/>
              <w:bottom w:val="single" w:sz="8" w:color="3D5588"/>
            </w:tcBorders>
          </w:tcPr>
          <w:p>
            <w:pPr>
              <w:ind w:left="460"/>
              <w:spacing w:after="0"/>
              <w:rPr>
                <w:sz w:val="20"/>
                <w:szCs w:val="20"/>
                <w:color w:val="auto"/>
              </w:rPr>
            </w:pPr>
            <w:r>
              <w:rPr>
                <w:rFonts w:ascii="Arial" w:cs="Arial" w:eastAsia="Arial" w:hAnsi="Arial"/>
                <w:sz w:val="14"/>
                <w:szCs w:val="14"/>
                <w:b w:val="1"/>
                <w:bCs w:val="1"/>
                <w:color w:val="003082"/>
                <w:w w:val="83"/>
              </w:rPr>
              <w:t>2018</w:t>
            </w:r>
          </w:p>
        </w:tc>
        <w:tc>
          <w:tcPr>
            <w:tcW w:w="460" w:type="dxa"/>
            <w:vAlign w:val="bottom"/>
            <w:tcBorders>
              <w:top w:val="single" w:sz="8" w:color="3D5588"/>
              <w:bottom w:val="single" w:sz="8" w:color="3D5588"/>
            </w:tcBorders>
          </w:tcPr>
          <w:p>
            <w:pPr>
              <w:spacing w:after="0"/>
              <w:rPr>
                <w:sz w:val="22"/>
                <w:szCs w:val="22"/>
                <w:color w:val="auto"/>
              </w:rPr>
            </w:pPr>
          </w:p>
        </w:tc>
        <w:tc>
          <w:tcPr>
            <w:tcW w:w="100" w:type="dxa"/>
            <w:vAlign w:val="bottom"/>
            <w:tcBorders>
              <w:top w:val="single" w:sz="8" w:color="3D5588"/>
              <w:bottom w:val="single" w:sz="8" w:color="3D5588"/>
            </w:tcBorders>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900" w:type="dxa"/>
            <w:vAlign w:val="bottom"/>
            <w:tcBorders>
              <w:top w:val="single" w:sz="8" w:color="3D5588"/>
              <w:bottom w:val="single" w:sz="8" w:color="3D5588"/>
            </w:tcBorders>
          </w:tcPr>
          <w:p>
            <w:pPr>
              <w:jc w:val="right"/>
              <w:ind w:right="361"/>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180" w:type="dxa"/>
            <w:vAlign w:val="bottom"/>
            <w:tcBorders>
              <w:top w:val="single" w:sz="8" w:color="3D5588"/>
              <w:bottom w:val="single" w:sz="8" w:color="3D5588"/>
            </w:tcBorders>
          </w:tcPr>
          <w:p>
            <w:pPr>
              <w:spacing w:after="0"/>
              <w:rPr>
                <w:sz w:val="22"/>
                <w:szCs w:val="22"/>
                <w:color w:val="auto"/>
              </w:rPr>
            </w:pPr>
          </w:p>
        </w:tc>
        <w:tc>
          <w:tcPr>
            <w:tcW w:w="1000" w:type="dxa"/>
            <w:vAlign w:val="bottom"/>
            <w:tcBorders>
              <w:top w:val="single" w:sz="8" w:color="3D5588"/>
              <w:bottom w:val="single" w:sz="8" w:color="3D5588"/>
            </w:tcBorders>
          </w:tcPr>
          <w:p>
            <w:pPr>
              <w:jc w:val="right"/>
              <w:ind w:right="361"/>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top w:val="single" w:sz="8" w:color="3D5588"/>
              <w:bottom w:val="single" w:sz="8" w:color="3D5588"/>
            </w:tcBorders>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900" w:type="dxa"/>
            <w:vAlign w:val="bottom"/>
            <w:tcBorders>
              <w:top w:val="single" w:sz="8" w:color="3D5588"/>
              <w:bottom w:val="single" w:sz="8" w:color="3D5588"/>
            </w:tcBorders>
          </w:tcPr>
          <w:p>
            <w:pPr>
              <w:jc w:val="right"/>
              <w:ind w:right="360"/>
              <w:spacing w:after="0"/>
              <w:rPr>
                <w:sz w:val="20"/>
                <w:szCs w:val="20"/>
                <w:color w:val="auto"/>
              </w:rPr>
            </w:pPr>
            <w:r>
              <w:rPr>
                <w:rFonts w:ascii="Arial" w:cs="Arial" w:eastAsia="Arial" w:hAnsi="Arial"/>
                <w:sz w:val="14"/>
                <w:szCs w:val="14"/>
                <w:b w:val="1"/>
                <w:bCs w:val="1"/>
                <w:color w:val="003082"/>
              </w:rPr>
              <w:t>2020</w:t>
            </w:r>
          </w:p>
        </w:tc>
      </w:tr>
      <w:tr>
        <w:trPr>
          <w:trHeight w:val="250"/>
        </w:trPr>
        <w:tc>
          <w:tcPr>
            <w:tcW w:w="40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5"/>
          </w:tcPr>
          <w:p>
            <w:pPr>
              <w:ind w:left="400"/>
              <w:spacing w:after="0"/>
              <w:rPr>
                <w:sz w:val="20"/>
                <w:szCs w:val="20"/>
                <w:color w:val="auto"/>
              </w:rPr>
            </w:pPr>
            <w:r>
              <w:rPr>
                <w:rFonts w:ascii="Arial" w:cs="Arial" w:eastAsia="Arial" w:hAnsi="Arial"/>
                <w:sz w:val="14"/>
                <w:szCs w:val="14"/>
                <w:b w:val="1"/>
                <w:bCs w:val="1"/>
                <w:color w:val="003082"/>
              </w:rPr>
              <w:t>(US$ 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Net income (loss)</w:t>
            </w:r>
          </w:p>
        </w:tc>
        <w:tc>
          <w:tcPr>
            <w:tcW w:w="740" w:type="dxa"/>
            <w:vAlign w:val="bottom"/>
            <w:tcBorders>
              <w:bottom w:val="single" w:sz="8" w:color="CCEEFF"/>
            </w:tcBorders>
            <w:shd w:val="clear" w:color="auto" w:fill="CCEEFF"/>
          </w:tcPr>
          <w:p>
            <w:pPr>
              <w:jc w:val="right"/>
              <w:ind w:right="544"/>
              <w:spacing w:after="0"/>
              <w:rPr>
                <w:sz w:val="20"/>
                <w:szCs w:val="20"/>
                <w:color w:val="auto"/>
              </w:rPr>
            </w:pPr>
            <w:r>
              <w:rPr>
                <w:rFonts w:ascii="Arial" w:cs="Arial" w:eastAsia="Arial" w:hAnsi="Arial"/>
                <w:sz w:val="16"/>
                <w:szCs w:val="16"/>
                <w:color w:val="003082"/>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376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3082"/>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(6,177)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(718)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003082"/>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2,987</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003082"/>
              </w:rPr>
              <w:t>Excluding:</w:t>
            </w: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003082"/>
              </w:rPr>
              <w:t>Exchange gain (loss)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(7)</w:t>
            </w: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003082"/>
              </w:rPr>
              <w:t>Interest income</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003082"/>
              </w:rPr>
              <w:t>239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3082"/>
              </w:rPr>
              <w:t>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003082"/>
              </w:rPr>
              <w:t>43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3082"/>
              </w:rPr>
              <w:t>97</w:t>
            </w: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003082"/>
              </w:rPr>
              <w:t>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(801)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(369)</w:t>
            </w:r>
          </w:p>
        </w:tc>
      </w:tr>
      <w:tr>
        <w:trPr>
          <w:trHeight w:val="237"/>
        </w:trPr>
        <w:tc>
          <w:tcPr>
            <w:tcW w:w="4080" w:type="dxa"/>
            <w:vAlign w:val="bottom"/>
          </w:tcPr>
          <w:p>
            <w:pPr>
              <w:ind w:left="140"/>
              <w:spacing w:after="0"/>
              <w:rPr>
                <w:sz w:val="20"/>
                <w:szCs w:val="20"/>
                <w:color w:val="auto"/>
              </w:rPr>
            </w:pPr>
            <w:r>
              <w:rPr>
                <w:rFonts w:ascii="Arial" w:cs="Arial" w:eastAsia="Arial" w:hAnsi="Arial"/>
                <w:sz w:val="16"/>
                <w:szCs w:val="16"/>
                <w:color w:val="003082"/>
              </w:rPr>
              <w:t>Depreciation and amortization</w:t>
            </w: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003082"/>
              </w:rPr>
              <w:t>922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3082"/>
              </w:rPr>
              <w:t>1,868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003082"/>
              </w:rPr>
              <w:t>342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3082"/>
              </w:rPr>
              <w:t>745</w:t>
            </w:r>
          </w:p>
        </w:tc>
      </w:tr>
      <w:tr>
        <w:trPr>
          <w:trHeight w:val="33"/>
        </w:trPr>
        <w:tc>
          <w:tcPr>
            <w:tcW w:w="4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003082"/>
              </w:rPr>
              <w:t>Share-based compensation expense</w:t>
            </w:r>
          </w:p>
        </w:tc>
        <w:tc>
          <w:tcPr>
            <w:tcW w:w="7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w w:val="89"/>
              </w:rPr>
              <w:t>2,850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4,253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003082"/>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1,447</w:t>
            </w:r>
          </w:p>
        </w:tc>
      </w:tr>
      <w:tr>
        <w:trPr>
          <w:trHeight w:val="243"/>
        </w:trPr>
        <w:tc>
          <w:tcPr>
            <w:tcW w:w="4080" w:type="dxa"/>
            <w:vAlign w:val="bottom"/>
          </w:tcPr>
          <w:p>
            <w:pPr>
              <w:ind w:left="20"/>
              <w:spacing w:after="0"/>
              <w:rPr>
                <w:sz w:val="20"/>
                <w:szCs w:val="20"/>
                <w:color w:val="auto"/>
              </w:rPr>
            </w:pPr>
            <w:r>
              <w:rPr>
                <w:rFonts w:ascii="Arial" w:cs="Arial" w:eastAsia="Arial" w:hAnsi="Arial"/>
                <w:sz w:val="16"/>
                <w:szCs w:val="16"/>
                <w:color w:val="003082"/>
              </w:rPr>
              <w:t>Adjusted EBITDA</w:t>
            </w:r>
          </w:p>
        </w:tc>
        <w:tc>
          <w:tcPr>
            <w:tcW w:w="740" w:type="dxa"/>
            <w:vAlign w:val="bottom"/>
            <w:tcBorders>
              <w:top w:val="single" w:sz="8" w:color="3D5588"/>
              <w:bottom w:val="single" w:sz="8" w:color="3D5588"/>
            </w:tcBorders>
          </w:tcPr>
          <w:p>
            <w:pPr>
              <w:jc w:val="right"/>
              <w:ind w:right="544"/>
              <w:spacing w:after="0"/>
              <w:rPr>
                <w:sz w:val="20"/>
                <w:szCs w:val="20"/>
                <w:color w:val="auto"/>
              </w:rPr>
            </w:pPr>
            <w:r>
              <w:rPr>
                <w:rFonts w:ascii="Arial" w:cs="Arial" w:eastAsia="Arial" w:hAnsi="Arial"/>
                <w:sz w:val="16"/>
                <w:szCs w:val="16"/>
                <w:color w:val="003082"/>
              </w:rPr>
              <w:t>$</w:t>
            </w:r>
          </w:p>
        </w:tc>
        <w:tc>
          <w:tcPr>
            <w:tcW w:w="4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6"/>
                <w:szCs w:val="16"/>
                <w:color w:val="003082"/>
                <w:w w:val="89"/>
              </w:rPr>
              <w:t>4,035</w:t>
            </w:r>
          </w:p>
        </w:tc>
        <w:tc>
          <w:tcPr>
            <w:tcW w:w="100" w:type="dxa"/>
            <w:vAlign w:val="bottom"/>
          </w:tcPr>
          <w:p>
            <w:pPr>
              <w:spacing w:after="0"/>
              <w:rPr>
                <w:sz w:val="21"/>
                <w:szCs w:val="21"/>
                <w:color w:val="auto"/>
              </w:rPr>
            </w:pPr>
          </w:p>
        </w:tc>
        <w:tc>
          <w:tcPr>
            <w:tcW w:w="280" w:type="dxa"/>
            <w:vAlign w:val="bottom"/>
            <w:tcBorders>
              <w:top w:val="single" w:sz="8" w:color="3D5588"/>
              <w:bottom w:val="single" w:sz="8" w:color="3D5588"/>
            </w:tcBorders>
          </w:tcPr>
          <w:p>
            <w:pPr>
              <w:jc w:val="right"/>
              <w:ind w:right="79"/>
              <w:spacing w:after="0"/>
              <w:rPr>
                <w:sz w:val="20"/>
                <w:szCs w:val="20"/>
                <w:color w:val="auto"/>
              </w:rPr>
            </w:pPr>
            <w:r>
              <w:rPr>
                <w:rFonts w:ascii="Arial" w:cs="Arial" w:eastAsia="Arial" w:hAnsi="Arial"/>
                <w:sz w:val="16"/>
                <w:szCs w:val="16"/>
                <w:color w:val="003082"/>
              </w:rPr>
              <w:t>$</w:t>
            </w:r>
          </w:p>
        </w:tc>
        <w:tc>
          <w:tcPr>
            <w:tcW w:w="9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6"/>
                <w:szCs w:val="16"/>
                <w:color w:val="003082"/>
              </w:rPr>
              <w:t>31</w:t>
            </w:r>
          </w:p>
        </w:tc>
        <w:tc>
          <w:tcPr>
            <w:tcW w:w="120" w:type="dxa"/>
            <w:vAlign w:val="bottom"/>
          </w:tcPr>
          <w:p>
            <w:pPr>
              <w:spacing w:after="0"/>
              <w:rPr>
                <w:sz w:val="21"/>
                <w:szCs w:val="21"/>
                <w:color w:val="auto"/>
              </w:rPr>
            </w:pPr>
          </w:p>
        </w:tc>
        <w:tc>
          <w:tcPr>
            <w:tcW w:w="1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6"/>
                <w:szCs w:val="16"/>
                <w:color w:val="003082"/>
                <w:w w:val="89"/>
              </w:rPr>
              <w:t>$</w:t>
            </w:r>
          </w:p>
        </w:tc>
        <w:tc>
          <w:tcPr>
            <w:tcW w:w="1000" w:type="dxa"/>
            <w:vAlign w:val="bottom"/>
            <w:tcBorders>
              <w:top w:val="single" w:sz="8" w:color="3D5588"/>
              <w:bottom w:val="single" w:sz="8" w:color="3D5588"/>
            </w:tcBorders>
          </w:tcPr>
          <w:p>
            <w:pPr>
              <w:jc w:val="right"/>
              <w:ind w:right="1"/>
              <w:spacing w:after="0"/>
              <w:rPr>
                <w:sz w:val="20"/>
                <w:szCs w:val="20"/>
                <w:color w:val="auto"/>
              </w:rPr>
            </w:pPr>
            <w:r>
              <w:rPr>
                <w:rFonts w:ascii="Arial" w:cs="Arial" w:eastAsia="Arial" w:hAnsi="Arial"/>
                <w:sz w:val="16"/>
                <w:szCs w:val="16"/>
                <w:color w:val="003082"/>
              </w:rPr>
              <w:t>720</w:t>
            </w:r>
          </w:p>
        </w:tc>
        <w:tc>
          <w:tcPr>
            <w:tcW w:w="120" w:type="dxa"/>
            <w:vAlign w:val="bottom"/>
          </w:tcPr>
          <w:p>
            <w:pPr>
              <w:spacing w:after="0"/>
              <w:rPr>
                <w:sz w:val="21"/>
                <w:szCs w:val="21"/>
                <w:color w:val="auto"/>
              </w:rPr>
            </w:pPr>
          </w:p>
        </w:tc>
        <w:tc>
          <w:tcPr>
            <w:tcW w:w="280" w:type="dxa"/>
            <w:vAlign w:val="bottom"/>
            <w:tcBorders>
              <w:top w:val="single" w:sz="8" w:color="3D5588"/>
              <w:bottom w:val="single" w:sz="8" w:color="3D5588"/>
            </w:tcBorders>
          </w:tcPr>
          <w:p>
            <w:pPr>
              <w:jc w:val="right"/>
              <w:ind w:right="99"/>
              <w:spacing w:after="0"/>
              <w:rPr>
                <w:sz w:val="20"/>
                <w:szCs w:val="20"/>
                <w:color w:val="auto"/>
              </w:rPr>
            </w:pPr>
            <w:r>
              <w:rPr>
                <w:rFonts w:ascii="Arial" w:cs="Arial" w:eastAsia="Arial" w:hAnsi="Arial"/>
                <w:sz w:val="16"/>
                <w:szCs w:val="16"/>
                <w:color w:val="003082"/>
                <w:w w:val="89"/>
              </w:rPr>
              <w:t>$</w:t>
            </w:r>
          </w:p>
        </w:tc>
        <w:tc>
          <w:tcPr>
            <w:tcW w:w="9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6"/>
                <w:szCs w:val="16"/>
                <w:color w:val="003082"/>
              </w:rPr>
              <w:t>5,458</w:t>
            </w:r>
          </w:p>
        </w:tc>
      </w:tr>
      <w:tr>
        <w:trPr>
          <w:trHeight w:val="20"/>
        </w:trPr>
        <w:tc>
          <w:tcPr>
            <w:tcW w:w="4080" w:type="dxa"/>
            <w:vAlign w:val="bottom"/>
          </w:tcPr>
          <w:p>
            <w:pPr>
              <w:spacing w:after="0" w:line="20" w:lineRule="exact"/>
              <w:rPr>
                <w:sz w:val="1"/>
                <w:szCs w:val="1"/>
                <w:color w:val="auto"/>
              </w:rPr>
            </w:pPr>
          </w:p>
        </w:tc>
        <w:tc>
          <w:tcPr>
            <w:tcW w:w="740" w:type="dxa"/>
            <w:vAlign w:val="bottom"/>
            <w:tcBorders>
              <w:bottom w:val="single" w:sz="8" w:color="3D5588"/>
            </w:tcBorders>
          </w:tcPr>
          <w:p>
            <w:pPr>
              <w:spacing w:after="0" w:line="20" w:lineRule="exact"/>
              <w:rPr>
                <w:sz w:val="1"/>
                <w:szCs w:val="1"/>
                <w:color w:val="auto"/>
              </w:rPr>
            </w:pPr>
          </w:p>
        </w:tc>
        <w:tc>
          <w:tcPr>
            <w:tcW w:w="4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r>
    </w:tbl>
    <w:p>
      <w:pPr>
        <w:spacing w:after="0" w:line="179" w:lineRule="exact"/>
        <w:rPr>
          <w:sz w:val="20"/>
          <w:szCs w:val="20"/>
          <w:color w:val="auto"/>
        </w:rPr>
      </w:pPr>
    </w:p>
    <w:p>
      <w:pPr>
        <w:jc w:val="both"/>
        <w:ind w:left="326" w:right="20" w:hanging="326"/>
        <w:spacing w:after="0" w:line="256" w:lineRule="auto"/>
        <w:tabs>
          <w:tab w:leader="none" w:pos="326" w:val="left"/>
        </w:tabs>
        <w:numPr>
          <w:ilvl w:val="0"/>
          <w:numId w:val="19"/>
        </w:numPr>
        <w:rPr>
          <w:rFonts w:ascii="Arial" w:cs="Arial" w:eastAsia="Arial" w:hAnsi="Arial"/>
          <w:sz w:val="16"/>
          <w:szCs w:val="16"/>
          <w:color w:val="003082"/>
        </w:rPr>
      </w:pPr>
      <w:r>
        <w:rPr>
          <w:rFonts w:ascii="Arial" w:cs="Arial" w:eastAsia="Arial" w:hAnsi="Arial"/>
          <w:sz w:val="16"/>
          <w:szCs w:val="16"/>
          <w:color w:val="003082"/>
        </w:rPr>
        <w:t>To provide investors with additional information regarding our financial results, we have also disclosed in the table above and elsewhere in this prospectus free cash flow, a non-GAAP financial measure that we calculate as net cash generated from (used in) operating activities less cash used in purchases of property and equipment. We have provided a reconciliation of free cash flow to net cash generated from (used in) operating activities, the most directly comparable GAAP financial measure.</w:t>
      </w:r>
    </w:p>
    <w:p>
      <w:pPr>
        <w:spacing w:after="0" w:line="78" w:lineRule="exact"/>
        <w:rPr>
          <w:rFonts w:ascii="Arial" w:cs="Arial" w:eastAsia="Arial" w:hAnsi="Arial"/>
          <w:sz w:val="16"/>
          <w:szCs w:val="16"/>
          <w:color w:val="003082"/>
        </w:rPr>
      </w:pPr>
    </w:p>
    <w:p>
      <w:pPr>
        <w:jc w:val="both"/>
        <w:ind w:left="326" w:right="20"/>
        <w:spacing w:after="0" w:line="286" w:lineRule="auto"/>
        <w:rPr>
          <w:rFonts w:ascii="Arial" w:cs="Arial" w:eastAsia="Arial" w:hAnsi="Arial"/>
          <w:sz w:val="16"/>
          <w:szCs w:val="16"/>
          <w:color w:val="003082"/>
        </w:rPr>
      </w:pPr>
      <w:r>
        <w:rPr>
          <w:rFonts w:ascii="Arial" w:cs="Arial" w:eastAsia="Arial" w:hAnsi="Arial"/>
          <w:sz w:val="15"/>
          <w:szCs w:val="15"/>
          <w:color w:val="003082"/>
        </w:rPr>
        <w:t>We have included free cash flow in this prospectus because we believe it is a useful indicator of liquidity that provides information to management and investors about the amount of cash generated from our core operations that, after the purchases of property and equipment, can be used for strategic initiatives, including investing in our business, making strategic acquisitions, and strengthening our balance sheet.</w:t>
      </w:r>
    </w:p>
    <w:p>
      <w:pPr>
        <w:spacing w:after="0" w:line="58" w:lineRule="exact"/>
        <w:rPr>
          <w:rFonts w:ascii="Arial" w:cs="Arial" w:eastAsia="Arial" w:hAnsi="Arial"/>
          <w:sz w:val="16"/>
          <w:szCs w:val="16"/>
          <w:color w:val="003082"/>
        </w:rPr>
      </w:pPr>
    </w:p>
    <w:p>
      <w:pPr>
        <w:jc w:val="both"/>
        <w:ind w:left="326"/>
        <w:spacing w:after="0" w:line="253" w:lineRule="auto"/>
        <w:rPr>
          <w:rFonts w:ascii="Arial" w:cs="Arial" w:eastAsia="Arial" w:hAnsi="Arial"/>
          <w:sz w:val="16"/>
          <w:szCs w:val="16"/>
          <w:color w:val="003082"/>
        </w:rPr>
      </w:pPr>
      <w:r>
        <w:rPr>
          <w:rFonts w:ascii="Arial" w:cs="Arial" w:eastAsia="Arial" w:hAnsi="Arial"/>
          <w:sz w:val="16"/>
          <w:szCs w:val="16"/>
          <w:color w:val="003082"/>
        </w:rPr>
        <w:t>Free cash flow has limitations as an analytical tool, and you should not consider it in isolation or as a substitute for analysis of our results as reported under GAAP. There are limitations to using non-GAAP financial measures, including that other companies, including companies in our industry, may calculate free cash flow differently. Because of these limitations, you should consider free cash flow alongside other financial performance measures, including net cash generated from (used in) operating activities, purchases of property and equipment and our other GAAP results.</w:t>
      </w:r>
    </w:p>
    <w:p>
      <w:pPr>
        <w:spacing w:after="0" w:line="83" w:lineRule="exact"/>
        <w:rPr>
          <w:rFonts w:ascii="Arial" w:cs="Arial" w:eastAsia="Arial" w:hAnsi="Arial"/>
          <w:sz w:val="16"/>
          <w:szCs w:val="16"/>
          <w:color w:val="003082"/>
        </w:rPr>
      </w:pPr>
    </w:p>
    <w:p>
      <w:pPr>
        <w:ind w:left="326" w:right="20"/>
        <w:spacing w:after="0" w:line="310" w:lineRule="auto"/>
        <w:rPr>
          <w:rFonts w:ascii="Arial" w:cs="Arial" w:eastAsia="Arial" w:hAnsi="Arial"/>
          <w:sz w:val="16"/>
          <w:szCs w:val="16"/>
          <w:color w:val="003082"/>
        </w:rPr>
      </w:pPr>
      <w:r>
        <w:rPr>
          <w:rFonts w:ascii="Arial" w:cs="Arial" w:eastAsia="Arial" w:hAnsi="Arial"/>
          <w:sz w:val="15"/>
          <w:szCs w:val="15"/>
          <w:color w:val="003082"/>
        </w:rPr>
        <w:t>The following table presents a reconciliation of free cash flow to net cash generated from (used in) operating activities, as well as information regarding net cash used in investing activities and net cash provided by financing activities, for each of the periods indicated:</w:t>
      </w:r>
    </w:p>
    <w:p>
      <w:pPr>
        <w:spacing w:after="0" w:line="149" w:lineRule="exact"/>
        <w:rPr>
          <w:sz w:val="20"/>
          <w:szCs w:val="20"/>
          <w:color w:val="auto"/>
        </w:rPr>
      </w:pPr>
    </w:p>
    <w:tbl>
      <w:tblPr>
        <w:tblLayout w:type="fixed"/>
        <w:tblInd w:w="326"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ind w:left="180"/>
              <w:spacing w:after="0"/>
              <w:rPr>
                <w:sz w:val="20"/>
                <w:szCs w:val="20"/>
                <w:color w:val="auto"/>
              </w:rPr>
            </w:pPr>
            <w:r>
              <w:rPr>
                <w:rFonts w:ascii="Arial" w:cs="Arial" w:eastAsia="Arial" w:hAnsi="Arial"/>
                <w:sz w:val="14"/>
                <w:szCs w:val="14"/>
                <w:b w:val="1"/>
                <w:bCs w:val="1"/>
                <w:color w:val="003082"/>
              </w:rPr>
              <w:t>Year Ended December 31,</w:t>
            </w:r>
          </w:p>
        </w:tc>
        <w:tc>
          <w:tcPr>
            <w:tcW w:w="200" w:type="dxa"/>
            <w:vAlign w:val="bottom"/>
          </w:tcPr>
          <w:p>
            <w:pPr>
              <w:spacing w:after="0"/>
              <w:rPr>
                <w:sz w:val="16"/>
                <w:szCs w:val="16"/>
                <w:color w:val="auto"/>
              </w:rPr>
            </w:pPr>
          </w:p>
        </w:tc>
        <w:tc>
          <w:tcPr>
            <w:tcW w:w="232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003082"/>
                <w:w w:val="98"/>
              </w:rPr>
              <w:t>Three Months Ended March 31,</w:t>
            </w:r>
          </w:p>
        </w:tc>
      </w:tr>
      <w:tr>
        <w:trPr>
          <w:trHeight w:val="263"/>
        </w:trPr>
        <w:tc>
          <w:tcPr>
            <w:tcW w:w="4080" w:type="dxa"/>
            <w:vAlign w:val="bottom"/>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980" w:type="dxa"/>
            <w:vAlign w:val="bottom"/>
            <w:tcBorders>
              <w:top w:val="single" w:sz="8" w:color="3D5588"/>
              <w:bottom w:val="single" w:sz="8" w:color="3D5588"/>
            </w:tcBorders>
          </w:tcPr>
          <w:p>
            <w:pPr>
              <w:jc w:val="right"/>
              <w:ind w:right="442"/>
              <w:spacing w:after="0"/>
              <w:rPr>
                <w:sz w:val="20"/>
                <w:szCs w:val="20"/>
                <w:color w:val="auto"/>
              </w:rPr>
            </w:pPr>
            <w:r>
              <w:rPr>
                <w:rFonts w:ascii="Arial" w:cs="Arial" w:eastAsia="Arial" w:hAnsi="Arial"/>
                <w:sz w:val="14"/>
                <w:szCs w:val="14"/>
                <w:b w:val="1"/>
                <w:bCs w:val="1"/>
                <w:color w:val="003082"/>
              </w:rPr>
              <w:t>2018</w:t>
            </w:r>
          </w:p>
        </w:tc>
        <w:tc>
          <w:tcPr>
            <w:tcW w:w="320" w:type="dxa"/>
            <w:vAlign w:val="bottom"/>
            <w:tcBorders>
              <w:top w:val="single" w:sz="8" w:color="3D5588"/>
              <w:bottom w:val="single" w:sz="8" w:color="3D5588"/>
            </w:tcBorders>
          </w:tcPr>
          <w:p>
            <w:pPr>
              <w:spacing w:after="0"/>
              <w:rPr>
                <w:sz w:val="22"/>
                <w:szCs w:val="22"/>
                <w:color w:val="auto"/>
              </w:rPr>
            </w:pPr>
          </w:p>
        </w:tc>
        <w:tc>
          <w:tcPr>
            <w:tcW w:w="920" w:type="dxa"/>
            <w:vAlign w:val="bottom"/>
            <w:tcBorders>
              <w:top w:val="single" w:sz="8" w:color="3D5588"/>
              <w:bottom w:val="single" w:sz="8" w:color="3D5588"/>
            </w:tcBorders>
          </w:tcPr>
          <w:p>
            <w:pPr>
              <w:jc w:val="right"/>
              <w:ind w:right="382"/>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200" w:type="dxa"/>
            <w:vAlign w:val="bottom"/>
            <w:tcBorders>
              <w:top w:val="single" w:sz="8" w:color="3D5588"/>
              <w:bottom w:val="single" w:sz="8" w:color="3D5588"/>
            </w:tcBorders>
          </w:tcPr>
          <w:p>
            <w:pPr>
              <w:spacing w:after="0"/>
              <w:rPr>
                <w:sz w:val="22"/>
                <w:szCs w:val="22"/>
                <w:color w:val="auto"/>
              </w:rPr>
            </w:pPr>
          </w:p>
        </w:tc>
        <w:tc>
          <w:tcPr>
            <w:tcW w:w="1060" w:type="dxa"/>
            <w:vAlign w:val="bottom"/>
            <w:tcBorders>
              <w:top w:val="single" w:sz="8" w:color="3D5588"/>
              <w:bottom w:val="single" w:sz="8" w:color="3D5588"/>
            </w:tcBorders>
          </w:tcPr>
          <w:p>
            <w:pPr>
              <w:jc w:val="right"/>
              <w:ind w:right="422"/>
              <w:spacing w:after="0"/>
              <w:rPr>
                <w:sz w:val="20"/>
                <w:szCs w:val="20"/>
                <w:color w:val="auto"/>
              </w:rPr>
            </w:pPr>
            <w:r>
              <w:rPr>
                <w:rFonts w:ascii="Arial" w:cs="Arial" w:eastAsia="Arial" w:hAnsi="Arial"/>
                <w:sz w:val="14"/>
                <w:szCs w:val="14"/>
                <w:b w:val="1"/>
                <w:bCs w:val="1"/>
                <w:color w:val="003082"/>
              </w:rPr>
              <w:t>2019</w:t>
            </w:r>
          </w:p>
        </w:tc>
        <w:tc>
          <w:tcPr>
            <w:tcW w:w="340" w:type="dxa"/>
            <w:vAlign w:val="bottom"/>
            <w:tcBorders>
              <w:top w:val="single" w:sz="8" w:color="3D5588"/>
              <w:bottom w:val="single" w:sz="8" w:color="3D5588"/>
            </w:tcBorders>
          </w:tcPr>
          <w:p>
            <w:pPr>
              <w:spacing w:after="0"/>
              <w:rPr>
                <w:sz w:val="22"/>
                <w:szCs w:val="22"/>
                <w:color w:val="auto"/>
              </w:rPr>
            </w:pPr>
          </w:p>
        </w:tc>
        <w:tc>
          <w:tcPr>
            <w:tcW w:w="920" w:type="dxa"/>
            <w:vAlign w:val="bottom"/>
            <w:tcBorders>
              <w:top w:val="single" w:sz="8" w:color="3D5588"/>
              <w:bottom w:val="single" w:sz="8" w:color="3D5588"/>
            </w:tcBorders>
          </w:tcPr>
          <w:p>
            <w:pPr>
              <w:jc w:val="right"/>
              <w:ind w:right="381"/>
              <w:spacing w:after="0"/>
              <w:rPr>
                <w:sz w:val="20"/>
                <w:szCs w:val="20"/>
                <w:color w:val="auto"/>
              </w:rPr>
            </w:pPr>
            <w:r>
              <w:rPr>
                <w:rFonts w:ascii="Arial" w:cs="Arial" w:eastAsia="Arial" w:hAnsi="Arial"/>
                <w:sz w:val="14"/>
                <w:szCs w:val="14"/>
                <w:b w:val="1"/>
                <w:bCs w:val="1"/>
                <w:color w:val="003082"/>
              </w:rPr>
              <w:t>2020</w:t>
            </w:r>
          </w:p>
        </w:tc>
      </w:tr>
      <w:tr>
        <w:trPr>
          <w:trHeight w:val="250"/>
        </w:trPr>
        <w:tc>
          <w:tcPr>
            <w:tcW w:w="4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80" w:type="dxa"/>
            <w:vAlign w:val="bottom"/>
            <w:gridSpan w:val="4"/>
          </w:tcPr>
          <w:p>
            <w:pPr>
              <w:jc w:val="right"/>
              <w:ind w:right="622"/>
              <w:spacing w:after="0"/>
              <w:rPr>
                <w:sz w:val="20"/>
                <w:szCs w:val="20"/>
                <w:color w:val="auto"/>
              </w:rPr>
            </w:pPr>
            <w:r>
              <w:rPr>
                <w:rFonts w:ascii="Arial" w:cs="Arial" w:eastAsia="Arial" w:hAnsi="Arial"/>
                <w:sz w:val="14"/>
                <w:szCs w:val="14"/>
                <w:b w:val="1"/>
                <w:bCs w:val="1"/>
                <w:color w:val="003082"/>
              </w:rPr>
              <w:t>(US$ in thousands)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Net cash generated from (used in) operating activities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003082"/>
                <w:w w:val="89"/>
              </w:rPr>
              <w:t>$</w:t>
            </w:r>
          </w:p>
        </w:tc>
        <w:tc>
          <w:tcPr>
            <w:tcW w:w="9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003082"/>
              </w:rPr>
              <w:t>536</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3082"/>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003082"/>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w:t>
            </w: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003082"/>
              </w:rPr>
              <w:t>3,619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3082"/>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(919)</w:t>
            </w:r>
          </w:p>
        </w:tc>
      </w:tr>
      <w:tr>
        <w:trPr>
          <w:trHeight w:val="237"/>
        </w:trPr>
        <w:tc>
          <w:tcPr>
            <w:tcW w:w="4080" w:type="dxa"/>
            <w:vAlign w:val="bottom"/>
          </w:tcPr>
          <w:p>
            <w:pPr>
              <w:ind w:left="20"/>
              <w:spacing w:after="0"/>
              <w:rPr>
                <w:sz w:val="20"/>
                <w:szCs w:val="20"/>
                <w:color w:val="auto"/>
              </w:rPr>
            </w:pPr>
            <w:r>
              <w:rPr>
                <w:rFonts w:ascii="Arial" w:cs="Arial" w:eastAsia="Arial" w:hAnsi="Arial"/>
                <w:sz w:val="16"/>
                <w:szCs w:val="16"/>
                <w:color w:val="003082"/>
              </w:rPr>
              <w:t>Purchases of property and equipment</w:t>
            </w:r>
          </w:p>
        </w:tc>
        <w:tc>
          <w:tcPr>
            <w:tcW w:w="280" w:type="dxa"/>
            <w:vAlign w:val="bottom"/>
          </w:tcPr>
          <w:p>
            <w:pPr>
              <w:spacing w:after="0"/>
              <w:rPr>
                <w:sz w:val="20"/>
                <w:szCs w:val="20"/>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003082"/>
              </w:rPr>
              <w:t>(2,261)</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3082"/>
              </w:rPr>
              <w:t>(4,802)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003082"/>
              </w:rPr>
              <w:t>(764)</w:t>
            </w: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3082"/>
              </w:rPr>
              <w:t>(2,496)</w:t>
            </w:r>
          </w:p>
        </w:tc>
      </w:tr>
      <w:tr>
        <w:trPr>
          <w:trHeight w:val="33"/>
        </w:trPr>
        <w:tc>
          <w:tcPr>
            <w:tcW w:w="4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Free cash flow</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003082"/>
              </w:rPr>
              <w:t>(1,725)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(4,096)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003082"/>
              </w:rPr>
              <w:t>2,855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(3,416)</w:t>
            </w:r>
          </w:p>
        </w:tc>
      </w:tr>
      <w:tr>
        <w:trPr>
          <w:trHeight w:val="270"/>
        </w:trPr>
        <w:tc>
          <w:tcPr>
            <w:tcW w:w="4080" w:type="dxa"/>
            <w:vAlign w:val="bottom"/>
          </w:tcPr>
          <w:p>
            <w:pPr>
              <w:ind w:left="20"/>
              <w:spacing w:after="0"/>
              <w:rPr>
                <w:sz w:val="20"/>
                <w:szCs w:val="20"/>
                <w:color w:val="auto"/>
              </w:rPr>
            </w:pPr>
            <w:r>
              <w:rPr>
                <w:rFonts w:ascii="Arial" w:cs="Arial" w:eastAsia="Arial" w:hAnsi="Arial"/>
                <w:sz w:val="16"/>
                <w:szCs w:val="16"/>
                <w:color w:val="003082"/>
              </w:rPr>
              <w:t>Net cash used in investing activities</w:t>
            </w:r>
            <w:r>
              <w:rPr>
                <w:rFonts w:ascii="Arial" w:cs="Arial" w:eastAsia="Arial" w:hAnsi="Arial"/>
                <w:sz w:val="21"/>
                <w:szCs w:val="21"/>
                <w:color w:val="003082"/>
                <w:vertAlign w:val="superscript"/>
              </w:rPr>
              <w:t>(6)</w:t>
            </w:r>
          </w:p>
        </w:tc>
        <w:tc>
          <w:tcPr>
            <w:tcW w:w="280" w:type="dxa"/>
            <w:vAlign w:val="bottom"/>
          </w:tcPr>
          <w:p>
            <w:pPr>
              <w:spacing w:after="0"/>
              <w:rPr>
                <w:sz w:val="23"/>
                <w:szCs w:val="23"/>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003082"/>
              </w:rPr>
              <w:t>(3,773)</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3082"/>
              </w:rPr>
              <w:t>(3,353)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color w:val="003082"/>
              </w:rPr>
              <w:t>(5,951)</w:t>
            </w:r>
          </w:p>
        </w:tc>
        <w:tc>
          <w:tcPr>
            <w:tcW w:w="3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3082"/>
              </w:rPr>
              <w:t>(2,496)</w:t>
            </w: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003082"/>
              </w:rPr>
              <w:t>Net cash provided by financing activities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003082"/>
              </w:rPr>
              <w:t>65,772</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003082"/>
              </w:rPr>
              <w:t>—</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003082"/>
              </w:rPr>
              <w:t>—</w:t>
            </w: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003082"/>
              </w:rPr>
              <w:t>49,769</w:t>
            </w:r>
          </w:p>
        </w:tc>
      </w:tr>
      <w:tr>
        <w:trPr>
          <w:trHeight w:val="33"/>
        </w:trPr>
        <w:tc>
          <w:tcPr>
            <w:tcW w:w="4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326" w:right="20" w:hanging="326"/>
        <w:spacing w:after="0" w:line="275" w:lineRule="auto"/>
        <w:tabs>
          <w:tab w:leader="none" w:pos="326" w:val="left"/>
        </w:tabs>
        <w:numPr>
          <w:ilvl w:val="0"/>
          <w:numId w:val="20"/>
        </w:numPr>
        <w:rPr>
          <w:rFonts w:ascii="Arial" w:cs="Arial" w:eastAsia="Arial" w:hAnsi="Arial"/>
          <w:sz w:val="16"/>
          <w:szCs w:val="16"/>
          <w:color w:val="003082"/>
        </w:rPr>
      </w:pPr>
      <w:r>
        <w:rPr>
          <w:rFonts w:ascii="Arial" w:cs="Arial" w:eastAsia="Arial" w:hAnsi="Arial"/>
          <w:sz w:val="16"/>
          <w:szCs w:val="16"/>
          <w:color w:val="003082"/>
        </w:rPr>
        <w:t>Net cash used in investing activities includes payments for purchases of property and equipment, which is also included in our calculation of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003082"/>
        </w:rPr>
        <w:t>18</w:t>
      </w:r>
    </w:p>
    <w:p>
      <w:pPr>
        <w:sectPr>
          <w:pgSz w:w="11900" w:h="16838" w:orient="portrait"/>
          <w:cols w:equalWidth="0" w:num="1">
            <w:col w:w="9906"/>
          </w:cols>
          <w:pgMar w:left="994" w:top="1115" w:right="999" w:bottom="1440" w:gutter="0" w:footer="0" w:header="0"/>
        </w:sectPr>
      </w:pPr>
    </w:p>
    <w:bookmarkStart w:id="23" w:name="page24"/>
    <w:bookmarkEnd w:id="23"/>
    <w:p>
      <w:pPr>
        <w:ind w:left="20"/>
        <w:spacing w:after="0"/>
        <w:rPr>
          <w:sz w:val="20"/>
          <w:szCs w:val="20"/>
          <w:color w:val="auto"/>
        </w:rPr>
      </w:pPr>
      <w:r>
        <w:rPr>
          <w:rFonts w:ascii="Arial" w:cs="Arial" w:eastAsia="Arial" w:hAnsi="Arial"/>
          <w:sz w:val="18"/>
          <w:szCs w:val="18"/>
          <w:b w:val="1"/>
          <w:bCs w:val="1"/>
          <w:color w:val="003082"/>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05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4050030"/>
                    </a:xfrm>
                    <a:prstGeom prst="rect">
                      <a:avLst/>
                    </a:prstGeom>
                    <a:noFill/>
                  </pic:spPr>
                </pic:pic>
              </a:graphicData>
            </a:graphic>
          </wp:anchor>
        </w:drawing>
        <w:t>Consolidated Balance Sheet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tcPr>
          <w:p>
            <w:pPr>
              <w:spacing w:after="0"/>
              <w:rPr>
                <w:sz w:val="16"/>
                <w:szCs w:val="16"/>
                <w:color w:val="auto"/>
              </w:rPr>
            </w:pPr>
          </w:p>
        </w:tc>
        <w:tc>
          <w:tcPr>
            <w:tcW w:w="1500" w:type="dxa"/>
            <w:vAlign w:val="bottom"/>
            <w:tcBorders>
              <w:bottom w:val="single" w:sz="8" w:color="3D5588"/>
            </w:tcBorders>
            <w:gridSpan w:val="2"/>
          </w:tcPr>
          <w:p>
            <w:pPr>
              <w:jc w:val="center"/>
              <w:spacing w:after="0"/>
              <w:rPr>
                <w:sz w:val="20"/>
                <w:szCs w:val="20"/>
                <w:color w:val="auto"/>
              </w:rPr>
            </w:pPr>
            <w:r>
              <w:rPr>
                <w:rFonts w:ascii="Arial" w:cs="Arial" w:eastAsia="Arial" w:hAnsi="Arial"/>
                <w:sz w:val="14"/>
                <w:szCs w:val="14"/>
                <w:b w:val="1"/>
                <w:bCs w:val="1"/>
                <w:color w:val="003082"/>
                <w:w w:val="93"/>
              </w:rPr>
              <w:t>As of March 31, 2020</w:t>
            </w:r>
          </w:p>
        </w:tc>
        <w:tc>
          <w:tcPr>
            <w:tcW w:w="260" w:type="dxa"/>
            <w:vAlign w:val="bottom"/>
            <w:tcBorders>
              <w:bottom w:val="single" w:sz="8" w:color="3D5588"/>
            </w:tcBorders>
          </w:tcPr>
          <w:p>
            <w:pPr>
              <w:spacing w:after="0"/>
              <w:rPr>
                <w:sz w:val="16"/>
                <w:szCs w:val="16"/>
                <w:color w:val="auto"/>
              </w:rPr>
            </w:pPr>
          </w:p>
        </w:tc>
        <w:tc>
          <w:tcPr>
            <w:tcW w:w="11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003082"/>
              </w:rPr>
              <w:t>Actual</w:t>
            </w:r>
          </w:p>
        </w:tc>
        <w:tc>
          <w:tcPr>
            <w:tcW w:w="180" w:type="dxa"/>
            <w:vAlign w:val="bottom"/>
          </w:tcPr>
          <w:p>
            <w:pPr>
              <w:spacing w:after="0"/>
              <w:rPr>
                <w:sz w:val="13"/>
                <w:szCs w:val="13"/>
                <w:color w:val="auto"/>
              </w:rPr>
            </w:pPr>
          </w:p>
        </w:tc>
        <w:tc>
          <w:tcPr>
            <w:tcW w:w="13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003082"/>
                <w:w w:val="97"/>
              </w:rPr>
              <w:t>Pro Forma</w:t>
            </w:r>
            <w:r>
              <w:rPr>
                <w:rFonts w:ascii="Arial" w:cs="Arial" w:eastAsia="Arial" w:hAnsi="Arial"/>
                <w:sz w:val="8"/>
                <w:szCs w:val="8"/>
                <w:b w:val="1"/>
                <w:bCs w:val="1"/>
                <w:color w:val="003082"/>
                <w:w w:val="97"/>
              </w:rPr>
              <w:t>(1)</w:t>
            </w:r>
          </w:p>
        </w:tc>
        <w:tc>
          <w:tcPr>
            <w:tcW w:w="260" w:type="dxa"/>
            <w:vAlign w:val="bottom"/>
          </w:tcPr>
          <w:p>
            <w:pPr>
              <w:spacing w:after="0"/>
              <w:rPr>
                <w:sz w:val="13"/>
                <w:szCs w:val="13"/>
                <w:color w:val="auto"/>
              </w:rPr>
            </w:pPr>
          </w:p>
        </w:tc>
        <w:tc>
          <w:tcPr>
            <w:tcW w:w="118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003082"/>
              </w:rPr>
              <w:t>Pro Forma As</w:t>
            </w:r>
          </w:p>
        </w:tc>
        <w:tc>
          <w:tcPr>
            <w:tcW w:w="0" w:type="dxa"/>
            <w:vAlign w:val="bottom"/>
          </w:tcPr>
          <w:p>
            <w:pPr>
              <w:spacing w:after="0"/>
              <w:rPr>
                <w:sz w:val="1"/>
                <w:szCs w:val="1"/>
                <w:color w:val="auto"/>
              </w:rPr>
            </w:pPr>
          </w:p>
        </w:tc>
      </w:tr>
      <w:tr>
        <w:trPr>
          <w:trHeight w:val="192"/>
        </w:trPr>
        <w:tc>
          <w:tcPr>
            <w:tcW w:w="5520" w:type="dxa"/>
            <w:vAlign w:val="bottom"/>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vMerge w:val="continue"/>
          </w:tcPr>
          <w:p>
            <w:pPr>
              <w:spacing w:after="0"/>
              <w:rPr>
                <w:sz w:val="16"/>
                <w:szCs w:val="16"/>
                <w:color w:val="auto"/>
              </w:rPr>
            </w:pPr>
          </w:p>
        </w:tc>
        <w:tc>
          <w:tcPr>
            <w:tcW w:w="180" w:type="dxa"/>
            <w:vAlign w:val="bottom"/>
            <w:tcBorders>
              <w:bottom w:val="single" w:sz="8" w:color="3D5588"/>
            </w:tcBorders>
          </w:tcPr>
          <w:p>
            <w:pPr>
              <w:spacing w:after="0"/>
              <w:rPr>
                <w:sz w:val="16"/>
                <w:szCs w:val="16"/>
                <w:color w:val="auto"/>
              </w:rPr>
            </w:pPr>
          </w:p>
        </w:tc>
        <w:tc>
          <w:tcPr>
            <w:tcW w:w="1320" w:type="dxa"/>
            <w:vAlign w:val="bottom"/>
            <w:tcBorders>
              <w:bottom w:val="single" w:sz="8" w:color="3D5588"/>
            </w:tcBorders>
            <w:vMerge w:val="continue"/>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180" w:type="dxa"/>
            <w:vAlign w:val="bottom"/>
            <w:tcBorders>
              <w:bottom w:val="single" w:sz="8" w:color="3D5588"/>
            </w:tcBorders>
          </w:tcPr>
          <w:p>
            <w:pPr>
              <w:jc w:val="right"/>
              <w:ind w:right="275"/>
              <w:spacing w:after="0"/>
              <w:rPr>
                <w:sz w:val="20"/>
                <w:szCs w:val="20"/>
                <w:color w:val="auto"/>
              </w:rPr>
            </w:pPr>
            <w:r>
              <w:rPr>
                <w:rFonts w:ascii="Arial" w:cs="Arial" w:eastAsia="Arial" w:hAnsi="Arial"/>
                <w:sz w:val="14"/>
                <w:szCs w:val="14"/>
                <w:b w:val="1"/>
                <w:bCs w:val="1"/>
                <w:color w:val="003082"/>
              </w:rPr>
              <w:t>Adjusted</w:t>
            </w:r>
            <w:r>
              <w:rPr>
                <w:rFonts w:ascii="Arial" w:cs="Arial" w:eastAsia="Arial" w:hAnsi="Arial"/>
                <w:sz w:val="8"/>
                <w:szCs w:val="8"/>
                <w:b w:val="1"/>
                <w:bCs w:val="1"/>
                <w:color w:val="003082"/>
              </w:rPr>
              <w:t>(2)</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center"/>
              <w:ind w:right="55"/>
              <w:spacing w:after="0"/>
              <w:rPr>
                <w:sz w:val="20"/>
                <w:szCs w:val="20"/>
                <w:color w:val="auto"/>
              </w:rPr>
            </w:pPr>
            <w:r>
              <w:rPr>
                <w:rFonts w:ascii="Arial" w:cs="Arial" w:eastAsia="Arial" w:hAnsi="Arial"/>
                <w:sz w:val="14"/>
                <w:szCs w:val="14"/>
                <w:b w:val="1"/>
                <w:bCs w:val="1"/>
                <w:color w:val="003082"/>
                <w:w w:val="92"/>
              </w:rPr>
              <w:t>(US$ in thousands)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003082"/>
              </w:rPr>
              <w:t>151,653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w:t>
            </w: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003082"/>
              </w:rPr>
              <w:t>151,653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586,491</w:t>
            </w:r>
          </w:p>
        </w:tc>
        <w:tc>
          <w:tcPr>
            <w:tcW w:w="0" w:type="dxa"/>
            <w:vAlign w:val="bottom"/>
          </w:tcPr>
          <w:p>
            <w:pPr>
              <w:spacing w:after="0"/>
              <w:rPr>
                <w:sz w:val="1"/>
                <w:szCs w:val="1"/>
                <w:color w:val="auto"/>
              </w:rPr>
            </w:pPr>
          </w:p>
        </w:tc>
      </w:tr>
      <w:tr>
        <w:trPr>
          <w:trHeight w:val="270"/>
        </w:trPr>
        <w:tc>
          <w:tcPr>
            <w:tcW w:w="5520" w:type="dxa"/>
            <w:vAlign w:val="bottom"/>
          </w:tcPr>
          <w:p>
            <w:pPr>
              <w:ind w:left="40"/>
              <w:spacing w:after="0" w:line="270" w:lineRule="exact"/>
              <w:rPr>
                <w:sz w:val="20"/>
                <w:szCs w:val="20"/>
                <w:color w:val="auto"/>
              </w:rPr>
            </w:pPr>
            <w:r>
              <w:rPr>
                <w:rFonts w:ascii="Arial" w:cs="Arial" w:eastAsia="Arial" w:hAnsi="Arial"/>
                <w:sz w:val="18"/>
                <w:szCs w:val="18"/>
                <w:color w:val="003082"/>
              </w:rPr>
              <w:t>Working capital</w:t>
            </w:r>
            <w:r>
              <w:rPr>
                <w:rFonts w:ascii="Arial" w:cs="Arial" w:eastAsia="Arial" w:hAnsi="Arial"/>
                <w:sz w:val="25"/>
                <w:szCs w:val="25"/>
                <w:color w:val="003082"/>
                <w:vertAlign w:val="superscript"/>
              </w:rPr>
              <w:t>(3)</w:t>
            </w:r>
          </w:p>
        </w:tc>
        <w:tc>
          <w:tcPr>
            <w:tcW w:w="300" w:type="dxa"/>
            <w:vAlign w:val="bottom"/>
          </w:tcPr>
          <w:p>
            <w:pPr>
              <w:spacing w:after="0"/>
              <w:rPr>
                <w:sz w:val="23"/>
                <w:szCs w:val="23"/>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003082"/>
              </w:rPr>
              <w:t>155,851</w:t>
            </w:r>
          </w:p>
        </w:tc>
        <w:tc>
          <w:tcPr>
            <w:tcW w:w="180" w:type="dxa"/>
            <w:vAlign w:val="bottom"/>
          </w:tcPr>
          <w:p>
            <w:pPr>
              <w:spacing w:after="0"/>
              <w:rPr>
                <w:sz w:val="23"/>
                <w:szCs w:val="23"/>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003082"/>
              </w:rPr>
              <w:t>155,851</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590,689</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003082"/>
              </w:rPr>
              <w:t>197,154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003082"/>
              </w:rPr>
              <w:t>197,154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631,992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003082"/>
              </w:rPr>
              <w:t>Total liabilities</w:t>
            </w:r>
          </w:p>
        </w:tc>
        <w:tc>
          <w:tcPr>
            <w:tcW w:w="3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003082"/>
              </w:rPr>
              <w:t>30,543</w:t>
            </w:r>
          </w:p>
        </w:tc>
        <w:tc>
          <w:tcPr>
            <w:tcW w:w="1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003082"/>
              </w:rPr>
              <w:t>30,543</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30,543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Mezzanine equity</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003082"/>
              </w:rPr>
              <w:t>325,934</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003082"/>
              </w:rPr>
              <w: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003082"/>
              </w:rPr>
              <w:t>Total shareholders’ equity (deficit)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3082"/>
              </w:rPr>
              <w:t>(159,323)</w:t>
            </w:r>
          </w:p>
        </w:tc>
        <w:tc>
          <w:tcPr>
            <w:tcW w:w="180" w:type="dxa"/>
            <w:vAlign w:val="bottom"/>
          </w:tcPr>
          <w:p>
            <w:pPr>
              <w:spacing w:after="0"/>
              <w:rPr>
                <w:sz w:val="21"/>
                <w:szCs w:val="21"/>
                <w:color w:val="auto"/>
              </w:rPr>
            </w:pPr>
          </w:p>
        </w:tc>
        <w:tc>
          <w:tcPr>
            <w:tcW w:w="1320" w:type="dxa"/>
            <w:vAlign w:val="bottom"/>
          </w:tcPr>
          <w:p>
            <w:pPr>
              <w:jc w:val="right"/>
              <w:ind w:right="55"/>
              <w:spacing w:after="0"/>
              <w:rPr>
                <w:sz w:val="20"/>
                <w:szCs w:val="20"/>
                <w:color w:val="auto"/>
              </w:rPr>
            </w:pPr>
            <w:r>
              <w:rPr>
                <w:rFonts w:ascii="Arial" w:cs="Arial" w:eastAsia="Arial" w:hAnsi="Arial"/>
                <w:sz w:val="18"/>
                <w:szCs w:val="18"/>
                <w:color w:val="003082"/>
              </w:rPr>
              <w:t>166,611</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601,449</w:t>
            </w:r>
          </w:p>
        </w:tc>
        <w:tc>
          <w:tcPr>
            <w:tcW w:w="0" w:type="dxa"/>
            <w:vAlign w:val="bottom"/>
          </w:tcPr>
          <w:p>
            <w:pPr>
              <w:spacing w:after="0"/>
              <w:rPr>
                <w:sz w:val="1"/>
                <w:szCs w:val="1"/>
                <w:color w:val="auto"/>
              </w:rPr>
            </w:pPr>
          </w:p>
        </w:tc>
      </w:tr>
      <w:tr>
        <w:trPr>
          <w:trHeight w:val="220"/>
        </w:trPr>
        <w:tc>
          <w:tcPr>
            <w:tcW w:w="5520" w:type="dxa"/>
            <w:vAlign w:val="bottom"/>
          </w:tcPr>
          <w:p>
            <w:pPr>
              <w:ind w:left="20"/>
              <w:spacing w:after="0"/>
              <w:rPr>
                <w:sz w:val="20"/>
                <w:szCs w:val="20"/>
                <w:color w:val="auto"/>
              </w:rPr>
            </w:pPr>
            <w:r>
              <w:rPr>
                <w:rFonts w:ascii="Arial" w:cs="Arial" w:eastAsia="Arial" w:hAnsi="Arial"/>
                <w:sz w:val="16"/>
                <w:szCs w:val="16"/>
                <w:color w:val="003082"/>
              </w:rPr>
              <w:t>_________________</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left="340" w:hanging="326"/>
        <w:spacing w:after="0" w:line="262" w:lineRule="auto"/>
        <w:tabs>
          <w:tab w:leader="none" w:pos="340" w:val="left"/>
        </w:tabs>
        <w:numPr>
          <w:ilvl w:val="0"/>
          <w:numId w:val="21"/>
        </w:numPr>
        <w:rPr>
          <w:rFonts w:ascii="Arial" w:cs="Arial" w:eastAsia="Arial" w:hAnsi="Arial"/>
          <w:sz w:val="15"/>
          <w:szCs w:val="15"/>
          <w:color w:val="003082"/>
        </w:rPr>
      </w:pPr>
      <w:r>
        <w:rPr>
          <w:rFonts w:ascii="Arial" w:cs="Arial" w:eastAsia="Arial" w:hAnsi="Arial"/>
          <w:sz w:val="15"/>
          <w:szCs w:val="15"/>
          <w:color w:val="003082"/>
        </w:rPr>
        <w:t>The pro forma consolidated balance sheet data gives effect to (a) the re-designation of 76,179,938 ordinary shares (including 623,843 restricted shares unvested as of March 31, 2020) beneficially owned by our chief executive officer into Class B ordinary shares on a one-for-one basis immediately prior to the completion of this offering, (b) the re-designation of all of the remaining ordinary shares into Class A ordinary shares on a one-for-one basis immediately prior to the completion of this offering and (c) the automatic conversion and the re-designation of all of our issued and outstanding preferred shares on a one-for-one basis into Class A ordinary shares immediately prior to the completion of this offering.</w:t>
      </w:r>
    </w:p>
    <w:p>
      <w:pPr>
        <w:spacing w:after="0" w:line="3" w:lineRule="exact"/>
        <w:rPr>
          <w:rFonts w:ascii="Arial" w:cs="Arial" w:eastAsia="Arial" w:hAnsi="Arial"/>
          <w:sz w:val="15"/>
          <w:szCs w:val="15"/>
          <w:color w:val="003082"/>
        </w:rPr>
      </w:pPr>
    </w:p>
    <w:p>
      <w:pPr>
        <w:jc w:val="both"/>
        <w:ind w:left="340" w:hanging="326"/>
        <w:spacing w:after="0" w:line="262" w:lineRule="auto"/>
        <w:tabs>
          <w:tab w:leader="none" w:pos="340" w:val="left"/>
        </w:tabs>
        <w:numPr>
          <w:ilvl w:val="0"/>
          <w:numId w:val="21"/>
        </w:numPr>
        <w:rPr>
          <w:rFonts w:ascii="Arial" w:cs="Arial" w:eastAsia="Arial" w:hAnsi="Arial"/>
          <w:sz w:val="15"/>
          <w:szCs w:val="15"/>
          <w:color w:val="003082"/>
        </w:rPr>
      </w:pPr>
      <w:r>
        <w:rPr>
          <w:rFonts w:ascii="Arial" w:cs="Arial" w:eastAsia="Arial" w:hAnsi="Arial"/>
          <w:sz w:val="15"/>
          <w:szCs w:val="15"/>
          <w:color w:val="003082"/>
        </w:rPr>
        <w:t>The pro forma as adjusted balance sheet data gives effect to (a) the pro forma adjustments described in footnote (1) above and (b) the issuance and sale of Class A ordinary shares in the form of ADSs by us in this offering and the issuance and sale of Class A ordinary shares by us in the concurrent private placement, after deducting underwriting discounts and commissions and estimated offering expenses payable by us.</w:t>
      </w:r>
    </w:p>
    <w:p>
      <w:pPr>
        <w:spacing w:after="0" w:line="2" w:lineRule="exact"/>
        <w:rPr>
          <w:rFonts w:ascii="Arial" w:cs="Arial" w:eastAsia="Arial" w:hAnsi="Arial"/>
          <w:sz w:val="15"/>
          <w:szCs w:val="15"/>
          <w:color w:val="003082"/>
        </w:rPr>
      </w:pPr>
    </w:p>
    <w:p>
      <w:pPr>
        <w:ind w:left="340" w:hanging="326"/>
        <w:spacing w:after="0"/>
        <w:tabs>
          <w:tab w:leader="none" w:pos="340" w:val="left"/>
        </w:tabs>
        <w:numPr>
          <w:ilvl w:val="0"/>
          <w:numId w:val="21"/>
        </w:numPr>
        <w:rPr>
          <w:rFonts w:ascii="Arial" w:cs="Arial" w:eastAsia="Arial" w:hAnsi="Arial"/>
          <w:sz w:val="16"/>
          <w:szCs w:val="16"/>
          <w:color w:val="003082"/>
        </w:rPr>
      </w:pPr>
      <w:r>
        <w:rPr>
          <w:rFonts w:ascii="Arial" w:cs="Arial" w:eastAsia="Arial" w:hAnsi="Arial"/>
          <w:sz w:val="16"/>
          <w:szCs w:val="16"/>
          <w:color w:val="003082"/>
        </w:rPr>
        <w:t>Working capital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19</w:t>
      </w:r>
    </w:p>
    <w:p>
      <w:pPr>
        <w:sectPr>
          <w:pgSz w:w="11900" w:h="16838" w:orient="portrait"/>
          <w:cols w:equalWidth="0" w:num="1">
            <w:col w:w="9900"/>
          </w:cols>
          <w:pgMar w:left="980" w:top="1107" w:right="10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003082"/>
        </w:rPr>
        <w:t>RISK FACTORS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003082"/>
        </w:rPr>
        <w:t>Investing in our ADSs involves a high degree of risk. Before making a decision to invest in our ADSs, you should carefully consider the risks and uncertainties described below, together with all of the other information in this prospectus, including the section captioned “Management’s Discussion and Analysis of Financial Condition and Results of Operations” and our consolidated financial statements and the related notes included elsewhere in this prospectus. Our business, operating results and financial condition could also be harmed by risks and uncertainties not currently known to us or that we do not currently believe are material. If any of the risks actually occur, our business, operating results and financial condition could be adversely affected. In that event, the market price of our ADSs could decline, and you could lose part or all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Risks Related to Our Business and Industry</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 RTE-PaaS market is in an early stage of development. There is considerable uncertainty over the size and rate at which this market will grow, as well as whether our platform will be widely adopted. Some organizations may be reluctant or unwilling to use our platform for a number of reasons, including concerns about costs, uncertainty regarding the reliability and security of cloud-based offerings or lack of awareness of the benefits of our platform. Moreover, some organizations have invested substantial personnel and financial resources to develop internal solutions, and therefore may be reluctant or unwilling to adopt our platform. Our ability to expand sales depends on several factors, including market awareness and acceptance, competition, end-user demand for the applications of our customers, technological challenges and developments, and other causes, many of which are outside of our control. If the RTE-PaaS market or demand for our products does not grow or decreases, then our business, operating results and financial condition would be adversely affected.</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Our operating results and growth prospects depend on acquiring and retaining customers and increasing usage of customers’ applications that integrate our products.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To successfully grow our business, we must continue to attract new customers in a cost-effective manner. We use a variety of marketing channels to promote our products and platform, such as developer conferences and events and public relations initiatives. If the costs of the marketing channels we use increase dramatically, then we may choose to use alternative and less expensive channels, which may not be as effective as current channels. Alternatively, we may adopt or expand usage of more expensive channels, which could adversely affect margins, profitability and our financial condition. We invest in marketing before being able to assess whether they improve brand awareness, customer acquisition or increase revenue in a cost-effective manner or at all. If our marketing programs are ineffective or inefficient, then our business, operating results and growth prospects would be adversely affected.</w:t>
      </w:r>
    </w:p>
    <w:p>
      <w:pPr>
        <w:spacing w:after="0" w:line="11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Our success also depends on retaining customers and increasing their usage of our products and platform over time. We generate revenue from customers’ usage of our products integrated into their applications. Increasing usage of our products and platform over time will require customers to develop new use cases and those use cases to mature. The majority of our customers do not have long-term contractual commitments to us and may terminate or reduce their use of our products at any time without penalty or termination charges. End users’ demand for our customers’ applications that integrate our products are driven by many factors outside our or our customers’ control, making customers’ usage of our products and platform difficult to predict. Furthermore, if a significant number of customers cease using, or reduce their usage of our products, then we may incur greater than expected sales and marketing expenses to maintain or increase revenue from other customers, which may impact our margins. If usage levels fail to meet expectations, our business, operating results, including Constant Currency Dollar-Based Net Expansion Rate, and growth prospects would be adversely affected.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20</w:t>
      </w:r>
    </w:p>
    <w:p>
      <w:pPr>
        <w:sectPr>
          <w:pgSz w:w="11900" w:h="16838" w:orient="portrait"/>
          <w:cols w:equalWidth="0" w:num="1">
            <w:col w:w="11240"/>
          </w:cols>
          <w:pgMar w:left="320" w:top="445"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003082"/>
        </w:rPr>
        <w:t>The COVID-19 pandemic has severely disrupted our business and operations and it, or any future health epidemic or other adverse public health developments, may continue to do so.</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3082"/>
        </w:rPr>
        <w:t>On January 30, 2020, the International Health Regulations Emergency Committee of the World Health Organization declared the novel coronavirus disease 2019, or COVID-19, outbreak a public health emergency of international concern, and on March 11, 2020 the World Health Organization declared the global COVID-19 outbreak a pandemic. The COVID-19 virus continues to spread rapidly worldwide, including where our customers are located and where we have business operations. During the COVID-19 pandemic, government authorities around the world have ordered businesses to close and people to remain at home while imposing significant restrictions on traveling and social gatherings. There continues to be significant uncertainties associated with the COVID-19 pandemic, including with respect to the ultimate spread of the virus, the severity of the disease, the duration of the outbreak, the possibility of successive waves of outbreaks, further actions that may be taken by governmental authorities around the world to contain the virus or to treat its impact, and the scope and length of the resulting economic downturn. The COVID-19 pandemic has already made it more challenging for us to purchase bandwidth, co-location space, servers and equipment on equally cost-efficient terms due to various government-imposed restrictions and other logistical hurdles. The economic downturn due to COVID-19 may adversely affect our customers’ ability to pay and customer demand and end-user usage, which would adversely affect our operating results and financial condition. Failure to contain the further spread of COVID-19 will prolong and exacerbate the general economic downturn. In addition, the continuing pandemic may further impact our ability to maintain and expand our network infrastructure, which could severely disrupt our and our customers’ business and operations and adversely affect our operating results and financial condition. Any future health epidemic or other adverse public health developments may have similar negative effects. To the extent the COVID-19 pandemic adversely affects our business and financial results, it may also heighten other risks described in this ‘‘Risk Factors’’ section, such as our ability to raise additional capital as needed on acceptable terms. In addition, people in impacted regions, including in our largest markets, have generally spent more time online since the COVID-19 outbreak, and various offline activities such as education and social interactions have moved online, resulting in an increase in revenue-generating usage of our products. China and other countries have begun to lift stay-at-home and other similar restrictions. As such restrictions are lifted, such increased usage may decline, which would adversely affect our operating results.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The market in which we participate is competitive, and if we do not compete effectively, our business, operating results and financial condition could be harmed.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global market for RTE-PaaS is relatively new and rapidly evolving. Currently, our competitors mainly include:</w:t>
      </w:r>
    </w:p>
    <w:p>
      <w:pPr>
        <w:spacing w:after="0" w:line="171"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003082"/>
        </w:rPr>
      </w:pPr>
      <w:r>
        <w:rPr>
          <w:rFonts w:ascii="Arial" w:cs="Arial" w:eastAsia="Arial" w:hAnsi="Arial"/>
          <w:sz w:val="18"/>
          <w:szCs w:val="18"/>
          <w:color w:val="003082"/>
        </w:rPr>
        <w:t>PaaS providers, such as Tencent in China and TokBox (part of Vonage Holdings Corp.) and Twilio Inc. in the United States, as well as smaller software companies, which compete with all or portions of our platform and products;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22"/>
        </w:numPr>
        <w:rPr>
          <w:rFonts w:ascii="Arial" w:cs="Arial" w:eastAsia="Arial" w:hAnsi="Arial"/>
          <w:sz w:val="18"/>
          <w:szCs w:val="18"/>
          <w:color w:val="003082"/>
        </w:rPr>
      </w:pPr>
      <w:r>
        <w:rPr>
          <w:rFonts w:ascii="Arial" w:cs="Arial" w:eastAsia="Arial" w:hAnsi="Arial"/>
          <w:sz w:val="18"/>
          <w:szCs w:val="18"/>
          <w:color w:val="003082"/>
        </w:rPr>
        <w:t>open-source projects, such as WebRTC, which offer capabilities that compete with some of the functionalities in our SDK;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2"/>
        </w:numPr>
        <w:rPr>
          <w:rFonts w:ascii="Arial" w:cs="Arial" w:eastAsia="Arial" w:hAnsi="Arial"/>
          <w:sz w:val="18"/>
          <w:szCs w:val="18"/>
          <w:color w:val="003082"/>
        </w:rPr>
      </w:pPr>
      <w:r>
        <w:rPr>
          <w:rFonts w:ascii="Arial" w:cs="Arial" w:eastAsia="Arial" w:hAnsi="Arial"/>
          <w:sz w:val="18"/>
          <w:szCs w:val="18"/>
          <w:color w:val="003082"/>
        </w:rPr>
        <w:t>network operators or cloud providers that offer private lines on which similar functionalities to ours can be built.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many cases, we encounter either custom software developed in-house or by consultants, or legacy solutions repurposed by in-house developers of our potential customers to meet specific use cases. As we look to sell our products to potential customers with existing internal solutions, we must convince internal stakeholders that our real-time engagement products are superior to the legacy solutions that the organization has previously adopted. If we are unable to effectively convince internal stakeholders at our prospective customers to abandon their legacy solutions, our business, results of operations and financial condition could be adversely affected.</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21</w:t>
      </w:r>
    </w:p>
    <w:p>
      <w:pPr>
        <w:sectPr>
          <w:pgSz w:w="11900" w:h="16838" w:orient="portrait"/>
          <w:cols w:equalWidth="0" w:num="1">
            <w:col w:w="11240"/>
          </w:cols>
          <w:pgMar w:left="320" w:top="449"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003082"/>
        </w:rPr>
        <w:t>and effectively than we can to new or changing opportunities, technologies, standards or customer requirements. In extreme cases, these large vendors may be willing to provide competing software for free as part of enterprise-wide agreements that include other products or services. These combinations may make it more difficult for us to compete effectively. We expect these trends to continue as competitors attempt to strengthen or maintain their market positions.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Some competitors may offer products or services that address one or a limited number of functions at lower prices, with greater depth than our products or geographies where we do not operate or are less established. Furthermore, some of our customers may choose to use our products and our competitors’ products at the same time. Pricing pressures and increased competition generally could result in reduced revenue, reduced margins, increased losses or the failure of our products to achieve or maintain widespread market acceptance, any of which could harm our business, operating results and financial condition.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If our platform does not achieve sufficient market acceptance, our financial results and competitive position will suffer.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To meet our customers’ rapidly evolving demands, we invest substantial resources in research and development of enhanced products to incorporate additional functionality, improve our SD-RTN or expand the use cases that our platform enables. Maintaining adequate research and development resources, such as the appropriate personnel and development technology to meet the demands of the market is essential. If we are unable to develop products internally due to inadequate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003082"/>
        </w:rPr>
      </w:pPr>
      <w:r>
        <w:rPr>
          <w:rFonts w:ascii="Arial" w:cs="Arial" w:eastAsia="Arial" w:hAnsi="Arial"/>
          <w:sz w:val="16"/>
          <w:szCs w:val="16"/>
          <w:color w:val="003082"/>
        </w:rPr>
        <w:t>failure to predict market demand accurately in terms of functionality and a failure to supply products that meet this demand in a timely fashion;</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23"/>
        </w:numPr>
        <w:rPr>
          <w:rFonts w:ascii="Arial" w:cs="Arial" w:eastAsia="Arial" w:hAnsi="Arial"/>
          <w:sz w:val="18"/>
          <w:szCs w:val="18"/>
          <w:color w:val="003082"/>
        </w:rPr>
      </w:pPr>
      <w:r>
        <w:rPr>
          <w:rFonts w:ascii="Arial" w:cs="Arial" w:eastAsia="Arial" w:hAnsi="Arial"/>
          <w:sz w:val="18"/>
          <w:szCs w:val="18"/>
          <w:color w:val="003082"/>
        </w:rPr>
        <w:t>defects, errors, or failures;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3"/>
        </w:numPr>
        <w:rPr>
          <w:rFonts w:ascii="Arial" w:cs="Arial" w:eastAsia="Arial" w:hAnsi="Arial"/>
          <w:sz w:val="18"/>
          <w:szCs w:val="18"/>
          <w:color w:val="003082"/>
        </w:rPr>
      </w:pPr>
      <w:r>
        <w:rPr>
          <w:rFonts w:ascii="Arial" w:cs="Arial" w:eastAsia="Arial" w:hAnsi="Arial"/>
          <w:sz w:val="18"/>
          <w:szCs w:val="18"/>
          <w:color w:val="003082"/>
        </w:rPr>
        <w:t>negative publicity about our platform’s performance or effectiveness;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3"/>
        </w:numPr>
        <w:rPr>
          <w:rFonts w:ascii="Arial" w:cs="Arial" w:eastAsia="Arial" w:hAnsi="Arial"/>
          <w:sz w:val="18"/>
          <w:szCs w:val="18"/>
          <w:color w:val="003082"/>
        </w:rPr>
      </w:pPr>
      <w:r>
        <w:rPr>
          <w:rFonts w:ascii="Arial" w:cs="Arial" w:eastAsia="Arial" w:hAnsi="Arial"/>
          <w:sz w:val="18"/>
          <w:szCs w:val="18"/>
          <w:color w:val="003082"/>
        </w:rPr>
        <w:t>changes in the legal or regulatory requirements, or increased legal or regulatory scrutiny, adversely affecting our platform;</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3"/>
        </w:numPr>
        <w:rPr>
          <w:rFonts w:ascii="Arial" w:cs="Arial" w:eastAsia="Arial" w:hAnsi="Arial"/>
          <w:sz w:val="18"/>
          <w:szCs w:val="18"/>
          <w:color w:val="003082"/>
        </w:rPr>
      </w:pPr>
      <w:r>
        <w:rPr>
          <w:rFonts w:ascii="Arial" w:cs="Arial" w:eastAsia="Arial" w:hAnsi="Arial"/>
          <w:sz w:val="18"/>
          <w:szCs w:val="18"/>
          <w:color w:val="003082"/>
        </w:rPr>
        <w:t>emergence of a competitor that achieves market acceptance before we do;</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3"/>
        </w:numPr>
        <w:rPr>
          <w:rFonts w:ascii="Arial" w:cs="Arial" w:eastAsia="Arial" w:hAnsi="Arial"/>
          <w:sz w:val="18"/>
          <w:szCs w:val="18"/>
          <w:color w:val="003082"/>
        </w:rPr>
      </w:pPr>
      <w:r>
        <w:rPr>
          <w:rFonts w:ascii="Arial" w:cs="Arial" w:eastAsia="Arial" w:hAnsi="Arial"/>
          <w:sz w:val="18"/>
          <w:szCs w:val="18"/>
          <w:color w:val="003082"/>
        </w:rPr>
        <w:t>delays in releasing enhancements to our platform to the market;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3"/>
        </w:numPr>
        <w:rPr>
          <w:rFonts w:ascii="Arial" w:cs="Arial" w:eastAsia="Arial" w:hAnsi="Arial"/>
          <w:sz w:val="18"/>
          <w:szCs w:val="18"/>
          <w:color w:val="003082"/>
        </w:rPr>
      </w:pPr>
      <w:r>
        <w:rPr>
          <w:rFonts w:ascii="Arial" w:cs="Arial" w:eastAsia="Arial" w:hAnsi="Arial"/>
          <w:sz w:val="18"/>
          <w:szCs w:val="18"/>
          <w:color w:val="003082"/>
        </w:rPr>
        <w:t>introduction or anticipated introduction of competing products by our competitors.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If our platform and any future enhancements do not achieve adequate acceptance in the market, or if products and technologies developed by others achieve greater acceptance in the market, our business could be harmed.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make design decisions and influence the product and vendor processes within our customers. If we fail to gain or maintain their acceptance of our platform, our business would be harmed.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22</w:t>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003082"/>
        </w:rPr>
        <w:t>We may not successfully manage growth.</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We have experienced rapid growth. Our headcount has grown from 167 full-time employees as of December 31, 2017 to 498 as of March 31, 2020. We intend to continue to grow our business and make investments to support operational scale, including increasing numbers of customers and third-party relationships, and to refine information technology systems and internal controls and procedures. Although our business has experienced significant growth in the past, we cannot provide any assurance that our business will continue to grow at any particular rate, or at all. For example, while we may continue to observe increases in usage and developer adoption of our products to meet end user demand for real-time engagement spurred by COVID-19, we do not anticipate that we will continue to experience the same revenue growth we did in the first quarter of 2020. As a result of our limited operating history, our ability to forecast our future operating results is limited and subject to a number of uncertainties, including our ability to plan for future growth. In particular, we cannot accurately predict customers’ usage of our products given the diversity of our customer base and our customers’ end users across industries, geographies, use cases and other factors. In future periods, our profitability may be lower than it would be if our strategy were to maximize short-term profitability and we may operate at a loss. Significant expenditures on sales and marketing efforts, and expenditures on growing our platform and expanding our research and development and portfolio of products, each of which we intend to continue to invest in, may not ultimately grow our business or cause long-term profitability. If we are unable to maintain or improve profitability at a level or during a time frame anticipated by industry or securities analysts and holders of our ADSs, the trading price of our ADSs may decline.</w:t>
      </w:r>
    </w:p>
    <w:p>
      <w:pPr>
        <w:spacing w:after="0" w:line="12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In addition, we will increasingly face challenges in integrating, developing and motivating a rapidly growing employee base in various countries around the world. This challenge has been, and likely will continue to be, heightened due to the COVID-19 pandemic and the related stay-at-home, travel and other restrictions. Certain members of our management have not previously worked together for an extended period of time, and some do not have experience managing a public company, which may affect how they manage our growth. This growth will make it difficult to evaluate our prospects and place a continuous, significant strain on our management, operational and financial resources.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Our limited operating history and our history of operating and net losses make it difficult to evaluate our current business and prospects and may increase the risks associated with your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were founded in 2013 and our limited operating history makes it difficult to evaluate our current business and our future prospects, including our ability to plan for and model future growth. We have encountered and will continue to encounter risks and difficulties frequently experienced by rapidly growing companies in constantly evolving industries, including the risks described in this prospectus. If we do not address these risks successfully, our business may be harmed.</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We generated an operating loss of US$6.1 million and a net loss of US$6.2 million in 2019. We will need to generate and sustain increased revenue levels and manage costs in future periods in order to be profitable. Even if we achieve profitability as we did in the first quarter of 2020, we may not be able to maintain or increase our level of profitability. We intend to continue to expend significant funds to support further growth and further develop our platform, including expanding the functionality of our platform, expanding our technology infrastructure and business systems to meet the needs of our customers, expanding our sales force and developer and partner ecosystems, increasing our marketing activities, and growing our international operations. We will also face increased compliance costs associated with growth, expansion of our customer base and the costs of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in this prospectus, and unforeseen expenses, difficulties, complications and delays, and other unknown events. If we are unable to achieve and sustain profitability, our business may be harmed.</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If we fail to adapt and respond effectively to rapidly changing technology, evolving industry standards, changing regulations, and changing customer needs, requirements or preferences, our products may become less competitive.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market for RTE-PaaS is subject to rapid technological change, evolving industry standards, regulations and customer needs, requirements and preferences. For example, the rollout of 5G networks could significantly impact the RTE-PaaS market. Although 5G networks are designed to provide higher data transmission quality and user experience which may increase demand for real-time engagement, it may also reduce the technical challenge of delivering real-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23</w:t>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75" w:lineRule="auto"/>
        <w:rPr>
          <w:sz w:val="20"/>
          <w:szCs w:val="20"/>
          <w:color w:val="auto"/>
        </w:rPr>
      </w:pPr>
      <w:r>
        <w:rPr>
          <w:rFonts w:ascii="Arial" w:cs="Arial" w:eastAsia="Arial" w:hAnsi="Arial"/>
          <w:sz w:val="17"/>
          <w:szCs w:val="17"/>
          <w:color w:val="003082"/>
        </w:rPr>
        <w:t>time engagement and the value proposition of RTE-PaaS. The success of our business will depend, in part, on our ability to adapt and respond to these changes on an effective and timely basis. If we fail to develop new products that satisfy customers and end users and provide enhancements and new features for existing products that keep pace with rapid technological and industry change, our business, operating results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Our platform must integrate with a variety of network, hardware, mobile and software platforms and technologies, and we need to continuously modify and enhance our products and platform to adapt to changes and innovation in these technologies. If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operating results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operating results and financial condition could be adversely affected.</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Our results will fluctuate from period to period, and if we fail to meet securities analysts’ and investors’ expectations, then the trading price of our ADSs and the value of your investment could decline substantially.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operating results have fluctuated from period to period and will continue to vary in the future as a result of a variety of factors, many of which are outside of our control and are unpredictable. For example, our revenue model is based in large part on end user adoption and usage of our customers’ applications, which can constrain our ability to forecast revenue. If operating results for any particular period fall below securities analysts’ and investors’ expectations, then the trading price of our ADSs could decline substantially. Some factors that may cause our operating results to fluctuate from period to period include:</w:t>
      </w:r>
    </w:p>
    <w:p>
      <w:pPr>
        <w:spacing w:after="0" w:line="13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our ability to attract, retain and increase revenue from customers;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fluctuations in the amount of revenue from our customers;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market acceptance of our products and our ability to introduce new products and enhance existing products;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end-user demand for applications with real-time engagement features;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7"/>
          <w:szCs w:val="17"/>
          <w:color w:val="003082"/>
        </w:rPr>
      </w:pPr>
      <w:r>
        <w:rPr>
          <w:rFonts w:ascii="Arial" w:cs="Arial" w:eastAsia="Arial" w:hAnsi="Arial"/>
          <w:sz w:val="17"/>
          <w:szCs w:val="17"/>
          <w:color w:val="003082"/>
        </w:rPr>
        <w:t>competition and the actions of our competitors, including pricing changes and the introduction of new products, services and geographies;</w:t>
      </w:r>
    </w:p>
    <w:p>
      <w:pPr>
        <w:spacing w:after="0" w:line="182" w:lineRule="exact"/>
        <w:rPr>
          <w:rFonts w:ascii="Arial" w:cs="Arial" w:eastAsia="Arial" w:hAnsi="Arial"/>
          <w:sz w:val="17"/>
          <w:szCs w:val="17"/>
          <w:color w:val="003082"/>
        </w:rPr>
      </w:pPr>
    </w:p>
    <w:p>
      <w:pPr>
        <w:ind w:left="660" w:hanging="328"/>
        <w:spacing w:after="0"/>
        <w:tabs>
          <w:tab w:leader="none" w:pos="660" w:val="left"/>
        </w:tabs>
        <w:numPr>
          <w:ilvl w:val="0"/>
          <w:numId w:val="24"/>
        </w:numPr>
        <w:rPr>
          <w:rFonts w:ascii="Arial" w:cs="Arial" w:eastAsia="Arial" w:hAnsi="Arial"/>
          <w:sz w:val="17"/>
          <w:szCs w:val="17"/>
          <w:color w:val="003082"/>
        </w:rPr>
      </w:pPr>
      <w:r>
        <w:rPr>
          <w:rFonts w:ascii="Arial" w:cs="Arial" w:eastAsia="Arial" w:hAnsi="Arial"/>
          <w:sz w:val="17"/>
          <w:szCs w:val="17"/>
          <w:color w:val="003082"/>
        </w:rPr>
        <w:t>our ability to control costs and operating expenses, including the fees that we pay network- and cloud-service providers for data delivery;</w:t>
      </w:r>
    </w:p>
    <w:p>
      <w:pPr>
        <w:spacing w:after="0" w:line="182" w:lineRule="exact"/>
        <w:rPr>
          <w:rFonts w:ascii="Arial" w:cs="Arial" w:eastAsia="Arial" w:hAnsi="Arial"/>
          <w:sz w:val="17"/>
          <w:szCs w:val="17"/>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changes in our pricing as a result of our optimization efforts or otherwise;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reductions in pricing as a result of negotiations with our larger customers;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the rate of expansion and productivity of our sales force;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change in the mix of products that our customers use;</w:t>
      </w:r>
    </w:p>
    <w:p>
      <w:pPr>
        <w:spacing w:after="0" w:line="171" w:lineRule="exact"/>
        <w:rPr>
          <w:rFonts w:ascii="Arial" w:cs="Arial" w:eastAsia="Arial" w:hAnsi="Arial"/>
          <w:sz w:val="18"/>
          <w:szCs w:val="18"/>
          <w:color w:val="003082"/>
        </w:rPr>
      </w:pPr>
    </w:p>
    <w:p>
      <w:pPr>
        <w:ind w:left="660" w:hanging="328"/>
        <w:spacing w:after="0" w:line="342" w:lineRule="auto"/>
        <w:tabs>
          <w:tab w:leader="none" w:pos="660" w:val="left"/>
        </w:tabs>
        <w:numPr>
          <w:ilvl w:val="0"/>
          <w:numId w:val="24"/>
        </w:numPr>
        <w:rPr>
          <w:rFonts w:ascii="Arial" w:cs="Arial" w:eastAsia="Arial" w:hAnsi="Arial"/>
          <w:sz w:val="16"/>
          <w:szCs w:val="16"/>
          <w:color w:val="003082"/>
        </w:rPr>
      </w:pPr>
      <w:r>
        <w:rPr>
          <w:rFonts w:ascii="Arial" w:cs="Arial" w:eastAsia="Arial" w:hAnsi="Arial"/>
          <w:sz w:val="16"/>
          <w:szCs w:val="16"/>
          <w:color w:val="003082"/>
        </w:rPr>
        <w:t>changes in end-user and customer demand as end-users increase and decrease their time online due to the imposition or easing of stay-at-home, travel and other government mandates or changes in end-user or customer demand for our products in response to the COVID-19 pandemic;</w:t>
      </w:r>
    </w:p>
    <w:p>
      <w:pPr>
        <w:spacing w:after="0" w:line="69" w:lineRule="exact"/>
        <w:rPr>
          <w:rFonts w:ascii="Arial" w:cs="Arial" w:eastAsia="Arial" w:hAnsi="Arial"/>
          <w:sz w:val="16"/>
          <w:szCs w:val="16"/>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the expansion of our business, particularly in international markets;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4"/>
        </w:numPr>
        <w:rPr>
          <w:rFonts w:ascii="Arial" w:cs="Arial" w:eastAsia="Arial" w:hAnsi="Arial"/>
          <w:sz w:val="18"/>
          <w:szCs w:val="18"/>
          <w:color w:val="003082"/>
        </w:rPr>
      </w:pPr>
      <w:r>
        <w:rPr>
          <w:rFonts w:ascii="Arial" w:cs="Arial" w:eastAsia="Arial" w:hAnsi="Arial"/>
          <w:sz w:val="18"/>
          <w:szCs w:val="18"/>
          <w:color w:val="003082"/>
        </w:rPr>
        <w:t>changes in foreign currency exchange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24</w:t>
      </w:r>
    </w:p>
    <w:p>
      <w:pPr>
        <w:sectPr>
          <w:pgSz w:w="11900" w:h="16838" w:orient="portrait"/>
          <w:cols w:equalWidth="0" w:num="1">
            <w:col w:w="11240"/>
          </w:cols>
          <w:pgMar w:left="320" w:top="341" w:right="339" w:bottom="1440" w:gutter="0" w:footer="0" w:header="0"/>
        </w:sectPr>
      </w:pPr>
    </w:p>
    <w:bookmarkStart w:id="29" w:name="page30"/>
    <w:bookmarkEnd w:id="29"/>
    <w:p>
      <w:pPr>
        <w:ind w:left="660" w:hanging="328"/>
        <w:spacing w:after="0" w:line="277" w:lineRule="auto"/>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changes in laws, regulations or regulatory enforcement, in China, the United States or other countries, that impact our ability to market, sell or deliver our products;</w:t>
      </w:r>
    </w:p>
    <w:p>
      <w:pPr>
        <w:spacing w:after="0" w:line="116"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the amount and timing of operating costs and capital expenditures related to the operations and expansion of our business, including investments in international expansion;</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significant security breaches of, technical difficulties with, or interruptions to, the delivery and use of our products on our platform;</w:t>
      </w:r>
    </w:p>
    <w:p>
      <w:pPr>
        <w:spacing w:after="0" w:line="171" w:lineRule="exact"/>
        <w:rPr>
          <w:rFonts w:ascii="Arial" w:cs="Arial" w:eastAsia="Arial" w:hAnsi="Arial"/>
          <w:sz w:val="18"/>
          <w:szCs w:val="18"/>
          <w:color w:val="003082"/>
        </w:rPr>
      </w:pPr>
    </w:p>
    <w:p>
      <w:pPr>
        <w:ind w:left="660" w:hanging="328"/>
        <w:spacing w:after="0" w:line="342" w:lineRule="auto"/>
        <w:tabs>
          <w:tab w:leader="none" w:pos="660" w:val="left"/>
        </w:tabs>
        <w:numPr>
          <w:ilvl w:val="0"/>
          <w:numId w:val="25"/>
        </w:numPr>
        <w:rPr>
          <w:rFonts w:ascii="Arial" w:cs="Arial" w:eastAsia="Arial" w:hAnsi="Arial"/>
          <w:sz w:val="16"/>
          <w:szCs w:val="16"/>
          <w:color w:val="003082"/>
        </w:rPr>
      </w:pPr>
      <w:r>
        <w:rPr>
          <w:rFonts w:ascii="Arial" w:cs="Arial" w:eastAsia="Arial" w:hAnsi="Arial"/>
          <w:sz w:val="16"/>
          <w:szCs w:val="16"/>
          <w:color w:val="003082"/>
        </w:rPr>
        <w:t>general economic and political conditions that may adversely affect a prospective customer’s ability or willingness to adopt our products, delay a prospective customer’s adoption decision, reduce the revenue that we generate from the use of our products or impact customer retention;</w:t>
      </w:r>
    </w:p>
    <w:p>
      <w:pPr>
        <w:spacing w:after="0" w:line="69" w:lineRule="exact"/>
        <w:rPr>
          <w:rFonts w:ascii="Arial" w:cs="Arial" w:eastAsia="Arial" w:hAnsi="Arial"/>
          <w:sz w:val="16"/>
          <w:szCs w:val="16"/>
          <w:color w:val="003082"/>
        </w:rPr>
      </w:pPr>
    </w:p>
    <w:p>
      <w:pPr>
        <w:ind w:left="660" w:hanging="328"/>
        <w:spacing w:after="0"/>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extraordinary expenses such as litigation or other dispute-related settlement payments;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sales tax and other tax determinations by authorities in the jurisdictions in which we conduct business;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the impact of new accounting pronouncements;</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expenses incurred in connection with mergers, acquisitions or other strategic transactions and integrating acquired business, technologies, services, products and other assets; and</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25"/>
        </w:numPr>
        <w:rPr>
          <w:rFonts w:ascii="Arial" w:cs="Arial" w:eastAsia="Arial" w:hAnsi="Arial"/>
          <w:sz w:val="18"/>
          <w:szCs w:val="18"/>
          <w:color w:val="003082"/>
        </w:rPr>
      </w:pPr>
      <w:r>
        <w:rPr>
          <w:rFonts w:ascii="Arial" w:cs="Arial" w:eastAsia="Arial" w:hAnsi="Arial"/>
          <w:sz w:val="18"/>
          <w:szCs w:val="18"/>
          <w:color w:val="003082"/>
        </w:rPr>
        <w:t>fluctuations in share-based compensation expense.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For example, while we may continue to observe increases in usage and developer adoption of our products to meet end-user demand for real-time engagement spurred by COVID-19, we do not anticipate that we will continue to experience the same level of revenue growth we did in the first quarter of 2020. In addition, a significant percentage of our operating expenses is fixed in nature and is based on forecasted revenue trends. Accordingly, in the event of a revenue shortfall, we may not be able to mitigate the negative impact on margins and profitability in the short term. If we fail to meet or exceed the expectations of investors or securities analysts, then the trading price of our ADSs could fall substantially, and we could face costly lawsuits, including securities class action suits.</w:t>
      </w:r>
    </w:p>
    <w:p>
      <w:pPr>
        <w:spacing w:after="0" w:line="24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003082"/>
        </w:rPr>
        <w:t>We receive a substantial portion of our revenue from a limited number of customers and use cases, and the loss of, or a significant reduction in usage by, one or more of our major customers or a decline in popularity of certain use cases, would result in lower revenue and could harm our business.</w:t>
      </w:r>
    </w:p>
    <w:p>
      <w:pPr>
        <w:spacing w:after="0" w:line="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future success is dependent on establishing and maintaining successful relationships with a diverse set of customers. We currently receive a substantial portion of our revenue from a limited number of customers. For 2018 and 2019 our top ten customers (after aggregating customers with multiple accounts) accounted for approximately 50.8% and 38.4% of our revenue, respectively. Although the identity of the customers may vary from period to period, it is likely that we will continue to be dependent upon a limited number of customers for a significant portion of our revenue for the foreseeable future and, in some cases, the portion of our revenue attributable to individual customers may increase in the future. The loss of one or more key customers or a reduction in usage by any major customers would reduce our revenue. If we fail to maintain existing customers or develop relationships with new customers, our business would be harmed</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Moreover, we generated the majority of our revenue from customers that use our platform and products for social, education, entertainment and gaming applications. The popularity of particular use cases and end users’ use of specific applications, as well as the development of new use cases and applications, depend on many factors beyond our control, and a decline in end users’ use of social, education, entertainment and gaming applications that integrate our products could harm our business, operating results and financial condition.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25</w:t>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003082"/>
        </w:rPr>
        <w:t>We are in the process of expanding our international operations, which exposes us to significant risks.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 component of our growth strategy involves the further expansion of our operations and customer base worldwide. We generated a majority of our revenue from customers operating primarily in the PRC in each of the periods presented in this prospectus. We currently have offices in the PRC and the United States, as well as employees located in Europe. We are continuing to adapt to and develop strategies to address international markets but there is no guarantee that such efforts will have the desired effect.</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In addition, we will face risks in doing business internationally that could adversely affect our business, including:</w:t>
      </w:r>
    </w:p>
    <w:p>
      <w:pPr>
        <w:spacing w:after="0" w:line="171" w:lineRule="exact"/>
        <w:rPr>
          <w:sz w:val="20"/>
          <w:szCs w:val="20"/>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the difficulty of managing and staffing international operations and the increased operations, travel, infrastructure and legal compliance costs associated with numerous international locations;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challenges to our corporate culture resulting from a dispersed workforce;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our ability to effectively price our products in competitive international markets;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new and different sources of competition;</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our ability to comply with the General Data Protection Regulation 2016/679, or GDPR;</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potentially greater difficulty collecting accounts receivable and longer payment cycles;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the need to adapt and localize our products for specific countries;</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the effect of differing governmental responses to the COVID-19 pandemic and the continuing impact of the pandemic on individuals, businesses and economies in various foreign jurisdictions;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the need to offer customer support in various languages;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difficulties in understanding and complying with local laws, regulations and customs in foreign jurisdictions;</w:t>
      </w:r>
    </w:p>
    <w:p>
      <w:pPr>
        <w:spacing w:after="0" w:line="171" w:lineRule="exact"/>
        <w:rPr>
          <w:rFonts w:ascii="Arial" w:cs="Arial" w:eastAsia="Arial" w:hAnsi="Arial"/>
          <w:sz w:val="18"/>
          <w:szCs w:val="18"/>
          <w:color w:val="003082"/>
        </w:rPr>
      </w:pPr>
    </w:p>
    <w:p>
      <w:pPr>
        <w:ind w:left="660" w:right="20" w:hanging="328"/>
        <w:spacing w:after="0" w:line="342" w:lineRule="auto"/>
        <w:tabs>
          <w:tab w:leader="none" w:pos="660" w:val="left"/>
        </w:tabs>
        <w:numPr>
          <w:ilvl w:val="0"/>
          <w:numId w:val="26"/>
        </w:numPr>
        <w:rPr>
          <w:rFonts w:ascii="Arial" w:cs="Arial" w:eastAsia="Arial" w:hAnsi="Arial"/>
          <w:sz w:val="16"/>
          <w:szCs w:val="16"/>
          <w:color w:val="003082"/>
        </w:rPr>
      </w:pPr>
      <w:r>
        <w:rPr>
          <w:rFonts w:ascii="Arial" w:cs="Arial" w:eastAsia="Arial" w:hAnsi="Arial"/>
          <w:sz w:val="16"/>
          <w:szCs w:val="16"/>
          <w:color w:val="003082"/>
        </w:rPr>
        <w:t>difficulties with differing technical and environmental standards, privacy, cybersecurity, data protection and telecommunications regulations and certification requirements outside China and the United States, which could prevent customers from deploying our products or limit their usage;</w:t>
      </w:r>
    </w:p>
    <w:p>
      <w:pPr>
        <w:spacing w:after="0" w:line="69" w:lineRule="exact"/>
        <w:rPr>
          <w:rFonts w:ascii="Arial" w:cs="Arial" w:eastAsia="Arial" w:hAnsi="Arial"/>
          <w:sz w:val="16"/>
          <w:szCs w:val="16"/>
          <w:color w:val="003082"/>
        </w:rPr>
      </w:pPr>
    </w:p>
    <w:p>
      <w:pPr>
        <w:ind w:left="660" w:hanging="328"/>
        <w:spacing w:after="0" w:line="277" w:lineRule="auto"/>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export controls and economic sanctions administered by the Department of Commerce Bureau of Industry and Security and the Treasury Department’s Office of Foreign Assets Control;</w:t>
      </w:r>
    </w:p>
    <w:p>
      <w:pPr>
        <w:spacing w:after="0" w:line="116" w:lineRule="exact"/>
        <w:rPr>
          <w:rFonts w:ascii="Arial" w:cs="Arial" w:eastAsia="Arial" w:hAnsi="Arial"/>
          <w:sz w:val="18"/>
          <w:szCs w:val="18"/>
          <w:color w:val="003082"/>
        </w:rPr>
      </w:pPr>
    </w:p>
    <w:p>
      <w:pPr>
        <w:ind w:left="660" w:right="20" w:hanging="328"/>
        <w:spacing w:after="0" w:line="277" w:lineRule="auto"/>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compliance with various anti-bribery and anti-corruption laws such as the Foreign Corrupt Practices Act of 1977, or FCPA, and the United Kingdom Bribery Act of 2010;</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tariffs and other non-tariff trade barriers, such as quotas and local content rules;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more limited protection for intellectual property rights in some countries;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6"/>
        </w:numPr>
        <w:rPr>
          <w:rFonts w:ascii="Arial" w:cs="Arial" w:eastAsia="Arial" w:hAnsi="Arial"/>
          <w:sz w:val="18"/>
          <w:szCs w:val="18"/>
          <w:color w:val="003082"/>
        </w:rPr>
      </w:pPr>
      <w:r>
        <w:rPr>
          <w:rFonts w:ascii="Arial" w:cs="Arial" w:eastAsia="Arial" w:hAnsi="Arial"/>
          <w:sz w:val="18"/>
          <w:szCs w:val="18"/>
          <w:color w:val="003082"/>
        </w:rPr>
        <w:t>adverse tax consequences;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26</w:t>
      </w:r>
    </w:p>
    <w:p>
      <w:pPr>
        <w:sectPr>
          <w:pgSz w:w="11900" w:h="16838" w:orient="portrait"/>
          <w:cols w:equalWidth="0" w:num="1">
            <w:col w:w="11240"/>
          </w:cols>
          <w:pgMar w:left="320" w:top="449" w:right="339" w:bottom="1440" w:gutter="0" w:footer="0" w:header="0"/>
        </w:sectPr>
      </w:pPr>
    </w:p>
    <w:bookmarkStart w:id="31" w:name="page32"/>
    <w:bookmarkEnd w:id="31"/>
    <w:p>
      <w:pPr>
        <w:jc w:val="both"/>
        <w:ind w:left="660" w:hanging="328"/>
        <w:spacing w:after="0" w:line="263" w:lineRule="auto"/>
        <w:tabs>
          <w:tab w:leader="none" w:pos="660" w:val="left"/>
        </w:tabs>
        <w:numPr>
          <w:ilvl w:val="0"/>
          <w:numId w:val="27"/>
        </w:numPr>
        <w:rPr>
          <w:rFonts w:ascii="Arial" w:cs="Arial" w:eastAsia="Arial" w:hAnsi="Arial"/>
          <w:sz w:val="18"/>
          <w:szCs w:val="18"/>
          <w:color w:val="003082"/>
        </w:rPr>
      </w:pPr>
      <w:r>
        <w:rPr>
          <w:rFonts w:ascii="Arial" w:cs="Arial" w:eastAsia="Arial" w:hAnsi="Arial"/>
          <w:sz w:val="18"/>
          <w:szCs w:val="18"/>
          <w:color w:val="003082"/>
        </w:rPr>
        <w:t>fluctuations in currency exchange rates, which could increase the price of our products in certain markets, increase the expenses of our international operations and expose us to foreign currency exchange rate risk or the cost and risk of hedging transaction if we choose to enter into such transactions in the future;</w:t>
      </w:r>
    </w:p>
    <w:p>
      <w:pPr>
        <w:spacing w:after="0" w:line="129" w:lineRule="exact"/>
        <w:rPr>
          <w:rFonts w:ascii="Arial" w:cs="Arial" w:eastAsia="Arial" w:hAnsi="Arial"/>
          <w:sz w:val="18"/>
          <w:szCs w:val="18"/>
          <w:color w:val="003082"/>
        </w:rPr>
      </w:pPr>
    </w:p>
    <w:p>
      <w:pPr>
        <w:ind w:left="660" w:hanging="328"/>
        <w:spacing w:after="0"/>
        <w:tabs>
          <w:tab w:leader="none" w:pos="660" w:val="left"/>
        </w:tabs>
        <w:numPr>
          <w:ilvl w:val="0"/>
          <w:numId w:val="27"/>
        </w:numPr>
        <w:rPr>
          <w:rFonts w:ascii="Arial" w:cs="Arial" w:eastAsia="Arial" w:hAnsi="Arial"/>
          <w:sz w:val="18"/>
          <w:szCs w:val="18"/>
          <w:color w:val="003082"/>
        </w:rPr>
      </w:pPr>
      <w:r>
        <w:rPr>
          <w:rFonts w:ascii="Arial" w:cs="Arial" w:eastAsia="Arial" w:hAnsi="Arial"/>
          <w:sz w:val="18"/>
          <w:szCs w:val="18"/>
          <w:color w:val="003082"/>
        </w:rPr>
        <w:t>currency control regulations, which might restrict or prohibit our conversion of other currencies into U.S. dollars;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7"/>
        </w:numPr>
        <w:rPr>
          <w:rFonts w:ascii="Arial" w:cs="Arial" w:eastAsia="Arial" w:hAnsi="Arial"/>
          <w:sz w:val="18"/>
          <w:szCs w:val="18"/>
          <w:color w:val="003082"/>
        </w:rPr>
      </w:pPr>
      <w:r>
        <w:rPr>
          <w:rFonts w:ascii="Arial" w:cs="Arial" w:eastAsia="Arial" w:hAnsi="Arial"/>
          <w:sz w:val="18"/>
          <w:szCs w:val="18"/>
          <w:color w:val="003082"/>
        </w:rPr>
        <w:t>restrictions on the transfer of funds;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7"/>
        </w:numPr>
        <w:rPr>
          <w:rFonts w:ascii="Arial" w:cs="Arial" w:eastAsia="Arial" w:hAnsi="Arial"/>
          <w:sz w:val="18"/>
          <w:szCs w:val="18"/>
          <w:color w:val="003082"/>
        </w:rPr>
      </w:pPr>
      <w:r>
        <w:rPr>
          <w:rFonts w:ascii="Arial" w:cs="Arial" w:eastAsia="Arial" w:hAnsi="Arial"/>
          <w:sz w:val="18"/>
          <w:szCs w:val="18"/>
          <w:color w:val="003082"/>
        </w:rPr>
        <w:t>deterioration of political relations between China, the United States and other countries;</w:t>
      </w:r>
    </w:p>
    <w:p>
      <w:pPr>
        <w:spacing w:after="0" w:line="171" w:lineRule="exact"/>
        <w:rPr>
          <w:rFonts w:ascii="Arial" w:cs="Arial" w:eastAsia="Arial" w:hAnsi="Arial"/>
          <w:sz w:val="18"/>
          <w:szCs w:val="18"/>
          <w:color w:val="003082"/>
        </w:rPr>
      </w:pPr>
    </w:p>
    <w:p>
      <w:pPr>
        <w:ind w:left="660" w:hanging="328"/>
        <w:spacing w:after="0" w:line="342" w:lineRule="auto"/>
        <w:tabs>
          <w:tab w:leader="none" w:pos="660" w:val="left"/>
        </w:tabs>
        <w:numPr>
          <w:ilvl w:val="0"/>
          <w:numId w:val="27"/>
        </w:numPr>
        <w:rPr>
          <w:rFonts w:ascii="Arial" w:cs="Arial" w:eastAsia="Arial" w:hAnsi="Arial"/>
          <w:sz w:val="16"/>
          <w:szCs w:val="16"/>
          <w:color w:val="003082"/>
        </w:rPr>
      </w:pPr>
      <w:r>
        <w:rPr>
          <w:rFonts w:ascii="Arial" w:cs="Arial" w:eastAsia="Arial" w:hAnsi="Arial"/>
          <w:sz w:val="16"/>
          <w:szCs w:val="16"/>
          <w:color w:val="003082"/>
        </w:rPr>
        <w:t>exposure to political developments in the United Kingdom, or the U.K., including the departure of the U.K. from the European Union, or the EU, which has created an uncertain political and economic environment, instability for businesses and volatility in global financial markets; and</w:t>
      </w:r>
    </w:p>
    <w:p>
      <w:pPr>
        <w:spacing w:after="0" w:line="69" w:lineRule="exact"/>
        <w:rPr>
          <w:rFonts w:ascii="Arial" w:cs="Arial" w:eastAsia="Arial" w:hAnsi="Arial"/>
          <w:sz w:val="16"/>
          <w:szCs w:val="16"/>
          <w:color w:val="003082"/>
        </w:rPr>
      </w:pPr>
    </w:p>
    <w:p>
      <w:pPr>
        <w:ind w:left="660" w:right="20" w:hanging="328"/>
        <w:spacing w:after="0" w:line="277" w:lineRule="auto"/>
        <w:tabs>
          <w:tab w:leader="none" w:pos="660" w:val="left"/>
        </w:tabs>
        <w:numPr>
          <w:ilvl w:val="0"/>
          <w:numId w:val="27"/>
        </w:numPr>
        <w:rPr>
          <w:rFonts w:ascii="Arial" w:cs="Arial" w:eastAsia="Arial" w:hAnsi="Arial"/>
          <w:sz w:val="18"/>
          <w:szCs w:val="18"/>
          <w:color w:val="003082"/>
        </w:rPr>
      </w:pPr>
      <w:r>
        <w:rPr>
          <w:rFonts w:ascii="Arial" w:cs="Arial" w:eastAsia="Arial" w:hAnsi="Arial"/>
          <w:sz w:val="18"/>
          <w:szCs w:val="18"/>
          <w:color w:val="003082"/>
        </w:rPr>
        <w:t>political or social unrest or economic instability in a specific country or region in which we operate, which could have an adverse impact on our operations in that location.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evolves, we cannot assure you that we are able to fully comply with the legal requirements of each foreign jurisdiction and successfully adapt our business models to local market conditions. Due to the complexity involved in our international business expansion, we cannot assure you that we are or will be in compliance with all local laws.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If we are unable to maintain and enhance our brand and increase market awareness of our company and products, then our business, operating results and financial condition may be adversely affected.</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must maintain and enhance the “Agora” brand identity and increase market awareness of RTE-PaaS solutions generally and our products particularly to be successful. Our efforts to achieve widespread acceptance of our platform, attract and retain customers and increase usage of our products and platform depend on our marketing efforts, RTE-PaaS market thought leadership and ability to successfully differentiate our products and platform from alternatives. These efforts require substantial expenditures, and we anticipate that they will increase as our market becomes more competitive and as we expand into new markets. These investments in brand promotion and thought leadership may not yield increased revenue. To the extent they do, the resulting revenue still may not be enough to offset the increased expenses we incur.</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Failure to effectively develop and expand our marketing and sales capabilities could harm our ability to increase our customer base and achieve broader market acceptance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Historically, we have relied on the adoption of our products by developers through our self-service model as well as more targeted sales efforts. Our ability to further increase our customer base and achieve broader market acceptance of our platform will significantly depend on our ability to expand our marketing and sales operations. We plan to continue expanding our sales force and channel partners, both domestically and internationally. We also plan to dedicate significant resources to sales and marketing programs. All of these efforts will require us to invest significant financial and other resources and if they fail to attract additional customers our business will be harmed.</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As we increase our target sales efforts to larger organizations, we expect to incur higher costs and longer sales cycles. The decision to adopt our products by such customers may require the approval of multiple technical and business decision makers, including security, compliance, procurement, operations and IT. In addition, while certain customers may quickly deploy our products on a limited basis before they will commit to deploying our products at scale, they often require extensive education and customer support, engage in protracted pricing negotiations and seek dedicated product development resources. In addition, sales cycles for efforts targeted at larger organizations are inherently more complex and less predictable than the sales through our self-service model, and some customers may not use our products enough to generate revenue that justifies the cost of customer acquisition. In addition, complex and resource-intensive sales efforts could place additional strain on our product and engineering resources.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27</w:t>
      </w:r>
    </w:p>
    <w:p>
      <w:pPr>
        <w:sectPr>
          <w:pgSz w:w="11900" w:h="16838" w:orient="portrait"/>
          <w:cols w:equalWidth="0" w:num="1">
            <w:col w:w="11240"/>
          </w:cols>
          <w:pgMar w:left="320" w:top="341" w:right="339" w:bottom="1440" w:gutter="0" w:footer="0" w:header="0"/>
        </w:sectPr>
      </w:pPr>
    </w:p>
    <w:bookmarkStart w:id="32" w:name="page33"/>
    <w:bookmarkEnd w:id="32"/>
    <w:p>
      <w:pPr>
        <w:jc w:val="both"/>
        <w:ind w:firstLine="324"/>
        <w:spacing w:after="0" w:line="290" w:lineRule="auto"/>
        <w:rPr>
          <w:sz w:val="20"/>
          <w:szCs w:val="20"/>
          <w:color w:val="auto"/>
        </w:rPr>
      </w:pPr>
      <w:r>
        <w:rPr>
          <w:rFonts w:ascii="Arial" w:cs="Arial" w:eastAsia="Arial" w:hAnsi="Arial"/>
          <w:sz w:val="16"/>
          <w:szCs w:val="16"/>
          <w:color w:val="003082"/>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or our sales personnel are not successful in acquiring new customers or expanding usage by existing customers, our business will be harmed.</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believe that continued growth in our business is also dependent upon identifying, developing and maintaining strategic relationships with additional channel partners that can drive substantial revenue. If we fail to identify additional channel partners in a timely and cost-effective manner, or at all, or are unable to assist our current and future channel partners in independently selling and deploying our products, then our business, operating results, and financial condition could be adversely affected.</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003082"/>
        </w:rPr>
        <w:t>We provide service level commitments under our customer agreements. If we fail to meet these contractual commitments, we could be obligated to provide credits for future service, or face contract termination with refunds of prepaid amounts, which could harm our business.</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Most of our customer agreements contain service level commitments. If we are unable to meet the stated service level commitments, including failure to meet the uptime and other requirements under our customer agreements, we may be contractually obligated to provide the affected customers with service credits which could significantly affect revenue in the periods in which the uptime or delivery failure occurs and the credits are applied. We could also face customer terminations, which could significantly affect both our current and future revenue. Any service level failures could harm our business.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Any failure to offer high-quality customer support may adversely affect our relationships with our customers and prospective customers, and adversely affect our business, operating results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Many of our large customers depend on our customer support team to assist them in deploying our products effectively to help them to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operating results and financial condition. Our sales are highly dependent on our business reputation and on positive recommendations from developers. Any failure to maintain high-quality customer support, or a market perception that we do not maintain high-quality customer support, could adversely affect our reputation, business, operating results and financial condition.</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could incur substantial costs in protecting or defending our intellectual property rights, and any failure to protect our intellectual property could adversely affect our business, operating results and financial condition.</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 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28</w:t>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003082"/>
        </w:rPr>
        <w:t>proprietary technologies and similar intellectual property rights can be patented in a timely or cost-effective manner, or at all.</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In addition, the laws of some countries do not protect intellectual property and other proprietary rights to the same extent as the laws of the United States. 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To the extent we expand our international activities outside of China and the United States, our exposure to unauthorized copying, transfer and use of our proprietary technology or information may increase.</w:t>
      </w:r>
    </w:p>
    <w:p>
      <w:pPr>
        <w:spacing w:after="0" w:line="14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 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3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depend largely on the continued services of our senior management, the loss of any of whom could adversely affect our business, operating results and financial condition.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future performance depends on the continued services and contributions of our senior management to execute on our business plan, develop our products and platform, deliver our products to customers, attract and retain customers and identify and pursue business opportunities. The loss of services of senior management could significantly delay or prevent the achievement of our development and strategic objectives. In particular, we depend to a considerable degree on the vision, skills, experience and effort of our founder and chief executive officer, Mr. Zhao. The replacement of any of our senior management personnel would likely involve significant time and costs, and such loss could significantly delay or prevent the achievement of our business objectives. The loss of the services of any of our senior management for any reason could adversely affect our business, operating results and financial condition.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29</w:t>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003082"/>
        </w:rPr>
        <w:t>If we are unable to hire, retain and motivate qualified personnel, our business will suffer.</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cities where our headquarters are located. We must provide competitive compensation packages and a high-quality work environment to hire, retain and motivate employees. If we are unable to retain and motivate our existing employees and attract qualified personnel to fill important positions, we may be unable to manage our business effectively, including the development, marketing and sale of our products,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We may evaluate and consider potential strategic transactions, including acquisitions of, or investments in, businesses, technologies, services, products and other assets in the future. We also may enter into relationships with other businesses to expand our products and platform, which could involve preferred or exclusive licenses, additional channels of distribution, discount pricing or investments in other companies.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3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003082"/>
        </w:rPr>
      </w:pPr>
      <w:r>
        <w:rPr>
          <w:rFonts w:ascii="Arial" w:cs="Arial" w:eastAsia="Arial" w:hAnsi="Arial"/>
          <w:sz w:val="18"/>
          <w:szCs w:val="18"/>
          <w:color w:val="003082"/>
        </w:rPr>
        <w:t>issue additional equity securities that would dilute our existing shareholders;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8"/>
        </w:numPr>
        <w:rPr>
          <w:rFonts w:ascii="Arial" w:cs="Arial" w:eastAsia="Arial" w:hAnsi="Arial"/>
          <w:sz w:val="18"/>
          <w:szCs w:val="18"/>
          <w:color w:val="003082"/>
        </w:rPr>
      </w:pPr>
      <w:r>
        <w:rPr>
          <w:rFonts w:ascii="Arial" w:cs="Arial" w:eastAsia="Arial" w:hAnsi="Arial"/>
          <w:sz w:val="18"/>
          <w:szCs w:val="18"/>
          <w:color w:val="003082"/>
        </w:rPr>
        <w:t>use cash that we may need in the future to operate our business;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8"/>
        </w:numPr>
        <w:rPr>
          <w:rFonts w:ascii="Arial" w:cs="Arial" w:eastAsia="Arial" w:hAnsi="Arial"/>
          <w:sz w:val="18"/>
          <w:szCs w:val="18"/>
          <w:color w:val="003082"/>
        </w:rPr>
      </w:pPr>
      <w:r>
        <w:rPr>
          <w:rFonts w:ascii="Arial" w:cs="Arial" w:eastAsia="Arial" w:hAnsi="Arial"/>
          <w:sz w:val="18"/>
          <w:szCs w:val="18"/>
          <w:color w:val="003082"/>
        </w:rPr>
        <w:t>incur large charges or substantial liabilities;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8"/>
        </w:numPr>
        <w:rPr>
          <w:rFonts w:ascii="Arial" w:cs="Arial" w:eastAsia="Arial" w:hAnsi="Arial"/>
          <w:sz w:val="18"/>
          <w:szCs w:val="18"/>
          <w:color w:val="003082"/>
        </w:rPr>
      </w:pPr>
      <w:r>
        <w:rPr>
          <w:rFonts w:ascii="Arial" w:cs="Arial" w:eastAsia="Arial" w:hAnsi="Arial"/>
          <w:sz w:val="18"/>
          <w:szCs w:val="18"/>
          <w:color w:val="003082"/>
        </w:rPr>
        <w:t>incur debt on terms unfavorable to us or that we are unable to repay;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28"/>
        </w:numPr>
        <w:rPr>
          <w:rFonts w:ascii="Arial" w:cs="Arial" w:eastAsia="Arial" w:hAnsi="Arial"/>
          <w:sz w:val="18"/>
          <w:szCs w:val="18"/>
          <w:color w:val="003082"/>
        </w:rPr>
      </w:pPr>
      <w:r>
        <w:rPr>
          <w:rFonts w:ascii="Arial" w:cs="Arial" w:eastAsia="Arial" w:hAnsi="Arial"/>
          <w:sz w:val="18"/>
          <w:szCs w:val="18"/>
          <w:color w:val="003082"/>
        </w:rPr>
        <w:t>encounter difficulties retaining key employees of the acquired company or integrating diverse software codes or business cultures; or</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28"/>
        </w:numPr>
        <w:rPr>
          <w:rFonts w:ascii="Arial" w:cs="Arial" w:eastAsia="Arial" w:hAnsi="Arial"/>
          <w:sz w:val="18"/>
          <w:szCs w:val="18"/>
          <w:color w:val="003082"/>
        </w:rPr>
      </w:pPr>
      <w:r>
        <w:rPr>
          <w:rFonts w:ascii="Arial" w:cs="Arial" w:eastAsia="Arial" w:hAnsi="Arial"/>
          <w:sz w:val="18"/>
          <w:szCs w:val="18"/>
          <w:color w:val="003082"/>
        </w:rPr>
        <w:t>become subject to adverse tax consequences, substantial depreciation, or deferred compensation charges. The occurrence of any of these foregoing could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We may have insufficient transmission bandwidth and co-location space, which could result in disruptions to our platform and loss of revenue.</w:t>
      </w:r>
    </w:p>
    <w:p>
      <w:pPr>
        <w:spacing w:after="0" w:line="1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Our operations are dependent in part upon transmission bandwidth provided by third-party network or cloud providers and leasing co-location facilities for our servers and equipment. There can be no assurance that we are adequately prepared for unexpected increases in bandwidth demands by our customers. In the first quarter of 2020 we experienced a spike in usage as a result of demand for online real-time engagement spurred by COVID-19. Although we were able to scale our network infrastructure in response, the general increase in demand for bandwidth and servers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30</w:t>
      </w:r>
    </w:p>
    <w:p>
      <w:pPr>
        <w:sectPr>
          <w:pgSz w:w="11900" w:h="16838" w:orient="portrait"/>
          <w:cols w:equalWidth="0" w:num="1">
            <w:col w:w="11240"/>
          </w:cols>
          <w:pgMar w:left="320" w:top="449"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003082"/>
        </w:rPr>
        <w:t>increased prices which in turn adversely impacted our gross margin. Failure to contain the further spread, or any resurgence, of COVID-19 may affect our ability to cost-effectively maintain and expand our network infrastructure, which could severely disrupt our business and operations and adversely affect our operating results and financial condition.</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 bandwidth we have contracted to purchase may become unavailable for a variety of reasons, including service outages, payment disputes, network providers going out of business, natural disasters, pandemics, networks imposing traffic limits, or governments adopting regulations that impact network operations. We also may be unable to move quickly enough to augment capacity to reflect growing traffic or security demands. Failure to put in place the capacity we require could result in a reduction in, or disruption of, service to our customers, require us to issue credits and ultimately a loss of those customers. Such a failure could result in our inability to acquire new customers demanding capacity not available on our platform. If we are unable to provide sufficient bandwidth, we may also become contractually obligated to provide affected customers with service credits under service level commitments in our customer agreements.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Seasonality may cause fluctuations in our sales and operating results.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of prior years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particularly in the first quarter of 2020 due to the impact of COVID-19, but its impact on revenue may be more pronounced in future periods.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Defects or errors in our products could diminish demand for our products, harm our business and operating results and subject us to liability.</w:t>
      </w:r>
    </w:p>
    <w:p>
      <w:pPr>
        <w:spacing w:after="0" w:line="1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have very limited insurance coverage for our operations in the PRC, the United States and other jurisdictions to compensate us for any losses that may result from claims arising from defects or disruptions in our products. As a result, our reputation and our brand could be harmed, and our business, operating results and financial condition may be adversely affected.</w:t>
      </w:r>
    </w:p>
    <w:p>
      <w:pPr>
        <w:spacing w:after="0" w:line="2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Market opportunity estimates and growth forecasts included in this prospectus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31</w:t>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003082"/>
        </w:rPr>
        <w:t>If relations between China and the United States deteriorate, our business, operating results and financial condition could be adversely affected.</w:t>
      </w:r>
    </w:p>
    <w:p>
      <w:pPr>
        <w:spacing w:after="0" w:line="1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At various times during recent years, the United States and China have had significant disagreements over monetary, economic, political and social issues, including currently in relation to the COVID-19 pandemic, and future relations between these two countries may deteriorate. Changes in political conditions and changes in the state of China-U.S. relations are difficult to predict and could adversely affect our business, operating results and financial condition. In addition, because of our extensive operations in the Chinese market, any deterioration in political or trade relations might cause a public perception in the United States or elsewhere that might cause our products to become less attractive. We cannot predict what effect any changes in China-U.S. relations may have on our ability to access capital or effectively do business in China or the United States. Moreover, any political or trade controversies between the United States and China, whether or not directly related to our business, could cause investors to be unwilling to hold or buy our ADSs and consequently cause the trading price of our ADSs to decline.</w:t>
      </w:r>
    </w:p>
    <w:p>
      <w:pPr>
        <w:spacing w:after="0" w:line="23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003082"/>
        </w:rPr>
        <w:t>Breaches of our networks or systems, or those of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9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We depend on our IT systems to conduct virtually all of our business operations, ranging from our internal operations and research and development activities to our marketing and sales efforts and communications with our customers, service providers and business partners. Individuals or entities may attempt to penetrate our network security, or that of our platform, and to cause harm to our business operations, including by misappropriating our proprietary information or that of our customers, employees, service providers and business partners or to cause interruptions of our products and platform. Because the vulnerabilities and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could result in loss of confidential information, damage to our reputation, loss of customers, litigation, regulatory investigations, fines, penalties and other liabilities. Accordingly, if our cybersecurity measures or those of our service providers fail to protect against unauthorized access, attacks (which may include sophisticated cyberattacks), compromise or the mishandling of data by our employees, service providers and business partners, then our reputation, business, operating results and financial condition could be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Our reliance on third-party SaaS technologies may adversely affect our business, operating results and financial condition.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We rely on hosted SaaS technologies from third parties to operate critical internal functions of our business, including enterprise collaboration and customer relations management services. If one or more of these services become unavailable due to extended outages or interruptions, or because they are no longer operated in a reasonably secure manner or available on commercially reasonable terms or prices, our expenses could increase as we consider appropriate alternatives.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operating results and financial condition.</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may in the future become involved in disputes relating to alleged infringement of intellectual property rights, which could adversely affect our business, operating results and financial condition.</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32</w:t>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91" w:lineRule="auto"/>
        <w:rPr>
          <w:sz w:val="20"/>
          <w:szCs w:val="20"/>
          <w:color w:val="auto"/>
        </w:rPr>
      </w:pPr>
      <w:r>
        <w:rPr>
          <w:rFonts w:ascii="Arial" w:cs="Arial" w:eastAsia="Arial" w:hAnsi="Arial"/>
          <w:sz w:val="16"/>
          <w:szCs w:val="16"/>
          <w:color w:val="003082"/>
        </w:rPr>
        <w:t>if successfully asserted against us, could require that we pay substantial damages or ongoing royalty payments, prevent us from offering our products, require us to develop alternative non-infringing technology or require that we comply with other unfavorable terms, any of which could significantly increase our operating expenses. We may also be obligated to indemnify our customers or business partners in connection with any such litigation and to obtain licenses or modify our products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Indemnity provisions in various agreements potentially expose us to substantial liability for intellectual property infringement and other losses.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operating results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Our use of open source software could negatively affect our ability to sell our products and subject us to possible litigation.</w:t>
      </w:r>
    </w:p>
    <w:p>
      <w:pPr>
        <w:spacing w:after="0" w:line="17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003082"/>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When we utilize open source software in our products in certain ways, the applicable open source licenses may subject us and our customers to certain requirements, including requirements that we and our customers offer the products that incorporate the open source software for no cost, make available source code for modifications or derivative works that are based on, incorporate or use the open source software, and license such modifications or derivative works under the terms of applicable open source licenses. In some cases, open source software is also offered under commercial terms which do not include such requirements and obligations, in exchange for the payment of fees to be negotiated with the author or licensors. We are currently in discussions with a third-party licensor that has offered such a commercial license to certain open source software incorporated in certain of our and our customers’ products. In the future we may receive notices alleging that our usage of open source software does not comply with the applicable license, or such usage requires us to obtain a commercial license. If it were determined that we had not complied with the conditions of one or more of these open source licenses, or if we are unable to successfully negotiate an acceptable commercial license (including with the third party referenced above), we and our customers could be required to incur significant legal expenses defending against such allegations and could be subject to significant damages, enjoined or otherwise prohibited from distributing our products that contained the open source software, and be required to comply with onerous conditions or restrictions on these products. In any of these events, we and our customers could be required to seek licenses from third parties in order to continue offering our respective products and platforms, and to re-engineer our products or platforms or discontinue offering our products in the event re-engineering cannot be accomplished on a timely basis. Any of the foregoing could require us and our customers to devote additional research and development resources to re-engineer our products or platforms, harm our reputation, or result in customer dissatisfaction, and may adversely affect our business, operating results and financial condition.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33</w:t>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003082"/>
        </w:rPr>
        <w:t>We face certain risks relating to the real properties that we lease.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We lease office spaces from third parties for our operations in China and the United States. Any limitations on the leased properties, or lessors’ title to such properties, may impact our use of the offices, or in extreme cases, result in relocation, which may in turn adversely affect our business operations. For example, some of our lessors in China failed to provide us with valid property ownership certificates or authorizations from the property owners for the lessors to sublease the properties, and some of our leased properties have been mortgaged by the owners to third parties such as banks. In addition, certain lease agreements of our leased properties in China may not have been registered with the relevant PRC government authorities as required by PRC law, and although failure to do so does not in itself invalidate the leases, we may be exposed to potential fines if we fail to rectify within the prescribed time period after receiving notices from the relevant PRC government authorities.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As of the date of this prospectus, we are not aware of any actions or claims raised by any third parties challenging our use of these properties we currently lease, nor have we received any notices from the PRC government authorities. Despite that, if any third parties who purport to be property owners or mortgagees challenge our right to use the leased properties, it could result in a diversion of management attention and cause us to incur costs associated with defending such actions or claims.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003082"/>
        </w:rPr>
        <w:t>Our business is subject to a variety of PRC, U.S. and international laws and regulations, including those regarding privacy, cybersecurity and data protection,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 xml:space="preserve">We and our customers that use our products may be subject to privacy, cybersecurity and data protection-related laws and regulations that impose obligations in connection with the collection, processing and use of personal data, financial data, health or other similar data and general cybersecurity. The U.S. federal and various state governments as well as the PRC government and governments in other countries have adopted or proposed limitations on, or requirements regarding, the collection, distribution, use, security and storage of information, including personally identifiable information of individuals. In the United States, the U.S. Federal Trade Commission and numerous state attorneys general are applying federal and state consumer protection laws to impose standards on the online collection, use and dissemination of data, and to the security measures applied to such data. In the PRC, the </w:t>
      </w:r>
      <w:r>
        <w:rPr>
          <w:rFonts w:ascii="Arial" w:cs="Arial" w:eastAsia="Arial" w:hAnsi="Arial"/>
          <w:sz w:val="16"/>
          <w:szCs w:val="16"/>
          <w:i w:val="1"/>
          <w:iCs w:val="1"/>
          <w:color w:val="003082"/>
        </w:rPr>
        <w:t>Cybersecurity</w:t>
      </w:r>
      <w:r>
        <w:rPr>
          <w:rFonts w:ascii="Arial" w:cs="Arial" w:eastAsia="Arial" w:hAnsi="Arial"/>
          <w:sz w:val="16"/>
          <w:szCs w:val="16"/>
          <w:color w:val="003082"/>
        </w:rPr>
        <w:t xml:space="preserve"> </w:t>
      </w:r>
      <w:r>
        <w:rPr>
          <w:rFonts w:ascii="Arial" w:cs="Arial" w:eastAsia="Arial" w:hAnsi="Arial"/>
          <w:sz w:val="16"/>
          <w:szCs w:val="16"/>
          <w:i w:val="1"/>
          <w:iCs w:val="1"/>
          <w:color w:val="003082"/>
        </w:rPr>
        <w:t xml:space="preserve">Law </w:t>
      </w:r>
      <w:r>
        <w:rPr>
          <w:rFonts w:ascii="Arial" w:cs="Arial" w:eastAsia="Arial" w:hAnsi="Arial"/>
          <w:sz w:val="16"/>
          <w:szCs w:val="16"/>
          <w:color w:val="003082"/>
        </w:rPr>
        <w:t>and relevant regulations require network operators, which may include us, to ensure the security and stability of the services provided via network and</w:t>
      </w:r>
      <w:r>
        <w:rPr>
          <w:rFonts w:ascii="Arial" w:cs="Arial" w:eastAsia="Arial" w:hAnsi="Arial"/>
          <w:sz w:val="16"/>
          <w:szCs w:val="16"/>
          <w:i w:val="1"/>
          <w:iCs w:val="1"/>
          <w:color w:val="003082"/>
        </w:rPr>
        <w:t xml:space="preserve"> </w:t>
      </w:r>
      <w:r>
        <w:rPr>
          <w:rFonts w:ascii="Arial" w:cs="Arial" w:eastAsia="Arial" w:hAnsi="Arial"/>
          <w:sz w:val="16"/>
          <w:szCs w:val="16"/>
          <w:color w:val="003082"/>
        </w:rPr>
        <w:t>to provide assistance and support in accordance with the law for public security and national security authorities to protect national security or assist with criminal investigations. PRC regulators, including the Ministry of Industry and Information Technology, or the MIIT and the Cyberspace Administration of China, have been increasingly focused on regulation in the areas of cybersecurity and data protection.</w:t>
      </w:r>
    </w:p>
    <w:p>
      <w:pPr>
        <w:spacing w:after="0" w:line="1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Similarly, many other countries and governmental bodies, including the EU member states, have laws and regulations concerning the collection and use of personal data obtained from individuals located in the EU or by businesses operating within their jurisdiction, which are often more restrictive than those in the United States. Laws and regulations in these jurisdictions apply broadly to the collection, use, storage, disclosure and security of personal data that identifies or may be used to identify an individual, such as names, telephone numbers, email addresses and, in certain circumstances, IP addresses and other online identifiers.</w:t>
      </w:r>
    </w:p>
    <w:p>
      <w:pPr>
        <w:spacing w:after="0" w:line="13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For example, the EU has adopted the General Data Protection Regulation, or the GDPR, which took full effect on May 25, 2018. The GDPR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Noncompliance with the GDPR can trigger fines equal to or greater of €20 million or 4% of global annual revenues. Given the breadth and depth of its obligations, working to meet the requirements of the GDPR has required significant time and resources, including a review of our technology and systems currently in use against the requirements of the GDPR. There are also additional EU laws and regulations (and member states implementations thereof) which govern the protection of consumers and of electronic communications. We have taken measures to address certain obligations under the GDPR and to make us GDPR compliant, but we may be required to take additional steps in order to comply with the GDPR. If our efforts to</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34</w:t>
      </w:r>
    </w:p>
    <w:p>
      <w:pPr>
        <w:sectPr>
          <w:pgSz w:w="11900" w:h="16838" w:orient="portrait"/>
          <w:cols w:equalWidth="0" w:num="1">
            <w:col w:w="11240"/>
          </w:cols>
          <w:pgMar w:left="320" w:top="449"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003082"/>
        </w:rPr>
        <w:t>comply with GDPR or other applicable EU laws and regulations are not successful, we may be subject to penalties and fines that would adversely impact our business and operating results, and our ability to conduct business in the EU could be significantly impaired.</w:t>
      </w:r>
    </w:p>
    <w:p>
      <w:pPr>
        <w:spacing w:after="0" w:line="11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3082"/>
        </w:rPr>
        <w:t xml:space="preserve">Outside of the EU, we continue to see increased regulation of privacy cybersecurity and data protection, including the adoption of more strict laws with a broader scope in the PRC and more stringent subject matter specific state laws in the United States. For example, in 2018, California enacted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California Attorney General has proposed regulations under the CCPA, but those regulations have yet to be finalized. Aspects of the CCPA and its interpretation remain uncertain. The CCPA may increase our compliance costs and potential liability, and we may be required to modify our practices and take additional steps in an effort to comply with the CCPA. Some observers have noted that the CCPA could mark the beginning of a trend toward more stringent state privacy legislation in the United States, which could increase our potential liability and adversely affect our business. In the PRC, governmental authorities have enacted a series of laws and regulations to enhance the protection of privacy and data, which require certain authorization or consent from users prior to collection, use or disclosure of their personal data and also protection of the security of the personal data of such users. Such regulations, including the </w:t>
      </w:r>
      <w:r>
        <w:rPr>
          <w:rFonts w:ascii="Arial" w:cs="Arial" w:eastAsia="Arial" w:hAnsi="Arial"/>
          <w:sz w:val="16"/>
          <w:szCs w:val="16"/>
          <w:i w:val="1"/>
          <w:iCs w:val="1"/>
          <w:color w:val="003082"/>
        </w:rPr>
        <w:t>Decision to Enhance</w:t>
      </w:r>
      <w:r>
        <w:rPr>
          <w:rFonts w:ascii="Arial" w:cs="Arial" w:eastAsia="Arial" w:hAnsi="Arial"/>
          <w:sz w:val="16"/>
          <w:szCs w:val="16"/>
          <w:color w:val="003082"/>
        </w:rPr>
        <w:t xml:space="preserve"> </w:t>
      </w:r>
      <w:r>
        <w:rPr>
          <w:rFonts w:ascii="Arial" w:cs="Arial" w:eastAsia="Arial" w:hAnsi="Arial"/>
          <w:sz w:val="16"/>
          <w:szCs w:val="16"/>
          <w:i w:val="1"/>
          <w:iCs w:val="1"/>
          <w:color w:val="003082"/>
        </w:rPr>
        <w:t>the Protection of Network Information</w:t>
      </w:r>
      <w:r>
        <w:rPr>
          <w:rFonts w:ascii="Arial" w:cs="Arial" w:eastAsia="Arial" w:hAnsi="Arial"/>
          <w:sz w:val="16"/>
          <w:szCs w:val="16"/>
          <w:color w:val="003082"/>
        </w:rPr>
        <w:t>, require the internet service providers to expressly inform their users of the purpose, manner and scope of the</w:t>
      </w:r>
      <w:r>
        <w:rPr>
          <w:rFonts w:ascii="Arial" w:cs="Arial" w:eastAsia="Arial" w:hAnsi="Arial"/>
          <w:sz w:val="16"/>
          <w:szCs w:val="16"/>
          <w:i w:val="1"/>
          <w:iCs w:val="1"/>
          <w:color w:val="003082"/>
        </w:rPr>
        <w:t xml:space="preserve"> </w:t>
      </w:r>
      <w:r>
        <w:rPr>
          <w:rFonts w:ascii="Arial" w:cs="Arial" w:eastAsia="Arial" w:hAnsi="Arial"/>
          <w:sz w:val="16"/>
          <w:szCs w:val="16"/>
          <w:color w:val="003082"/>
        </w:rPr>
        <w:t xml:space="preserve">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MIIT issued the </w:t>
      </w:r>
      <w:r>
        <w:rPr>
          <w:rFonts w:ascii="Arial" w:cs="Arial" w:eastAsia="Arial" w:hAnsi="Arial"/>
          <w:sz w:val="16"/>
          <w:szCs w:val="16"/>
          <w:i w:val="1"/>
          <w:iCs w:val="1"/>
          <w:color w:val="003082"/>
        </w:rPr>
        <w:t>Order for the Protection of Telecommunication and Internet User Personal Information</w:t>
      </w:r>
      <w:r>
        <w:rPr>
          <w:rFonts w:ascii="Arial" w:cs="Arial" w:eastAsia="Arial" w:hAnsi="Arial"/>
          <w:sz w:val="16"/>
          <w:szCs w:val="16"/>
          <w:color w:val="003082"/>
        </w:rPr>
        <w:t xml:space="preserve"> on July 16, 2013, further requiring internet service providers to establish and publish protocols relating to the collection or use of personal information, keep any collected information strictly confidential and take technological and other measures to maintain the security of such information. Institutions and their employees are prohibited from selling or otherwise illegally disclosing a person's personal information obtained during the course of performing duties or providing services.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also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uncertainty and changes in the requirements of multiple jurisdictions may increase the cost of compliance, delay or reduce demand for our services, restrict our ability to offer services in certain locations, impact our customers’ ability to deploy our solutions in certain jurisdictions, or subject us to claims and litigation from private actors and investigations, proceedings, and sanctions by data protection regulators, all of which could harm our business, financial condition and operating results.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Additionally, although we endeavor to have our products and platform comply with applicable laws and regulations, these and other obligations may be modified, they may be interpreted and applied in an inconsistent manner from one jurisdiction to another, and they may conflict with one another, other regulatory requirements, contractual commitments or our practices.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also may be bound by contractual obligations relating to our collection, use and disclosure of personal, financial and other data or may find it necessary or desirable to join industry or other self-regulatory bodies or other privacy, cybersecurity or data protection-related organizations that require compliance with their rules pertaining to privacy and data protection.</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We expect that there will continue to be new proposed laws, rules of self-regulatory bodies, regulations and industry standards concerning privacy, data protection and information security in the PRC, United States, the EU and other jurisdictions, and we cannot yet determine the impact such future laws, rules, regulations and standards may have on our business. Moreover, existing PRC, U.S. federal and various state and foreign privacy, cybersecurity and data protection-related laws and regulations are evolving and subject to potentially differing interpretations, and various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35</w:t>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55" w:lineRule="auto"/>
        <w:rPr>
          <w:sz w:val="20"/>
          <w:szCs w:val="20"/>
          <w:color w:val="auto"/>
        </w:rPr>
      </w:pPr>
      <w:r>
        <w:rPr>
          <w:rFonts w:ascii="Arial" w:cs="Arial" w:eastAsia="Arial" w:hAnsi="Arial"/>
          <w:sz w:val="18"/>
          <w:szCs w:val="18"/>
          <w:color w:val="003082"/>
        </w:rPr>
        <w:t>legislative and regulatory bodies may expand current or enact new laws and regulations regarding privacy, cybersecurity and data protection-related matters. Because global laws, regulations and industry standards concerning privacy, cybersecurity and data protection have continued to develop and evolve rapidly, it is possible that we or our products or platform may not be, or may not have been, compliant with each such applicable law, regulation and industry standard and compliance with such new laws or to changes to existing laws may impact our business and practices, require us to expend significant resources to adapt to these changes, or to stop offering our products in certain countries. These developments could adversely affect our business, operating results and financial condition.</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Further, in many cases we rely on the data processing, privacy, data protection and cybersecurity practices of our suppliers and contractors, including with regard to maintaining the confidentiality, security and integrity of data. If we fail to manage our suppliers or contractors or their relevant practices, or if our suppliers or contractors fail to meet any requirements with regard to data processing, privacy, data protection or cybersecurity required by applicable legal or contractual obligations that we face (including any applicable requirements of our clients), we may be liable in certain cases. Legal obligations such as the GDPR, CCPA, the Health Insurance Portability and Accountability Act, or HIPAA, and other laws and regulations relating to privacy, cybersecurity and data protection may require us to manage our suppliers and their practices and to enter into agreements with them in certain cases. We may face difficulties in binding our suppliers and contractors to these agreements and otherwise managing their relevant practices, which may subject us to claims, proceedings, and liabilities.</w:t>
      </w:r>
    </w:p>
    <w:p>
      <w:pPr>
        <w:spacing w:after="0" w:line="12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Any failure or perceived failure by us, our products or our platform to comply with new or existing PRC, U.S., EU or other foreign privacy, cybersecurity or data protection laws, regulations, policies, industry standards or legal obligations, any failure to bind our suppliers and contractors to appropriate agreements or to manage their practices or any systems failure or security incident that results in the unauthorized access to, or acquisition, release or transfer of, personally identifiable information or other data relating to customers or individuals may result in governmental investigations, inquiries, enforcement actions and prosecutions, private claims and litigation, fines and penalties, adverse publicity or potential loss of business.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Changes in laws and regulations related to the internet or changes in the internet infrastructure itself may diminish the demand for our products, and could adversely affect our business, operating results and financial condition.</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The future success of our business depends on the continued use of the internet as a primary medium for commerce, communications and business applications, as well as continued growth in online real-time engagement. The PRC government and the U.S. federal and various state governments as well as foreign governments have in the past adopted, and may in the future adopt, laws or regulations affecting the use of the internet as a commercial medium. See the section of this prospectus captioned “—Risks Related to Doing Business in China—We may be adversely affected by the complexity, uncertainties and changes in PRC laws, rules and regulation, particularly of internet businesses.”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Changes in these laws or regulations could require us to modify our platform and products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36</w:t>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003082"/>
        </w:rPr>
        <w:t>demand for our products could decline, which could adversely affect our business, operating results and financial condition.</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Certain of our products are subject to telecommunications-related regulations, and future legislative or regulatory actions could adversely affect our business, operating results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 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We may also be subject to a number of rules and regulations in China that apply to internet businesses. See the section of this prospectus captioned “— Risks Related to Doing Business in China—We may be adversely affected by the complexity, uncertainties and changes in PRC laws, rules and regulation, particularly of internet businesses.” As we continue to expand internationally, we may become subject to telecommunications laws and regulations in the foreign countries where we offer our products. Internationally, we currently offer our products in more than 100 countries.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Our international operations are subject to country-specific governmental regulation and related actions that may continue to increase our costs or impact our products and platform or prevent us from offering or providing our products in certain countries.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end users continue to use our products in countries where it is illegal to do so, and any such penalties or governmental action may be costly and may harm our business and damage our brand and reputation. We may be required to incur additional expenses to meet applicable international regulatory requirements or be required to discontinue those services if required by law or if we cannot or will not meet those requirements.</w:t>
      </w:r>
    </w:p>
    <w:p>
      <w:pPr>
        <w:spacing w:after="0" w:line="21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003082"/>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37</w:t>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003082"/>
        </w:rPr>
        <w:t>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 use of our products and services or limitation on our ability to export our products and provide our services could adversely affect our business, operating results and financial condition.</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Our business activities are subject to the FCPA and similar anti-bribery and anti-corruption laws, and any allegation or determination that we have violated these laws could have a material adverse effect on our business or our reputation.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Our business activities are subject to the FCPA and similar anti-bribery or anti-corruption laws, regulations or rules of the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We are also subject to the Chinese anti-corruption and anti-unfair competition laws, which strictly prohibits commercial bribery and bribes to government officials. The FCPA also requires public companies to make and keep books and records that accurately and fairly reflect the transactions of the corporation and to devise and maintain an adequate system of internal accounting controls.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Our operations are dependent in part upon transmission bandwidth provided by third-party network providers and access to co-location facilities to house our servers, which in some countries may be state-owned, and some of our customers may also be state-owned, in each case exposing us to potential risks. As we continue our international expansion, we may face further challenges related to compliance with global anti-corruption laws. In addition to our own employees, we use third parties to assist us in the process of obtaining government licenses and approvals, including patent and trademark rights. We and our third-party business partners, representatives and agents may have direct or indirect interactions with officials and employees of government agencies, or state-owned or affiliated entities, and we may be held liable for inaccurate or incomplete accounting records, internal accounting controls deemed inadequate by applicable regulatory authorities and corrupt or other illegal activities of our employees, affiliates, third-party business partners, representatives and agents, even if we do not explicitly authorize such activities.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There can be no assurances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the trading price of our ADSs.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38</w:t>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003082"/>
        </w:rPr>
        <w:t>The audit report included in this prospectus is prepared by an auditor that is not inspected by the Public Company Accounting Oversight Board and, as such, our investors are deprived of the benefits of such inspection.</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Our auditor, the independent registered public accounting firm that issued the audit reports included elsewhere in this prospectus filed with the U.S. Securities and Exchange Commission, or SEC, as an auditor of companies that are traded publicly in the United States and a firm registered with the Public Company Accounting Oversight Board (United States), or PCAOB, is subject to laws in the United States pursuant to which the PCAOB conducts regular inspections to assess its compliance with applicable professional standards. Our auditor is located in, and organized under the laws of, the PRC, which is a jurisdiction where the PCAOB has been unable to conduct inspections without the approval of the Chinese authorities.</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On May 24, 2013, the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CSRC and the PRC Ministry of Finance to permit joint inspections in the PRC of audit firms that are registered with the PCAOB and audit Chinese companies that trade on U.S. exchanges. On December 7, 2018, the SEC and the PCAOB issued a joint statement highlighting continued challenges faced by the U.S. regulators in their oversight of financial statement audits of U.S.-listed companies with significant operations in China. On April 21, 2020, the Chairman of the SEC, the Chairman of the PCAOB and certain other SEC divisional heads jointly issued a public statement highlighting the significant disclosure, financial reporting and other risks associated with emerging market investments, including the PCAOB’s continued inability to inspect audit work papers in China. The 2018 joint statement and the 2020 public statement reflect a heightened regulatory interest in this issue. However, it remains unclear what further actions, if any, the SEC and the PCAOB will take to address the issue.</w:t>
      </w:r>
    </w:p>
    <w:p>
      <w:pPr>
        <w:spacing w:after="0" w:line="12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This lack of PCAOB inspections in China prevents the PCAOB from fully evaluating audits and quality control procedures of our independent registered public accounting firm. 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ADSs to lose confidence in our audit procedures and reported financial information and the quality of our financial statements.</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As part of a continued regulatory focus in the United States on access to audit and other information currently protected by national law, in particular China’s, a bipartisan group of lawmakers introduced bills in both houses of the U.S. Congress in June 2019, which if passed, would require the SEC to maintain a list of issuers for which the PCAOB is not able to inspect or investigate an auditor report issued by a foreign public accounting firm. The proposed Ensuring Quality Information and Transparency for Abroad-Based Listings on our Exchanges (EQUITABLE) Act prescribes increased disclosure requirements for these issuers and, beginning in 2025, the delisting from U.S. national securities exchanges of issuers included on the SEC’s list for three consecutive years. On May 20, 2020, the U.S. Senate approved the Holding Foreign Companies Accountable Act, or the HFCA Act, which includes requirements similar to those in the EQUITABLE Act for the SEC to identify issuers whose audit reports are prepared by auditors that the PCAOB is unable to inspect or investigate because of restrictions imposed by non-U.S. authorities. If passed, the HFCA Act would also require public companies on this SEC list to certify that they are not owned or controlled by a foreign government and make certain additional disclosures in their SEC filings. In addition, for issuers that remain on the SEC list for three consecutive years, the SEC would be required to prohibit the securities of these companies from being traded on a U.S. national securities exchange or in U.S. over-the-counter markets. Enactment of these proposed legislations or other efforts to increase U.S. regulatory access to audit information could cause investor uncertainty for affected issuers, including us, adversely affect the market price of our ADSs and result in prohibitions on the trading of our ADSs on U.S. national securities exchanges if the PCAOB is unable to inspect our auditors for three consecutive years. It is unclear if these proposed legislations will be enacted.</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Furthermore, on June 4, 2020, President Trump issued a memorandum directing the President’s Working Group on Financial Markets, or PWG, which is chaired by the Secretary of the Treasury and includes the Chairman of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39</w:t>
      </w:r>
    </w:p>
    <w:p>
      <w:pPr>
        <w:sectPr>
          <w:pgSz w:w="11900" w:h="16838" w:orient="portrait"/>
          <w:cols w:equalWidth="0" w:num="1">
            <w:col w:w="11240"/>
          </w:cols>
          <w:pgMar w:left="320" w:top="449" w:right="3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7"/>
          <w:szCs w:val="17"/>
          <w:color w:val="003082"/>
        </w:rPr>
        <w:t>Board of Governors of the Federal Reserve System, the Chairman of the SEC and the Chairman of the Commodity Futures Trading Commission, to convene to discuss the risks faced by U.S. investors in Chinese companies and companies with significant operations in China that are listed on U.S. stock exchanges related to the Chinese government’s position on the inability of the PCAOB to conduct inspections of auditors in China. The memorandum also directs the PWG to submit to the President a report within 60 days with recommendations for actions (1) the U.S. executive branch may take to protect investors in U.S. financial markets from the failure of the Chinese government to allow PCAOB-registered audit firms to comply with U.S. securities laws and investor protections; (2) the SEC or PCAOB should take, including inspection or enforcement actions, with respect to PCAOB-registered audit firms that fail to provide requested audit working papers or otherwise fail to comply with U.S. securities laws; and (3) the SEC or any other U.S. federal agency or department should take as a means to protect U.S. investors in Chinese companies, or companies from other countries that do not comply with U.S. securities laws and investor protections, including initiating a notice of proposed rulemaking that would set new listing rules or governance safeguards. It is uncertain what recommendations the PWG may ultimately make; however, as with the proposed legislation described above, such recommendations could cause investor uncertainty for affected issuers, including us, adversely affect the market price of our ADSs and result in prohibitions on the trading of our ADSs on U.S. national securities, among other things.</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Proceedings instituted by the SEC against certain PRC-based accounting firms, including the affiliate of our independent registered public accounting firm, or any related adverse regulatory development in the PRC, could result in our financial statements being determined to not be in compliance with the requirements of the Exchange Act.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or the termination of the registration of our ADSs under the Exchange Act, or both, which would substantially reduce or effectively terminate the trading of our ADSs in the United States.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We may have additional tax liabilities, which could harm our business, operating results and financial condition.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We are subject to income taxes and other taxes in the United States, the PRC and other foreign jurisdictions. Significant judgments and estimates are required in determining our provision for income taxes and other tax liabilities. 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state sales and use tax positions. In determining the adequacy of income taxes, we assess the likelihood of adverse outcomes that could result if our tax positions were challenged by the State Administration of Taxation, or SAT, the Internal Revenue Service, or IRS, and other tax authorities. Should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40</w:t>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003082"/>
        </w:rPr>
        <w:t>the SAT, the IRS or other tax authorities assess additional taxes as a result of audits or examinations, we may be required to record charges to operations that could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Our global operations and structure subject us to potentially adverse tax consequences.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We generally conduct our global operations through subsidiaries and report our taxable income in various jurisdictions worldwide based 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 tax laws of certain countries in which we do business could also change on a prospective or retroactive basis, and any such changes could increase our liabilities for taxes, interest and penalties, and therefore could harm our business, cash flows, operating results and financial position.</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may be a passive foreign investment company, which could result in adverse U.S. federal income tax consequences to U.S. investors owning the ADSs or Class A ordinary shares.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A non-U.S. corporation, such as our company, will be considered a passive foreign investment company, or PFIC, for any fiscal year if either (1) at least 75% of its gross income is passive income or (2) at least 50% of the value of its assets (based on an average of the quarterly values of the assets during a fiscal year) is attributable to assets that produce or are held for the production of passive income. A separate determination must be made after the close of each fiscal year as to whether a non-U.S. corporation is a PFIC for that year. Although the law in this regard is not entirely clear, we treat our VIE as being owned by us for U.S. federal income tax purposes because we control its management decisions and are entitled to substantially all of the economic benefits associated with it. As a result, we consolidate its operating results in our consolidated U.S. GAAP financial statements. If it were determined, however, that we are not deemed the owner of our VIE for U.S. federal income tax purposes, we would likely be treated as a PFIC for the current fiscal year and any subsequent fiscal year.</w:t>
      </w:r>
    </w:p>
    <w:p>
      <w:pPr>
        <w:spacing w:after="0" w:line="12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3082"/>
        </w:rPr>
        <w:t>For purposes of the PFIC asset test, the value of our assets will generally be determined by reference to our market capitalization. However, if we are considered to be a “controlled foreign corporation,” or CFC, that is not “publicly traded” for purposes of the PFIC rules during the tested period, the value of our assets will generally be determined by reference to our adjusted bases in our assets. We do not believe that we are or will be a CFC following the offering. Therefore, assuming that we are deemed the owner of our VIE for U.S. federal income tax purposes and based on our current and projected income and assets, including the proceeds from this offering and the concurrent private placement, we do not expect to be a PFIC for the current fiscal year. However, the rules to determine CFC status are complex, and a tax authority may disagree with our determination. If we are considered to be a CFC following the offering, we expect to be a PFIC for the current fiscal year. In addition, we expect to be “publicly traded” for future fiscal years (as long as our ADSs are traded on the Nasdaq Stock Market). Accordingly, assuming that we are deemed the owner of our VIE for U.S. federal income tax purposes, and based upon our current and projected income and assets, including the proceeds from this offering and the concurrent private placement, and projections as to the value of our assets, we do not expect to be a PFIC for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fiscal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fiscal year or future fiscal years. Furthermore, the composition of our income and assets may also be affected by how, and how quickly, we use our liquid assets and the cash raised in this offering and the concurrent private placement. Under circumstances where our revenue from activities that produce passive income significantly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41</w:t>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003082"/>
        </w:rPr>
        <w:t>increases relative to our revenue from activities that produce non-passive income, or where we determine not to deploy significant amounts of cash for active purposes, our risk of becoming a PFIC may substantially increase.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If we are a PFIC for any fiscal year during which a U.S. Holder (as defined in “Taxation—U.S. Federal Income Tax Considerations—General”) holds an ADS or a Class A ordinary share, certain adverse U.S. federal income tax consequences could apply to the U.S. Holder. See the section of this prospectus captioned “Taxation—U.S. Federal Income Tax Considerations—Passive Foreign Investment Company Rules.”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If a United States person is treated as owning at least 10% of our share capital, such person may be subject to adverse U.S. federal income tax consequences.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If a United States person is treated as owning (directly, indirectly or constructively) at least 10% of the value or voting power of our share capital, such person may be treated as a ‘‘United States shareholder’’ with respect to each CFC in our group (if any). While we do not believe that we will be a CFC after the offering, the rules to determine CFC status are complex, and a tax authority may disagree with our determination. Because our group includes one or more U.S. subsidiaries, certain of our non-U.S. subsidiaries could be treated as CFCs. A United States shareholder of a CFC may be required to report annually and include in its U.S. taxable income its pro rata share of ‘‘Subpart F income,’’ ‘‘global intangible low-taxed income’’ and investments in U.S. property by CFCs, regardless of whether we make any distributions. Failure to comply with such reporting requirements could result in adverse tax effects for United States shareholders and potentially significant monetary penalties. We cannot provide any assurances that we will assist investors in determining whether we or any of our non-U.S. subsidiaries is treated as a CFC or furnish to any United States shareholders information that may be necessary to comply with the aforementioned obligations. A United States investor should consult its advisors regarding the potential application of these rules to an investment in our ADSs.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Negative publicity about us, our services, operations and our management may adversely affect our reputation and business.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may, from time to time, receive negative publicity, including negative internet and blog postings about our company, our business, our management or our services.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Our brand and reputation may be materially and adversely affected as a result of any negative publicity, which in turn may cause us to lose market share, customers and other third parties with which we conduct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We may require additional capital to support our business, and this capital might not be available on acceptable terms, if at all.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China and the United States,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Class A and Class B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42</w:t>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003082"/>
        </w:rPr>
        <w:t>We face exposure to foreign currency exchange rate fluctuations, and such fluctuations could adversely affect our business, operating results and financial condition.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We have operations primarily in China and the United States but sell to customers worldwide. As we continue to expand our international operations, we will become increasingly exposed to the effects of fluctuations in currency exchange rates. Although the majority of our cash generated from revenue is denominated in U.S. dollars and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materially impact our operating results. We do not currently maintain a program to hedge exposures to foreign currencies.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are a holding company and we rely on dividends paid by our WFOE in China for our cash needs. Any significant fluctuation of Renminbi against the U.S. dollar could adversely affect our business, operating results and financial condition, and the value of any dividends payable in U.S. dollars. To the extent that we need to convert U.S. dollars we receive from this offering and the concurrent private placement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for other business purposes, appreciation of the U.S. dollar against the Renminbi would have a negative effect on the U.S. dollar amount.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Our ability to use our net operating losses to offset future taxable income may be subject to certain limitations.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As of December 31, 2019, Agora Lab, our subsidiary located in Santa Clara, California, had federal and state net operating loss carryforwards, or NOLs, of US$25.5 million and US$25.4 million, respectively, due to prior period losses. The Tax Cuts and Jobs Act, or the Tax Act, made broad and complex changes to the U.S. tax code, including changes to the uses and limitations of NOLs. For example, while the Tax Act, as modified by the Coronavirus Aid, Relief, and Economic Security Act of 2020, allows for federal NOLs incurred in tax years beginning after December 31, 2017 to be carried forward indefinitely, the Tax Act also imposes an 80% limitation on the use of NOLs that are generated in tax years beginning after December 31, 2017 and carried forward to tax years beginning on or after January 1, 2021. However, NOLs generated prior to December 31, 2017 will still have a 20-year carryforward period, but are not subject to the 80% limitation. Furthermore, our ability to use Agora Lab’s NOLs is conditioned on Agora Lab maintaining profitability in the future and generating U.S. federal taxable income. Since we do not know whether or when Agora Lab will generate the U.S. federal taxable income necessary to use its remaining NOLs, its NOLs generated prior to December 31, 2017 could expire unused.</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As a public company, we are subject to the reporting requirements of the Exchange Act, the Sarbanes-Oxley Act of 2002, or the Sarbanes-Oxley Act, and the rules and regulations of the applicable listing and corporate governance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Sarbanes-Oxley Act requires, among other things, that we maintain effective disclosure controls and procedures and internal control over financial reporting. Prior to this offering, we have been a private company with limited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43</w:t>
      </w:r>
    </w:p>
    <w:p>
      <w:pPr>
        <w:sectPr>
          <w:pgSz w:w="11900" w:h="16838" w:orient="portrait"/>
          <w:cols w:equalWidth="0" w:num="1">
            <w:col w:w="11240"/>
          </w:cols>
          <w:pgMar w:left="320" w:top="449" w:right="339" w:bottom="1440" w:gutter="0" w:footer="0" w:header="0"/>
        </w:sectPr>
      </w:pPr>
    </w:p>
    <w:bookmarkStart w:id="48" w:name="page49"/>
    <w:bookmarkEnd w:id="48"/>
    <w:p>
      <w:pPr>
        <w:jc w:val="both"/>
        <w:spacing w:after="0" w:line="285" w:lineRule="auto"/>
        <w:rPr>
          <w:sz w:val="20"/>
          <w:szCs w:val="20"/>
          <w:color w:val="auto"/>
        </w:rPr>
      </w:pPr>
      <w:r>
        <w:rPr>
          <w:rFonts w:ascii="Arial" w:cs="Arial" w:eastAsia="Arial" w:hAnsi="Arial"/>
          <w:sz w:val="16"/>
          <w:szCs w:val="16"/>
          <w:color w:val="003082"/>
        </w:rPr>
        <w:t>accounting personnel and other resources with which to address our internal control and procedures and we were never required to evaluate our internal control within a specified period, and, as a result, we have experienced and may experience difficulty in meeting these reporting requirements in a timely manner. In the course of preparing and auditing our consolidated financial statements for the years ended December 31, 2018 and 2019, we and our independent registered public accounting firm identified a material weakness and a significant deficiency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The significant deficiency identified relates to the sufficiency of our overall information technology control environment and related policies and procedures. The material weakness, if not remediated timely, may lead to material misstatements in our consolidated financial statements in the future. Neither we nor our independent registered public accounting firm undertook a comprehensive assessment of our internal control under the Sarbanes-Oxley Act for purposes of identifying and reporting any weaknesses and other control deficiencies in our internal control over financial reporting. We and they are required to do so only after we became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3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To remedy our identified material weakness subsequent to December 31, 2019, we plan to undertake steps to strengthen our internal control over financial reporting, including: (1) hiring more qualified resources including financial controller,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 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Our current controls and any new controls that we develop may become inadequate because of changes in conditions in our business. Further, weaknesses in our disclosure controls and internal control over financial reporting may be discovered in the future. If government authorities were to re-impose shelter-in-place mandates due to the COVID-19 pandemic or another public health crisis, it may challenge our ability to maintain effective disclosure controls and procedures and internal control over financial reporting while such mandates remain in place. Any failure to develop</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44</w:t>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88" w:lineRule="auto"/>
        <w:rPr>
          <w:sz w:val="20"/>
          <w:szCs w:val="20"/>
          <w:color w:val="auto"/>
        </w:rPr>
      </w:pPr>
      <w:r>
        <w:rPr>
          <w:rFonts w:ascii="Arial" w:cs="Arial" w:eastAsia="Arial" w:hAnsi="Arial"/>
          <w:sz w:val="16"/>
          <w:szCs w:val="16"/>
          <w:color w:val="003082"/>
        </w:rPr>
        <w:t>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ADSs.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20-F.</w:t>
      </w:r>
    </w:p>
    <w:p>
      <w:pPr>
        <w:spacing w:after="0" w:line="1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operating results and financial condition and could cause a decline in the trading price of our ADSs.</w:t>
      </w:r>
    </w:p>
    <w:p>
      <w:pPr>
        <w:spacing w:after="0" w:line="2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Our business is subject to the risks of earthquakes, fire, floods, pandemics and other natural catastrophic events, and to interruption by man-made problems such as power disruptions, computer viruses, data security breaches or terrorism.</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A significant natural disaster, such as an earthquake, fire, flood or pandemic, occurring at one of our headquarters, at one of our other facilities or where a business partner is located could adversely affect our business, operating results and financial condition. Further, if a natural disaster or man-made problem were to affect our service providers, this could adversely affect the ability of our customers to use our products and platform. In addition, natural disasters and acts of terrorism could cause disruptions in our or our customers’ businesses, national economies or the world economy as a whole, as is the case currently due to the COVID-19 pandemic.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addition, computer malware, viruses and computer hacking, fraudulent use attempts and phishing attacks have become more prevalent in our industry, have occurred on our platform and have impacted some of our services providers in the past and may occur on our platform in the future. Any failure to maintain performance, reliability, security, integrity and availability of our products and technical infrastructure, including third-party infrastructure and services upon which we rely, may give rise to litigation, consumer protection actions, or harm to our reputation, and as a result, may hinder our ability to retain existing users and attract new users.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Legal or administrative proceedings or allegations of impropriety against us or our management could have a material adverse impact on our business, operating results and financial condition.</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We and members of our management may be subject to allegations, lawsuits or legal or administrative proceedings brought by our competitors, individuals, government and regulatory authorities or other persons in the future. Any such lawsuit, allegation or proceeding, with or without merit, or any perceived unfair, unethical, fraudulent or inappropriate business practice by us or perceived wrong-doing by any key member of our management team could harm our reputation and cause our user base to decline and distract our management from day-to-day operations of our company. We cannot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45</w:t>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57" w:lineRule="auto"/>
        <w:rPr>
          <w:sz w:val="20"/>
          <w:szCs w:val="20"/>
          <w:color w:val="auto"/>
        </w:rPr>
      </w:pPr>
      <w:r>
        <w:rPr>
          <w:rFonts w:ascii="Arial" w:cs="Arial" w:eastAsia="Arial" w:hAnsi="Arial"/>
          <w:sz w:val="18"/>
          <w:szCs w:val="18"/>
          <w:color w:val="003082"/>
        </w:rPr>
        <w:t>assure you that we or key members of our management team will not be subject to lawsuits, allegations or proceedings of a similar nature in the future. For example, while we have been continually making efforts and devoting our resources to comply with labor-related laws and regulations in China, and as of the date of this prospectus we are not aware of any pending claims raised by our employees or any notice of proceedings from regulatory authorities in this regard, there can be no assurance that our employment practices will at all times be in full compliance, which may subject us to labor disputes or other legal or administrative proceedings.</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Where we can make a reasonable estimate of the liability relating to pending litigation and determine that an adverse liability resulting from such litigation is probable, we will record a related contingent liability. In 2018 and 2019, we did not record any contingent liabilities relating to pending litigation. However, when we record or revise our estimates of contingent liabilities in the future, the amount of our estimates may be inaccurate due to the inherent uncertainties relating to litigation. In addition, the outcomes of actions we institute against third parties may not be successful or favorable to us. Litigation and allegations against us or any of our management members, irrespective of their veracity, may also generate negative publicity that significantly harms our reputation, which may materially and adversely affect our user base and our ability to attract content providers and advertising customers. In addition to the related cost, managing and defending litigation and related indemnity obligations can significantly divert our management and the board of directors’ attention from operating our business. We may also need to pay additional compensation or damages, or settle the litigation with a substantial amount of cash. All of these could have a material adverse impact on our business, operating results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Risks Related to Our Corporate Structure</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 xml:space="preserve">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foreign investors are not allowed to own more than a 50% equity interest in any PRC company engaging in value-added telecommunications businesses, except for those in a few categories, such as e-commerce, domestic multiparty communication, storage-and-forward, and call center services according to the </w:t>
      </w:r>
      <w:r>
        <w:rPr>
          <w:rFonts w:ascii="Arial" w:cs="Arial" w:eastAsia="Arial" w:hAnsi="Arial"/>
          <w:sz w:val="18"/>
          <w:szCs w:val="18"/>
          <w:i w:val="1"/>
          <w:iCs w:val="1"/>
          <w:color w:val="003082"/>
        </w:rPr>
        <w:t>Special Administrative Measures (Negative List) for Foreign Investment Access</w:t>
      </w:r>
      <w:r>
        <w:rPr>
          <w:rFonts w:ascii="Arial" w:cs="Arial" w:eastAsia="Arial" w:hAnsi="Arial"/>
          <w:sz w:val="18"/>
          <w:szCs w:val="18"/>
          <w:color w:val="003082"/>
        </w:rPr>
        <w:t xml:space="preserve"> effective on July 30, 2019, which may be amended, supplemented or otherwise modified from time to time, or the Negative List. The primary foreign investor must also have experience and a good track record in providing value-added telecommunications services, or VATS, overseas. See the section of this prospectus captioned “Regulation— PRC Regulation—Foreign Investment Law.”</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Because we are an exempted company incorporated in the Cayman Islands, we are classified as a foreign enterprise under PRC laws and regulations, and our wholly foreign-owned enterprise in the PRC is a foreign-invested enterprise, or FIE. As our business operations may be regarded as a kind of VATS, while our WFOE is not eligible to operate VATS business in China according to above mentioned restrictions, we conduct our business in China through our VIE. Our WFOE has entered into a series of contractual arrangements with our VIE and our VIE’s shareholders, which enable us to</w:t>
      </w:r>
    </w:p>
    <w:p>
      <w:pPr>
        <w:spacing w:after="0" w:line="1" w:lineRule="exact"/>
        <w:rPr>
          <w:sz w:val="20"/>
          <w:szCs w:val="20"/>
          <w:color w:val="auto"/>
        </w:rPr>
      </w:pPr>
    </w:p>
    <w:p>
      <w:pPr>
        <w:jc w:val="both"/>
        <w:ind w:firstLine="8"/>
        <w:spacing w:after="0" w:line="273" w:lineRule="auto"/>
        <w:tabs>
          <w:tab w:leader="none" w:pos="263" w:val="left"/>
        </w:tabs>
        <w:numPr>
          <w:ilvl w:val="0"/>
          <w:numId w:val="29"/>
        </w:numPr>
        <w:rPr>
          <w:rFonts w:ascii="Arial" w:cs="Arial" w:eastAsia="Arial" w:hAnsi="Arial"/>
          <w:sz w:val="17"/>
          <w:szCs w:val="17"/>
          <w:color w:val="003082"/>
        </w:rPr>
      </w:pPr>
      <w:r>
        <w:rPr>
          <w:rFonts w:ascii="Arial" w:cs="Arial" w:eastAsia="Arial" w:hAnsi="Arial"/>
          <w:sz w:val="17"/>
          <w:szCs w:val="17"/>
          <w:color w:val="003082"/>
        </w:rPr>
        <w:t>exercise effective control over our VIE, (2) receive all of the economic benefits of our VIE and (3) have an exclusive option to purchase all or part of the equity interests and assets in our VIE when and to the extent permitted by PRC law. As a result of these contractual arrangements, we have control over and are the primary beneficiary of our VIE and hence consolidate its financial results as our VIE under U.S. GAAP. See the section of this prospectus captioned “Corporate History and Structure—Contractual Arrangements among our WFOE, our VIE and our VIE’s Shareholders.”</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We believe that our corporate structure and contractual arrangements comply with the current applicable PRC laws and regulations. Our PRC legal counsel, King &amp; Wood Mallesons, based on its understanding of the relevant laws and regulations, is of the opinion that each of the contracts among our WFOE, our VIE and our VIE’s shareholders is valid, binding and enforceable in accordance with its terms. However, as there are substantial uncertainties regarding the interpretation and application of PRC laws and regulations, including the </w:t>
      </w:r>
      <w:r>
        <w:rPr>
          <w:rFonts w:ascii="Arial" w:cs="Arial" w:eastAsia="Arial" w:hAnsi="Arial"/>
          <w:sz w:val="17"/>
          <w:szCs w:val="17"/>
          <w:i w:val="1"/>
          <w:iCs w:val="1"/>
          <w:color w:val="003082"/>
        </w:rPr>
        <w:t>Foreign Investment Law</w:t>
      </w:r>
      <w:r>
        <w:rPr>
          <w:rFonts w:ascii="Arial" w:cs="Arial" w:eastAsia="Arial" w:hAnsi="Arial"/>
          <w:sz w:val="17"/>
          <w:szCs w:val="17"/>
          <w:color w:val="003082"/>
        </w:rPr>
        <w:t xml:space="preserve">, the </w:t>
      </w:r>
      <w:r>
        <w:rPr>
          <w:rFonts w:ascii="Arial" w:cs="Arial" w:eastAsia="Arial" w:hAnsi="Arial"/>
          <w:sz w:val="17"/>
          <w:szCs w:val="17"/>
          <w:i w:val="1"/>
          <w:iCs w:val="1"/>
          <w:color w:val="003082"/>
        </w:rPr>
        <w:t>Regulations on Mergers and</w:t>
      </w:r>
      <w:r>
        <w:rPr>
          <w:rFonts w:ascii="Arial" w:cs="Arial" w:eastAsia="Arial" w:hAnsi="Arial"/>
          <w:sz w:val="17"/>
          <w:szCs w:val="17"/>
          <w:color w:val="003082"/>
        </w:rPr>
        <w:t xml:space="preserve"> </w:t>
      </w:r>
      <w:r>
        <w:rPr>
          <w:rFonts w:ascii="Arial" w:cs="Arial" w:eastAsia="Arial" w:hAnsi="Arial"/>
          <w:sz w:val="17"/>
          <w:szCs w:val="17"/>
          <w:i w:val="1"/>
          <w:iCs w:val="1"/>
          <w:color w:val="003082"/>
        </w:rPr>
        <w:t>Acquisitions of Domestic Enterprises by Foreign Investors</w:t>
      </w:r>
      <w:r>
        <w:rPr>
          <w:rFonts w:ascii="Arial" w:cs="Arial" w:eastAsia="Arial" w:hAnsi="Arial"/>
          <w:sz w:val="17"/>
          <w:szCs w:val="17"/>
          <w:color w:val="003082"/>
        </w:rPr>
        <w:t>, or the M&amp;A Rules, and the</w:t>
      </w:r>
      <w:r>
        <w:rPr>
          <w:rFonts w:ascii="Arial" w:cs="Arial" w:eastAsia="Arial" w:hAnsi="Arial"/>
          <w:sz w:val="17"/>
          <w:szCs w:val="17"/>
          <w:i w:val="1"/>
          <w:iCs w:val="1"/>
          <w:color w:val="003082"/>
        </w:rPr>
        <w:t xml:space="preserve"> Telecommunications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46</w:t>
      </w:r>
    </w:p>
    <w:p>
      <w:pPr>
        <w:sectPr>
          <w:pgSz w:w="11900" w:h="16838" w:orient="portrait"/>
          <w:cols w:equalWidth="0" w:num="1">
            <w:col w:w="11240"/>
          </w:cols>
          <w:pgMar w:left="320" w:top="341" w:right="339" w:bottom="1440" w:gutter="0" w:footer="0" w:header="0"/>
        </w:sectPr>
      </w:pPr>
    </w:p>
    <w:bookmarkStart w:id="51" w:name="page52"/>
    <w:bookmarkEnd w:id="51"/>
    <w:p>
      <w:pPr>
        <w:jc w:val="both"/>
        <w:spacing w:after="0" w:line="273" w:lineRule="auto"/>
        <w:rPr>
          <w:sz w:val="20"/>
          <w:szCs w:val="20"/>
          <w:color w:val="auto"/>
        </w:rPr>
      </w:pPr>
      <w:r>
        <w:rPr>
          <w:rFonts w:ascii="Arial" w:cs="Arial" w:eastAsia="Arial" w:hAnsi="Arial"/>
          <w:sz w:val="17"/>
          <w:szCs w:val="17"/>
          <w:i w:val="1"/>
          <w:iCs w:val="1"/>
          <w:color w:val="003082"/>
        </w:rPr>
        <w:t xml:space="preserve">Regulations </w:t>
      </w:r>
      <w:r>
        <w:rPr>
          <w:rFonts w:ascii="Arial" w:cs="Arial" w:eastAsia="Arial" w:hAnsi="Arial"/>
          <w:sz w:val="17"/>
          <w:szCs w:val="17"/>
          <w:color w:val="003082"/>
        </w:rPr>
        <w:t>and the relevant regulatory measures concerning the telecommunications industry, there can be no assurance that the PRC government</w:t>
      </w:r>
      <w:r>
        <w:rPr>
          <w:rFonts w:ascii="Arial" w:cs="Arial" w:eastAsia="Arial" w:hAnsi="Arial"/>
          <w:sz w:val="17"/>
          <w:szCs w:val="17"/>
          <w:i w:val="1"/>
          <w:iCs w:val="1"/>
          <w:color w:val="003082"/>
        </w:rPr>
        <w:t xml:space="preserve"> </w:t>
      </w:r>
      <w:r>
        <w:rPr>
          <w:rFonts w:ascii="Arial" w:cs="Arial" w:eastAsia="Arial" w:hAnsi="Arial"/>
          <w:sz w:val="17"/>
          <w:szCs w:val="17"/>
          <w:color w:val="003082"/>
        </w:rPr>
        <w:t>authorities, such as the Ministry of Commerce of the People’s Republic of China, or the MOFCOM, or the MIIT or other authorities that regulate internet content providers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If our corporate structure and contractual arrangements are deemed by the MIIT or the MOFCOM or other regulators having competent authority to be illegal, either in whole or in part, we may lose control of our VIE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34"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revoking our business and operating licenses;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levying fines on us;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confiscating any of our income that they deem to be obtained through illegal operations;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restricting our right to collect revenue;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shutting down our services;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discontinuing or restricting our operations in China;</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imposing conditions or requirements with which we may not be able to comply;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requiring us to change our corporate structure and contractual arrangements;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restricting or prohibiting our use of the proceeds from overseas offering to finance our VIE’s business and operations;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0"/>
        </w:numPr>
        <w:rPr>
          <w:rFonts w:ascii="Arial" w:cs="Arial" w:eastAsia="Arial" w:hAnsi="Arial"/>
          <w:sz w:val="18"/>
          <w:szCs w:val="18"/>
          <w:color w:val="003082"/>
        </w:rPr>
      </w:pPr>
      <w:r>
        <w:rPr>
          <w:rFonts w:ascii="Arial" w:cs="Arial" w:eastAsia="Arial" w:hAnsi="Arial"/>
          <w:sz w:val="18"/>
          <w:szCs w:val="18"/>
          <w:color w:val="003082"/>
        </w:rPr>
        <w:t>taking other regulatory or enforcement actions that could be harmful to our business.</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 xml:space="preserve">Furthermore, new PRC laws, rules and regulations may be introduced to impose additional requirements that may be applicable to our corporate structure and contractual arrangements. See the section of this prospectus captioned “—Substantial uncertainties exist with respect to the interpretation and implementation of the newly promulgated PRC </w:t>
      </w:r>
      <w:r>
        <w:rPr>
          <w:rFonts w:ascii="Arial" w:cs="Arial" w:eastAsia="Arial" w:hAnsi="Arial"/>
          <w:sz w:val="18"/>
          <w:szCs w:val="18"/>
          <w:i w:val="1"/>
          <w:iCs w:val="1"/>
          <w:color w:val="003082"/>
        </w:rPr>
        <w:t>Foreign Investment Law</w:t>
      </w:r>
      <w:r>
        <w:rPr>
          <w:rFonts w:ascii="Arial" w:cs="Arial" w:eastAsia="Arial" w:hAnsi="Arial"/>
          <w:sz w:val="18"/>
          <w:szCs w:val="18"/>
          <w:color w:val="003082"/>
        </w:rPr>
        <w:t>, and its enactment could adversely affect our business, operating results and financial condition.” Occurrence of any of these events could adversely affect our business, operating results and financial condition. In addition, if the imposition of any of these penalties or requirement to restructure our corporate structure causes us to lose the rights to direct the activities of our VIE or our right to receive its economic benefits, we would no longer be able to consolidate the financial results of such VIE in our consolidated financial statements. However, we do not believe that such actions would result in the liquidation or dissolution of our company, our wholly-owned subsidiary in China or our VIE. See the section of this prospectus captioned “Corporate History and Structure—Contractual Arrangements among our WFOE, our VIE and our VIE’s Shareholders.”</w:t>
      </w:r>
    </w:p>
    <w:p>
      <w:pPr>
        <w:spacing w:after="0" w:line="25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003082"/>
        </w:rPr>
        <w:t>We rely on contractual arrangements with our VIE and its shareholders to operate our business, which may not be as effective as direct ownership in providing operational control and could adversely affect our business, operating results and financial condition.</w:t>
      </w:r>
    </w:p>
    <w:p>
      <w:pPr>
        <w:spacing w:after="0" w:line="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We rely on contractual arrangements with our VIE and its shareholders to operate our business in the PRC. See the section of this prospectus captioned “Corporate History and Structure—Contractual Arrangements among our WFOE, our VIE and our VIE’s Shareholders.” These contractual arrangements may not be as effective as direct ownership in providing us with control over our VIE. If our VIE or its shareholders fail to perform their respective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47</w:t>
      </w:r>
    </w:p>
    <w:p>
      <w:pPr>
        <w:sectPr>
          <w:pgSz w:w="11900" w:h="16838" w:orient="portrait"/>
          <w:cols w:equalWidth="0" w:num="1">
            <w:col w:w="11240"/>
          </w:cols>
          <w:pgMar w:left="320" w:top="341"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7"/>
          <w:szCs w:val="17"/>
          <w:color w:val="003082"/>
        </w:rPr>
        <w:t>obligations under these contractual arrangements, our recourse to the assets held by our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our VIE, including such equity interest, may be put under court custody. As a consequence, we cannot be certain that the equity interest will be disposed pursuant to the contractual arrangement or ownership by the record holder of the equity interest. In addition, though we have entered into equity pledge agreements with VIE’s shareholders, our remedies under the equity pledge agreements are primarily intended to help us collect debts owed to us by our VIE or the VIE’s shareholders under the contractual arrangements and may not help us in acquiring the assets or equity of our VIE.</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laws. Significant uncertainties exist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VIE and relevant rights and licenses held by it which we require in order to operate our business, and our ability to conduct our business may be adversely affected. See the section of this prospectus captioned “—Risks Related to Doing Business in China—We may be adversely affected by the complexity, uncertainties and changes in PRC laws, rules and regulation, particularly of internet businesses.”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arbitration provisions under these contractual arrangements have no effect on the rights of our shareholders to pursue claims against us under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082"/>
        </w:rPr>
        <w:t>federal securities laws.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The shareholders of our VIE may have potential conflicts of interest with us, which could adversely affect our business, operating results and financial condition.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interests of the shareholders of our VIE in their capacities as such shareholders may differ from the interests of our company as a whole, as what is in the best interests of our VIE, including matters such as whether to distribute dividends or to make other distributions to fund our offshore requirement, may not be in the best interests of our company. There can be no assurance that when conflicts of interest arise, any or all of these shareholders will act in the best interests of our company or those conflicts of interest will be resolved in our favor. In addition, these shareholders may breach or cause our VIE to breach or refuse to renew the existing contractual arrangements with us.</w:t>
      </w:r>
    </w:p>
    <w:p>
      <w:pPr>
        <w:spacing w:after="0" w:line="13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Currently, we do not have arrangements to address potential conflicts of interest the shareholders of our VIE may encounter, on the one hand, and as a beneficial owner of our company, on the other hand. We, however, could, at all times, exercise our option under the exclusive option agreement to cause them to transfer all of their equity ownership in our VIE to our WFOE or an entity or individual designated by us as permitted by the then applicable PRC laws. In addition, if such conflicts of interest arise, we could also, in the capacity of attorney-in-fact of the then existing shareholders of our VIE as provided under the power of attorney agreements, directly appoint new directors of our VIE. We rely on the shareholders of our VIE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our VIE, we would have to rely on legal proceedings, which</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48</w:t>
      </w:r>
    </w:p>
    <w:p>
      <w:pPr>
        <w:sectPr>
          <w:pgSz w:w="11900" w:h="16838" w:orient="portrait"/>
          <w:cols w:equalWidth="0" w:num="1">
            <w:col w:w="11240"/>
          </w:cols>
          <w:pgMar w:left="320" w:top="34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003082"/>
        </w:rPr>
        <w:t>could result in disruption of our business and subject us to substantial uncertainty as to the outcome of any such legal proceedings.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Contractual arrangements in relation to our VIE may be subject to scrutiny by the PRC tax authorities and they may determine that our VIE owes additional taxes, which could adversely affect our business, operating results and financial condition.</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Under applicable PRC laws and regulations, arrangements and transactions among related parties may be subject to audit or challenge by the PRC tax authorities.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among our WFOE, our VIE and our VIE’s shareholders were not entered into on an arm’s length basis in such a way as to result in an impermissible reduction in taxes under applicable PRC laws, regulations and rules, and adjust their income in the form of a transfer pricing adjustment, which could increase their PRC tax liabilities and our overall tax liabilities. A transfer pricing adjustment could, among other things, result in a reduction of expense deductions recorded by our WFOE or our VIE for PRC tax purposes, which could in turn increase their tax liabilities without reducing their tax expenses. In addition, if our WFOE requests the shareholders of our VIE to transfer their equity interests in our VIE at nominal or no value pursuant to these contractual arrangements, such transfer could be viewed as a gift and subject the relevant subsidiary to PRC income tax. Furthermore, the PRC tax authorities may impose late payment fees and other penalties on our WFOE and VIE for adjusted but unpaid taxes according to applicable regulations. Our financial position could be materially and adversely affected if the tax liabilities of our WFOE and VIE increase, or if they are required to pay late payment fees and other penalties.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may lose the ability to use and enjoy assets held by our VIE that are material to the operation of our business if the entity goes bankrupt or becomes subject to a dissolution or liquidation proceeding.</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VIE hold substantially all of our assets in China. Under the contractual arrangements, our VIE may not and its shareholders may not cause it to, in any manner, sell, transfer, mortgage or dispose of its assets or its legal or beneficial interests in the business without our prior consent. However, in the event that the shareholders of our VIE breach these contractual arrangements and voluntarily liquidate our VIE, or our VIE declare bankruptcy and all or part of their assets become subject to liens or rights of third-party creditors, or are otherwise disposed of without our consent, we may be unable to continue some or all of our business activities or otherwise benefit from the assets held by our VIE, which could adversely affect our business, operating results and financial condition. If any of our VIE undergoes a voluntary or involuntary liquidation proceeding, independent third-party creditors may claim rights to some or all of these assets, thereby hindering our ability to operate our business, which could adversely affect our business, operating results and financial condition.</w:t>
      </w:r>
    </w:p>
    <w:p>
      <w:pPr>
        <w:spacing w:after="0" w:line="2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Under PRC law, legal documents for corporate transactions, including agreements and contracts that our business relies on, are executed using the chop or seal of the signing entity or with the signature of a legal representative whose designation is registered and filed with the relevant local branch of the SAMR. We generally execute legal documents by affixing chops or seals, rather than having the designated legal representatives sign the documents.</w:t>
      </w:r>
    </w:p>
    <w:p>
      <w:pPr>
        <w:spacing w:after="0" w:line="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have three major types of chops — 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issuing invoices. Use of corporate chops and contract chops must be approved by our legal department and administrative department, and use of finance chops must be approved by our finance department. The chops of our subsidiary and VIE are generally held by the relevant entities so that documents can be executed locally. Although we usually utilize chops to execute contracts, the registered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49</w:t>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003082"/>
        </w:rPr>
        <w:t>legal representatives of our subsidiary and VIE and their subsidiaries have the apparent authority to enter into contracts on behalf of such entities without chops, unless such contracts set forth otherwise.</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and VIE and their subsidiaries, the procedures may not be sufficient to prevent all instances of abuse or negligence. There is a risk that our key employees or designated legal representatives could abuse their authority, for example, by binding our subsidiaries and VIE and their subsidiaries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Substantial uncertainties exist with respect to the interpretation and implementation of the newly promulgated PRC Foreign Investment Law, and its enactment could adversely affect our business, operating results and financial condition.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 xml:space="preserve">The MOFCOM published a discussion draft of the proposed </w:t>
      </w:r>
      <w:r>
        <w:rPr>
          <w:rFonts w:ascii="Arial" w:cs="Arial" w:eastAsia="Arial" w:hAnsi="Arial"/>
          <w:sz w:val="16"/>
          <w:szCs w:val="16"/>
          <w:i w:val="1"/>
          <w:iCs w:val="1"/>
          <w:color w:val="003082"/>
        </w:rPr>
        <w:t>Foreign Investment Law</w:t>
      </w:r>
      <w:r>
        <w:rPr>
          <w:rFonts w:ascii="Arial" w:cs="Arial" w:eastAsia="Arial" w:hAnsi="Arial"/>
          <w:sz w:val="16"/>
          <w:szCs w:val="16"/>
          <w:color w:val="003082"/>
        </w:rPr>
        <w:t xml:space="preserve"> (2015), or the 2015 Draft, in January 2015 aiming to, upon its enactment, replace the major existing laws and regulations governing foreign investment in China. In December 2018, the Standing Committee of the National People’s Congress, or the SCNPC published the draft </w:t>
      </w:r>
      <w:r>
        <w:rPr>
          <w:rFonts w:ascii="Arial" w:cs="Arial" w:eastAsia="Arial" w:hAnsi="Arial"/>
          <w:sz w:val="16"/>
          <w:szCs w:val="16"/>
          <w:i w:val="1"/>
          <w:iCs w:val="1"/>
          <w:color w:val="003082"/>
        </w:rPr>
        <w:t>Foreign Investment Law</w:t>
      </w:r>
      <w:r>
        <w:rPr>
          <w:rFonts w:ascii="Arial" w:cs="Arial" w:eastAsia="Arial" w:hAnsi="Arial"/>
          <w:sz w:val="16"/>
          <w:szCs w:val="16"/>
          <w:color w:val="003082"/>
        </w:rPr>
        <w:t xml:space="preserve"> (2018), which was further amended and published in January 2019, as a second draft for comment. In March 2019, a new draft of Foreign Investment Law was submitted to the National People’s Congress for review and was approved on March 15, 2019, which came into effect recently on January 1, 2020. The Foreign Investment Law replaces the three laws on foreign investment, i.e., the </w:t>
      </w:r>
      <w:r>
        <w:rPr>
          <w:rFonts w:ascii="Arial" w:cs="Arial" w:eastAsia="Arial" w:hAnsi="Arial"/>
          <w:sz w:val="16"/>
          <w:szCs w:val="16"/>
          <w:i w:val="1"/>
          <w:iCs w:val="1"/>
          <w:color w:val="003082"/>
        </w:rPr>
        <w:t>Wholly Foreign-owned Enterprise Law</w:t>
      </w:r>
      <w:r>
        <w:rPr>
          <w:rFonts w:ascii="Arial" w:cs="Arial" w:eastAsia="Arial" w:hAnsi="Arial"/>
          <w:sz w:val="16"/>
          <w:szCs w:val="16"/>
          <w:color w:val="003082"/>
        </w:rPr>
        <w:t xml:space="preserve">, the </w:t>
      </w:r>
      <w:r>
        <w:rPr>
          <w:rFonts w:ascii="Arial" w:cs="Arial" w:eastAsia="Arial" w:hAnsi="Arial"/>
          <w:sz w:val="16"/>
          <w:szCs w:val="16"/>
          <w:i w:val="1"/>
          <w:iCs w:val="1"/>
          <w:color w:val="003082"/>
        </w:rPr>
        <w:t>Cooperative Joint Venture Law of the PRC</w:t>
      </w:r>
      <w:r>
        <w:rPr>
          <w:rFonts w:ascii="Arial" w:cs="Arial" w:eastAsia="Arial" w:hAnsi="Arial"/>
          <w:sz w:val="16"/>
          <w:szCs w:val="16"/>
          <w:color w:val="003082"/>
        </w:rPr>
        <w:t xml:space="preserve"> and the </w:t>
      </w:r>
      <w:r>
        <w:rPr>
          <w:rFonts w:ascii="Arial" w:cs="Arial" w:eastAsia="Arial" w:hAnsi="Arial"/>
          <w:sz w:val="16"/>
          <w:szCs w:val="16"/>
          <w:i w:val="1"/>
          <w:iCs w:val="1"/>
          <w:color w:val="003082"/>
        </w:rPr>
        <w:t>Equity Joint Venture Law of the PRC</w:t>
      </w:r>
      <w:r>
        <w:rPr>
          <w:rFonts w:ascii="Arial" w:cs="Arial" w:eastAsia="Arial" w:hAnsi="Arial"/>
          <w:sz w:val="16"/>
          <w:szCs w:val="16"/>
          <w:color w:val="003082"/>
        </w:rPr>
        <w:t>.</w:t>
      </w:r>
    </w:p>
    <w:p>
      <w:pPr>
        <w:spacing w:after="0" w:line="11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3082"/>
        </w:rPr>
        <w:t xml:space="preserve">The 2015 Draft introduced certain concepts for the regulation of “variable interest entity” structure, or the VIE structures, such as “actual control” and “controlling PRC companies by contracts or trusts.” However, the enacted Foreign Investment Law, as well as its implementation rules promulgated on December 26, 2019 and took effect on January 1, 2020, no longer mention the relevant concepts for the regulation of these variable interest entity structures. Instead, the newly promulgated </w:t>
      </w:r>
      <w:r>
        <w:rPr>
          <w:rFonts w:ascii="Arial" w:cs="Arial" w:eastAsia="Arial" w:hAnsi="Arial"/>
          <w:sz w:val="17"/>
          <w:szCs w:val="17"/>
          <w:i w:val="1"/>
          <w:iCs w:val="1"/>
          <w:color w:val="003082"/>
        </w:rPr>
        <w:t>Foreign Investment Law</w:t>
      </w:r>
      <w:r>
        <w:rPr>
          <w:rFonts w:ascii="Arial" w:cs="Arial" w:eastAsia="Arial" w:hAnsi="Arial"/>
          <w:sz w:val="17"/>
          <w:szCs w:val="17"/>
          <w:color w:val="003082"/>
        </w:rPr>
        <w:t xml:space="preserve"> contains a catch-all provision, stating that investments made by foreign investors through means stipulated in laws or administrative regulations or other methods prescribed by the State Council shall also be deemed as foreign investments. In consideration of the above, there are significant uncertainties as to the interpretation and implementation of such new legislation and how the control status of our VIE would be determined under the enacted Foreign Investment Law. In addition, it is uncertain whether any of the businesses that we currently operate or plan to operate in the future through our VIE would be on the “negative list” updated by the governmental authority from time to time and therefore be subject to any foreign investment restrictions or prohibitions. If any of the businesses that we operate were in the “restricted” category on the to-be-issued “negative list”, such determination would materially and adversely affect the value of our ADSs. We also face uncertainties as to whether the interpretation and implementation of such new legislation or regulations promulgated in the future would mandate further actions, such as MOFCOM market entry clearance or certain restructuring of our corporate structure and operations, to be completed by companies with existing VIE structure and whether these actions can be timely completed, or at all, and our business and financial condition may be materially and adversely affected. If we are not able to obtain any approval when required, our VIE structure may be regarded as invalid and illegal, which could adversely affect our business, operating results and financial condition, for instance, we may not be able to (1) continue our business in China through our contractual arrangements with our VIE, (2) exert effective control over our VIE or (3) consolidate the financial results of, and receive economic benefits from our VIE under existing contractual arrangements.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50</w:t>
      </w:r>
    </w:p>
    <w:p>
      <w:pPr>
        <w:sectPr>
          <w:pgSz w:w="11900" w:h="16838" w:orient="portrait"/>
          <w:cols w:equalWidth="0" w:num="1">
            <w:col w:w="11240"/>
          </w:cols>
          <w:pgMar w:left="320" w:top="341" w:right="339" w:bottom="1440" w:gutter="0" w:footer="0" w:header="0"/>
        </w:sectPr>
      </w:pPr>
    </w:p>
    <w:bookmarkStart w:id="55" w:name="page56"/>
    <w:bookmarkEnd w:id="55"/>
    <w:p>
      <w:pPr>
        <w:jc w:val="both"/>
        <w:ind w:firstLine="324"/>
        <w:spacing w:after="0" w:line="259" w:lineRule="auto"/>
        <w:rPr>
          <w:sz w:val="20"/>
          <w:szCs w:val="20"/>
          <w:color w:val="auto"/>
        </w:rPr>
      </w:pPr>
      <w:r>
        <w:rPr>
          <w:rFonts w:ascii="Arial" w:cs="Arial" w:eastAsia="Arial" w:hAnsi="Arial"/>
          <w:sz w:val="18"/>
          <w:szCs w:val="18"/>
          <w:color w:val="003082"/>
        </w:rPr>
        <w:t>In addition, our corporate governance practice may be impacted and our compliance costs could increase if our FIE was considered as a FIE under the Foreign Investment Law. For instance, the Foreign Investment Law purports to impose ad hoc and periodic information reporting requirements on foreign investors and the applicable FIEs. Any company found to be non-compliant with these information reporting obligations could potentially be subject to fines or administrative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Risks Related to Doing Business in China</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Changes in the political and economic policies of the PRC government could adversely affect our business, operating results and financial condition, and may result in our inability to sustain our growth and expansion strategies.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A substantial part of our operations are conducted in the PRC and a significant portion of our revenue is sourced from the PRC. Accordingly, our business, operating results and financial condition are affected to a significant extent by economic, political and legal developments in the PRC.</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business, operating results and financial condition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our services and consequently adversely affect our business, operating results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We may be adversely affected by the complexity, uncertainties and changes in PRC laws, rules and regulation, particularly of internet businesses.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 significant portion of our operations are conducted in the PRC and are governed by PRC laws, rules and regulations. Our WFOE and VIE are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However, 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Moreover, any administrative and court proceedings in China may be protracted, resulting in substantial costs and diversion of resources and management attention. Since PRC administrative and court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51</w:t>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311" w:lineRule="auto"/>
        <w:rPr>
          <w:sz w:val="20"/>
          <w:szCs w:val="20"/>
          <w:color w:val="auto"/>
        </w:rPr>
      </w:pPr>
      <w:r>
        <w:rPr>
          <w:rFonts w:ascii="Arial" w:cs="Arial" w:eastAsia="Arial" w:hAnsi="Arial"/>
          <w:sz w:val="16"/>
          <w:szCs w:val="16"/>
          <w:color w:val="003082"/>
        </w:rPr>
        <w:t>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 Because the Chinese legal system is based on written statutes, such that prior court decisions can only be cited for reference and have little precedential value, it is in many cases difficult to determine what actions or omissions may result in liabilities. Issues, risks and uncertainties relating to China’s government regulation of the Chinese internet sector include the following:</w:t>
      </w:r>
    </w:p>
    <w:p>
      <w:pPr>
        <w:spacing w:after="0" w:line="138"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003082"/>
        </w:rPr>
      </w:pPr>
      <w:r>
        <w:rPr>
          <w:rFonts w:ascii="Arial" w:cs="Arial" w:eastAsia="Arial" w:hAnsi="Arial"/>
          <w:sz w:val="18"/>
          <w:szCs w:val="18"/>
          <w:color w:val="003082"/>
        </w:rPr>
        <w:t>We operate our business in China through businesses controlled via contractual arrangements versus direct ownership due to restrictions on foreign investment in businesses related to value-added telecommunication services.</w:t>
      </w:r>
    </w:p>
    <w:p>
      <w:pPr>
        <w:spacing w:after="0" w:line="116" w:lineRule="exact"/>
        <w:rPr>
          <w:rFonts w:ascii="Arial" w:cs="Arial" w:eastAsia="Arial" w:hAnsi="Arial"/>
          <w:sz w:val="18"/>
          <w:szCs w:val="18"/>
          <w:color w:val="003082"/>
        </w:rPr>
      </w:pPr>
    </w:p>
    <w:p>
      <w:pPr>
        <w:jc w:val="both"/>
        <w:ind w:left="660" w:hanging="328"/>
        <w:spacing w:after="0" w:line="268" w:lineRule="auto"/>
        <w:tabs>
          <w:tab w:leader="none" w:pos="660" w:val="left"/>
        </w:tabs>
        <w:numPr>
          <w:ilvl w:val="0"/>
          <w:numId w:val="31"/>
        </w:numPr>
        <w:rPr>
          <w:rFonts w:ascii="Arial" w:cs="Arial" w:eastAsia="Arial" w:hAnsi="Arial"/>
          <w:sz w:val="17"/>
          <w:szCs w:val="17"/>
          <w:color w:val="003082"/>
        </w:rPr>
      </w:pPr>
      <w:r>
        <w:rPr>
          <w:rFonts w:ascii="Arial" w:cs="Arial" w:eastAsia="Arial" w:hAnsi="Arial"/>
          <w:sz w:val="17"/>
          <w:szCs w:val="17"/>
          <w:color w:val="003082"/>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or complete shut-down of our products. For example, the State Secrecy Bureau, which is directly responsible for the protection of state secrets of all Chinese government and Chinese Communist Party organizations, is authorized to block any website or mobile applications it deems to be leaking state secrets or failing to meet the relevant regulations relating to the protection of state secrets in the distribution of online information. In addition, the newly amended Law on Preservation of State Secrets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 on its website that may lead to disclosure of state secrets. Failure to do so on a timely and adequate basis may subject the service provider to liability and certain penalties imposed by the State Security Bureau, Ministry of Public Security or MIIT, or their respective local counterparts.</w:t>
      </w:r>
    </w:p>
    <w:p>
      <w:pPr>
        <w:spacing w:after="0" w:line="13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Due to the increasing popularity and use of the internet and other online services, it is possible that a number of laws and regulations may be adopted with respect to the internet or other online services covering issues such as user privacy, cybersecurity, data protection,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We may be required to obtain and maintain permits and licenses to operate our business in China.</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 xml:space="preserve">Our business activities mainly include offering real-time engagement products that enable interactions through audio, video or message within mobile applications, which may be regarded as value-added telecommunications services under the </w:t>
      </w:r>
      <w:r>
        <w:rPr>
          <w:rFonts w:ascii="Arial" w:cs="Arial" w:eastAsia="Arial" w:hAnsi="Arial"/>
          <w:sz w:val="18"/>
          <w:szCs w:val="18"/>
          <w:i w:val="1"/>
          <w:iCs w:val="1"/>
          <w:color w:val="003082"/>
        </w:rPr>
        <w:t>Catalogue of Telecommunications Business</w:t>
      </w:r>
      <w:r>
        <w:rPr>
          <w:rFonts w:ascii="Arial" w:cs="Arial" w:eastAsia="Arial" w:hAnsi="Arial"/>
          <w:sz w:val="18"/>
          <w:szCs w:val="18"/>
          <w:color w:val="003082"/>
        </w:rPr>
        <w:t>, or the Catalogue, which was recently revised and promulgated on June 6, 2019. Considering the products we offer and the way our services are provided to our customers, we understand that our business activities do not clearly fit into any current category under the Catalogue, and there is no specific license that is expressly and completely applicable to our business under the Catalogue. However, the RTE-PaaS industry is still in a nascent stage of development and the laws and regulations regarding licenses for value added telecommunication services in the PRC are continuously evolving. It is possible that the businesses described in the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52</w:t>
      </w:r>
    </w:p>
    <w:p>
      <w:pPr>
        <w:sectPr>
          <w:pgSz w:w="11900" w:h="16838" w:orient="portrait"/>
          <w:cols w:equalWidth="0" w:num="1">
            <w:col w:w="11240"/>
          </w:cols>
          <w:pgMar w:left="320" w:top="341" w:right="3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003082"/>
        </w:rPr>
        <w:t>Catalogue, along with other relevant rules and regulatory requirements for the licenses, may be interpreted and applied in a manner that is inconsistent with our understanding above, which means there can be no assurance that the PRC regulators would take a view that our operations are not required to obtain a license or a series of licenses under the current Catalogue, or under future laws, rules and regulations applicable to our business as promulgated and amended from time to time.</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To minimize the risk arising from the PRC regulator’s different interpretation and enforcement on relevant laws, rules and regulations, our VIE has applied for and been granted Internet Data Center and CDN licenses covering certain areas in the PRC, as well as a license for providing multiparty communication services with national coverage. We will continually assess the need to obtain and renew permits and licenses to operate our business, including expanding the geographic coverage of our current Internet Data Center and CDN licenses, and ongoing and closely consult the supervisory authority having jurisdiction over us, and follow their guidance in a timely manner to ensure we run our business legitimately. However, we may fail, on acceptable terms and on a timely basis, or at all, to obtain and maintain the permits and licenses we may need to operate and expand our business from time to time and as required by the supervisory authorities. Business operations without proper permits and licenses may subject us to administrative penalties by relevant PRC regulators with measures including fines, and in very extreme cases, confiscation of the gains derived from the operations, being required to discontinue or restrict our operation and being placed in the credit blacklist made by the PRC regulator, and our business, operating results and financial condition could be materially adversely affected.</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 xml:space="preserve">On August 8, 2006, six PRC regulatory agencies, including the MOFCOM, the State-Owned Assets Supervision and Administration Commission, or the SASAC, the SAT, the State Administration for Industry and Commerce, or the SAIC, the CSRC, and the State Administration of Foreign Exchange, or the SAFE, jointly adopted the </w:t>
      </w:r>
      <w:r>
        <w:rPr>
          <w:rFonts w:ascii="Arial" w:cs="Arial" w:eastAsia="Arial" w:hAnsi="Arial"/>
          <w:sz w:val="17"/>
          <w:szCs w:val="17"/>
          <w:i w:val="1"/>
          <w:iCs w:val="1"/>
          <w:color w:val="003082"/>
        </w:rPr>
        <w:t>Regulations on Mergers and Acquisitions of Domestic Enterprises by Foreign Investors</w:t>
      </w:r>
      <w:r>
        <w:rPr>
          <w:rFonts w:ascii="Arial" w:cs="Arial" w:eastAsia="Arial" w:hAnsi="Arial"/>
          <w:sz w:val="17"/>
          <w:szCs w:val="17"/>
          <w:color w:val="003082"/>
        </w:rPr>
        <w:t>,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While the application of the M&amp;A Rules remains unclear, we believe, based on the advice of our PRC legal counsel, King &amp; Wood Mallesons, that the CSRC approval is not required in the context of this offering because (1) our WFOE was incorporated as a foreign-invested enterprise by means of foreign direct investments rather than by merger with or acquisition of any PRC domestic companies as defined under the M&amp;A Rules and (2) there is no statutory provision that clearly classifies the contractual arrangement among our WFOE, our VIE and our VIE’s shareholders as transactions regulated by the M&amp;A Rules. There can be no assurance that the relevant PRC government agencies, including the CSRC, would reach the same conclusion as our PRC legal counsel. If the CSRC or other PRC regulatory body subsequently determines that we need to obtain the CSRC’s approval for this offering or if the CSRC or any other PRC government authorities promulgates any interpretation or implements rules that would require us to obtain CSRC or other governmental approvals for this offering,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this offering into the PRC or take other actions that could adversely affect our business, operating results and financial condition, as well as our ability to complete this offering. The CSRC or other PRC regulatory agencies may also take actions requiring us, or making it advisable for us, to halt this offering before settlement and delivery of the ADSs offered by this prospectus. Consequently, if you engage in market trading or other activities in anticipation of and prior to settlement and delivery, you do so at the risk that such settlement and delivery may not occur. In addition, if the CSRC or other regulatory agencies later promulgate new rules or explanations requiring us to obtain their approvals for this offering,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53</w:t>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003082"/>
        </w:rPr>
        <w:t>we may be unable to obtain waivers of such approval requirements. Any uncertainties or negative publicity regarding such approval requirements could materially and adversely affect the trading price of the ADSs.</w:t>
      </w:r>
    </w:p>
    <w:p>
      <w:pPr>
        <w:spacing w:after="0" w:line="11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3082"/>
        </w:rPr>
        <w:t>These regulations also established additional procedures and requirements that are expected to make merger and acquisition activities in China by foreign investors more time-consuming and complex. For example, the M&amp;A rules require that the MOFCOM be notified in advance of any change-of-control transaction in which a foreign investor takes control of a PRC domestic enterprise if (1) any important industry is concerned, (2) such transaction involves factors that have or may have impact on the national economic security or (3) such transaction will lead to a change in control of a domestic enterprise which holds a famous trademark or PRC time-honored brand. The approval from the MOFCOM shall be obtained in circumstances where overseas companies established or controlled by PRC enterprises or residents acquire affiliated domestic companies. Mergers, acquisitions or contractual arrangements that allow one market player to take control of or to exert decisive impact on another market player must also be notified in advance to the MOFCOM when the threshold under the Provisions on Thresholds for Prior Notification of Concentrations of Undertakings issued by the State Council in August 2008 (as amended in September 2018) is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We may grow our business in part by acquiring other companies operating in our industry. Complying with the requirements of the new regulations to complete such transactions could be time-consuming, and any required approval processes, including approval from the MOFCOM or other relevant governmental authorities, may delay or inhibit our ability to complete such transactions, which could affect our ability to expand our business or maintain our market share. See the section of this prospectus captioned “Regulation—PRC Regulation—Regulations Related to Mergers and Acquisitions and Overseas Listings.”</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PRC laws and regulations mandate complex procedures for some acquisitions of Chinese companies by foreign investors, which could make it more difficult for us to make acquisitions in China.</w:t>
      </w:r>
    </w:p>
    <w:p>
      <w:pPr>
        <w:spacing w:after="0" w:line="11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003082"/>
        </w:rPr>
        <w:t xml:space="preserve">PRC laws and regulations, such as the M&amp;A Rules, and other relevant rules, established additional procedures and requirements that are expected to make merger and acquisition activities in China by foreign investors more time-consuming and complex, including requirements in some instances that the MOFCOM be notified in advance of any change-of-control transaction in which a foreign investor takes control of a PRC domestic enterprise, or that the approval from the MOFCOM be obtained in circumstances where overseas companies established or controlled by PRC enterprises or residents acquire affiliated domestic companies. PRC laws and regulations also require certain merger and acquisition transactions to be subject to a merger control security review. In August 2011, the MOFCOM promulgated the </w:t>
      </w:r>
      <w:r>
        <w:rPr>
          <w:rFonts w:ascii="Arial" w:cs="Arial" w:eastAsia="Arial" w:hAnsi="Arial"/>
          <w:sz w:val="16"/>
          <w:szCs w:val="16"/>
          <w:i w:val="1"/>
          <w:iCs w:val="1"/>
          <w:color w:val="003082"/>
        </w:rPr>
        <w:t>Rules on Implementation of Security Review System</w:t>
      </w:r>
      <w:r>
        <w:rPr>
          <w:rFonts w:ascii="Arial" w:cs="Arial" w:eastAsia="Arial" w:hAnsi="Arial"/>
          <w:sz w:val="16"/>
          <w:szCs w:val="16"/>
          <w:color w:val="003082"/>
        </w:rPr>
        <w:t>, or MOFCOM Security Review Rules, effective from September 1, 2011, further provide that, when deciding whether a specific merger or acquisition of a domestic enterprise by foreign investors is subject to a security review by the MOFCOM, the principle of substance over form should be applied and foreign investors are prohibited from bypassing the security review requirement by structuring transactions through proxies, trusts, indirect investments, leases, loans, control through contractual arrangements of offshore transaction. Factors that the MOFCOM considers in its review are whether (1) an important industry is involved,</w:t>
      </w:r>
    </w:p>
    <w:p>
      <w:pPr>
        <w:spacing w:after="0" w:line="5" w:lineRule="exact"/>
        <w:rPr>
          <w:sz w:val="20"/>
          <w:szCs w:val="20"/>
          <w:color w:val="auto"/>
        </w:rPr>
      </w:pPr>
    </w:p>
    <w:p>
      <w:pPr>
        <w:jc w:val="both"/>
        <w:ind w:firstLine="8"/>
        <w:spacing w:after="0" w:line="271" w:lineRule="auto"/>
        <w:tabs>
          <w:tab w:leader="none" w:pos="264" w:val="left"/>
        </w:tabs>
        <w:numPr>
          <w:ilvl w:val="0"/>
          <w:numId w:val="32"/>
        </w:numPr>
        <w:rPr>
          <w:rFonts w:ascii="Arial" w:cs="Arial" w:eastAsia="Arial" w:hAnsi="Arial"/>
          <w:sz w:val="17"/>
          <w:szCs w:val="17"/>
          <w:color w:val="003082"/>
        </w:rPr>
      </w:pPr>
      <w:r>
        <w:rPr>
          <w:rFonts w:ascii="Arial" w:cs="Arial" w:eastAsia="Arial" w:hAnsi="Arial"/>
          <w:sz w:val="17"/>
          <w:szCs w:val="17"/>
          <w:color w:val="003082"/>
        </w:rPr>
        <w:t>such transaction involves factors that have had or may have an impact on national economic security and (3) such transaction will lead to a change in control of a domestic enterprise that holds a well-known PRC trademark or a time-honored PRC brand. If a business of any target company that we plan to acquire falls into the ambit of security review, we may not be able to successfully acquire such company. Complying with the requirements of the relevant regulations to complete any such transaction could be time-consuming, and any required approval process, including approval from the MOFCOM, may delay or inhibit our ability to complete such transactions, which could affect our ability to expand our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54</w:t>
      </w:r>
    </w:p>
    <w:p>
      <w:pPr>
        <w:sectPr>
          <w:pgSz w:w="11900" w:h="16838" w:orient="portrait"/>
          <w:cols w:equalWidth="0" w:num="1">
            <w:col w:w="11240"/>
          </w:cols>
          <w:pgMar w:left="320" w:top="341" w:right="339" w:bottom="1440" w:gutter="0" w:footer="0" w:header="0"/>
        </w:sectPr>
      </w:pPr>
    </w:p>
    <w:bookmarkStart w:id="59" w:name="page60"/>
    <w:bookmarkEnd w:id="59"/>
    <w:p>
      <w:pPr>
        <w:jc w:val="both"/>
        <w:ind w:right="20"/>
        <w:spacing w:after="0" w:line="263" w:lineRule="auto"/>
        <w:rPr>
          <w:sz w:val="20"/>
          <w:szCs w:val="20"/>
          <w:color w:val="auto"/>
        </w:rPr>
      </w:pPr>
      <w:r>
        <w:rPr>
          <w:rFonts w:ascii="Arial" w:cs="Arial" w:eastAsia="Arial" w:hAnsi="Arial"/>
          <w:sz w:val="18"/>
          <w:szCs w:val="18"/>
          <w:b w:val="1"/>
          <w:bCs w:val="1"/>
          <w:i w:val="1"/>
          <w:iCs w:val="1"/>
          <w:color w:val="003082"/>
        </w:rPr>
        <w:t>PRC regulations relating to investments in offshore companies by PRC residents may subject our PRC-resident beneficial owners, our WFOE or our VIE to liability or penalties, limit our ability to inject capital into our WFOE and our VIE or limit our WFOE’s and our VIE’s ability to increase their registered capital or distribute profits.</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3082"/>
        </w:rPr>
        <w:t xml:space="preserve">The SAFE promulgated the </w:t>
      </w:r>
      <w:r>
        <w:rPr>
          <w:rFonts w:ascii="Arial" w:cs="Arial" w:eastAsia="Arial" w:hAnsi="Arial"/>
          <w:sz w:val="17"/>
          <w:szCs w:val="17"/>
          <w:i w:val="1"/>
          <w:iCs w:val="1"/>
          <w:color w:val="003082"/>
        </w:rPr>
        <w:t>Circular on Relevant Issues Concerning Foreign Exchange Control on Domestic Residents’ Offshore Investment and</w:t>
      </w:r>
      <w:r>
        <w:rPr>
          <w:rFonts w:ascii="Arial" w:cs="Arial" w:eastAsia="Arial" w:hAnsi="Arial"/>
          <w:sz w:val="17"/>
          <w:szCs w:val="17"/>
          <w:color w:val="003082"/>
        </w:rPr>
        <w:t xml:space="preserve"> </w:t>
      </w:r>
      <w:r>
        <w:rPr>
          <w:rFonts w:ascii="Arial" w:cs="Arial" w:eastAsia="Arial" w:hAnsi="Arial"/>
          <w:sz w:val="17"/>
          <w:szCs w:val="17"/>
          <w:i w:val="1"/>
          <w:iCs w:val="1"/>
          <w:color w:val="003082"/>
        </w:rPr>
        <w:t>Financing and Roundtrip Investment through Special Purpose Vehicles</w:t>
      </w:r>
      <w:r>
        <w:rPr>
          <w:rFonts w:ascii="Arial" w:cs="Arial" w:eastAsia="Arial" w:hAnsi="Arial"/>
          <w:sz w:val="17"/>
          <w:szCs w:val="17"/>
          <w:color w:val="003082"/>
        </w:rPr>
        <w:t>, or SAFE Circular 37, on July 4, 2014, which replaced the former circular</w:t>
      </w:r>
      <w:r>
        <w:rPr>
          <w:rFonts w:ascii="Arial" w:cs="Arial" w:eastAsia="Arial" w:hAnsi="Arial"/>
          <w:sz w:val="17"/>
          <w:szCs w:val="17"/>
          <w:i w:val="1"/>
          <w:iCs w:val="1"/>
          <w:color w:val="003082"/>
        </w:rPr>
        <w:t xml:space="preserve"> </w:t>
      </w:r>
      <w:r>
        <w:rPr>
          <w:rFonts w:ascii="Arial" w:cs="Arial" w:eastAsia="Arial" w:hAnsi="Arial"/>
          <w:sz w:val="17"/>
          <w:szCs w:val="17"/>
          <w:color w:val="003082"/>
        </w:rPr>
        <w:t>commonly known as “SAFE Circular 75” promulgated by the SAFE on October 21, 2005.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Pursuant to SAFE Circular 37, “control” refers to the act through which a PRC resident obtains the right to carry out business operation of, to gain proceeds from or to make decisions on a special purpose vehicle by means of, among others, shareholding entrustment arrangement. SAFE Circular 37 further requires amendment to the registration in the event of any significant changes with respect to the special purpose vehicle, such as change of shareholders of the special purpose vehicle,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w:t>
      </w:r>
    </w:p>
    <w:p>
      <w:pPr>
        <w:spacing w:after="0" w:line="1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Mr. Zhao has completed the SAFE registration pursuant to SAFE Circular 37 in 2014, with Soundscape Limited and VoiceCrew Limited being registered as the “special purpose vehicle.” We have notified substantial beneficial owners of ordinary shares who we know are PRC residents of their filing obligation, including the obligation to complete the SAFE registration and to make updates under SAFE Circular 37. Nevertheless, we may not be continuously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our WFOE or our VIE to fines and legal sanctions. Failure to register or comply with relevant requirements may also limit our ability to contribute additional capital to our WFOE and our VIE and limit our WFOE’s ability to distribute dividends to our company. These risks could adversely affect our business, operating results and financial condition.</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Any failure to comply with PRC regulations regarding employee equity incentive plans may subject the PRC plan participants or us to fines and other legal or administrative sanctions.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 xml:space="preserve">Pursuant to SAFE Circular 37, PRC residents who participate in equity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Our directors, executive officers and other employees who are PRC residents and who have been granted options may follow SAFE Circular 37 to apply for the foreign exchange registration before our company becomes an overseas listed company. As an overseas listed company, we and our directors, executive officers and other employees who are PRC residents and who have been granted options are subject to the </w:t>
      </w:r>
      <w:r>
        <w:rPr>
          <w:rFonts w:ascii="Arial" w:cs="Arial" w:eastAsia="Arial" w:hAnsi="Arial"/>
          <w:sz w:val="16"/>
          <w:szCs w:val="16"/>
          <w:i w:val="1"/>
          <w:iCs w:val="1"/>
          <w:color w:val="003082"/>
        </w:rPr>
        <w:t>Notice on Issues Concerning the Foreign Exchange Administration for Domestic Individuals Participating in</w:t>
      </w:r>
      <w:r>
        <w:rPr>
          <w:rFonts w:ascii="Arial" w:cs="Arial" w:eastAsia="Arial" w:hAnsi="Arial"/>
          <w:sz w:val="16"/>
          <w:szCs w:val="16"/>
          <w:color w:val="003082"/>
        </w:rPr>
        <w:t xml:space="preserve"> </w:t>
      </w:r>
      <w:r>
        <w:rPr>
          <w:rFonts w:ascii="Arial" w:cs="Arial" w:eastAsia="Arial" w:hAnsi="Arial"/>
          <w:sz w:val="16"/>
          <w:szCs w:val="16"/>
          <w:i w:val="1"/>
          <w:iCs w:val="1"/>
          <w:color w:val="003082"/>
        </w:rPr>
        <w:t>Stock Incentive Plan of Overseas Publicly Listed Company</w:t>
      </w:r>
      <w:r>
        <w:rPr>
          <w:rFonts w:ascii="Arial" w:cs="Arial" w:eastAsia="Arial" w:hAnsi="Arial"/>
          <w:sz w:val="16"/>
          <w:szCs w:val="16"/>
          <w:color w:val="003082"/>
        </w:rPr>
        <w:t>, issued by SAFE in February 2012, according to which, employees, directors, supervisors and</w:t>
      </w:r>
      <w:r>
        <w:rPr>
          <w:rFonts w:ascii="Arial" w:cs="Arial" w:eastAsia="Arial" w:hAnsi="Arial"/>
          <w:sz w:val="16"/>
          <w:szCs w:val="16"/>
          <w:i w:val="1"/>
          <w:iCs w:val="1"/>
          <w:color w:val="003082"/>
        </w:rPr>
        <w:t xml:space="preserve"> </w:t>
      </w:r>
      <w:r>
        <w:rPr>
          <w:rFonts w:ascii="Arial" w:cs="Arial" w:eastAsia="Arial" w:hAnsi="Arial"/>
          <w:sz w:val="16"/>
          <w:szCs w:val="16"/>
          <w:color w:val="003082"/>
        </w:rPr>
        <w:t>other management members participating in any equity incentive plans of an overseas publicly listed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55</w:t>
      </w:r>
    </w:p>
    <w:p>
      <w:pPr>
        <w:sectPr>
          <w:pgSz w:w="11900" w:h="16838" w:orient="portrait"/>
          <w:cols w:equalWidth="0" w:num="1">
            <w:col w:w="11240"/>
          </w:cols>
          <w:pgMar w:left="320" w:top="449" w:right="339" w:bottom="1440" w:gutter="0" w:footer="0" w:header="0"/>
        </w:sectPr>
      </w:pPr>
    </w:p>
    <w:bookmarkStart w:id="60" w:name="page61"/>
    <w:bookmarkEnd w:id="60"/>
    <w:p>
      <w:pPr>
        <w:jc w:val="both"/>
        <w:spacing w:after="0" w:line="272" w:lineRule="auto"/>
        <w:rPr>
          <w:sz w:val="20"/>
          <w:szCs w:val="20"/>
          <w:color w:val="auto"/>
        </w:rPr>
      </w:pPr>
      <w:r>
        <w:rPr>
          <w:rFonts w:ascii="Arial" w:cs="Arial" w:eastAsia="Arial" w:hAnsi="Arial"/>
          <w:sz w:val="17"/>
          <w:szCs w:val="17"/>
          <w:color w:val="003082"/>
        </w:rPr>
        <w:t>company who are PRC residents are required to register with SAFE through a domestic qualified agent, which could be a PRC subsidiary of such overseas listed company, and complete certain other procedures. We are making, and will make efforts to comply with these requirements, but there can be no assurance that they can successfully register with SAFE in full compliance with the rules. Failure to complete the SAFE registrations may subject relevant participants in our share incentive plans to fines and legal sanctions and may also limit the ability to make payment under our equity incentive plans or receive dividends or sales proceeds related thereto, or our ability to contribute additional capital into our wholly-foreign owned enterprise in China and limit our wholly-foreign owned enterprise’s ability to distribute dividends to us. We also face regulatory uncertainties that could restrict our ability to adopt additional equity incentive plans for our directors and employees under PRC law.</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We may rely on dividends, loans and other distributions on equity paid by our principal operating subsidiaries to fund offshore cash and financing requirements. Any limitation on the ability of our PRC operating subsidiary to make payments to us could adversely affect our ability to conduct our business.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are a holding company and may rely on dividends, loans and other distributions on equity paid by our principal operating subsidiaries and on remittances from our VIE for our offshore cash and financing requirements, including the funds necessary to pay dividends and other cash distributions to our shareholders, fund inter-company loans, service any debt we may incur outside of China and pay our expenses. When our WFOE or our VIE incurs additional debt, the instruments governing the debt may restrict their ability to pay dividends, make loans or make other distributions or remittances to us. Furthermore, the laws, rules and regulations applicable to our WFOE and our VIE permit payments of dividends only out of its retained earnings, if any, determined in accordance with applicable accounting standards and regulations.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Under PRC laws, rules and regulations, our WFOE and our VIE are required to set aside at least 10% of their net income each year to fund certain statutory reserves until the cumulative amount of such reserves reaches 50% of their registered capital. These reserves, together with the registered capital, are not distributable as cash dividends. As a result of these laws, rules and regulations, our WFOE and our VIE are restricted in their ability to transfer a portion of their respective net assets to their shareholders as dividends, loans or advances. In addition, registered share capital and capital reserve accounts are also restricted from withdrawal in the PRC, up to the amount of net assets held in each operating subsidiary.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Limitations on the ability of our VIE to make remittance to the wholly-foreign owned enterprise and on the ability of our subsidiary to pay dividends to us could limit our ability to access cash generated by the operations of those entities, including to make investments or acquisitions that could be beneficial to our businesses, pay dividends to our shareholders or otherwise fund and conduct our business.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The discontinuation of the preferential tax treatment available to us in China could adversely affect our business, operating results and financial condition.</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 xml:space="preserve">Under PRC tax laws and regulations, our WFOE is qualified to enjoy a certain preferential income tax benefit. The modified Enterprise Income Tax Law, effective on December 29, 2018, or the EIT Law, and its implementation rules generally impose a uniform income tax rate of 25% on all enterprises, but grant preferential treatment to “high and new technology enterprises strongly supported by the state,” or HNTEs, to enjoy a reduced enterprise tax rate of 15%. According to the relevant administrative measures, to qualify as a HNTE, our WFOE must meet certain financial and non-financial criteria and complete verification procedures with the administrative authorities. Continued qualification as a HNTE is subject to a three-year review by the relevant government authorities in China, and in practice certain local tax authorities also require annual evaluation of the qualification. In addition to the foregoing tax benefit, we also obtained the certificate of Qualified Software Enterprise, based on which our WFOE is now qualified to enjoy certain preferential enterprise income tax and value-added tax benefits, according to relevant rules including the </w:t>
      </w:r>
      <w:r>
        <w:rPr>
          <w:rFonts w:ascii="Arial" w:cs="Arial" w:eastAsia="Arial" w:hAnsi="Arial"/>
          <w:sz w:val="17"/>
          <w:szCs w:val="17"/>
          <w:i w:val="1"/>
          <w:iCs w:val="1"/>
          <w:color w:val="003082"/>
        </w:rPr>
        <w:t>Notice on Value-added Tax Policies for Software Products</w:t>
      </w:r>
      <w:r>
        <w:rPr>
          <w:rFonts w:ascii="Arial" w:cs="Arial" w:eastAsia="Arial" w:hAnsi="Arial"/>
          <w:sz w:val="17"/>
          <w:szCs w:val="17"/>
          <w:color w:val="003082"/>
        </w:rPr>
        <w:t xml:space="preserve"> issued by the Ministry of Finance, or the MOF, and the SAT, on October 13, 2011, the </w:t>
      </w:r>
      <w:r>
        <w:rPr>
          <w:rFonts w:ascii="Arial" w:cs="Arial" w:eastAsia="Arial" w:hAnsi="Arial"/>
          <w:sz w:val="17"/>
          <w:szCs w:val="17"/>
          <w:i w:val="1"/>
          <w:iCs w:val="1"/>
          <w:color w:val="003082"/>
        </w:rPr>
        <w:t>Notice on Enterprise Income Tax Policies for Further Encouraging</w:t>
      </w:r>
      <w:r>
        <w:rPr>
          <w:rFonts w:ascii="Arial" w:cs="Arial" w:eastAsia="Arial" w:hAnsi="Arial"/>
          <w:sz w:val="17"/>
          <w:szCs w:val="17"/>
          <w:color w:val="003082"/>
        </w:rPr>
        <w:t xml:space="preserve"> </w:t>
      </w:r>
      <w:r>
        <w:rPr>
          <w:rFonts w:ascii="Arial" w:cs="Arial" w:eastAsia="Arial" w:hAnsi="Arial"/>
          <w:sz w:val="17"/>
          <w:szCs w:val="17"/>
          <w:i w:val="1"/>
          <w:iCs w:val="1"/>
          <w:color w:val="003082"/>
        </w:rPr>
        <w:t xml:space="preserve">the Development of Software and Integrated Circuit Industries </w:t>
      </w:r>
      <w:r>
        <w:rPr>
          <w:rFonts w:ascii="Arial" w:cs="Arial" w:eastAsia="Arial" w:hAnsi="Arial"/>
          <w:sz w:val="17"/>
          <w:szCs w:val="17"/>
          <w:color w:val="003082"/>
        </w:rPr>
        <w:t>issued by the MOF and the SAT on April 20, 2012 and the</w:t>
      </w:r>
      <w:r>
        <w:rPr>
          <w:rFonts w:ascii="Arial" w:cs="Arial" w:eastAsia="Arial" w:hAnsi="Arial"/>
          <w:sz w:val="17"/>
          <w:szCs w:val="17"/>
          <w:i w:val="1"/>
          <w:iCs w:val="1"/>
          <w:color w:val="003082"/>
        </w:rPr>
        <w:t xml:space="preserve"> Notice on Issues Concerning Preferential Enterprise Income Tax Policies for the Software and Integrated Circuit Industries </w:t>
      </w:r>
      <w:r>
        <w:rPr>
          <w:rFonts w:ascii="Arial" w:cs="Arial" w:eastAsia="Arial" w:hAnsi="Arial"/>
          <w:sz w:val="17"/>
          <w:szCs w:val="17"/>
          <w:color w:val="003082"/>
        </w:rPr>
        <w:t>issued by the MOF, the SAT, the National Development and</w:t>
      </w:r>
      <w:r>
        <w:rPr>
          <w:rFonts w:ascii="Arial" w:cs="Arial" w:eastAsia="Arial" w:hAnsi="Arial"/>
          <w:sz w:val="17"/>
          <w:szCs w:val="17"/>
          <w:i w:val="1"/>
          <w:iCs w:val="1"/>
          <w:color w:val="003082"/>
        </w:rPr>
        <w:t xml:space="preserve"> </w:t>
      </w:r>
      <w:r>
        <w:rPr>
          <w:rFonts w:ascii="Arial" w:cs="Arial" w:eastAsia="Arial" w:hAnsi="Arial"/>
          <w:sz w:val="17"/>
          <w:szCs w:val="17"/>
          <w:color w:val="003082"/>
        </w:rPr>
        <w:t>Reform Commission, or the NDRC, and the MIIT. In the event the preferential tax treatment for our WFOE is discontinued or is not verified by the local tax authorities, and the affected entity fails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56</w:t>
      </w:r>
    </w:p>
    <w:p>
      <w:pPr>
        <w:sectPr>
          <w:pgSz w:w="11900" w:h="16838" w:orient="portrait"/>
          <w:cols w:equalWidth="0" w:num="1">
            <w:col w:w="11240"/>
          </w:cols>
          <w:pgMar w:left="320" w:top="341" w:right="3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color w:val="003082"/>
        </w:rPr>
        <w:t>to obtain preferential tax treatments based on other qualifications such as Advanced Technology Service Enterprise, it will become subject to the standard tax rates and policies, including the PRC enterprise income tax rate of 25%. We cannot assure you that the tax authorities will not, in the future, discontinue our preferential tax treatment, potentially with retroactive effect.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may be treated as a resident enterprise for PRC tax purposes under the PRC Enterprise Income Tax Law, and we may therefore be subject to PRC income tax on our global income.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 xml:space="preserve">Under the modified Enterprise Income Tax Law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substantive and overall management and control over the production and business, personnel, accounting books and assets of an enterprise. The SAT issued the </w:t>
      </w:r>
      <w:r>
        <w:rPr>
          <w:rFonts w:ascii="Arial" w:cs="Arial" w:eastAsia="Arial" w:hAnsi="Arial"/>
          <w:sz w:val="16"/>
          <w:szCs w:val="16"/>
          <w:i w:val="1"/>
          <w:iCs w:val="1"/>
          <w:color w:val="003082"/>
        </w:rPr>
        <w:t>Notice</w:t>
      </w:r>
      <w:r>
        <w:rPr>
          <w:rFonts w:ascii="Arial" w:cs="Arial" w:eastAsia="Arial" w:hAnsi="Arial"/>
          <w:sz w:val="16"/>
          <w:szCs w:val="16"/>
          <w:color w:val="003082"/>
        </w:rPr>
        <w:t xml:space="preserve"> </w:t>
      </w:r>
      <w:r>
        <w:rPr>
          <w:rFonts w:ascii="Arial" w:cs="Arial" w:eastAsia="Arial" w:hAnsi="Arial"/>
          <w:sz w:val="16"/>
          <w:szCs w:val="16"/>
          <w:i w:val="1"/>
          <w:iCs w:val="1"/>
          <w:color w:val="003082"/>
        </w:rPr>
        <w:t>Regarding the Determination of Chinese-Controlled Offshore-Incorporated Enterprises as PRC Tax Resident Enterprises on the Basis of De Facto Management Bodies</w:t>
      </w:r>
      <w:r>
        <w:rPr>
          <w:rFonts w:ascii="Arial" w:cs="Arial" w:eastAsia="Arial" w:hAnsi="Arial"/>
          <w:sz w:val="16"/>
          <w:szCs w:val="16"/>
          <w:color w:val="003082"/>
        </w:rPr>
        <w:t>, or Circular 82, on April 22, 2009. Circular 82 provides certain specific criteria for determining whether the “de facto management</w:t>
      </w:r>
      <w:r>
        <w:rPr>
          <w:rFonts w:ascii="Arial" w:cs="Arial" w:eastAsia="Arial" w:hAnsi="Arial"/>
          <w:sz w:val="16"/>
          <w:szCs w:val="16"/>
          <w:i w:val="1"/>
          <w:iCs w:val="1"/>
          <w:color w:val="003082"/>
        </w:rPr>
        <w:t xml:space="preserve"> </w:t>
      </w:r>
      <w:r>
        <w:rPr>
          <w:rFonts w:ascii="Arial" w:cs="Arial" w:eastAsia="Arial" w:hAnsi="Arial"/>
          <w:sz w:val="16"/>
          <w:szCs w:val="16"/>
          <w:color w:val="003082"/>
        </w:rPr>
        <w:t>body” of a Chinese-controlled offshore-incorporated enterprise is located in China. Although Circular 82 only applies to offshore enterprises controlled by PRC enterprises or PRC enterprise groups, not those controlled by foreign enterprises or individuals, the determining criteria set forth in Circular 82 may reflect the SAT’s general position on how the “de facto management body” test should be applied in determining the tax resident status of offshore enterprises, regardless of whether they are controlled by PRC enterprises or PRC enterprise groups. If we were to be considered a PRC resident enterprise, we would be subject to PRC enterprise income tax at the rate of 25% on our global income. In such case, our profitability and cash flow may be materially reduced as a result of our global income being taxed under the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Dividends payable to our foreign investors and gains on the sale of ADSs or our ordinary shares by our foreign investors may become subject to PRC tax.</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Under the modified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ordinary shares, and any gain realized from the transfer of our ordinary shares or the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ADSs or our ordinary shares would be able to claim the benefit of income tax treaties or agreements entered into between China and other countries or areas. If dividends payable to our non-PRC investors, or gains from the transfer of ADSs or our ordinary shares by such investors, are deemed as income derived from sources within the PRC and thus are subject to PRC tax, the value of your investment in ADSs or our ordinary shares may decline significantly.</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003082"/>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 xml:space="preserve">On February 3, 2015, the SAT issued the </w:t>
      </w:r>
      <w:r>
        <w:rPr>
          <w:rFonts w:ascii="Arial" w:cs="Arial" w:eastAsia="Arial" w:hAnsi="Arial"/>
          <w:sz w:val="18"/>
          <w:szCs w:val="18"/>
          <w:i w:val="1"/>
          <w:iCs w:val="1"/>
          <w:color w:val="003082"/>
        </w:rPr>
        <w:t>Bulletin on Issues of Enterprise Income Tax on Indirect Transfers of Assets by Non-PRC Resident Enterprises</w:t>
      </w:r>
      <w:r>
        <w:rPr>
          <w:rFonts w:ascii="Arial" w:cs="Arial" w:eastAsia="Arial" w:hAnsi="Arial"/>
          <w:sz w:val="18"/>
          <w:szCs w:val="18"/>
          <w:color w:val="003082"/>
        </w:rPr>
        <w:t>, or Bulletin 7, which partially replaced and supplemented previous rules under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57</w:t>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84" w:lineRule="auto"/>
        <w:rPr>
          <w:sz w:val="20"/>
          <w:szCs w:val="20"/>
          <w:color w:val="auto"/>
        </w:rPr>
      </w:pPr>
      <w:r>
        <w:rPr>
          <w:rFonts w:ascii="Arial" w:cs="Arial" w:eastAsia="Arial" w:hAnsi="Arial"/>
          <w:sz w:val="16"/>
          <w:szCs w:val="16"/>
          <w:color w:val="003082"/>
        </w:rPr>
        <w:t xml:space="preserve">the </w:t>
      </w:r>
      <w:r>
        <w:rPr>
          <w:rFonts w:ascii="Arial" w:cs="Arial" w:eastAsia="Arial" w:hAnsi="Arial"/>
          <w:sz w:val="16"/>
          <w:szCs w:val="16"/>
          <w:i w:val="1"/>
          <w:iCs w:val="1"/>
          <w:color w:val="003082"/>
        </w:rPr>
        <w:t>Notice on Strengthening Administration of Enterprise Income Tax for Share Transfers by Non-PRC Resident Enterprises</w:t>
      </w:r>
      <w:r>
        <w:rPr>
          <w:rFonts w:ascii="Arial" w:cs="Arial" w:eastAsia="Arial" w:hAnsi="Arial"/>
          <w:sz w:val="16"/>
          <w:szCs w:val="16"/>
          <w:color w:val="003082"/>
        </w:rPr>
        <w:t xml:space="preserve">, or SAT Circular 698, issued by the SAT on December 10, 2009. Pursuant to this Bulletin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relevant offshore enterprise derives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w:t>
      </w:r>
      <w:r>
        <w:rPr>
          <w:rFonts w:ascii="Arial" w:cs="Arial" w:eastAsia="Arial" w:hAnsi="Arial"/>
          <w:sz w:val="16"/>
          <w:szCs w:val="16"/>
          <w:i w:val="1"/>
          <w:iCs w:val="1"/>
          <w:color w:val="003082"/>
        </w:rPr>
        <w:t>Announcement of the State</w:t>
      </w:r>
      <w:r>
        <w:rPr>
          <w:rFonts w:ascii="Arial" w:cs="Arial" w:eastAsia="Arial" w:hAnsi="Arial"/>
          <w:sz w:val="16"/>
          <w:szCs w:val="16"/>
          <w:color w:val="003082"/>
        </w:rPr>
        <w:t xml:space="preserve"> </w:t>
      </w:r>
      <w:r>
        <w:rPr>
          <w:rFonts w:ascii="Arial" w:cs="Arial" w:eastAsia="Arial" w:hAnsi="Arial"/>
          <w:sz w:val="16"/>
          <w:szCs w:val="16"/>
          <w:i w:val="1"/>
          <w:iCs w:val="1"/>
          <w:color w:val="003082"/>
        </w:rPr>
        <w:t>Administration of Taxation on Issues Concerning the Withholding of Non-resident Enterprise Income Tax at Source</w:t>
      </w:r>
      <w:r>
        <w:rPr>
          <w:rFonts w:ascii="Arial" w:cs="Arial" w:eastAsia="Arial" w:hAnsi="Arial"/>
          <w:sz w:val="16"/>
          <w:szCs w:val="16"/>
          <w:color w:val="003082"/>
        </w:rPr>
        <w:t>, or SAT Circular 37, which was</w:t>
      </w:r>
      <w:r>
        <w:rPr>
          <w:rFonts w:ascii="Arial" w:cs="Arial" w:eastAsia="Arial" w:hAnsi="Arial"/>
          <w:sz w:val="16"/>
          <w:szCs w:val="16"/>
          <w:i w:val="1"/>
          <w:iCs w:val="1"/>
          <w:color w:val="003082"/>
        </w:rPr>
        <w:t xml:space="preserve"> </w:t>
      </w:r>
      <w:r>
        <w:rPr>
          <w:rFonts w:ascii="Arial" w:cs="Arial" w:eastAsia="Arial" w:hAnsi="Arial"/>
          <w:sz w:val="16"/>
          <w:szCs w:val="16"/>
          <w:color w:val="003082"/>
        </w:rPr>
        <w:t>amended and became effective on June 15, 2018, and SAT Circular 698 then was repealed with effect from December 1, 2017. SAT Circular 37 also amends certain provisions in Bulletin 7, but does not touch upon other provisions of Bulletin 7, which remain in full force. SAT Circular 37, among other things, simplified procedures of withholding and payment of income tax levied on non-resident enterprises.</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There is uncertainty as to the application of Bulletin 7 and SAT Circular 37.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For transfer of shares in our company by investors that are non-PRC resident enterprises, our WFOE may be requested to assist in the filing under Bulletin 7. As a result, we may be required to expend valuable resources to comply with Bulletin 7 and SAT Circular 37 or to request the relevant transferors from whom we purchase taxable assets to comply with Bulletin 7 and SAT Circular 37, or to establish that our company should not be taxed under Bulletin 7 and SAT Circular 37, which could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We are subject to restrictions on currency exchange.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A substantial portion of our revenue is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WFOE or VIE. Currently, our WFOE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significant amount of our future revenue and cash flow will be denominated in Renminbi, any existing and future restrictions on currency exchange may limit our ability to utilize cash generated in Renminbi 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58</w:t>
      </w:r>
    </w:p>
    <w:p>
      <w:pPr>
        <w:sectPr>
          <w:pgSz w:w="11900" w:h="16838" w:orient="portrait"/>
          <w:cols w:equalWidth="0" w:num="1">
            <w:col w:w="11240"/>
          </w:cols>
          <w:pgMar w:left="320" w:top="341"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color w:val="003082"/>
        </w:rPr>
        <w:t>fund our business activities outside of the PRC or pay dividends in foreign currencies to our shareholders, and may limit our ability to obtain foreign currency through debt or equity financing for our WFOE and our VIE.</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003082"/>
        </w:rPr>
        <w:t>PRC regulation of loans to, and direct investment in, PRC entities by offshore holding companies and governmental control of currency conversion may restrict or prevent us from using the proceeds of this offering to make loans to our WFOE and our VIE, or to make additional capital contributions to our WFOE.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using the proceeds of this offering, we, as an offshore holding company, are permitted under PRC laws and regulations to provide funding to our WFOE, which is treated as a foreign-invested enterprise under PRC laws, through loans or capital contributions. However, loans by us to our WFOE to finance its activities cannot exceed statutory limits and must be registered with the local counterpart of SAFE and capital contributions to our WFOE is subject to the requirement of making necessary filings or registrations through enterprise registration system with relevant governmental authorities in China.</w:t>
      </w:r>
    </w:p>
    <w:p>
      <w:pPr>
        <w:spacing w:after="0" w:line="13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003082"/>
        </w:rPr>
        <w:t xml:space="preserve">SAFE promulgated the </w:t>
      </w:r>
      <w:r>
        <w:rPr>
          <w:rFonts w:ascii="Arial" w:cs="Arial" w:eastAsia="Arial" w:hAnsi="Arial"/>
          <w:sz w:val="17"/>
          <w:szCs w:val="17"/>
          <w:i w:val="1"/>
          <w:iCs w:val="1"/>
          <w:color w:val="003082"/>
        </w:rPr>
        <w:t>Notice of the State Administration of Foreign Exchange on Reforming the Administration of Foreign Exchange Settlement of</w:t>
      </w:r>
      <w:r>
        <w:rPr>
          <w:rFonts w:ascii="Arial" w:cs="Arial" w:eastAsia="Arial" w:hAnsi="Arial"/>
          <w:sz w:val="17"/>
          <w:szCs w:val="17"/>
          <w:color w:val="003082"/>
        </w:rPr>
        <w:t xml:space="preserve"> </w:t>
      </w:r>
      <w:r>
        <w:rPr>
          <w:rFonts w:ascii="Arial" w:cs="Arial" w:eastAsia="Arial" w:hAnsi="Arial"/>
          <w:sz w:val="17"/>
          <w:szCs w:val="17"/>
          <w:i w:val="1"/>
          <w:iCs w:val="1"/>
          <w:color w:val="003082"/>
        </w:rPr>
        <w:t>Capital of Foreign-invested Enterprises</w:t>
      </w:r>
      <w:r>
        <w:rPr>
          <w:rFonts w:ascii="Arial" w:cs="Arial" w:eastAsia="Arial" w:hAnsi="Arial"/>
          <w:sz w:val="17"/>
          <w:szCs w:val="17"/>
          <w:color w:val="003082"/>
        </w:rPr>
        <w:t>, or Circular 19, effective on June 1, 2015, in replacement of the</w:t>
      </w:r>
      <w:r>
        <w:rPr>
          <w:rFonts w:ascii="Arial" w:cs="Arial" w:eastAsia="Arial" w:hAnsi="Arial"/>
          <w:sz w:val="17"/>
          <w:szCs w:val="17"/>
          <w:i w:val="1"/>
          <w:iCs w:val="1"/>
          <w:color w:val="003082"/>
        </w:rPr>
        <w:t xml:space="preserve"> Circular on the Relevant Operating Issues Concerning the Improvement of the Administration of the Payment and Settlement of Foreign Currency Capital of Foreign-Invested Enterprises</w:t>
      </w:r>
      <w:r>
        <w:rPr>
          <w:rFonts w:ascii="Arial" w:cs="Arial" w:eastAsia="Arial" w:hAnsi="Arial"/>
          <w:sz w:val="17"/>
          <w:szCs w:val="17"/>
          <w:color w:val="003082"/>
        </w:rPr>
        <w:t>, or SAFE</w:t>
      </w:r>
      <w:r>
        <w:rPr>
          <w:rFonts w:ascii="Arial" w:cs="Arial" w:eastAsia="Arial" w:hAnsi="Arial"/>
          <w:sz w:val="17"/>
          <w:szCs w:val="17"/>
          <w:i w:val="1"/>
          <w:iCs w:val="1"/>
          <w:color w:val="003082"/>
        </w:rPr>
        <w:t xml:space="preserve"> </w:t>
      </w:r>
      <w:r>
        <w:rPr>
          <w:rFonts w:ascii="Arial" w:cs="Arial" w:eastAsia="Arial" w:hAnsi="Arial"/>
          <w:sz w:val="17"/>
          <w:szCs w:val="17"/>
          <w:color w:val="003082"/>
        </w:rPr>
        <w:t xml:space="preserve">Circular 142, the </w:t>
      </w:r>
      <w:r>
        <w:rPr>
          <w:rFonts w:ascii="Arial" w:cs="Arial" w:eastAsia="Arial" w:hAnsi="Arial"/>
          <w:sz w:val="17"/>
          <w:szCs w:val="17"/>
          <w:i w:val="1"/>
          <w:iCs w:val="1"/>
          <w:color w:val="003082"/>
        </w:rPr>
        <w:t>Notice from the State Administration of Foreign Exchange on Relevant Issues Concerning Strengthening the Administration of Foreign</w:t>
      </w:r>
      <w:r>
        <w:rPr>
          <w:rFonts w:ascii="Arial" w:cs="Arial" w:eastAsia="Arial" w:hAnsi="Arial"/>
          <w:sz w:val="17"/>
          <w:szCs w:val="17"/>
          <w:color w:val="003082"/>
        </w:rPr>
        <w:t xml:space="preserve"> </w:t>
      </w:r>
      <w:r>
        <w:rPr>
          <w:rFonts w:ascii="Arial" w:cs="Arial" w:eastAsia="Arial" w:hAnsi="Arial"/>
          <w:sz w:val="17"/>
          <w:szCs w:val="17"/>
          <w:i w:val="1"/>
          <w:iCs w:val="1"/>
          <w:color w:val="003082"/>
        </w:rPr>
        <w:t>Exchange Businesses</w:t>
      </w:r>
      <w:r>
        <w:rPr>
          <w:rFonts w:ascii="Arial" w:cs="Arial" w:eastAsia="Arial" w:hAnsi="Arial"/>
          <w:sz w:val="17"/>
          <w:szCs w:val="17"/>
          <w:color w:val="003082"/>
        </w:rPr>
        <w:t>, or Circular 59, and the</w:t>
      </w:r>
      <w:r>
        <w:rPr>
          <w:rFonts w:ascii="Arial" w:cs="Arial" w:eastAsia="Arial" w:hAnsi="Arial"/>
          <w:sz w:val="17"/>
          <w:szCs w:val="17"/>
          <w:i w:val="1"/>
          <w:iCs w:val="1"/>
          <w:color w:val="003082"/>
        </w:rPr>
        <w:t xml:space="preserve"> Circular on Further Clarification and Regulation of the Issues Concerning the Administration of Certain Capital Account Foreign Exchange Businesses</w:t>
      </w:r>
      <w:r>
        <w:rPr>
          <w:rFonts w:ascii="Arial" w:cs="Arial" w:eastAsia="Arial" w:hAnsi="Arial"/>
          <w:sz w:val="17"/>
          <w:szCs w:val="17"/>
          <w:color w:val="003082"/>
        </w:rPr>
        <w:t>, or Circular 45. According to Circular 19, the flow and use of the Renminbi capital converted from foreign</w:t>
      </w:r>
      <w:r>
        <w:rPr>
          <w:rFonts w:ascii="Arial" w:cs="Arial" w:eastAsia="Arial" w:hAnsi="Arial"/>
          <w:sz w:val="17"/>
          <w:szCs w:val="17"/>
          <w:i w:val="1"/>
          <w:iCs w:val="1"/>
          <w:color w:val="003082"/>
        </w:rPr>
        <w:t xml:space="preserve"> </w:t>
      </w:r>
      <w:r>
        <w:rPr>
          <w:rFonts w:ascii="Arial" w:cs="Arial" w:eastAsia="Arial" w:hAnsi="Arial"/>
          <w:sz w:val="17"/>
          <w:szCs w:val="17"/>
          <w:color w:val="003082"/>
        </w:rPr>
        <w:t xml:space="preserve">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w:t>
      </w:r>
      <w:r>
        <w:rPr>
          <w:rFonts w:ascii="Arial" w:cs="Arial" w:eastAsia="Arial" w:hAnsi="Arial"/>
          <w:sz w:val="17"/>
          <w:szCs w:val="17"/>
          <w:i w:val="1"/>
          <w:iCs w:val="1"/>
          <w:color w:val="003082"/>
        </w:rPr>
        <w:t>Notice of the State Administration of Foreign Exchange on Reforming</w:t>
      </w:r>
      <w:r>
        <w:rPr>
          <w:rFonts w:ascii="Arial" w:cs="Arial" w:eastAsia="Arial" w:hAnsi="Arial"/>
          <w:sz w:val="17"/>
          <w:szCs w:val="17"/>
          <w:color w:val="003082"/>
        </w:rPr>
        <w:t xml:space="preserve"> </w:t>
      </w:r>
      <w:r>
        <w:rPr>
          <w:rFonts w:ascii="Arial" w:cs="Arial" w:eastAsia="Arial" w:hAnsi="Arial"/>
          <w:sz w:val="17"/>
          <w:szCs w:val="17"/>
          <w:i w:val="1"/>
          <w:iCs w:val="1"/>
          <w:color w:val="003082"/>
        </w:rPr>
        <w:t>and Standardizing the Foreign Exchange Settlement Management Policy of Capital Account</w:t>
      </w:r>
      <w:r>
        <w:rPr>
          <w:rFonts w:ascii="Arial" w:cs="Arial" w:eastAsia="Arial" w:hAnsi="Arial"/>
          <w:sz w:val="17"/>
          <w:szCs w:val="17"/>
          <w:color w:val="003082"/>
        </w:rPr>
        <w:t>, or Circular 16, effective on June 9, 2016, which reiterates</w:t>
      </w:r>
      <w:r>
        <w:rPr>
          <w:rFonts w:ascii="Arial" w:cs="Arial" w:eastAsia="Arial" w:hAnsi="Arial"/>
          <w:sz w:val="17"/>
          <w:szCs w:val="17"/>
          <w:i w:val="1"/>
          <w:iCs w:val="1"/>
          <w:color w:val="003082"/>
        </w:rPr>
        <w:t xml:space="preserve"> </w:t>
      </w:r>
      <w:r>
        <w:rPr>
          <w:rFonts w:ascii="Arial" w:cs="Arial" w:eastAsia="Arial" w:hAnsi="Arial"/>
          <w:sz w:val="17"/>
          <w:szCs w:val="17"/>
          <w:color w:val="003082"/>
        </w:rPr>
        <w:t>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this offering, to our WFOE and our VIE, which may adversely affect our liquidity and our ability to fund and expand our business in the PRC.</w:t>
      </w:r>
    </w:p>
    <w:p>
      <w:pPr>
        <w:spacing w:after="0" w:line="13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3082"/>
        </w:rPr>
        <w:t>Due to the restrictions imposed on loans in foreign currencies extended to any PRC domestic companies, we are not likely to make such loans to our VIE, each a PRC domestic company. Meanwhile, we are not likely to finance the activities of our VIE by means of capital contributions given the potential restrictions on foreign investment in the businesses that are currently conducted by our VIE.</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WFOE or our VIE or future capital contributions by us to our WFOE. As a result, uncertainties exist as to our ability to provide prompt financial support to our WFOE or our VIE when needed. If we fail to complete such registrations or obtain such approvals, our ability to use foreign currency, including the proceeds we received from this offering, and to capitalize or otherwise fund our PRC operations may be negatively affected, which could materially and adversely affect our liquidity and our ability to fund and expand our business.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59</w:t>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003082"/>
        </w:rPr>
        <w:t>Risks Related to the ADSs and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An active trading market for our ordinary shares or the ADSs may not develop and the trading price of the ADSs may fluctuate significantly.</w:t>
      </w:r>
    </w:p>
    <w:p>
      <w:pPr>
        <w:spacing w:after="0" w:line="19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ADSs have been approved for listing on the Nasdaq Global Select Market.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on several factors, and the trading price of the ADSs after this offering could decline below the initial public offering price. As a result, investors in our securities may experience a significant decrease in the value of their ADSs.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Further, our directors, non-executive employees and customers have the opportunity to purchase up to 5% of the ADSs offered by this prospectus, at the initial public offering price, through a directed ADS program. To the extent any of our directors purchase ADSs in this offering, fewer ADSs may be actively traded in the public market because these individuals will be subject to a 180-day lock-up restriction, which would reduce the liquidity of the market for our ADSs.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The trading price of our ADSs is likely to be volatile, which could result in substantial losses to investors.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trading price of our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1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variations in our revenue, earnings and cash flows;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regulatory developments affecting us, our customers, or our industry;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announcements of new products or service offerings and expansions by us or our competitors;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announcements of new investments, acquisitions, strategic partnerships or joint ventures by us or our competitors;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changes in financial estimates by securities analysts;</w:t>
      </w:r>
    </w:p>
    <w:p>
      <w:pPr>
        <w:spacing w:after="0" w:line="171" w:lineRule="exact"/>
        <w:rPr>
          <w:rFonts w:ascii="Arial" w:cs="Arial" w:eastAsia="Arial" w:hAnsi="Arial"/>
          <w:sz w:val="18"/>
          <w:szCs w:val="18"/>
          <w:color w:val="003082"/>
        </w:rPr>
      </w:pPr>
    </w:p>
    <w:p>
      <w:pPr>
        <w:ind w:left="660" w:hanging="328"/>
        <w:spacing w:after="0" w:line="342" w:lineRule="auto"/>
        <w:tabs>
          <w:tab w:leader="none" w:pos="660" w:val="left"/>
        </w:tabs>
        <w:numPr>
          <w:ilvl w:val="0"/>
          <w:numId w:val="33"/>
        </w:numPr>
        <w:rPr>
          <w:rFonts w:ascii="Arial" w:cs="Arial" w:eastAsia="Arial" w:hAnsi="Arial"/>
          <w:sz w:val="16"/>
          <w:szCs w:val="16"/>
          <w:color w:val="003082"/>
        </w:rPr>
      </w:pPr>
      <w:r>
        <w:rPr>
          <w:rFonts w:ascii="Arial" w:cs="Arial" w:eastAsia="Arial" w:hAnsi="Arial"/>
          <w:sz w:val="16"/>
          <w:szCs w:val="16"/>
          <w:color w:val="003082"/>
        </w:rPr>
        <w:t>changes in end-user and customer demand as end-users increase and decrease their time online due to the imposition or easing of stay-at-home, travel and other government mandates or changes in end-user or customer demand for our products in response to the COVID-19 pandemic;</w:t>
      </w:r>
    </w:p>
    <w:p>
      <w:pPr>
        <w:spacing w:after="0" w:line="69" w:lineRule="exact"/>
        <w:rPr>
          <w:rFonts w:ascii="Arial" w:cs="Arial" w:eastAsia="Arial" w:hAnsi="Arial"/>
          <w:sz w:val="16"/>
          <w:szCs w:val="16"/>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detrimental adverse publicity about us, our products or services or our industry;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additions or departures of key personnel;</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detrimental negative publicity about us, our management or our industry;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release of lock-up or other transfer restrictions on our outstanding equity securities or sales of additional equity securities;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3"/>
        </w:numPr>
        <w:rPr>
          <w:rFonts w:ascii="Arial" w:cs="Arial" w:eastAsia="Arial" w:hAnsi="Arial"/>
          <w:sz w:val="18"/>
          <w:szCs w:val="18"/>
          <w:color w:val="003082"/>
        </w:rPr>
      </w:pPr>
      <w:r>
        <w:rPr>
          <w:rFonts w:ascii="Arial" w:cs="Arial" w:eastAsia="Arial" w:hAnsi="Arial"/>
          <w:sz w:val="18"/>
          <w:szCs w:val="18"/>
          <w:color w:val="003082"/>
        </w:rPr>
        <w:t>actual or potential litigation or regulatory investigations.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Any of these factors may result in large and sudden changes in the volume and price at which the ADSs will trade.</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003082"/>
        </w:rPr>
        <w:t>In the past, shareholders of public companies have often brought securities class action suits against companies following periods of instability in the market price of their securities. If we were involved in a class action suit, it could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60</w:t>
      </w:r>
    </w:p>
    <w:p>
      <w:pPr>
        <w:sectPr>
          <w:pgSz w:w="11900" w:h="16838" w:orient="portrait"/>
          <w:cols w:equalWidth="0" w:num="1">
            <w:col w:w="11240"/>
          </w:cols>
          <w:pgMar w:left="320" w:top="445"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003082"/>
        </w:rPr>
        <w:t>divert a significant amount of our management’s attention and other resources from our business and operations and require us to incur significant expenses to defend the suit, which could harm our operating results.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business, operating results and financial condition.</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dual class structure of our ordinary shares may prevent the inclusion of our ADSs representing Class A ordinary shares in indices that exclude companies with multiple classes of shares, and may also cause shareholder advisory firms to publish negative commentary about our corporate governance practices or otherwise seek to cause us to change our capital structure. Any such exclusion from indices could result in a less active trading market for our ADSs, and any actions or publications by shareholder advisory firms critical of our corporate governance practices or capital structure could also adversely affect the trading price of our ADSs.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003082"/>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Immediately prior to the completion of this offering, we expect to create a dual-class structure such that our ordinary shares will consist of Class A ordinary shares and Class B ordinary shares. In respect of matters requiring the votes of shareholders, holders of Class B ordinary shares will be entitled to 20 votes per share, while holders of Class A ordinary shares will be entitled to one vote per share. We will sell Class A ordinary shares represented by the ADSs in this offering. Each Class B ordinary share is convertible into one Class A ordinary share at any time by its holder, while Class A ordinary shares are not convertible into Class B ordinary shares under any circumstances.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Immediately prior to the completion of this offering, our chief executive officer will beneficially own all of our issued Class B ordinary shares. These Class B ordinary shares will constitute approximately 19.2% of our total issued and outstanding share capital immediately after the completion of this offering and the concurrent private placement, and 82.6% of the aggregate voting power of our total issued and outstanding share capital immediately after the completion of this offering and the concurrent private placement due to the disparate voting powers associated with our dual-class share structure, assuming the underwriters do not exercise their over-allotment option. See the section of this prospectus captioned “Principal Shareholders.”</w:t>
      </w:r>
    </w:p>
    <w:p>
      <w:pPr>
        <w:spacing w:after="0" w:line="1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Any sale, transfer, assignment or disposition of any Class B ordinary shares by their holder or a change of ultimate beneficial ownership of any Class B ordinary shares will generally result in the conversion of such Class 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and affiliates controlled by our chief executive officer, Mr. Zhao. Because of the 20-to-one voting ratio between our Class B ordinary shares and Class A ordinary shares, Mr. Zhao and any permitted transferees holding Class B ordinary shares, including potentially the Management Partnership, will continue to control a majority of the combined voting power of our ordinary shares and therefore be able to control all matters submitted to our shareholders for approval.</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Although we have no current plan to issue additional Class B ordinary shares after the completion of this offering, our board of directors will have the authority without further action by our shareholders to issue additional Class B ordinary shares, which will further dilute the voting power of our Class A ordinary shareholders. As a result of the dual-class share structure and the concentration of ownership, our chief executive officer and any future holder of Class B ordinary shares, including potentially the Management Partnership, will have considerable influence over matters such as mergers, consolidations and the sale of all or substantially all of our assets, election of directors, amendments to organizational documents and other significant corporate actions.</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Our chief executive officer and any future holder of Class B ordinary shares, including potentially the Management Partnership,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61</w:t>
      </w:r>
    </w:p>
    <w:p>
      <w:pPr>
        <w:sectPr>
          <w:pgSz w:w="11900" w:h="16838" w:orient="portrait"/>
          <w:cols w:equalWidth="0" w:num="1">
            <w:col w:w="11240"/>
          </w:cols>
          <w:pgMar w:left="320" w:top="341"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003082"/>
        </w:rPr>
        <w:t>discourage others from pursuing any potential merger, takeover or other change of control transactions that holders of Class A ordinary shares and ADSs may view as beneficial.</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The voting rights of our chief executive officer and, if Class B ordinary shares are transferred to it, the Management Partnership, will limit your ability to influence corporate matters, including any matters to be determined by our board of directors. The interests of our chief executive officer and, if Class B ordinary shares are transferred to it, the Management Partnership, may not coincide with your interests, and the Management Partnership may make decisions with which you disagree, including decisions on important topics such as compensation, management succession, acquisition strategy and our business and financial strategy. As of the date of this prospectus, the partners of the Management Partnership have not been determined, and in the future the partners may change from time to time. Because the Management Partnership will primarily consist of members of our management team, our chief executive officer, the Management Partnership and any directors the election of which he, or it, controls, may focus on the long-term interests of our customers at the expense of our short-term financial results, which may differ from the expectations and desires of shareholders unaffiliated with our chief executive officer, or if Class B ordinary shares are transferred to it, the Management Partnership. To the extent that these interests differ from your interests, you may be disadvantaged by any action that our chief executive officer or the Management Partnership may seek to pursue.</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In addition, our chief executive officer and any future holder of Class B ordinary shares, including potentially the Management Partnership, will continue to be able to control all matters submitted to our shareholders for approval even if their shareholdings represent substantially less than a majority of our issued and outstanding ordinary shares. This concentrated control will limit your ability to influence corporate matters for the foreseeable future, and, as a result, the trading price of our ADSs could be adversely affected.</w:t>
      </w:r>
    </w:p>
    <w:p>
      <w:pPr>
        <w:spacing w:after="0" w:line="241"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003082"/>
        </w:rPr>
        <w:t>We will be a “controlled company” as defined under the Nasdaq Stock Market corporate governance rules. As a result, we will qualify for, and intend to rely on, exemptions from certain corporate governance requirements that would otherwise provide protection to shareholders of other companies.</w:t>
      </w:r>
    </w:p>
    <w:p>
      <w:pPr>
        <w:spacing w:after="0" w:line="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Upon the completion of this offering and the concurrent private placement, we will be a “controlled company” as defined under the Nasdaq Stock Market corporate governance rules because our chief executive officer, Mr. Zhao, will own more than 50% of our total voting power. If Mr. Zhao transfers shares to the Management Partnership, we may remain a controlled company even if Mr. Zhao ceases to be our employee, director or shareholder.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If securities or industry analysts do not publish research or reports about our business, or if they adversely change their recommendations regarding the ADSs, the market price for the ADSs and trading volume could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The sale or availability for sale of substantial amounts of the ADSs could adversely affect their market price.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Sales of substantial amounts of the ADSs in the public market after the completion of this offering, or the perception that these sales could occur, could adversely affect the market price of the ADSs and could materially impair our ability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62</w:t>
      </w:r>
    </w:p>
    <w:p>
      <w:pPr>
        <w:sectPr>
          <w:pgSz w:w="11900" w:h="16838" w:orient="portrait"/>
          <w:cols w:equalWidth="0" w:num="1">
            <w:col w:w="11240"/>
          </w:cols>
          <w:pgMar w:left="320" w:top="341" w:right="339" w:bottom="1440" w:gutter="0" w:footer="0" w:header="0"/>
        </w:sectPr>
      </w:pPr>
    </w:p>
    <w:bookmarkStart w:id="67" w:name="page68"/>
    <w:bookmarkEnd w:id="67"/>
    <w:p>
      <w:pPr>
        <w:jc w:val="both"/>
        <w:spacing w:after="0" w:line="269" w:lineRule="auto"/>
        <w:rPr>
          <w:sz w:val="20"/>
          <w:szCs w:val="20"/>
          <w:color w:val="auto"/>
        </w:rPr>
      </w:pPr>
      <w:r>
        <w:rPr>
          <w:rFonts w:ascii="Arial" w:cs="Arial" w:eastAsia="Arial" w:hAnsi="Arial"/>
          <w:sz w:val="17"/>
          <w:szCs w:val="17"/>
          <w:color w:val="003082"/>
        </w:rPr>
        <w:t>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17,500,000 ADSs (equivalent to 70,000,000 Class A ordinary shares) outstanding immediately after this offering, or 20,125,000 ADSs (equivalent to 80,500,000 Class A ordinary shares) if the underwriters exercise their over-allotment option in full. In connection with this offering, we, our directors and executive officers, and all of our existing shareholders and the concurrent private placement purchasers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We cannot predict what effect, if any, market sales of securities held by our significant shareholders or any other shareholder or the availability of these securities for future sale will have on the market price of the ADSs. See the sections of this prospectus captioned “Underwriters” and “Shares Eligible for Future Sale” for a more detailed description of the restrictions on selling our securities after this offering.</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We have not determined a specific use for a portion of the net proceeds from this offering and the concurrent private placement and we may use these proceeds in ways with which you may not agree.</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We have not determined a specific use for a portion of the net proceeds of this offering and the concurrent private placement,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and the concurrent private placement. We cannot assure you that the net proceeds will be used in a manner that would improve our operating results or increase our ADS price, nor that these net proceeds will be placed only in investments that generate income or appreciate in value.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Our post-offering memorandum and articles of association contain anti-takeover provisions that could have a material adverse effect on the rights of holders of our ordinary shares and ADSs.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We have adopted a post-offering memorandum and articles of association that will become effective immediately prior to the completion of this offering. Our post-offering memorandum and articles of association will contain provisions which could limit the ability of others to acquire control of our company or cause us to engage in change-of-control transactions. These provisions could have the effect of depriving our shareholders and ADS holders of an 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You may face difficulties in protecting your interests, and your ability to protect your rights through U.S. courts may be limited, because we are incorporated under Cayman Islands law.</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We are an exempted company incorporated under the laws of the Cayman Islands. Our corporate affairs are governed by our memorandum and articles of association, the Companies Law of the Cayman Islands (2020 Revision),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63</w:t>
      </w:r>
    </w:p>
    <w:p>
      <w:pPr>
        <w:sectPr>
          <w:pgSz w:w="11900" w:h="16838" w:orient="portrait"/>
          <w:cols w:equalWidth="0" w:num="1">
            <w:col w:w="11240"/>
          </w:cols>
          <w:pgMar w:left="320" w:top="341"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8"/>
          <w:szCs w:val="18"/>
          <w:color w:val="003082"/>
        </w:rPr>
        <w:t>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Shareholders of Cayman Islands exempted companies like us have no general rights under Cayman Islands law to inspect corporate records (other than the memorandum and articles of association or to obtain copies of our register of mortgages and charges).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the section of this prospectus captioned “Description of Share Capital—Differences in Corporate Law.”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Certain judgments obtained against us by our shareholders may not be enforceable.</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We are a Cayman Islands exempted company and the majority of our assets are located outside of the United States. All of our current operations are conducted in China and the United States.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there are significant legal and other obstacles to obtaining information needed for such actions. For example, in China, according to Article 177 of the PRC Securities Law which became effective in March 2020, no overseas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overseas parties.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 Furthermore, the laws of the Cayman Islands and of China may render you unable to enforce a judgment against our assets or the assets of our directors and officers. For more information regarding the relevant laws of the Cayman Islands and China, see the section of this prospectus captioned “Enforceability of Civil Liabilities.”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The voting rights of holders of ADSs are limited by the terms of the deposit agreement, and you may not be able to exercise your right to direct how the Class A ordinary shares which are represented by your ADSs are voted.</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64</w:t>
      </w:r>
    </w:p>
    <w:p>
      <w:pPr>
        <w:sectPr>
          <w:pgSz w:w="11900" w:h="16838" w:orient="portrait"/>
          <w:cols w:equalWidth="0" w:num="1">
            <w:col w:w="11240"/>
          </w:cols>
          <w:pgMar w:left="320" w:top="341" w:right="339" w:bottom="1440" w:gutter="0" w:footer="0" w:header="0"/>
        </w:sectPr>
      </w:pPr>
    </w:p>
    <w:bookmarkStart w:id="69" w:name="page70"/>
    <w:bookmarkEnd w:id="69"/>
    <w:p>
      <w:pPr>
        <w:jc w:val="both"/>
        <w:ind w:firstLine="324"/>
        <w:spacing w:after="0" w:line="286" w:lineRule="auto"/>
        <w:rPr>
          <w:sz w:val="20"/>
          <w:szCs w:val="20"/>
          <w:color w:val="auto"/>
        </w:rPr>
      </w:pPr>
      <w:r>
        <w:rPr>
          <w:rFonts w:ascii="Arial" w:cs="Arial" w:eastAsia="Arial" w:hAnsi="Arial"/>
          <w:sz w:val="16"/>
          <w:szCs w:val="16"/>
          <w:color w:val="003082"/>
        </w:rPr>
        <w:t>Under our post-offering memorandum and articles of association that will become effective immediately prior to completion of this offering, the minimum notice period required to be given by our company to our registered shareholders to convene a general meeting will be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articles of association that will become effective prior to the completion of this offering, for the purposes of determining those shareholders who are entitled to attend and vote at any general meeting, our directors may close our register of members 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The depositary for the ADSs will give us a discretionary proxy to vote our Class A ordinary shares underlying your ADSs if you do not vote at shareholders’ meetings, which could adversely affect your interests.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Under the deposit agreement for the ADSs, if you do not vote, the depositary may give us a discretionary proxy to vote the Class A ordinary shares underlying your ADSs at shareholders’ meetings if:</w:t>
      </w:r>
    </w:p>
    <w:p>
      <w:pPr>
        <w:spacing w:after="0" w:line="11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003082"/>
        </w:rPr>
      </w:pPr>
      <w:r>
        <w:rPr>
          <w:rFonts w:ascii="Arial" w:cs="Arial" w:eastAsia="Arial" w:hAnsi="Arial"/>
          <w:sz w:val="18"/>
          <w:szCs w:val="18"/>
          <w:color w:val="003082"/>
        </w:rPr>
        <w:t>we have timely provided the depositary with notice of meeting and related voting materials;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4"/>
        </w:numPr>
        <w:rPr>
          <w:rFonts w:ascii="Arial" w:cs="Arial" w:eastAsia="Arial" w:hAnsi="Arial"/>
          <w:sz w:val="18"/>
          <w:szCs w:val="18"/>
          <w:color w:val="003082"/>
        </w:rPr>
      </w:pPr>
      <w:r>
        <w:rPr>
          <w:rFonts w:ascii="Arial" w:cs="Arial" w:eastAsia="Arial" w:hAnsi="Arial"/>
          <w:sz w:val="18"/>
          <w:szCs w:val="18"/>
          <w:color w:val="003082"/>
        </w:rPr>
        <w:t>we have instructed the depositary that we wish a discretionary proxy to be given;</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4"/>
        </w:numPr>
        <w:rPr>
          <w:rFonts w:ascii="Arial" w:cs="Arial" w:eastAsia="Arial" w:hAnsi="Arial"/>
          <w:sz w:val="18"/>
          <w:szCs w:val="18"/>
          <w:color w:val="003082"/>
        </w:rPr>
      </w:pPr>
      <w:r>
        <w:rPr>
          <w:rFonts w:ascii="Arial" w:cs="Arial" w:eastAsia="Arial" w:hAnsi="Arial"/>
          <w:sz w:val="18"/>
          <w:szCs w:val="18"/>
          <w:color w:val="003082"/>
        </w:rPr>
        <w:t>we have informed the depositary that there is no substantial opposition as to a matter to be voted on at the meeting;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4"/>
        </w:numPr>
        <w:rPr>
          <w:rFonts w:ascii="Arial" w:cs="Arial" w:eastAsia="Arial" w:hAnsi="Arial"/>
          <w:sz w:val="18"/>
          <w:szCs w:val="18"/>
          <w:color w:val="003082"/>
        </w:rPr>
      </w:pPr>
      <w:r>
        <w:rPr>
          <w:rFonts w:ascii="Arial" w:cs="Arial" w:eastAsia="Arial" w:hAnsi="Arial"/>
          <w:sz w:val="18"/>
          <w:szCs w:val="18"/>
          <w:color w:val="003082"/>
        </w:rPr>
        <w:t>a matter to be voted on at the meeting would not have a material adverse impact on shareholders.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effect of this discretionary proxy is that if you do not vote at shareholders’ meetings, you cannot prevent the Class A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003082"/>
        </w:rPr>
        <w:t>You may not receive dividends or other distributions on our ordinary shares and you may not receive any value for them, if it is illegal or impractical to make them available to you.</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65</w:t>
      </w:r>
    </w:p>
    <w:p>
      <w:pPr>
        <w:sectPr>
          <w:pgSz w:w="11900" w:h="16838" w:orient="portrait"/>
          <w:cols w:equalWidth="0" w:num="1">
            <w:col w:w="11240"/>
          </w:cols>
          <w:pgMar w:left="320" w:top="341" w:right="339" w:bottom="1440" w:gutter="0" w:footer="0" w:header="0"/>
        </w:sectPr>
      </w:pPr>
    </w:p>
    <w:bookmarkStart w:id="70" w:name="page71"/>
    <w:bookmarkEnd w:id="70"/>
    <w:p>
      <w:pPr>
        <w:jc w:val="both"/>
        <w:ind w:right="20"/>
        <w:spacing w:after="0" w:line="277" w:lineRule="auto"/>
        <w:rPr>
          <w:sz w:val="20"/>
          <w:szCs w:val="20"/>
          <w:color w:val="auto"/>
        </w:rPr>
      </w:pPr>
      <w:r>
        <w:rPr>
          <w:rFonts w:ascii="Arial" w:cs="Arial" w:eastAsia="Arial" w:hAnsi="Arial"/>
          <w:sz w:val="18"/>
          <w:szCs w:val="18"/>
          <w:color w:val="003082"/>
        </w:rPr>
        <w:t>ordinary shares or any value for them if it is illegal or impractical for us to make them available to you. These restrictions may cause a material decline in the value of the ADSs.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You may experience dilution of your holdings due to inability to participate in rights offerings.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You may be subject to limitations on the transfer of your ADSs.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003082"/>
        </w:rPr>
        <w:t>ADS holders may not be entitled to a jury trial with respect to claims arising under the deposit agreement, which could result in less favorable outcomes to the plaintiffs in any such action.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3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 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Nevertheless, if this jury trial waiver provision is not permitted by applicable law, an action could proceed under the terms of the deposit agreement with a jury trial. No condition, stipulation or provision of the deposit agreement or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66</w:t>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003082"/>
        </w:rPr>
        <w:t>ADSs serves as a waiver by any holder or beneficial owner of ADSs or by us or the depositary of compliance with any substantive provision of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082"/>
        </w:rPr>
        <w:t>federal securities laws and the rules and regulations promulgated thereunder.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003082"/>
        </w:rPr>
        <w:t>We are a foreign private issuer within the meaning of the rules under the Exchange Act, and as such we are exempt from certain provisions applicable to U.S. domestic public companies.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082"/>
        </w:rPr>
        <w:t>United States that are applicable to U.S. domestic issuers, including:</w:t>
      </w:r>
    </w:p>
    <w:p>
      <w:pPr>
        <w:spacing w:after="0" w:line="15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003082"/>
        </w:rPr>
      </w:pPr>
      <w:r>
        <w:rPr>
          <w:rFonts w:ascii="Arial" w:cs="Arial" w:eastAsia="Arial" w:hAnsi="Arial"/>
          <w:sz w:val="18"/>
          <w:szCs w:val="18"/>
          <w:color w:val="003082"/>
        </w:rPr>
        <w:t>the rules under the Exchange Act requiring the filing of quarterly reports on Form 10-Q or current reports on Form 8-K with the SEC;</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35"/>
        </w:numPr>
        <w:rPr>
          <w:rFonts w:ascii="Arial" w:cs="Arial" w:eastAsia="Arial" w:hAnsi="Arial"/>
          <w:sz w:val="18"/>
          <w:szCs w:val="18"/>
          <w:color w:val="003082"/>
        </w:rPr>
      </w:pPr>
      <w:r>
        <w:rPr>
          <w:rFonts w:ascii="Arial" w:cs="Arial" w:eastAsia="Arial" w:hAnsi="Arial"/>
          <w:sz w:val="18"/>
          <w:szCs w:val="18"/>
          <w:color w:val="003082"/>
        </w:rPr>
        <w:t>the sections of the Exchange Act regulating the solicitation of proxies, consents, or authorizations in respect of a security registered under the Exchange Act;</w:t>
      </w:r>
    </w:p>
    <w:p>
      <w:pPr>
        <w:spacing w:after="0" w:line="116"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35"/>
        </w:numPr>
        <w:rPr>
          <w:rFonts w:ascii="Arial" w:cs="Arial" w:eastAsia="Arial" w:hAnsi="Arial"/>
          <w:sz w:val="18"/>
          <w:szCs w:val="18"/>
          <w:color w:val="003082"/>
        </w:rPr>
      </w:pPr>
      <w:r>
        <w:rPr>
          <w:rFonts w:ascii="Arial" w:cs="Arial" w:eastAsia="Arial" w:hAnsi="Arial"/>
          <w:sz w:val="18"/>
          <w:szCs w:val="18"/>
          <w:color w:val="003082"/>
        </w:rPr>
        <w:t>the sections of the Exchange Act requiring insiders to file public reports of their stock ownership and trading activities and liability for insiders who profit from trades made in a short period of time; and</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35"/>
        </w:numPr>
        <w:rPr>
          <w:rFonts w:ascii="Arial" w:cs="Arial" w:eastAsia="Arial" w:hAnsi="Arial"/>
          <w:sz w:val="18"/>
          <w:szCs w:val="18"/>
          <w:color w:val="003082"/>
        </w:rPr>
      </w:pPr>
      <w:r>
        <w:rPr>
          <w:rFonts w:ascii="Arial" w:cs="Arial" w:eastAsia="Arial" w:hAnsi="Arial"/>
          <w:sz w:val="18"/>
          <w:szCs w:val="18"/>
          <w:color w:val="003082"/>
        </w:rPr>
        <w:t>the selective disclosure rules by issuers of material nonpublic information under Regulation FD.</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We will, however, be required to file an annual report on Form 20-F within four months of the end of each fiscal year. In addition, we intend to publish our results on a quarterly basis through press releases, distributed pursuant to the rules and regulations of the Nasdaq Stock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We are an emerging growth company within the meaning of the Securities Act and may take advantage of certain reduced reporting requirements.</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 JOBS Act also provides that for so long as a registrant qualifies as an emerging growth company it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required when they are adopted for public companies. As a result, our operating results and financial statements may not be comparable to the operating results and financial statements of other companies who have adopted the new or revised accounting standards.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3082"/>
        </w:rPr>
        <w:t>We will incur increased costs as a result of being a public company, particularly after we cease to qualify as an “emerging growth company.”</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We are a public company and expect to incur significant legal, accounting and other expenses that we did not incur as a private company prior to this offering. The Sarbanes-Oxley Act, as well as rules subsequently implemented by the SEC and the Nasdaq Stock Market, impose various requirements on the corporate governance practices of public companies.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 The JOBS Act also permits an emerging growth company to delay adopting new or revised accounting standards until such time as those standards apply to private companies. We will rely on such exemption provided by the JOBS Act.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67</w:t>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003082"/>
        </w:rPr>
        <w:t>As a result, our financial statements may not be comparable to companies that comply with public company effective dates.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We expect these rules and regulations to increase our legal and financial compliance costs and to make some corporate activities more time-consuming and costly. After we cease to be an “emerging growth company,” we expect to incur significant expenses and devote substantial management effort toward ensuring compliance with the requirements of Section 404 of the Sarbanes-Oxley Act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3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003082"/>
        </w:rPr>
        <w:t>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As a Cayman Islands exempted company that will be listed on the Nasdaq Global Select Market, we are subject to the Nasdaq Stock Market corporate governance rules.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corporate governance standards. If we choose to follow home country practice in the future, our shareholders may be afforded less protection than they would otherwise enjoy under the Nasdaq Stock Market corporate governance standards applicable to U.S. domestic issuers.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68</w:t>
      </w:r>
    </w:p>
    <w:p>
      <w:pPr>
        <w:sectPr>
          <w:pgSz w:w="11900" w:h="16838" w:orient="portrait"/>
          <w:cols w:equalWidth="0" w:num="1">
            <w:col w:w="11240"/>
          </w:cols>
          <w:pgMar w:left="320" w:top="34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003082"/>
        </w:rPr>
        <w:t>SPECIAL NOTE REGARDING FORWARD-LOOKING STATEMENTS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This prospectus contains forward-looking statements that involve risks and uncertainties, including statements based on our current expectations, assumptions, estimates and projections about us and our industry. These forward-looking statements are contained principally in the sections of this prospectus captioned “Prospectus Summary,” “Risk Factors,” “Use of Proceeds,” “Management’s Discussion and Analysis of Financial Condition and Results of Operations” and “Business.” In some cases, these forward-looking statements can be identified by words or phrases such as “may,” “will,” “expect,” “anticipate,” “aim,” “estimate,” “intend,” “plan,” “believe,” “potential,” “continue,” “is likely to” or the negative of these terms or other comparable terminology, although not all forward-looking statements contain these words.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effectively manage our growth and expand our operations;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attract new developers to our platform and convert them into customers;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retain existing customers and expand their usage of our platform and products;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7"/>
          <w:szCs w:val="17"/>
          <w:color w:val="003082"/>
        </w:rPr>
      </w:pPr>
      <w:r>
        <w:rPr>
          <w:rFonts w:ascii="Arial" w:cs="Arial" w:eastAsia="Arial" w:hAnsi="Arial"/>
          <w:sz w:val="17"/>
          <w:szCs w:val="17"/>
          <w:color w:val="003082"/>
        </w:rPr>
        <w:t>our ability to drive popularity and usage of existing use cases and enable new ones, particularly centered on real-time video engagement;</w:t>
      </w:r>
    </w:p>
    <w:p>
      <w:pPr>
        <w:spacing w:after="0" w:line="182" w:lineRule="exact"/>
        <w:rPr>
          <w:rFonts w:ascii="Arial" w:cs="Arial" w:eastAsia="Arial" w:hAnsi="Arial"/>
          <w:sz w:val="17"/>
          <w:szCs w:val="17"/>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the impact of the COVID-19 pandemic on global markets and our business, operations and customers;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continue to introduce new products, features and functionalities;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6"/>
          <w:szCs w:val="16"/>
          <w:color w:val="003082"/>
        </w:rPr>
      </w:pPr>
      <w:r>
        <w:rPr>
          <w:rFonts w:ascii="Arial" w:cs="Arial" w:eastAsia="Arial" w:hAnsi="Arial"/>
          <w:sz w:val="16"/>
          <w:szCs w:val="16"/>
          <w:color w:val="003082"/>
        </w:rPr>
        <w:t>our ability to continue to enhance the quality of the end-user experience and drive demand for RTE through our research and development efforts;</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maintain and enhance our brand;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the growth of the RTE-PaaS market;</w:t>
      </w:r>
    </w:p>
    <w:p>
      <w:pPr>
        <w:spacing w:after="0" w:line="171" w:lineRule="exact"/>
        <w:rPr>
          <w:rFonts w:ascii="Arial" w:cs="Arial" w:eastAsia="Arial" w:hAnsi="Arial"/>
          <w:sz w:val="18"/>
          <w:szCs w:val="18"/>
          <w:color w:val="003082"/>
        </w:rPr>
      </w:pPr>
    </w:p>
    <w:p>
      <w:pPr>
        <w:ind w:left="660" w:right="20" w:hanging="328"/>
        <w:spacing w:after="0" w:line="277" w:lineRule="auto"/>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the effect of broader technological and market trends, such as the deployment of 5G networks and proliferation of IoT devices, on our business and prospects;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hire and retain experienced and talented employees as we grow our business;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ability to remain competitive as we continue to scale our business;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general economic conditions and their impact on customer and end-user demand;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36"/>
        </w:numPr>
        <w:rPr>
          <w:rFonts w:ascii="Arial" w:cs="Arial" w:eastAsia="Arial" w:hAnsi="Arial"/>
          <w:sz w:val="18"/>
          <w:szCs w:val="18"/>
          <w:color w:val="003082"/>
        </w:rPr>
      </w:pPr>
      <w:r>
        <w:rPr>
          <w:rFonts w:ascii="Arial" w:cs="Arial" w:eastAsia="Arial" w:hAnsi="Arial"/>
          <w:sz w:val="18"/>
          <w:szCs w:val="18"/>
          <w:color w:val="003082"/>
        </w:rPr>
        <w:t>our anticipated uses of the net proceeds from this offering and the concurrent private placement.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You should refer to the section of this prospectus captioned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69</w:t>
      </w:r>
    </w:p>
    <w:p>
      <w:pPr>
        <w:sectPr>
          <w:pgSz w:w="11900" w:h="16838" w:orient="portrait"/>
          <w:cols w:equalWidth="0" w:num="1">
            <w:col w:w="11240"/>
          </w:cols>
          <w:pgMar w:left="320" w:top="445" w:right="339" w:bottom="1440" w:gutter="0" w:footer="0" w:header="0"/>
        </w:sectPr>
      </w:pPr>
    </w:p>
    <w:bookmarkStart w:id="74" w:name="page75"/>
    <w:bookmarkEnd w:id="74"/>
    <w:p>
      <w:pPr>
        <w:jc w:val="both"/>
        <w:spacing w:after="0" w:line="272" w:lineRule="auto"/>
        <w:rPr>
          <w:sz w:val="20"/>
          <w:szCs w:val="20"/>
          <w:color w:val="auto"/>
        </w:rPr>
      </w:pPr>
      <w:r>
        <w:rPr>
          <w:rFonts w:ascii="Arial" w:cs="Arial" w:eastAsia="Arial" w:hAnsi="Arial"/>
          <w:sz w:val="17"/>
          <w:szCs w:val="17"/>
          <w:color w:val="003082"/>
        </w:rPr>
        <w:t>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read this prospectus and the documents that we have referred to in this prospectus and have filed as exhibits to the registration statement, of which this prospectus is a part, completely and with the understanding that our actual future results may be materially different from our expectations.</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This prospectus also contains market data relating to the RTE-PaaS industry, including market position, market size and growth rates of the markets in which we operate, that are based on industry publications and reports. This prospectus contains statistical data and estimates published by International Data Corporation. This information involves a number of assumptions, estimates and limitations. These industry publications, surveys and forecasts generally indicate that their information has been obtained from sources believed to be reliable, although they do not guarantee the accuracy or completeness of such information. Nothing in such data should be construed as advice. We have not independently verified the accuracy or completeness of the data contained in these industry publications and reports. The RTE-PaaS industry may not grow at the rates projected by market data, or at all. The failure of these markets to grow at the projected rates may materially and adversely affect our business and the market price of our ADSs. If any one 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You should not place undue reliance on these forward-looking statements.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70</w:t>
      </w:r>
    </w:p>
    <w:p>
      <w:pPr>
        <w:sectPr>
          <w:pgSz w:w="11900" w:h="16838" w:orient="portrait"/>
          <w:cols w:equalWidth="0" w:num="1">
            <w:col w:w="11240"/>
          </w:cols>
          <w:pgMar w:left="320" w:top="34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003082"/>
        </w:rPr>
        <w:t>USE OF PROCEEDS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estimate that we will receive net proceeds of approximately US$434.8 million from this offering and the concurrent private placement (or US$483.7 million if the underwriters exercise their over-allotment option in full), after deducting underwriting discounts and commissions and estimated offering expenses payable by us.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principal purposes of this offering are to create a public market for our ADSs, increase our visibility in our markets and facilitate our future access to the public equity markets for us and our shareholders. We intend to use the net proceeds of this offering and the concurrent private placement for research and development, marketing and branding, investment in technology infrastructure as well as for working capital and other general corporate purposes.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The foregoing represents our intentions as of the date of this prospectus with respect of the use and allocation of the net proceeds of this offering and the concurrent private placement based upon our present plans and business conditions, but our management will have significant flexibility and discretion in applying the net proceeds of this offering and the concurrent private placement. The occurrence of unforeseen events or changed business conditions may result in application of the proceeds of this offering and the concurrent private placement in a manner other than as described in this prospectus.</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To the extent that the net proceeds we receive from this offering and the concurrent private placement are not immediately applied for the above purposes, we intend to invest our net proceeds in short-term, interest-bearing, debt instruments or bank deposits.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In using the proceeds of this offering and the concurrent private placement, we, as an offshore holding company, are permitted under PRC laws and regulations to provide funding to our WFOE only through loans or capital contributions and to our VIE only through loans. Subject to satisfaction of applicable government registration and approval requirements, we may extend inter-company loans to our WFOE or make additional capital contributions to our WFOE to fund its capital expenditures or working capital. Any failure will delay or prevent us from applying the net proceeds from this offering and the concurrent private placement to our WFOE and consolidated affiliated entities. We cannot assure you that we will be able to obtain these government registrations or approvals on a timely basis, if at all. For further information, see the section of this prospectus captioned “Risk Factors—Risks Related to Doing Business in China—PRC regulation of loans to, and direct investment in, PRC entities by offshore holding companies and governmental control of currency conversion may restrict or prevent us from using the proceeds of this offering to make loans to our WFOE and our VIE, or to make additional capital contributions to our WFOE.”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71</w:t>
      </w:r>
    </w:p>
    <w:p>
      <w:pPr>
        <w:sectPr>
          <w:pgSz w:w="11900" w:h="16838" w:orient="portrait"/>
          <w:cols w:equalWidth="0" w:num="1">
            <w:col w:w="11240"/>
          </w:cols>
          <w:pgMar w:left="320" w:top="44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003082"/>
        </w:rPr>
        <w:t>DIVIDEND POLICY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Since our inception, we have not declared or paid any dividends on our shares. We do not have any present plan to pay any dividends on our Class A or Class B ordinary shares or ADSs in the foreseeable future. We intend to retain most, if not all, of our available funds and any future earnings to operate and expand our business.</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on our ordinary shares, the form, frequency and amount will depend upon our future operations and earnings, capital requirements and surplus, general financial condition, contractual restrictions and other factors that the board of directors may deem relevant.</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the section of this prospectus captioned “Description of American Depositary Shares.” Cash dividends on our Class A ordinary shares, if any, will be paid in U.S. dollars.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We are an exempted company incorporated in the Cayman Islands. In order for us to distribute any dividends to our shareholders and ADS holders, we may rely on dividends distributed by our WFOE and our VIE. Certain payments from our WFOE and our VIE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Our WFOE and our VIE are required to set aside at least 10% of their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72</w:t>
      </w:r>
    </w:p>
    <w:p>
      <w:pPr>
        <w:sectPr>
          <w:pgSz w:w="11900" w:h="16838" w:orient="portrait"/>
          <w:cols w:equalWidth="0" w:num="1">
            <w:col w:w="11240"/>
          </w:cols>
          <w:pgMar w:left="320" w:top="445" w:right="339" w:bottom="1440" w:gutter="0" w:footer="0" w:header="0"/>
        </w:sectPr>
      </w:pPr>
    </w:p>
    <w:bookmarkStart w:id="77" w:name="page78"/>
    <w:bookmarkEnd w:id="77"/>
    <w:p>
      <w:pPr>
        <w:ind w:left="4840"/>
        <w:spacing w:after="0"/>
        <w:rPr>
          <w:sz w:val="20"/>
          <w:szCs w:val="20"/>
          <w:color w:val="auto"/>
        </w:rPr>
      </w:pPr>
      <w:r>
        <w:rPr>
          <w:rFonts w:ascii="Arial" w:cs="Arial" w:eastAsia="Arial" w:hAnsi="Arial"/>
          <w:sz w:val="18"/>
          <w:szCs w:val="18"/>
          <w:b w:val="1"/>
          <w:bCs w:val="1"/>
          <w:color w:val="003082"/>
        </w:rPr>
        <w:t>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sets forth our cash and cash equivalents and capitalization as of March 31, 2020:</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003082"/>
        </w:rPr>
      </w:pPr>
      <w:r>
        <w:rPr>
          <w:rFonts w:ascii="Arial" w:cs="Arial" w:eastAsia="Arial" w:hAnsi="Arial"/>
          <w:sz w:val="18"/>
          <w:szCs w:val="18"/>
          <w:color w:val="003082"/>
        </w:rPr>
        <w:t>on an actual basis;</w:t>
      </w:r>
    </w:p>
    <w:p>
      <w:pPr>
        <w:spacing w:after="0" w:line="171" w:lineRule="exact"/>
        <w:rPr>
          <w:rFonts w:ascii="Arial" w:cs="Arial" w:eastAsia="Arial" w:hAnsi="Arial"/>
          <w:sz w:val="18"/>
          <w:szCs w:val="18"/>
          <w:color w:val="003082"/>
        </w:rPr>
      </w:pPr>
    </w:p>
    <w:p>
      <w:pPr>
        <w:jc w:val="both"/>
        <w:ind w:left="660" w:hanging="328"/>
        <w:spacing w:after="0" w:line="275" w:lineRule="auto"/>
        <w:tabs>
          <w:tab w:leader="none" w:pos="660" w:val="left"/>
        </w:tabs>
        <w:numPr>
          <w:ilvl w:val="0"/>
          <w:numId w:val="37"/>
        </w:numPr>
        <w:rPr>
          <w:rFonts w:ascii="Arial" w:cs="Arial" w:eastAsia="Arial" w:hAnsi="Arial"/>
          <w:sz w:val="17"/>
          <w:szCs w:val="17"/>
          <w:color w:val="003082"/>
        </w:rPr>
      </w:pPr>
      <w:r>
        <w:rPr>
          <w:rFonts w:ascii="Arial" w:cs="Arial" w:eastAsia="Arial" w:hAnsi="Arial"/>
          <w:sz w:val="17"/>
          <w:szCs w:val="17"/>
          <w:color w:val="003082"/>
        </w:rPr>
        <w:t>on a pro forma basis to reflect (1) the re-designation of 76,179,938 ordinary shares (including 623,843 restricted shares unvested as of March 31, 2020) beneficially owned by our chief executive officer into Class B ordinary shares on a one-for-one basis immediately prior to the completion of this offering, (2) the re-designation of all of the remaining ordinary shares into Class A ordinary shares on a one-for-one basis immediately prior to the completion of this offering and (3) the automatic conversion and the re-designation of all of our issued and outstanding preferred shares on a one-for-one basis into Class A ordinary shares immediately prior to the completion of this offering; and</w:t>
      </w:r>
    </w:p>
    <w:p>
      <w:pPr>
        <w:spacing w:after="0" w:line="122" w:lineRule="exact"/>
        <w:rPr>
          <w:rFonts w:ascii="Arial" w:cs="Arial" w:eastAsia="Arial" w:hAnsi="Arial"/>
          <w:sz w:val="17"/>
          <w:szCs w:val="17"/>
          <w:color w:val="003082"/>
        </w:rPr>
      </w:pPr>
    </w:p>
    <w:p>
      <w:pPr>
        <w:jc w:val="both"/>
        <w:ind w:left="660" w:hanging="328"/>
        <w:spacing w:after="0" w:line="286" w:lineRule="auto"/>
        <w:tabs>
          <w:tab w:leader="none" w:pos="660" w:val="left"/>
        </w:tabs>
        <w:numPr>
          <w:ilvl w:val="0"/>
          <w:numId w:val="37"/>
        </w:numPr>
        <w:rPr>
          <w:rFonts w:ascii="Arial" w:cs="Arial" w:eastAsia="Arial" w:hAnsi="Arial"/>
          <w:sz w:val="17"/>
          <w:szCs w:val="17"/>
          <w:color w:val="003082"/>
        </w:rPr>
      </w:pPr>
      <w:r>
        <w:rPr>
          <w:rFonts w:ascii="Arial" w:cs="Arial" w:eastAsia="Arial" w:hAnsi="Arial"/>
          <w:sz w:val="17"/>
          <w:szCs w:val="17"/>
          <w:color w:val="003082"/>
        </w:rPr>
        <w:t>on a pro forma as adjusted basis to reflect (1) the pro forma adjustments set forth above and (2) the issuance and sale of Class A ordinary shares in the form of ADSs by us in this offering and the issuance and sale of Class A ordinary shares by us in the concurrent private placement, after deducting underwriting discounts and commissions and estimated offering expenses payable by us.</w:t>
      </w:r>
    </w:p>
    <w:p>
      <w:pPr>
        <w:spacing w:after="0" w:line="11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003082"/>
        </w:rPr>
        <w:t>You should read this table in conjunction with our consolidated financial statements and the related notes included elsewhere in this prospectus and the section of this prospectus captioned “Management’s Discussion and Analysis of Financial Condition and Results of Operations.”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73</w:t>
      </w:r>
    </w:p>
    <w:p>
      <w:pPr>
        <w:sectPr>
          <w:pgSz w:w="11900" w:h="16838" w:orient="portrait"/>
          <w:cols w:equalWidth="0" w:num="1">
            <w:col w:w="11240"/>
          </w:cols>
          <w:pgMar w:left="320" w:top="44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124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1560" w:type="dxa"/>
            <w:vAlign w:val="bottom"/>
            <w:tcBorders>
              <w:bottom w:val="single" w:sz="8" w:color="3D5588"/>
            </w:tcBorders>
            <w:gridSpan w:val="2"/>
          </w:tcPr>
          <w:p>
            <w:pPr>
              <w:jc w:val="center"/>
              <w:ind w:right="220"/>
              <w:spacing w:after="0"/>
              <w:rPr>
                <w:sz w:val="20"/>
                <w:szCs w:val="20"/>
                <w:color w:val="auto"/>
              </w:rPr>
            </w:pPr>
            <w:r>
              <w:rPr>
                <w:rFonts w:ascii="Arial" w:cs="Arial" w:eastAsia="Arial" w:hAnsi="Arial"/>
                <w:sz w:val="14"/>
                <w:szCs w:val="14"/>
                <w:b w:val="1"/>
                <w:bCs w:val="1"/>
                <w:color w:val="003082"/>
                <w:w w:val="93"/>
              </w:rPr>
              <w:t>As of March 31, 2020</w:t>
            </w:r>
          </w:p>
        </w:tc>
        <w:tc>
          <w:tcPr>
            <w:tcW w:w="46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340" w:type="dxa"/>
            <w:vAlign w:val="bottom"/>
            <w:tcBorders>
              <w:bottom w:val="single" w:sz="8" w:color="3D5588"/>
            </w:tcBorders>
            <w:gridSpan w:val="2"/>
          </w:tcPr>
          <w:p>
            <w:pPr>
              <w:ind w:left="240"/>
              <w:spacing w:after="0"/>
              <w:rPr>
                <w:sz w:val="20"/>
                <w:szCs w:val="20"/>
                <w:color w:val="auto"/>
              </w:rPr>
            </w:pPr>
            <w:r>
              <w:rPr>
                <w:rFonts w:ascii="Arial" w:cs="Arial" w:eastAsia="Arial" w:hAnsi="Arial"/>
                <w:sz w:val="14"/>
                <w:szCs w:val="14"/>
                <w:b w:val="1"/>
                <w:bCs w:val="1"/>
                <w:color w:val="003082"/>
              </w:rPr>
              <w:t>Actual</w:t>
            </w:r>
          </w:p>
        </w:tc>
        <w:tc>
          <w:tcPr>
            <w:tcW w:w="120" w:type="dxa"/>
            <w:vAlign w:val="bottom"/>
            <w:tcBorders>
              <w:bottom w:val="single" w:sz="8" w:color="3D5588"/>
            </w:tcBorders>
          </w:tcPr>
          <w:p>
            <w:pPr>
              <w:spacing w:after="0"/>
              <w:rPr>
                <w:sz w:val="22"/>
                <w:szCs w:val="22"/>
                <w:color w:val="auto"/>
              </w:rPr>
            </w:pPr>
          </w:p>
        </w:tc>
        <w:tc>
          <w:tcPr>
            <w:tcW w:w="1560" w:type="dxa"/>
            <w:vAlign w:val="bottom"/>
            <w:tcBorders>
              <w:bottom w:val="single" w:sz="8" w:color="3D5588"/>
            </w:tcBorders>
            <w:gridSpan w:val="2"/>
          </w:tcPr>
          <w:p>
            <w:pPr>
              <w:jc w:val="center"/>
              <w:ind w:right="240"/>
              <w:spacing w:after="0"/>
              <w:rPr>
                <w:sz w:val="20"/>
                <w:szCs w:val="20"/>
                <w:color w:val="auto"/>
              </w:rPr>
            </w:pPr>
            <w:r>
              <w:rPr>
                <w:rFonts w:ascii="Arial" w:cs="Arial" w:eastAsia="Arial" w:hAnsi="Arial"/>
                <w:sz w:val="14"/>
                <w:szCs w:val="14"/>
                <w:b w:val="1"/>
                <w:bCs w:val="1"/>
                <w:color w:val="003082"/>
                <w:w w:val="97"/>
              </w:rPr>
              <w:t>Pro Forma</w:t>
            </w:r>
          </w:p>
        </w:tc>
        <w:tc>
          <w:tcPr>
            <w:tcW w:w="1560" w:type="dxa"/>
            <w:vAlign w:val="bottom"/>
            <w:tcBorders>
              <w:bottom w:val="single" w:sz="8" w:color="3D5588"/>
            </w:tcBorders>
            <w:gridSpan w:val="2"/>
          </w:tcPr>
          <w:p>
            <w:pPr>
              <w:jc w:val="right"/>
              <w:spacing w:after="0"/>
              <w:rPr>
                <w:sz w:val="20"/>
                <w:szCs w:val="20"/>
                <w:color w:val="auto"/>
              </w:rPr>
            </w:pPr>
            <w:r>
              <w:rPr>
                <w:rFonts w:ascii="Arial" w:cs="Arial" w:eastAsia="Arial" w:hAnsi="Arial"/>
                <w:sz w:val="14"/>
                <w:szCs w:val="14"/>
                <w:b w:val="1"/>
                <w:bCs w:val="1"/>
                <w:color w:val="003082"/>
                <w:w w:val="95"/>
              </w:rPr>
              <w:t>Pro Forma As Adjusted</w:t>
            </w: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3082"/>
                <w:w w:val="90"/>
              </w:rPr>
              <w:t>(US$ in thousands)</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40" w:type="dxa"/>
            <w:vAlign w:val="bottom"/>
            <w:tcBorders>
              <w:bottom w:val="single" w:sz="8" w:color="3D5588"/>
            </w:tcBorders>
            <w:shd w:val="clear" w:color="auto" w:fill="CCEEFF"/>
          </w:tcPr>
          <w:p>
            <w:pPr>
              <w:jc w:val="right"/>
              <w:ind w:right="31"/>
              <w:spacing w:after="0"/>
              <w:rPr>
                <w:sz w:val="20"/>
                <w:szCs w:val="20"/>
                <w:color w:val="auto"/>
              </w:rPr>
            </w:pPr>
            <w:r>
              <w:rPr>
                <w:rFonts w:ascii="Arial" w:cs="Arial" w:eastAsia="Arial" w:hAnsi="Arial"/>
                <w:sz w:val="18"/>
                <w:szCs w:val="18"/>
                <w:color w:val="003082"/>
              </w:rPr>
              <w:t>151,653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44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rPr>
              <w:t>151,653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3D5588"/>
            </w:tcBorders>
            <w:shd w:val="clear" w:color="auto" w:fill="CCEEFF"/>
          </w:tcPr>
          <w:p>
            <w:pPr>
              <w:jc w:val="right"/>
              <w:ind w:right="255"/>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3D5588"/>
            </w:tcBorders>
            <w:shd w:val="clear" w:color="auto" w:fill="CCEEFF"/>
          </w:tcPr>
          <w:p>
            <w:pPr>
              <w:jc w:val="right"/>
              <w:ind w:right="10"/>
              <w:spacing w:after="0"/>
              <w:rPr>
                <w:sz w:val="20"/>
                <w:szCs w:val="20"/>
                <w:color w:val="auto"/>
              </w:rPr>
            </w:pPr>
            <w:r>
              <w:rPr>
                <w:rFonts w:ascii="Arial" w:cs="Arial" w:eastAsia="Arial" w:hAnsi="Arial"/>
                <w:sz w:val="18"/>
                <w:szCs w:val="18"/>
                <w:color w:val="003082"/>
              </w:rPr>
              <w:t>586,491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8"/>
                <w:szCs w:val="18"/>
                <w:color w:val="003082"/>
              </w:rPr>
              <w:t>Mezzanine equity:</w:t>
            </w:r>
          </w:p>
        </w:tc>
        <w:tc>
          <w:tcPr>
            <w:tcW w:w="360" w:type="dxa"/>
            <w:vAlign w:val="bottom"/>
            <w:tcBorders>
              <w:bottom w:val="single" w:sz="8" w:color="3D5588"/>
            </w:tcBorders>
          </w:tcPr>
          <w:p>
            <w:pPr>
              <w:spacing w:after="0" w:line="20" w:lineRule="exact"/>
              <w:rPr>
                <w:sz w:val="1"/>
                <w:szCs w:val="1"/>
                <w:color w:val="auto"/>
              </w:rPr>
            </w:pPr>
          </w:p>
        </w:tc>
        <w:tc>
          <w:tcPr>
            <w:tcW w:w="12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44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3D5588"/>
            </w:tcBorders>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3"/>
              </w:rPr>
              <w:t>Series A convertible redeemable preferred shares ($0.0001 par value, 55,626,960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rPr>
              <w:t>shares authorized, issued and outstanding, actual; no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outstanding, pro forma and pro forma as adjusted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003082"/>
              </w:rPr>
              <w:t>123,629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003082"/>
                <w:w w:val="93"/>
              </w:rPr>
              <w:t>Series B convertible redeemable preferred shares ($0.0001 par value, 50,783,698</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rPr>
              <w:t>shares authorized, issued and outstanding, actual; no shares issued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003082"/>
              </w:rPr>
              <w:t>outstanding, pro forma and pro forma as adjusted</w:t>
            </w: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003082"/>
              </w:rPr>
              <w:t>30,069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1"/>
              </w:rPr>
              <w:t>Series B+ convertible redeemable preferred shares ($0.0001 par value, 26,651,410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rPr>
              <w:t>shares authorized, issued and outstanding, actual; no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outstanding, pro forma and pro forma as adjusted</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003082"/>
              </w:rPr>
              <w:t>46,375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003082"/>
                <w:w w:val="93"/>
              </w:rPr>
              <w:t>Series C convertible redeemable preferred shares ($0.0001 par value, 36,533,085</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w w:val="92"/>
              </w:rPr>
              <w:t>shares authorized, 34,793,413 issued and outstanding, actual; no shares issued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003082"/>
              </w:rPr>
              <w:t>and outstanding, pro forma and pro forma as adjusted</w:t>
            </w: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003082"/>
              </w:rPr>
              <w:t>75,114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1"/>
              </w:rPr>
              <w:t>Series C+ convertible redeemable preferred shares ($0.0001 par value, 15,062,510</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rPr>
              <w:t>shares authorized, issued and outstanding, actual; no shares issued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outstanding, pro forma and pro forma as adjusted</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003082"/>
              </w:rPr>
              <w:t>50,748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003082"/>
              </w:rPr>
              <w:t>Total Mezzanine equity</w:t>
            </w:r>
          </w:p>
        </w:tc>
        <w:tc>
          <w:tcPr>
            <w:tcW w:w="360" w:type="dxa"/>
            <w:vAlign w:val="bottom"/>
            <w:tcBorders>
              <w:top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40" w:type="dxa"/>
            <w:vAlign w:val="bottom"/>
            <w:tcBorders>
              <w:top w:val="single" w:sz="8" w:color="3D5588"/>
            </w:tcBorders>
          </w:tcPr>
          <w:p>
            <w:pPr>
              <w:jc w:val="right"/>
              <w:ind w:right="31"/>
              <w:spacing w:after="0"/>
              <w:rPr>
                <w:sz w:val="20"/>
                <w:szCs w:val="20"/>
                <w:color w:val="auto"/>
              </w:rPr>
            </w:pPr>
            <w:r>
              <w:rPr>
                <w:rFonts w:ascii="Arial" w:cs="Arial" w:eastAsia="Arial" w:hAnsi="Arial"/>
                <w:sz w:val="18"/>
                <w:szCs w:val="18"/>
                <w:color w:val="003082"/>
              </w:rPr>
              <w:t>325,934</w:t>
            </w:r>
          </w:p>
        </w:tc>
        <w:tc>
          <w:tcPr>
            <w:tcW w:w="100" w:type="dxa"/>
            <w:vAlign w:val="bottom"/>
          </w:tcPr>
          <w:p>
            <w:pPr>
              <w:spacing w:after="0"/>
              <w:rPr>
                <w:sz w:val="20"/>
                <w:szCs w:val="20"/>
                <w:color w:val="auto"/>
              </w:rPr>
            </w:pPr>
          </w:p>
        </w:tc>
        <w:tc>
          <w:tcPr>
            <w:tcW w:w="1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44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0"/>
                <w:szCs w:val="20"/>
                <w:color w:val="auto"/>
              </w:rPr>
            </w:pPr>
          </w:p>
        </w:tc>
        <w:tc>
          <w:tcPr>
            <w:tcW w:w="460" w:type="dxa"/>
            <w:vAlign w:val="bottom"/>
            <w:tcBorders>
              <w:top w:val="single" w:sz="8" w:color="3D5588"/>
            </w:tcBorders>
          </w:tcPr>
          <w:p>
            <w:pPr>
              <w:jc w:val="right"/>
              <w:ind w:right="255"/>
              <w:spacing w:after="0"/>
              <w:rPr>
                <w:sz w:val="20"/>
                <w:szCs w:val="20"/>
                <w:color w:val="auto"/>
              </w:rPr>
            </w:pPr>
            <w:r>
              <w:rPr>
                <w:rFonts w:ascii="Arial" w:cs="Arial" w:eastAsia="Arial" w:hAnsi="Arial"/>
                <w:sz w:val="18"/>
                <w:szCs w:val="18"/>
                <w:color w:val="003082"/>
                <w:w w:val="99"/>
              </w:rPr>
              <w:t>$</w:t>
            </w:r>
          </w:p>
        </w:tc>
        <w:tc>
          <w:tcPr>
            <w:tcW w:w="1100" w:type="dxa"/>
            <w:vAlign w:val="bottom"/>
            <w:tcBorders>
              <w:top w:val="single" w:sz="8" w:color="3D5588"/>
            </w:tcBorders>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44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Shareholders’ deficit: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003082"/>
                <w:w w:val="93"/>
              </w:rPr>
              <w:t>Ordinary shares, US$0.0001 par value per share, 330,404,847 shares authorized,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rPr>
              <w:t>120,757,715 shares issued and outstanding, actual; no shares issued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003082"/>
              </w:rPr>
              <w:t>outstanding, pro forma and pro forma as adjusted</w:t>
            </w:r>
          </w:p>
        </w:tc>
        <w:tc>
          <w:tcPr>
            <w:tcW w:w="36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003082"/>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5"/>
              </w:rPr>
              <w:t>Class A ordinary shares, US$0.0001 par value per share, no shares authorized,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rPr>
              <w:t>issued or outstanding, actual; 800,000,000 shares authorized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w w:val="97"/>
              </w:rPr>
              <w:t>228,119,611 shares issued and outstanding, pro forma; 800,000,000 shares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w w:val="90"/>
              </w:rPr>
              <w:t>authorized and 320,119,609 shares issued and outstanding, pro forma as adjusted</w:t>
            </w:r>
          </w:p>
        </w:tc>
        <w:tc>
          <w:tcPr>
            <w:tcW w:w="3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32</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003082"/>
                <w:w w:val="95"/>
              </w:rPr>
              <w:t>Class B ordinary shares, US$0.0001 par value per share, no shares authorized,</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w w:val="97"/>
              </w:rPr>
              <w:t>issued or outstanding, actual; 76,179,938 shares authorized and 75,556,095</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003082"/>
              </w:rPr>
              <w:t>shares, issued and outstanding, pro forma, and pro forma as adjusted</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003082"/>
              </w:rPr>
              <w:t>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003082"/>
              </w:rPr>
              <w:t>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325,916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760,744</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Accumulated other comprehensive loss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003082"/>
              </w:rPr>
              <w:t>(1,490)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003082"/>
              </w:rPr>
              <w:t>(1,490)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(1,490)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(157,845)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(157,845)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(157,845)</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003082"/>
              </w:rPr>
              <w:t>Total shareholders’ equity (deficit)</w:t>
            </w:r>
          </w:p>
        </w:tc>
        <w:tc>
          <w:tcPr>
            <w:tcW w:w="360" w:type="dxa"/>
            <w:vAlign w:val="bottom"/>
            <w:tcBorders>
              <w:top w:val="single" w:sz="8" w:color="3D5588"/>
            </w:tcBorders>
          </w:tcPr>
          <w:p>
            <w:pPr>
              <w:spacing w:after="0"/>
              <w:rPr>
                <w:sz w:val="20"/>
                <w:szCs w:val="20"/>
                <w:color w:val="auto"/>
              </w:rPr>
            </w:pPr>
          </w:p>
        </w:tc>
        <w:tc>
          <w:tcPr>
            <w:tcW w:w="124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(159,323)</w:t>
            </w:r>
          </w:p>
        </w:tc>
        <w:tc>
          <w:tcPr>
            <w:tcW w:w="100" w:type="dxa"/>
            <w:vAlign w:val="bottom"/>
          </w:tcPr>
          <w:p>
            <w:pPr>
              <w:spacing w:after="0"/>
              <w:rPr>
                <w:sz w:val="20"/>
                <w:szCs w:val="20"/>
                <w:color w:val="auto"/>
              </w:rPr>
            </w:pPr>
          </w:p>
        </w:tc>
        <w:tc>
          <w:tcPr>
            <w:tcW w:w="120" w:type="dxa"/>
            <w:vAlign w:val="bottom"/>
            <w:tcBorders>
              <w:top w:val="single" w:sz="8" w:color="3D5588"/>
            </w:tcBorders>
          </w:tcPr>
          <w:p>
            <w:pPr>
              <w:spacing w:after="0"/>
              <w:rPr>
                <w:sz w:val="20"/>
                <w:szCs w:val="20"/>
                <w:color w:val="auto"/>
              </w:rPr>
            </w:pPr>
          </w:p>
        </w:tc>
        <w:tc>
          <w:tcPr>
            <w:tcW w:w="144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rPr>
              <w:t>166,611</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3D5588"/>
            </w:tcBorders>
          </w:tcPr>
          <w:p>
            <w:pPr>
              <w:spacing w:after="0"/>
              <w:rPr>
                <w:sz w:val="20"/>
                <w:szCs w:val="20"/>
                <w:color w:val="auto"/>
              </w:rPr>
            </w:pPr>
          </w:p>
        </w:tc>
        <w:tc>
          <w:tcPr>
            <w:tcW w:w="1100" w:type="dxa"/>
            <w:vAlign w:val="bottom"/>
            <w:tcBorders>
              <w:top w:val="single" w:sz="8" w:color="3D5588"/>
            </w:tcBorders>
          </w:tcPr>
          <w:p>
            <w:pPr>
              <w:jc w:val="right"/>
              <w:ind w:right="10"/>
              <w:spacing w:after="0"/>
              <w:rPr>
                <w:sz w:val="20"/>
                <w:szCs w:val="20"/>
                <w:color w:val="auto"/>
              </w:rPr>
            </w:pPr>
            <w:r>
              <w:rPr>
                <w:rFonts w:ascii="Arial" w:cs="Arial" w:eastAsia="Arial" w:hAnsi="Arial"/>
                <w:sz w:val="18"/>
                <w:szCs w:val="18"/>
                <w:color w:val="003082"/>
              </w:rPr>
              <w:t>601,449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44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 mezzanine equity and shareholders’ equity (deficit)</w:t>
            </w:r>
          </w:p>
        </w:tc>
        <w:tc>
          <w:tcPr>
            <w:tcW w:w="360" w:type="dxa"/>
            <w:vAlign w:val="bottom"/>
            <w:tcBorders>
              <w:bottom w:val="single" w:sz="8" w:color="3D5588"/>
            </w:tcBorders>
            <w:shd w:val="clear" w:color="auto" w:fill="CCEEFF"/>
          </w:tcPr>
          <w:p>
            <w:pPr>
              <w:spacing w:after="0"/>
              <w:rPr>
                <w:sz w:val="22"/>
                <w:szCs w:val="22"/>
                <w:color w:val="auto"/>
              </w:rPr>
            </w:pPr>
          </w:p>
        </w:tc>
        <w:tc>
          <w:tcPr>
            <w:tcW w:w="1240" w:type="dxa"/>
            <w:vAlign w:val="bottom"/>
            <w:tcBorders>
              <w:bottom w:val="single" w:sz="8" w:color="3D5588"/>
            </w:tcBorders>
            <w:shd w:val="clear" w:color="auto" w:fill="CCEEFF"/>
          </w:tcPr>
          <w:p>
            <w:pPr>
              <w:jc w:val="right"/>
              <w:ind w:right="31"/>
              <w:spacing w:after="0"/>
              <w:rPr>
                <w:sz w:val="20"/>
                <w:szCs w:val="20"/>
                <w:color w:val="auto"/>
              </w:rPr>
            </w:pPr>
            <w:r>
              <w:rPr>
                <w:rFonts w:ascii="Arial" w:cs="Arial" w:eastAsia="Arial" w:hAnsi="Arial"/>
                <w:sz w:val="18"/>
                <w:szCs w:val="18"/>
                <w:color w:val="003082"/>
              </w:rPr>
              <w:t>197,154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3D5588"/>
            </w:tcBorders>
            <w:shd w:val="clear" w:color="auto" w:fill="CCEEFF"/>
          </w:tcPr>
          <w:p>
            <w:pPr>
              <w:spacing w:after="0"/>
              <w:rPr>
                <w:sz w:val="22"/>
                <w:szCs w:val="22"/>
                <w:color w:val="auto"/>
              </w:rPr>
            </w:pPr>
          </w:p>
        </w:tc>
        <w:tc>
          <w:tcPr>
            <w:tcW w:w="144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rPr>
              <w:t>197,154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3D5588"/>
            </w:tcBorders>
            <w:shd w:val="clear" w:color="auto" w:fill="CCEEFF"/>
          </w:tcPr>
          <w:p>
            <w:pPr>
              <w:spacing w:after="0"/>
              <w:rPr>
                <w:sz w:val="22"/>
                <w:szCs w:val="22"/>
                <w:color w:val="auto"/>
              </w:rPr>
            </w:pPr>
          </w:p>
        </w:tc>
        <w:tc>
          <w:tcPr>
            <w:tcW w:w="1100" w:type="dxa"/>
            <w:vAlign w:val="bottom"/>
            <w:tcBorders>
              <w:bottom w:val="single" w:sz="8" w:color="3D5588"/>
            </w:tcBorders>
            <w:shd w:val="clear" w:color="auto" w:fill="CCEEFF"/>
          </w:tcPr>
          <w:p>
            <w:pPr>
              <w:jc w:val="right"/>
              <w:ind w:right="10"/>
              <w:spacing w:after="0"/>
              <w:rPr>
                <w:sz w:val="20"/>
                <w:szCs w:val="20"/>
                <w:color w:val="auto"/>
              </w:rPr>
            </w:pPr>
            <w:r>
              <w:rPr>
                <w:rFonts w:ascii="Arial" w:cs="Arial" w:eastAsia="Arial" w:hAnsi="Arial"/>
                <w:sz w:val="18"/>
                <w:szCs w:val="18"/>
                <w:color w:val="003082"/>
              </w:rPr>
              <w:t>631,992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44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3D5588"/>
            </w:tcBorders>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The total number of Class A ordinary shares and Class B ordinary shares that will be issued and outstanding immediately after this offering and the concurrent private placement is based on 304,897,929 ordinary shares issued and outstanding on an as-converted basis as of May 31, 2020, and excludes:</w:t>
      </w:r>
    </w:p>
    <w:p>
      <w:pPr>
        <w:spacing w:after="0" w:line="70" w:lineRule="exact"/>
        <w:rPr>
          <w:sz w:val="20"/>
          <w:szCs w:val="20"/>
          <w:color w:val="auto"/>
        </w:rPr>
      </w:pPr>
    </w:p>
    <w:p>
      <w:pPr>
        <w:ind w:left="5540" w:right="2240" w:hanging="5208"/>
        <w:spacing w:after="0" w:line="715" w:lineRule="auto"/>
        <w:tabs>
          <w:tab w:leader="none" w:pos="662" w:val="left"/>
        </w:tabs>
        <w:numPr>
          <w:ilvl w:val="0"/>
          <w:numId w:val="38"/>
        </w:numPr>
        <w:rPr>
          <w:rFonts w:ascii="Arial" w:cs="Arial" w:eastAsia="Arial" w:hAnsi="Arial"/>
          <w:sz w:val="18"/>
          <w:szCs w:val="18"/>
          <w:color w:val="003082"/>
        </w:rPr>
      </w:pPr>
      <w:r>
        <w:rPr>
          <w:rFonts w:ascii="Arial" w:cs="Arial" w:eastAsia="Arial" w:hAnsi="Arial"/>
          <w:sz w:val="18"/>
          <w:szCs w:val="18"/>
          <w:color w:val="003082"/>
        </w:rPr>
        <w:t>43,694,845 ordinary shares issuable upon the vesting of outstanding options under the 2014 Plan and the 2018 Plan; 74</w:t>
      </w:r>
    </w:p>
    <w:p>
      <w:pPr>
        <w:sectPr>
          <w:pgSz w:w="11900" w:h="16838" w:orient="portrait"/>
          <w:cols w:equalWidth="0" w:num="1">
            <w:col w:w="11240"/>
          </w:cols>
          <w:pgMar w:left="320" w:top="562" w:right="339" w:bottom="1440" w:gutter="0" w:footer="0" w:header="0"/>
        </w:sectPr>
      </w:pPr>
    </w:p>
    <w:bookmarkStart w:id="79" w:name="page80"/>
    <w:bookmarkEnd w:id="79"/>
    <w:p>
      <w:pPr>
        <w:ind w:left="660" w:hanging="328"/>
        <w:spacing w:after="0" w:line="277" w:lineRule="auto"/>
        <w:tabs>
          <w:tab w:leader="none" w:pos="660" w:val="left"/>
        </w:tabs>
        <w:numPr>
          <w:ilvl w:val="0"/>
          <w:numId w:val="39"/>
        </w:numPr>
        <w:rPr>
          <w:rFonts w:ascii="Arial" w:cs="Arial" w:eastAsia="Arial" w:hAnsi="Arial"/>
          <w:sz w:val="18"/>
          <w:szCs w:val="18"/>
          <w:color w:val="003082"/>
        </w:rPr>
      </w:pPr>
      <w:r>
        <w:rPr>
          <w:rFonts w:ascii="Arial" w:cs="Arial" w:eastAsia="Arial" w:hAnsi="Arial"/>
          <w:sz w:val="18"/>
          <w:szCs w:val="18"/>
          <w:color w:val="003082"/>
        </w:rPr>
        <w:t>16,716,035 Class A ordinary shares reserved for future issuance under the Global Plan, which became effective one business day prior to the date of this prospectus; and</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39"/>
        </w:numPr>
        <w:rPr>
          <w:rFonts w:ascii="Arial" w:cs="Arial" w:eastAsia="Arial" w:hAnsi="Arial"/>
          <w:sz w:val="18"/>
          <w:szCs w:val="18"/>
          <w:color w:val="003082"/>
        </w:rPr>
      </w:pPr>
      <w:r>
        <w:rPr>
          <w:rFonts w:ascii="Arial" w:cs="Arial" w:eastAsia="Arial" w:hAnsi="Arial"/>
          <w:sz w:val="18"/>
          <w:szCs w:val="18"/>
          <w:color w:val="003082"/>
        </w:rPr>
        <w:t>3,000,000 Class A ordinary shares reserved for future issuance under the ESPP.</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Our Global Plan and ESPP provide for annual automatic increases in the number of Class A ordinary shares reserved thereunder, and our Global Plan also provides for increases to the number of Class A ordinary shares that may be granted thereunder based on shares under the 2014 Plan and the 2018 Plan that expire, are forfeited or are otherwise repurchased by us. See the sections of this prospectus captioned “Management—Equity Incentive Plans—Global Equity Incentive Plan—Authorized Shares” and “—Employee Stock Purchase Plan—Authorized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75</w:t>
      </w:r>
    </w:p>
    <w:p>
      <w:pPr>
        <w:sectPr>
          <w:pgSz w:w="11900" w:h="16838" w:orient="portrait"/>
          <w:cols w:equalWidth="0" w:num="1">
            <w:col w:w="11240"/>
          </w:cols>
          <w:pgMar w:left="320" w:top="34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003082"/>
        </w:rPr>
        <w:t>DILUTION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If you invest in the ADSs, your interest will be diluted to the extent of the difference between the initial public offering price per ADS and the pro forma as adjusted net tangible book value per ADS after this offering and the concurrent private placement.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3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Our historical net tangible book value as of March 31, 2020 was approximately US$165.4 million, or US$1.37 per ordinary share and US$5.48 per ADS. Each ADS represents four Class A ordinary shares. Our historical net tangible book value per share represents the amount of our total tangible assets less our total liabilities, divided by the number of ordinary shares outstanding as of March 31, 2020. Our pro forma net tangible book value as of March 31, 2020 was US$165.4 million, or US$0.54 per ordinary share and US$2.16 per ADS. Pro forma net tangible book value per share represents our total tangible assets less our total liabilities, divided by the number of ordinary shares outstanding after giving effect to the automatic conversion and the re-designation of all of our issued and outstanding preferred shares on a one-for-one basis into Class A ordinary shares immediately prior to the completion of this offering. After giving further effect to the issuance and sale of the ADSs offered in this offering and the issuance and sale of Class A ordinary shares in the concurrent private placement, after deducting underwriting discounts and commissions and estimated offering expenses payable by us, our pro forma as adjusted net tangible book value as of March 31, 2020 would have been US$600.3 million, or US$1.52 per ordinary share and US$6.08 per ADS. This represents an immediate increase in net tangible book value of US$0.98 per ordinary share and US$3.92 per ADS to the existing shareholders and an immediate dilution in net tangible book value of US$3.48 per ordinary share and US$13.92 per ADS to investors purchasing ADSs in this offering. Because holders of the Class A ordinary shares and Class B ordinary shares have the same dividend rights and other rights, except for voting and conversion rights, the dilution is presented based on all issued and outstanding ordinary shares, including Class A ordinary shares and Class B ordinary shares.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illustrates such dilution: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CCEEFF"/>
            </w:tcBorders>
          </w:tcPr>
          <w:p>
            <w:pPr>
              <w:spacing w:after="0"/>
              <w:rPr>
                <w:sz w:val="16"/>
                <w:szCs w:val="16"/>
                <w:color w:val="auto"/>
              </w:rPr>
            </w:pPr>
          </w:p>
        </w:tc>
        <w:tc>
          <w:tcPr>
            <w:tcW w:w="1760" w:type="dxa"/>
            <w:vAlign w:val="bottom"/>
            <w:tcBorders>
              <w:bottom w:val="single" w:sz="8" w:color="3D5588"/>
            </w:tcBorders>
            <w:gridSpan w:val="2"/>
          </w:tcPr>
          <w:p>
            <w:pPr>
              <w:ind w:left="260"/>
              <w:spacing w:after="0"/>
              <w:rPr>
                <w:sz w:val="20"/>
                <w:szCs w:val="20"/>
                <w:color w:val="auto"/>
              </w:rPr>
            </w:pPr>
            <w:r>
              <w:rPr>
                <w:rFonts w:ascii="Arial" w:cs="Arial" w:eastAsia="Arial" w:hAnsi="Arial"/>
                <w:sz w:val="14"/>
                <w:szCs w:val="14"/>
                <w:b w:val="1"/>
                <w:bCs w:val="1"/>
                <w:color w:val="003082"/>
              </w:rPr>
              <w:t>Per Ordinary Share</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3D5588"/>
            </w:tcBorders>
          </w:tcPr>
          <w:p>
            <w:pPr>
              <w:spacing w:after="0"/>
              <w:rPr>
                <w:sz w:val="16"/>
                <w:szCs w:val="16"/>
                <w:color w:val="auto"/>
              </w:rPr>
            </w:pPr>
          </w:p>
        </w:tc>
        <w:tc>
          <w:tcPr>
            <w:tcW w:w="1280" w:type="dxa"/>
            <w:vAlign w:val="bottom"/>
            <w:tcBorders>
              <w:bottom w:val="single" w:sz="8" w:color="3D5588"/>
            </w:tcBorders>
          </w:tcPr>
          <w:p>
            <w:pPr>
              <w:jc w:val="right"/>
              <w:ind w:right="513"/>
              <w:spacing w:after="0"/>
              <w:rPr>
                <w:sz w:val="20"/>
                <w:szCs w:val="20"/>
                <w:color w:val="auto"/>
              </w:rPr>
            </w:pPr>
            <w:r>
              <w:rPr>
                <w:rFonts w:ascii="Arial" w:cs="Arial" w:eastAsia="Arial" w:hAnsi="Arial"/>
                <w:sz w:val="14"/>
                <w:szCs w:val="14"/>
                <w:b w:val="1"/>
                <w:bCs w:val="1"/>
                <w:color w:val="003082"/>
              </w:rPr>
              <w:t>Per ADS</w:t>
            </w: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Initial public offering price</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US$</w:t>
            </w:r>
          </w:p>
        </w:tc>
        <w:tc>
          <w:tcPr>
            <w:tcW w:w="15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003082"/>
              </w:rPr>
              <w:t>5.00   US$</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20.00</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003082"/>
              </w:rPr>
              <w:t>Pro forma net tangible book value before this offering</w:t>
            </w:r>
          </w:p>
        </w:tc>
        <w:tc>
          <w:tcPr>
            <w:tcW w:w="840" w:type="dxa"/>
            <w:vAlign w:val="bottom"/>
          </w:tcPr>
          <w:p>
            <w:pPr>
              <w:spacing w:after="0"/>
              <w:rPr>
                <w:sz w:val="21"/>
                <w:szCs w:val="21"/>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003082"/>
              </w:rPr>
              <w:t>0.54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003082"/>
              </w:rPr>
              <w:t>2.16</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003082"/>
                <w:w w:val="94"/>
              </w:rPr>
              <w:t>Increase in pro forma net tangible book value attributable to investors participating in this offering and</w:t>
            </w: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003082"/>
              </w:rPr>
              <w:t>the concurrent private placement</w:t>
            </w:r>
          </w:p>
        </w:tc>
        <w:tc>
          <w:tcPr>
            <w:tcW w:w="8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003082"/>
              </w:rPr>
              <w:t>0.98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3.92</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003082"/>
                <w:w w:val="94"/>
              </w:rPr>
              <w:t>Pro forma as adjusted net tangible book value as adjusted for this offering and the concurrent private</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620" w:type="dxa"/>
            <w:vAlign w:val="bottom"/>
          </w:tcPr>
          <w:p>
            <w:pPr>
              <w:ind w:left="220"/>
              <w:spacing w:after="0"/>
              <w:rPr>
                <w:sz w:val="20"/>
                <w:szCs w:val="20"/>
                <w:color w:val="auto"/>
              </w:rPr>
            </w:pPr>
            <w:r>
              <w:rPr>
                <w:rFonts w:ascii="Arial" w:cs="Arial" w:eastAsia="Arial" w:hAnsi="Arial"/>
                <w:sz w:val="18"/>
                <w:szCs w:val="18"/>
                <w:color w:val="003082"/>
              </w:rPr>
              <w:t>placement</w:t>
            </w:r>
          </w:p>
        </w:tc>
        <w:tc>
          <w:tcPr>
            <w:tcW w:w="840" w:type="dxa"/>
            <w:vAlign w:val="bottom"/>
          </w:tcPr>
          <w:p>
            <w:pPr>
              <w:spacing w:after="0"/>
              <w:rPr>
                <w:sz w:val="20"/>
                <w:szCs w:val="20"/>
                <w:color w:val="auto"/>
              </w:rPr>
            </w:pPr>
          </w:p>
        </w:tc>
        <w:tc>
          <w:tcPr>
            <w:tcW w:w="920" w:type="dxa"/>
            <w:vAlign w:val="bottom"/>
          </w:tcPr>
          <w:p>
            <w:pPr>
              <w:ind w:left="500"/>
              <w:spacing w:after="0"/>
              <w:rPr>
                <w:sz w:val="20"/>
                <w:szCs w:val="20"/>
                <w:color w:val="auto"/>
              </w:rPr>
            </w:pPr>
            <w:r>
              <w:rPr>
                <w:rFonts w:ascii="Arial" w:cs="Arial" w:eastAsia="Arial" w:hAnsi="Arial"/>
                <w:sz w:val="18"/>
                <w:szCs w:val="18"/>
                <w:color w:val="003082"/>
              </w:rPr>
              <w:t>1.52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003082"/>
              </w:rPr>
              <w:t>6.08</w:t>
            </w:r>
          </w:p>
        </w:tc>
      </w:tr>
      <w:tr>
        <w:trPr>
          <w:trHeight w:val="27"/>
        </w:trPr>
        <w:tc>
          <w:tcPr>
            <w:tcW w:w="7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003082"/>
                <w:w w:val="92"/>
              </w:rPr>
              <w:t>Amount of dilution in net tangible book value to new investors in this offering and the concurrent private</w:t>
            </w: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620" w:type="dxa"/>
            <w:vAlign w:val="bottom"/>
            <w:shd w:val="clear" w:color="auto" w:fill="CCEEFF"/>
          </w:tcPr>
          <w:p>
            <w:pPr>
              <w:ind w:left="220"/>
              <w:spacing w:after="0"/>
              <w:rPr>
                <w:sz w:val="20"/>
                <w:szCs w:val="20"/>
                <w:color w:val="auto"/>
              </w:rPr>
            </w:pPr>
            <w:r>
              <w:rPr>
                <w:rFonts w:ascii="Arial" w:cs="Arial" w:eastAsia="Arial" w:hAnsi="Arial"/>
                <w:sz w:val="18"/>
                <w:szCs w:val="18"/>
                <w:color w:val="003082"/>
              </w:rPr>
              <w:t>placement</w:t>
            </w:r>
          </w:p>
        </w:tc>
        <w:tc>
          <w:tcPr>
            <w:tcW w:w="840" w:type="dxa"/>
            <w:vAlign w:val="bottom"/>
            <w:shd w:val="clear" w:color="auto" w:fill="CCEEFF"/>
          </w:tcPr>
          <w:p>
            <w:pPr>
              <w:spacing w:after="0"/>
              <w:rPr>
                <w:sz w:val="20"/>
                <w:szCs w:val="20"/>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003082"/>
              </w:rPr>
              <w:t>3.48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003082"/>
              </w:rPr>
              <w:t>13.92</w:t>
            </w:r>
          </w:p>
        </w:tc>
      </w:tr>
      <w:tr>
        <w:trPr>
          <w:trHeight w:val="27"/>
        </w:trPr>
        <w:tc>
          <w:tcPr>
            <w:tcW w:w="76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If the underwriters exercise their over-allotment option in full, the pro forma as adjusted net tangible book value immediately upon the completion of this offering would be US$1.60 per ordinary share and US$6.40 per ADS, and the dilution in pro forma as adjusted net tangible book value to new investors in this offering would be US$3.40 per ordinary share and US$13.60 per ADS.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76</w:t>
      </w:r>
    </w:p>
    <w:p>
      <w:pPr>
        <w:sectPr>
          <w:pgSz w:w="11900" w:h="16838" w:orient="portrait"/>
          <w:cols w:equalWidth="0" w:num="1">
            <w:col w:w="11240"/>
          </w:cols>
          <w:pgMar w:left="320" w:top="445" w:right="339" w:bottom="1440" w:gutter="0" w:footer="0" w:header="0"/>
        </w:sectPr>
      </w:pPr>
    </w:p>
    <w:bookmarkStart w:id="81" w:name="page82"/>
    <w:bookmarkEnd w:id="81"/>
    <w:p>
      <w:pPr>
        <w:jc w:val="both"/>
        <w:ind w:firstLine="324"/>
        <w:spacing w:after="0" w:line="257" w:lineRule="auto"/>
        <w:rPr>
          <w:sz w:val="20"/>
          <w:szCs w:val="20"/>
          <w:color w:val="auto"/>
        </w:rPr>
      </w:pPr>
      <w:r>
        <w:rPr>
          <w:rFonts w:ascii="Arial" w:cs="Arial" w:eastAsia="Arial" w:hAnsi="Arial"/>
          <w:sz w:val="18"/>
          <w:szCs w:val="18"/>
          <w:color w:val="003082"/>
        </w:rPr>
        <w:t>The following table summarizes, on a pro forma as adjusted basis as of March 31, 2020, the differences between existing shareholders and the new investors in this offering and the concurrent private placement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2780" w:type="dxa"/>
            <w:vAlign w:val="bottom"/>
            <w:tcBorders>
              <w:bottom w:val="single" w:sz="8" w:color="3D5588"/>
            </w:tcBorders>
            <w:gridSpan w:val="3"/>
          </w:tcPr>
          <w:p>
            <w:pPr>
              <w:ind w:left="540"/>
              <w:spacing w:after="0"/>
              <w:rPr>
                <w:sz w:val="20"/>
                <w:szCs w:val="20"/>
                <w:color w:val="auto"/>
              </w:rPr>
            </w:pPr>
            <w:r>
              <w:rPr>
                <w:rFonts w:ascii="Arial" w:cs="Arial" w:eastAsia="Arial" w:hAnsi="Arial"/>
                <w:sz w:val="14"/>
                <w:szCs w:val="14"/>
                <w:b w:val="1"/>
                <w:bCs w:val="1"/>
                <w:color w:val="003082"/>
              </w:rPr>
              <w:t>Ordinary Shares Purchased</w:t>
            </w:r>
          </w:p>
        </w:tc>
        <w:tc>
          <w:tcPr>
            <w:tcW w:w="120" w:type="dxa"/>
            <w:vAlign w:val="bottom"/>
          </w:tcPr>
          <w:p>
            <w:pPr>
              <w:spacing w:after="0"/>
              <w:rPr>
                <w:sz w:val="16"/>
                <w:szCs w:val="16"/>
                <w:color w:val="auto"/>
              </w:rPr>
            </w:pPr>
          </w:p>
        </w:tc>
        <w:tc>
          <w:tcPr>
            <w:tcW w:w="520" w:type="dxa"/>
            <w:vAlign w:val="bottom"/>
            <w:tcBorders>
              <w:bottom w:val="single" w:sz="8" w:color="3D5588"/>
            </w:tcBorders>
          </w:tcPr>
          <w:p>
            <w:pPr>
              <w:spacing w:after="0"/>
              <w:rPr>
                <w:sz w:val="16"/>
                <w:szCs w:val="16"/>
                <w:color w:val="auto"/>
              </w:rPr>
            </w:pPr>
          </w:p>
        </w:tc>
        <w:tc>
          <w:tcPr>
            <w:tcW w:w="1700" w:type="dxa"/>
            <w:vAlign w:val="bottom"/>
            <w:tcBorders>
              <w:bottom w:val="single" w:sz="8" w:color="3D5588"/>
            </w:tcBorders>
            <w:gridSpan w:val="3"/>
          </w:tcPr>
          <w:p>
            <w:pPr>
              <w:ind w:left="400"/>
              <w:spacing w:after="0"/>
              <w:rPr>
                <w:sz w:val="20"/>
                <w:szCs w:val="20"/>
                <w:color w:val="auto"/>
              </w:rPr>
            </w:pPr>
            <w:r>
              <w:rPr>
                <w:rFonts w:ascii="Arial" w:cs="Arial" w:eastAsia="Arial" w:hAnsi="Arial"/>
                <w:sz w:val="14"/>
                <w:szCs w:val="14"/>
                <w:b w:val="1"/>
                <w:bCs w:val="1"/>
                <w:color w:val="003082"/>
                <w:w w:val="97"/>
              </w:rPr>
              <w:t>Total Consideration</w:t>
            </w:r>
          </w:p>
        </w:tc>
        <w:tc>
          <w:tcPr>
            <w:tcW w:w="82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003082"/>
                <w:w w:val="91"/>
              </w:rPr>
              <w:t>Average Price Per</w:t>
            </w:r>
          </w:p>
        </w:tc>
        <w:tc>
          <w:tcPr>
            <w:tcW w:w="1460" w:type="dxa"/>
            <w:vAlign w:val="bottom"/>
            <w:gridSpan w:val="2"/>
            <w:vMerge w:val="restart"/>
          </w:tcPr>
          <w:p>
            <w:pPr>
              <w:jc w:val="right"/>
              <w:ind w:right="94"/>
              <w:spacing w:after="0"/>
              <w:rPr>
                <w:sz w:val="20"/>
                <w:szCs w:val="20"/>
                <w:color w:val="auto"/>
              </w:rPr>
            </w:pPr>
            <w:r>
              <w:rPr>
                <w:rFonts w:ascii="Arial" w:cs="Arial" w:eastAsia="Arial" w:hAnsi="Arial"/>
                <w:sz w:val="14"/>
                <w:szCs w:val="14"/>
                <w:b w:val="1"/>
                <w:bCs w:val="1"/>
                <w:color w:val="003082"/>
              </w:rPr>
              <w:t>Average Price Per</w:t>
            </w:r>
          </w:p>
        </w:tc>
        <w:tc>
          <w:tcPr>
            <w:tcW w:w="0" w:type="dxa"/>
            <w:vAlign w:val="bottom"/>
          </w:tcPr>
          <w:p>
            <w:pPr>
              <w:spacing w:after="0"/>
              <w:rPr>
                <w:sz w:val="1"/>
                <w:szCs w:val="1"/>
                <w:color w:val="auto"/>
              </w:rPr>
            </w:pPr>
          </w:p>
        </w:tc>
      </w:tr>
      <w:tr>
        <w:trPr>
          <w:trHeight w:val="71"/>
        </w:trPr>
        <w:tc>
          <w:tcPr>
            <w:tcW w:w="2160" w:type="dxa"/>
            <w:vAlign w:val="bottom"/>
          </w:tcPr>
          <w:p>
            <w:pPr>
              <w:spacing w:after="0"/>
              <w:rPr>
                <w:sz w:val="6"/>
                <w:szCs w:val="6"/>
                <w:color w:val="auto"/>
              </w:rPr>
            </w:pPr>
          </w:p>
        </w:tc>
        <w:tc>
          <w:tcPr>
            <w:tcW w:w="17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003082"/>
              </w:rPr>
              <w:t>Number</w:t>
            </w:r>
          </w:p>
        </w:tc>
        <w:tc>
          <w:tcPr>
            <w:tcW w:w="11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003082"/>
              </w:rPr>
              <w:t>Percent</w:t>
            </w:r>
          </w:p>
        </w:tc>
        <w:tc>
          <w:tcPr>
            <w:tcW w:w="520" w:type="dxa"/>
            <w:vAlign w:val="bottom"/>
          </w:tcPr>
          <w:p>
            <w:pPr>
              <w:spacing w:after="0"/>
              <w:rPr>
                <w:sz w:val="6"/>
                <w:szCs w:val="6"/>
                <w:color w:val="auto"/>
              </w:rPr>
            </w:pPr>
          </w:p>
        </w:tc>
        <w:tc>
          <w:tcPr>
            <w:tcW w:w="17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003082"/>
              </w:rPr>
              <w:t>Amount</w:t>
            </w: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003082"/>
              </w:rPr>
              <w:t>Percent</w:t>
            </w:r>
          </w:p>
        </w:tc>
        <w:tc>
          <w:tcPr>
            <w:tcW w:w="1560" w:type="dxa"/>
            <w:vAlign w:val="bottom"/>
            <w:gridSpan w:val="3"/>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16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003082"/>
                <w:w w:val="96"/>
              </w:rPr>
              <w:t>Ordinary Share</w:t>
            </w:r>
          </w:p>
        </w:tc>
        <w:tc>
          <w:tcPr>
            <w:tcW w:w="460" w:type="dxa"/>
            <w:vAlign w:val="bottom"/>
          </w:tcPr>
          <w:p>
            <w:pPr>
              <w:spacing w:after="0"/>
              <w:rPr>
                <w:sz w:val="16"/>
                <w:szCs w:val="16"/>
                <w:color w:val="auto"/>
              </w:rPr>
            </w:pPr>
          </w:p>
        </w:tc>
        <w:tc>
          <w:tcPr>
            <w:tcW w:w="1000" w:type="dxa"/>
            <w:vAlign w:val="bottom"/>
          </w:tcPr>
          <w:p>
            <w:pPr>
              <w:jc w:val="right"/>
              <w:ind w:right="494"/>
              <w:spacing w:after="0"/>
              <w:rPr>
                <w:sz w:val="20"/>
                <w:szCs w:val="20"/>
                <w:color w:val="auto"/>
              </w:rPr>
            </w:pPr>
            <w:r>
              <w:rPr>
                <w:rFonts w:ascii="Arial" w:cs="Arial" w:eastAsia="Arial" w:hAnsi="Arial"/>
                <w:sz w:val="14"/>
                <w:szCs w:val="14"/>
                <w:b w:val="1"/>
                <w:bCs w:val="1"/>
                <w:color w:val="003082"/>
              </w:rPr>
              <w:t>ADS</w:t>
            </w:r>
          </w:p>
        </w:tc>
        <w:tc>
          <w:tcPr>
            <w:tcW w:w="0" w:type="dxa"/>
            <w:vAlign w:val="bottom"/>
          </w:tcPr>
          <w:p>
            <w:pPr>
              <w:spacing w:after="0"/>
              <w:rPr>
                <w:sz w:val="1"/>
                <w:szCs w:val="1"/>
                <w:color w:val="auto"/>
              </w:rPr>
            </w:pPr>
          </w:p>
        </w:tc>
      </w:tr>
      <w:tr>
        <w:trPr>
          <w:trHeight w:val="249"/>
        </w:trPr>
        <w:tc>
          <w:tcPr>
            <w:tcW w:w="2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Existing shareholders</w:t>
            </w:r>
          </w:p>
        </w:tc>
        <w:tc>
          <w:tcPr>
            <w:tcW w:w="1660" w:type="dxa"/>
            <w:vAlign w:val="bottom"/>
            <w:tcBorders>
              <w:top w:val="single" w:sz="8" w:color="3D5588"/>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303,675,706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3D5588"/>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3D5588"/>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US$</w:t>
            </w:r>
          </w:p>
        </w:tc>
        <w:tc>
          <w:tcPr>
            <w:tcW w:w="1400" w:type="dxa"/>
            <w:vAlign w:val="bottom"/>
            <w:tcBorders>
              <w:top w:val="single" w:sz="8" w:color="3D5588"/>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003082"/>
                <w:w w:val="97"/>
              </w:rPr>
              <w:t>174,361,114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3D5588"/>
              <w:bottom w:val="single" w:sz="8" w:color="CCEEFF"/>
            </w:tcBorders>
            <w:shd w:val="clear" w:color="auto" w:fill="CCEEFF"/>
          </w:tcPr>
          <w:p>
            <w:pPr>
              <w:spacing w:after="0"/>
              <w:rPr>
                <w:sz w:val="21"/>
                <w:szCs w:val="21"/>
                <w:color w:val="auto"/>
              </w:rPr>
            </w:pPr>
          </w:p>
        </w:tc>
        <w:tc>
          <w:tcPr>
            <w:tcW w:w="820" w:type="dxa"/>
            <w:vAlign w:val="bottom"/>
            <w:tcBorders>
              <w:top w:val="single" w:sz="8" w:color="3D5588"/>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3D5588"/>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US$</w:t>
            </w:r>
          </w:p>
        </w:tc>
        <w:tc>
          <w:tcPr>
            <w:tcW w:w="760" w:type="dxa"/>
            <w:vAlign w:val="bottom"/>
            <w:tcBorders>
              <w:top w:val="single" w:sz="8" w:color="3D5588"/>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3D5588"/>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US$</w:t>
            </w:r>
          </w:p>
        </w:tc>
        <w:tc>
          <w:tcPr>
            <w:tcW w:w="1000" w:type="dxa"/>
            <w:vAlign w:val="bottom"/>
            <w:tcBorders>
              <w:top w:val="single" w:sz="8" w:color="3D5588"/>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2.28</w:t>
            </w:r>
          </w:p>
        </w:tc>
        <w:tc>
          <w:tcPr>
            <w:tcW w:w="0" w:type="dxa"/>
            <w:vAlign w:val="bottom"/>
          </w:tcPr>
          <w:p>
            <w:pPr>
              <w:spacing w:after="0"/>
              <w:rPr>
                <w:sz w:val="1"/>
                <w:szCs w:val="1"/>
                <w:color w:val="auto"/>
              </w:rPr>
            </w:pPr>
          </w:p>
        </w:tc>
      </w:tr>
      <w:tr>
        <w:trPr>
          <w:trHeight w:val="243"/>
        </w:trPr>
        <w:tc>
          <w:tcPr>
            <w:tcW w:w="2160" w:type="dxa"/>
            <w:vAlign w:val="bottom"/>
          </w:tcPr>
          <w:p>
            <w:pPr>
              <w:ind w:left="40"/>
              <w:spacing w:after="0"/>
              <w:rPr>
                <w:sz w:val="20"/>
                <w:szCs w:val="20"/>
                <w:color w:val="auto"/>
              </w:rPr>
            </w:pPr>
            <w:r>
              <w:rPr>
                <w:rFonts w:ascii="Arial" w:cs="Arial" w:eastAsia="Arial" w:hAnsi="Arial"/>
                <w:sz w:val="18"/>
                <w:szCs w:val="18"/>
                <w:color w:val="003082"/>
              </w:rPr>
              <w:t>New investors</w:t>
            </w:r>
          </w:p>
        </w:tc>
        <w:tc>
          <w:tcPr>
            <w:tcW w:w="1660" w:type="dxa"/>
            <w:vAlign w:val="bottom"/>
          </w:tcPr>
          <w:p>
            <w:pPr>
              <w:jc w:val="right"/>
              <w:ind w:right="16"/>
              <w:spacing w:after="0"/>
              <w:rPr>
                <w:sz w:val="20"/>
                <w:szCs w:val="20"/>
                <w:color w:val="auto"/>
              </w:rPr>
            </w:pPr>
            <w:r>
              <w:rPr>
                <w:rFonts w:ascii="Arial" w:cs="Arial" w:eastAsia="Arial" w:hAnsi="Arial"/>
                <w:sz w:val="18"/>
                <w:szCs w:val="18"/>
                <w:color w:val="003082"/>
              </w:rPr>
              <w:t>70,000,000</w:t>
            </w:r>
          </w:p>
        </w:tc>
        <w:tc>
          <w:tcPr>
            <w:tcW w:w="100" w:type="dxa"/>
            <w:vAlign w:val="bottom"/>
          </w:tcPr>
          <w:p>
            <w:pPr>
              <w:spacing w:after="0"/>
              <w:rPr>
                <w:sz w:val="21"/>
                <w:szCs w:val="21"/>
                <w:color w:val="auto"/>
              </w:rPr>
            </w:pPr>
          </w:p>
        </w:tc>
        <w:tc>
          <w:tcPr>
            <w:tcW w:w="1020" w:type="dxa"/>
            <w:vAlign w:val="bottom"/>
          </w:tcPr>
          <w:p>
            <w:pPr>
              <w:jc w:val="right"/>
              <w:ind w:right="94"/>
              <w:spacing w:after="0"/>
              <w:rPr>
                <w:sz w:val="20"/>
                <w:szCs w:val="20"/>
                <w:color w:val="auto"/>
              </w:rPr>
            </w:pPr>
            <w:r>
              <w:rPr>
                <w:rFonts w:ascii="Arial" w:cs="Arial" w:eastAsia="Arial" w:hAnsi="Arial"/>
                <w:sz w:val="18"/>
                <w:szCs w:val="18"/>
                <w:color w:val="003082"/>
              </w:rPr>
              <w:t>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ind w:left="400"/>
              <w:spacing w:after="0"/>
              <w:rPr>
                <w:sz w:val="20"/>
                <w:szCs w:val="20"/>
                <w:color w:val="auto"/>
              </w:rPr>
            </w:pPr>
            <w:r>
              <w:rPr>
                <w:rFonts w:ascii="Arial" w:cs="Arial" w:eastAsia="Arial" w:hAnsi="Arial"/>
                <w:sz w:val="18"/>
                <w:szCs w:val="18"/>
                <w:color w:val="003082"/>
                <w:w w:val="97"/>
              </w:rPr>
              <w:t>350,000,000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003082"/>
              </w:rPr>
              <w:t>55</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003082"/>
              </w:rPr>
              <w:t>5.00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003082"/>
              </w:rPr>
              <w:t>20.00</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Concurrent private</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placement investors</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22,000,000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003082"/>
              </w:rPr>
              <w:t>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003082"/>
                <w:w w:val="97"/>
              </w:rPr>
              <w:t>110,000,000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003082"/>
              </w:rPr>
              <w:t>17</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5.00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20.00</w:t>
            </w:r>
          </w:p>
        </w:tc>
        <w:tc>
          <w:tcPr>
            <w:tcW w:w="0" w:type="dxa"/>
            <w:vAlign w:val="bottom"/>
          </w:tcPr>
          <w:p>
            <w:pPr>
              <w:spacing w:after="0"/>
              <w:rPr>
                <w:sz w:val="1"/>
                <w:szCs w:val="1"/>
                <w:color w:val="auto"/>
              </w:rPr>
            </w:pPr>
          </w:p>
        </w:tc>
      </w:tr>
      <w:tr>
        <w:trPr>
          <w:trHeight w:val="237"/>
        </w:trPr>
        <w:tc>
          <w:tcPr>
            <w:tcW w:w="2160" w:type="dxa"/>
            <w:vAlign w:val="bottom"/>
          </w:tcPr>
          <w:p>
            <w:pPr>
              <w:ind w:left="40"/>
              <w:spacing w:after="0"/>
              <w:rPr>
                <w:sz w:val="20"/>
                <w:szCs w:val="20"/>
                <w:color w:val="auto"/>
              </w:rPr>
            </w:pPr>
            <w:r>
              <w:rPr>
                <w:rFonts w:ascii="Arial" w:cs="Arial" w:eastAsia="Arial" w:hAnsi="Arial"/>
                <w:sz w:val="18"/>
                <w:szCs w:val="18"/>
                <w:color w:val="003082"/>
              </w:rPr>
              <w:t>Total</w:t>
            </w:r>
          </w:p>
        </w:tc>
        <w:tc>
          <w:tcPr>
            <w:tcW w:w="1660" w:type="dxa"/>
            <w:vAlign w:val="bottom"/>
            <w:tcBorders>
              <w:top w:val="single" w:sz="8" w:color="3D5588"/>
            </w:tcBorders>
          </w:tcPr>
          <w:p>
            <w:pPr>
              <w:jc w:val="right"/>
              <w:ind w:right="16"/>
              <w:spacing w:after="0"/>
              <w:rPr>
                <w:sz w:val="20"/>
                <w:szCs w:val="20"/>
                <w:color w:val="auto"/>
              </w:rPr>
            </w:pPr>
            <w:r>
              <w:rPr>
                <w:rFonts w:ascii="Arial" w:cs="Arial" w:eastAsia="Arial" w:hAnsi="Arial"/>
                <w:sz w:val="18"/>
                <w:szCs w:val="18"/>
                <w:color w:val="003082"/>
              </w:rPr>
              <w:t>395,675,706</w:t>
            </w:r>
          </w:p>
        </w:tc>
        <w:tc>
          <w:tcPr>
            <w:tcW w:w="100" w:type="dxa"/>
            <w:vAlign w:val="bottom"/>
          </w:tcPr>
          <w:p>
            <w:pPr>
              <w:spacing w:after="0"/>
              <w:rPr>
                <w:sz w:val="20"/>
                <w:szCs w:val="20"/>
                <w:color w:val="auto"/>
              </w:rPr>
            </w:pPr>
          </w:p>
        </w:tc>
        <w:tc>
          <w:tcPr>
            <w:tcW w:w="10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100%</w:t>
            </w:r>
          </w:p>
        </w:tc>
        <w:tc>
          <w:tcPr>
            <w:tcW w:w="120" w:type="dxa"/>
            <w:vAlign w:val="bottom"/>
          </w:tcPr>
          <w:p>
            <w:pPr>
              <w:spacing w:after="0"/>
              <w:rPr>
                <w:sz w:val="20"/>
                <w:szCs w:val="20"/>
                <w:color w:val="auto"/>
              </w:rPr>
            </w:pPr>
          </w:p>
        </w:tc>
        <w:tc>
          <w:tcPr>
            <w:tcW w:w="520" w:type="dxa"/>
            <w:vAlign w:val="bottom"/>
            <w:tcBorders>
              <w:top w:val="single" w:sz="8" w:color="3D5588"/>
            </w:tcBorders>
          </w:tcPr>
          <w:p>
            <w:pPr>
              <w:ind w:left="20"/>
              <w:spacing w:after="0"/>
              <w:rPr>
                <w:sz w:val="20"/>
                <w:szCs w:val="20"/>
                <w:color w:val="auto"/>
              </w:rPr>
            </w:pPr>
            <w:r>
              <w:rPr>
                <w:rFonts w:ascii="Arial" w:cs="Arial" w:eastAsia="Arial" w:hAnsi="Arial"/>
                <w:sz w:val="18"/>
                <w:szCs w:val="18"/>
                <w:color w:val="003082"/>
              </w:rPr>
              <w:t>US$</w:t>
            </w:r>
          </w:p>
        </w:tc>
        <w:tc>
          <w:tcPr>
            <w:tcW w:w="1400" w:type="dxa"/>
            <w:vAlign w:val="bottom"/>
            <w:tcBorders>
              <w:top w:val="single" w:sz="8" w:color="3D5588"/>
            </w:tcBorders>
          </w:tcPr>
          <w:p>
            <w:pPr>
              <w:ind w:left="400"/>
              <w:spacing w:after="0"/>
              <w:rPr>
                <w:sz w:val="20"/>
                <w:szCs w:val="20"/>
                <w:color w:val="auto"/>
              </w:rPr>
            </w:pPr>
            <w:r>
              <w:rPr>
                <w:rFonts w:ascii="Arial" w:cs="Arial" w:eastAsia="Arial" w:hAnsi="Arial"/>
                <w:sz w:val="18"/>
                <w:szCs w:val="18"/>
                <w:color w:val="003082"/>
                <w:w w:val="97"/>
              </w:rPr>
              <w:t>634,361,114</w:t>
            </w:r>
          </w:p>
        </w:tc>
        <w:tc>
          <w:tcPr>
            <w:tcW w:w="100" w:type="dxa"/>
            <w:vAlign w:val="bottom"/>
          </w:tcPr>
          <w:p>
            <w:pPr>
              <w:spacing w:after="0"/>
              <w:rPr>
                <w:sz w:val="20"/>
                <w:szCs w:val="20"/>
                <w:color w:val="auto"/>
              </w:rPr>
            </w:pPr>
          </w:p>
        </w:tc>
        <w:tc>
          <w:tcPr>
            <w:tcW w:w="200" w:type="dxa"/>
            <w:vAlign w:val="bottom"/>
            <w:tcBorders>
              <w:top w:val="single" w:sz="8" w:color="3D5588"/>
            </w:tcBorders>
          </w:tcPr>
          <w:p>
            <w:pPr>
              <w:spacing w:after="0"/>
              <w:rPr>
                <w:sz w:val="20"/>
                <w:szCs w:val="20"/>
                <w:color w:val="auto"/>
              </w:rPr>
            </w:pPr>
          </w:p>
        </w:tc>
        <w:tc>
          <w:tcPr>
            <w:tcW w:w="8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100%</w:t>
            </w:r>
          </w:p>
        </w:tc>
        <w:tc>
          <w:tcPr>
            <w:tcW w:w="120" w:type="dxa"/>
            <w:vAlign w:val="bottom"/>
          </w:tcPr>
          <w:p>
            <w:pPr>
              <w:spacing w:after="0"/>
              <w:rPr>
                <w:sz w:val="20"/>
                <w:szCs w:val="20"/>
                <w:color w:val="auto"/>
              </w:rPr>
            </w:pPr>
          </w:p>
        </w:tc>
        <w:tc>
          <w:tcPr>
            <w:tcW w:w="700" w:type="dxa"/>
            <w:vAlign w:val="bottom"/>
            <w:tcBorders>
              <w:top w:val="single" w:sz="8" w:color="3D5588"/>
            </w:tcBorders>
          </w:tcPr>
          <w:p>
            <w:pPr>
              <w:ind w:left="20"/>
              <w:spacing w:after="0"/>
              <w:rPr>
                <w:sz w:val="20"/>
                <w:szCs w:val="20"/>
                <w:color w:val="auto"/>
              </w:rPr>
            </w:pPr>
            <w:r>
              <w:rPr>
                <w:rFonts w:ascii="Arial" w:cs="Arial" w:eastAsia="Arial" w:hAnsi="Arial"/>
                <w:sz w:val="18"/>
                <w:szCs w:val="18"/>
                <w:color w:val="003082"/>
              </w:rPr>
              <w:t>US$</w:t>
            </w:r>
          </w:p>
        </w:tc>
        <w:tc>
          <w:tcPr>
            <w:tcW w:w="760" w:type="dxa"/>
            <w:vAlign w:val="bottom"/>
            <w:tcBorders>
              <w:top w:val="single" w:sz="8" w:color="3D5588"/>
            </w:tcBorders>
          </w:tcPr>
          <w:p>
            <w:pPr>
              <w:jc w:val="right"/>
              <w:ind w:right="10"/>
              <w:spacing w:after="0"/>
              <w:rPr>
                <w:sz w:val="20"/>
                <w:szCs w:val="20"/>
                <w:color w:val="auto"/>
              </w:rPr>
            </w:pPr>
            <w:r>
              <w:rPr>
                <w:rFonts w:ascii="Arial" w:cs="Arial" w:eastAsia="Arial" w:hAnsi="Arial"/>
                <w:sz w:val="18"/>
                <w:szCs w:val="18"/>
                <w:color w:val="003082"/>
              </w:rPr>
              <w:t>1.60</w:t>
            </w:r>
          </w:p>
        </w:tc>
        <w:tc>
          <w:tcPr>
            <w:tcW w:w="100" w:type="dxa"/>
            <w:vAlign w:val="bottom"/>
          </w:tcPr>
          <w:p>
            <w:pPr>
              <w:spacing w:after="0"/>
              <w:rPr>
                <w:sz w:val="20"/>
                <w:szCs w:val="20"/>
                <w:color w:val="auto"/>
              </w:rPr>
            </w:pPr>
          </w:p>
        </w:tc>
        <w:tc>
          <w:tcPr>
            <w:tcW w:w="460" w:type="dxa"/>
            <w:vAlign w:val="bottom"/>
            <w:tcBorders>
              <w:top w:val="single" w:sz="8" w:color="3D5588"/>
            </w:tcBorders>
          </w:tcPr>
          <w:p>
            <w:pPr>
              <w:ind w:left="20"/>
              <w:spacing w:after="0"/>
              <w:rPr>
                <w:sz w:val="20"/>
                <w:szCs w:val="20"/>
                <w:color w:val="auto"/>
              </w:rPr>
            </w:pPr>
            <w:r>
              <w:rPr>
                <w:rFonts w:ascii="Arial" w:cs="Arial" w:eastAsia="Arial" w:hAnsi="Arial"/>
                <w:sz w:val="18"/>
                <w:szCs w:val="18"/>
                <w:color w:val="003082"/>
              </w:rPr>
              <w:t>US$</w:t>
            </w:r>
          </w:p>
        </w:tc>
        <w:tc>
          <w:tcPr>
            <w:tcW w:w="1000" w:type="dxa"/>
            <w:vAlign w:val="bottom"/>
            <w:tcBorders>
              <w:top w:val="single" w:sz="8" w:color="3D5588"/>
            </w:tcBorders>
          </w:tcPr>
          <w:p>
            <w:pPr>
              <w:jc w:val="right"/>
              <w:ind w:right="14"/>
              <w:spacing w:after="0"/>
              <w:rPr>
                <w:sz w:val="20"/>
                <w:szCs w:val="20"/>
                <w:color w:val="auto"/>
              </w:rPr>
            </w:pPr>
            <w:r>
              <w:rPr>
                <w:rFonts w:ascii="Arial" w:cs="Arial" w:eastAsia="Arial" w:hAnsi="Arial"/>
                <w:sz w:val="18"/>
                <w:szCs w:val="18"/>
                <w:color w:val="003082"/>
              </w:rPr>
              <w:t>6.40</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60" w:type="dxa"/>
            <w:vAlign w:val="bottom"/>
            <w:tcBorders>
              <w:bottom w:val="single" w:sz="8" w:color="3D5588"/>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3D5588"/>
            </w:tcBorders>
          </w:tcPr>
          <w:p>
            <w:pPr>
              <w:spacing w:after="0"/>
              <w:rPr>
                <w:sz w:val="2"/>
                <w:szCs w:val="2"/>
                <w:color w:val="auto"/>
              </w:rPr>
            </w:pPr>
          </w:p>
        </w:tc>
        <w:tc>
          <w:tcPr>
            <w:tcW w:w="1400" w:type="dxa"/>
            <w:vAlign w:val="bottom"/>
            <w:tcBorders>
              <w:bottom w:val="single" w:sz="8" w:color="3D5588"/>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82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3D5588"/>
            </w:tcBorders>
          </w:tcPr>
          <w:p>
            <w:pPr>
              <w:spacing w:after="0"/>
              <w:rPr>
                <w:sz w:val="2"/>
                <w:szCs w:val="2"/>
                <w:color w:val="auto"/>
              </w:rPr>
            </w:pPr>
          </w:p>
        </w:tc>
        <w:tc>
          <w:tcPr>
            <w:tcW w:w="760" w:type="dxa"/>
            <w:vAlign w:val="bottom"/>
            <w:tcBorders>
              <w:bottom w:val="single" w:sz="8" w:color="3D5588"/>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3D5588"/>
            </w:tcBorders>
          </w:tcPr>
          <w:p>
            <w:pPr>
              <w:spacing w:after="0"/>
              <w:rPr>
                <w:sz w:val="2"/>
                <w:szCs w:val="2"/>
                <w:color w:val="auto"/>
              </w:rPr>
            </w:pPr>
          </w:p>
        </w:tc>
        <w:tc>
          <w:tcPr>
            <w:tcW w:w="10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3D5588"/>
            </w:tcBorders>
          </w:tcPr>
          <w:p>
            <w:pPr>
              <w:spacing w:after="0" w:line="20" w:lineRule="exact"/>
              <w:rPr>
                <w:sz w:val="1"/>
                <w:szCs w:val="1"/>
                <w:color w:val="auto"/>
              </w:rPr>
            </w:pPr>
          </w:p>
        </w:tc>
        <w:tc>
          <w:tcPr>
            <w:tcW w:w="14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8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3D5588"/>
            </w:tcBorders>
          </w:tcPr>
          <w:p>
            <w:pPr>
              <w:spacing w:after="0" w:line="20" w:lineRule="exact"/>
              <w:rPr>
                <w:sz w:val="1"/>
                <w:szCs w:val="1"/>
                <w:color w:val="auto"/>
              </w:rPr>
            </w:pPr>
          </w:p>
        </w:tc>
        <w:tc>
          <w:tcPr>
            <w:tcW w:w="10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If the underwriters exercise their over-allotment option in full:</w:t>
      </w:r>
    </w:p>
    <w:p>
      <w:pPr>
        <w:spacing w:after="0" w:line="171"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003082"/>
        </w:rPr>
      </w:pPr>
      <w:r>
        <w:rPr>
          <w:rFonts w:ascii="Arial" w:cs="Arial" w:eastAsia="Arial" w:hAnsi="Arial"/>
          <w:sz w:val="18"/>
          <w:szCs w:val="18"/>
          <w:color w:val="003082"/>
        </w:rPr>
        <w:t>the percentage of ordinary shares held by existing shareholders will decrease to 75% of the total number of ordinary shares outstanding after this offering; and</w:t>
      </w:r>
    </w:p>
    <w:p>
      <w:pPr>
        <w:spacing w:after="0" w:line="116"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40"/>
        </w:numPr>
        <w:rPr>
          <w:rFonts w:ascii="Arial" w:cs="Arial" w:eastAsia="Arial" w:hAnsi="Arial"/>
          <w:sz w:val="18"/>
          <w:szCs w:val="18"/>
          <w:color w:val="003082"/>
        </w:rPr>
      </w:pPr>
      <w:r>
        <w:rPr>
          <w:rFonts w:ascii="Arial" w:cs="Arial" w:eastAsia="Arial" w:hAnsi="Arial"/>
          <w:sz w:val="18"/>
          <w:szCs w:val="18"/>
          <w:color w:val="003082"/>
        </w:rPr>
        <w:t>the number of ordinary shares (including in the form of ADSs) held by new investors and the concurrent private placement investors will increase to 102,500,000 shares, or 25% of the total number of ordinary shares outstanding after this offering.</w:t>
      </w:r>
    </w:p>
    <w:p>
      <w:pPr>
        <w:spacing w:after="0" w:line="116"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003082"/>
        </w:rPr>
        <w:t>The total number of Class A ordinary shares and Class B ordinary shares that will be issued and outstanding immediately after this offering and the concurrent private placement is based on 304,897,929 ordinary shares issued and outstanding on an as-converted basis as of May 31, 2020, and excludes:</w:t>
      </w:r>
    </w:p>
    <w:p>
      <w:pPr>
        <w:spacing w:after="0" w:line="70"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003082"/>
        </w:rPr>
      </w:pPr>
      <w:r>
        <w:rPr>
          <w:rFonts w:ascii="Arial" w:cs="Arial" w:eastAsia="Arial" w:hAnsi="Arial"/>
          <w:sz w:val="18"/>
          <w:szCs w:val="18"/>
          <w:color w:val="003082"/>
        </w:rPr>
        <w:t>43,694,845 ordinary shares issuable upon the vesting of outstanding options under the 2014 Plan and the 2018 Plan;</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41"/>
        </w:numPr>
        <w:rPr>
          <w:rFonts w:ascii="Arial" w:cs="Arial" w:eastAsia="Arial" w:hAnsi="Arial"/>
          <w:sz w:val="18"/>
          <w:szCs w:val="18"/>
          <w:color w:val="003082"/>
        </w:rPr>
      </w:pPr>
      <w:r>
        <w:rPr>
          <w:rFonts w:ascii="Arial" w:cs="Arial" w:eastAsia="Arial" w:hAnsi="Arial"/>
          <w:sz w:val="18"/>
          <w:szCs w:val="18"/>
          <w:color w:val="003082"/>
        </w:rPr>
        <w:t>16,716,035 Class A ordinary shares reserved for future issuance under the Global Plan, which became effective one business day prior to the date of this prospectus; and</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41"/>
        </w:numPr>
        <w:rPr>
          <w:rFonts w:ascii="Arial" w:cs="Arial" w:eastAsia="Arial" w:hAnsi="Arial"/>
          <w:sz w:val="18"/>
          <w:szCs w:val="18"/>
          <w:color w:val="003082"/>
        </w:rPr>
      </w:pPr>
      <w:r>
        <w:rPr>
          <w:rFonts w:ascii="Arial" w:cs="Arial" w:eastAsia="Arial" w:hAnsi="Arial"/>
          <w:sz w:val="18"/>
          <w:szCs w:val="18"/>
          <w:color w:val="003082"/>
        </w:rPr>
        <w:t>3,000,000 Class A ordinary shares reserved for future issuance under the ESPP.</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Our Global Plan and ESPP provide for annual automatic increases in the number of Class A ordinary shares reserved thereunder, and our Global Plan also provides for increases to the number of Class A ordinary shares that may be granted thereunder based on shares under the 2014 Plan and the 2018 Plan that expire, are forfeited or are otherwise repurchased by us. See the sections of this prospectus captioned “Management—Equity Incentive Plans—Global Equity Incentive Plan—Authorized Shares” and “—Employee Stock Purchase Plan—Authorized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77</w:t>
      </w:r>
    </w:p>
    <w:p>
      <w:pPr>
        <w:sectPr>
          <w:pgSz w:w="11900" w:h="16838" w:orient="portrait"/>
          <w:cols w:equalWidth="0" w:num="1">
            <w:col w:w="11240"/>
          </w:cols>
          <w:pgMar w:left="320" w:top="34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003082"/>
        </w:rPr>
        <w:t>ENFORCEABILITY OF CIVIL LIABILITIES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A substantial portion of our operations are conducted in the PRC, and substantially all of our assets are located in the PRC.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U.S. courts judgments obtained in United States courts based on the civil liability provisions of the U.S. federal securities laws against us and our officers and directors.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We have appointed Agora Lab, Inc. as our agent to receive service of process with respect to any action brought against us under the federal securities laws of the United States or of any state in the United States.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Maples and Calder (Hong Kong) LLP, our counsel as to Cayman Islands law, and King &amp; Wood Mallesons, our counsel as to PRC law, have advised us that there is uncertainty as to whether the courts of the Cayman Islands or the PRC would, respectively, (1) recognize or enforce judgments of United States courts obtained against us or our directors or officers predicated upon the civil liability provisions of the securities laws of the United States or any state in the United States and (2) entertain original actions brought in the Cayman Islands or the PRC against us or our directors or officers predicated upon the securities laws of the United States or any state in the United States.</w:t>
      </w:r>
    </w:p>
    <w:p>
      <w:pPr>
        <w:spacing w:after="0" w:line="13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003082"/>
        </w:rPr>
        <w:t>In addition, Maples and Calder (Hong Kong) LLP has advised us that there is no statutory enforcement in the Cayman Islands of judgments obtained in the United States (and the Cayman Islands are not a party to any treaties for the reciprocal enforcement or recognition of such judgments), although the courts of the Cayman Islands will, at common law, recognize and enforce a foreign money judgment of a foreign court of competent jurisdiction without any re-examination of the merits of the underlying dispute based on the principal that a judgment of a competent foreign court imposes upon the judgment debtor an obligation to pay the liquidated sum for which such judgment has been given, provided that such judgment (1) is final and conclusive, (2) is one in respect of which the foreign court had jurisdiction over the defendant according to Cayman Islands conflict of law rules, (3) is for a liquidated sum and</w:t>
      </w:r>
    </w:p>
    <w:p>
      <w:pPr>
        <w:spacing w:after="0" w:line="4" w:lineRule="exact"/>
        <w:rPr>
          <w:sz w:val="20"/>
          <w:szCs w:val="20"/>
          <w:color w:val="auto"/>
        </w:rPr>
      </w:pPr>
    </w:p>
    <w:p>
      <w:pPr>
        <w:jc w:val="both"/>
        <w:ind w:firstLine="8"/>
        <w:spacing w:after="0" w:line="273" w:lineRule="auto"/>
        <w:tabs>
          <w:tab w:leader="none" w:pos="266" w:val="left"/>
        </w:tabs>
        <w:numPr>
          <w:ilvl w:val="0"/>
          <w:numId w:val="42"/>
        </w:numPr>
        <w:rPr>
          <w:rFonts w:ascii="Arial" w:cs="Arial" w:eastAsia="Arial" w:hAnsi="Arial"/>
          <w:sz w:val="17"/>
          <w:szCs w:val="17"/>
          <w:color w:val="003082"/>
        </w:rPr>
      </w:pPr>
      <w:r>
        <w:rPr>
          <w:rFonts w:ascii="Arial" w:cs="Arial" w:eastAsia="Arial" w:hAnsi="Arial"/>
          <w:sz w:val="17"/>
          <w:szCs w:val="17"/>
          <w:color w:val="003082"/>
        </w:rPr>
        <w:t>was neither obtained in a manner, nor is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2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 xml:space="preserve">King &amp; Wood Mallesons has advised us that the recognition and enforcement of foreign judgments are provided for under the PRC </w:t>
      </w:r>
      <w:r>
        <w:rPr>
          <w:rFonts w:ascii="Arial" w:cs="Arial" w:eastAsia="Arial" w:hAnsi="Arial"/>
          <w:sz w:val="16"/>
          <w:szCs w:val="16"/>
          <w:i w:val="1"/>
          <w:iCs w:val="1"/>
          <w:color w:val="003082"/>
        </w:rPr>
        <w:t>Civil Procedure</w:t>
      </w:r>
      <w:r>
        <w:rPr>
          <w:rFonts w:ascii="Arial" w:cs="Arial" w:eastAsia="Arial" w:hAnsi="Arial"/>
          <w:sz w:val="16"/>
          <w:szCs w:val="16"/>
          <w:color w:val="003082"/>
        </w:rPr>
        <w:t xml:space="preserve"> </w:t>
      </w:r>
      <w:r>
        <w:rPr>
          <w:rFonts w:ascii="Arial" w:cs="Arial" w:eastAsia="Arial" w:hAnsi="Arial"/>
          <w:sz w:val="16"/>
          <w:szCs w:val="16"/>
          <w:i w:val="1"/>
          <w:iCs w:val="1"/>
          <w:color w:val="003082"/>
        </w:rPr>
        <w:t xml:space="preserve">Law. </w:t>
      </w:r>
      <w:r>
        <w:rPr>
          <w:rFonts w:ascii="Arial" w:cs="Arial" w:eastAsia="Arial" w:hAnsi="Arial"/>
          <w:sz w:val="16"/>
          <w:szCs w:val="16"/>
          <w:color w:val="003082"/>
        </w:rPr>
        <w:t>PRC courts may recognize and enforce foreign judgments in accordance with the requirements of the PRC Civil Procedure Law based either on</w:t>
      </w:r>
      <w:r>
        <w:rPr>
          <w:rFonts w:ascii="Arial" w:cs="Arial" w:eastAsia="Arial" w:hAnsi="Arial"/>
          <w:sz w:val="16"/>
          <w:szCs w:val="16"/>
          <w:i w:val="1"/>
          <w:iCs w:val="1"/>
          <w:color w:val="003082"/>
        </w:rPr>
        <w:t xml:space="preserve"> </w:t>
      </w:r>
      <w:r>
        <w:rPr>
          <w:rFonts w:ascii="Arial" w:cs="Arial" w:eastAsia="Arial" w:hAnsi="Arial"/>
          <w:sz w:val="16"/>
          <w:szCs w:val="16"/>
          <w:color w:val="003082"/>
        </w:rPr>
        <w:t>treaties or similar arrangements between China and the jurisdiction where the judgment is made or on principles of reciprocity between jurisdictions. King</w:t>
      </w:r>
    </w:p>
    <w:p>
      <w:pPr>
        <w:spacing w:after="0" w:line="2" w:lineRule="exact"/>
        <w:rPr>
          <w:sz w:val="20"/>
          <w:szCs w:val="20"/>
          <w:color w:val="auto"/>
        </w:rPr>
      </w:pPr>
    </w:p>
    <w:p>
      <w:pPr>
        <w:jc w:val="both"/>
        <w:ind w:firstLine="8"/>
        <w:spacing w:after="0" w:line="253" w:lineRule="auto"/>
        <w:tabs>
          <w:tab w:leader="none" w:pos="192" w:val="left"/>
        </w:tabs>
        <w:numPr>
          <w:ilvl w:val="0"/>
          <w:numId w:val="43"/>
        </w:numPr>
        <w:rPr>
          <w:rFonts w:ascii="Arial" w:cs="Arial" w:eastAsia="Arial" w:hAnsi="Arial"/>
          <w:sz w:val="18"/>
          <w:szCs w:val="18"/>
          <w:color w:val="003082"/>
        </w:rPr>
      </w:pPr>
      <w:r>
        <w:rPr>
          <w:rFonts w:ascii="Arial" w:cs="Arial" w:eastAsia="Arial" w:hAnsi="Arial"/>
          <w:sz w:val="18"/>
          <w:szCs w:val="18"/>
          <w:color w:val="003082"/>
        </w:rPr>
        <w:t>Wood Mallesons has advised us further that under PRC law, a foreign judgment violating basic legal principles of PRC law, state sovereignty, safety or social public interest will not be recognized and enforced by a PRC court. As there existed no treaty and limited form of reciprocity between China and the United States governing the recognition and enforcement of judgments as of the date of this prospectus, including those predicated upon the liability provisions of the U.S. federal securities laws, there is uncertainty whether and on what basis a PRC court would enforce judgments rendered by United States courts.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78</w:t>
      </w:r>
    </w:p>
    <w:p>
      <w:pPr>
        <w:sectPr>
          <w:pgSz w:w="11900" w:h="16838" w:orient="portrait"/>
          <w:cols w:equalWidth="0" w:num="1">
            <w:col w:w="11240"/>
          </w:cols>
          <w:pgMar w:left="320" w:top="44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003082"/>
        </w:rPr>
        <w:t>CORPORATE HISTORY AND STRUCTURE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Agora, Inc., or Agora, was incorporated in November 2013 as an exempted company with limited liability in the Cayman Islands. In January and March 2014, respectively, we incorporated Agora Lab, Inc., or Agora Lab, a California corporation, and formed Shanghai Zhaoyan Network Technology Co., Ltd., or our VIE, a PRC limited liability company. We commenced operations through Agora Lab and our VIE in those same months, providing RTE-PaaS products.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In December 2014, we incorporated Agora IO, Inc, or Agora IO, a Cayman Islands exempted company with limited liability, and Agora IO Hongkong Limited, or Agora HK, a Hong Kong corporation. In the same month, Agora IO, Agora and Agora Lab and their respective shareholders entered into a share swap arrangement which resulted in Agora and Agora Lab becoming wholly owned subsidiaries of Agora IO.</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April 2015, we incorporated Dayin Network Technology Co., Ltd., or our WFOE, a PRC limited liability company. Our WFOE is a wholly-owned subsidiary of Agora HK and has entered into certain contractual arrangements with our VIE and our VIE’s shareholders. See the section of this prospectus captioned “—Contractual Arrangements among our WFOE, our VIE and our VIE’s Shareholders.”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In July 2019, we incorporated Agora.IO Ltd, a wholly owned subsidiary of Agora Lab. in the 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In January 2020, we completed the following transactions, which we collectively refer to as the Corporate Reorganization:</w:t>
      </w:r>
    </w:p>
    <w:p>
      <w:pPr>
        <w:spacing w:after="0" w:line="171" w:lineRule="exact"/>
        <w:rPr>
          <w:sz w:val="20"/>
          <w:szCs w:val="20"/>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003082"/>
        </w:rPr>
      </w:pPr>
      <w:r>
        <w:rPr>
          <w:rFonts w:ascii="Arial" w:cs="Arial" w:eastAsia="Arial" w:hAnsi="Arial"/>
          <w:sz w:val="18"/>
          <w:szCs w:val="18"/>
          <w:color w:val="003082"/>
        </w:rPr>
        <w:t>Agora IO contributed all of its shares of Agora HK to Agora in exchange for Agora’s issuance of ordinary shares to Agora IO, resulting in Agora HK becoming a wholly owned subsidiary of Agora.</w:t>
      </w:r>
    </w:p>
    <w:p>
      <w:pPr>
        <w:spacing w:after="0" w:line="116"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44"/>
        </w:numPr>
        <w:rPr>
          <w:rFonts w:ascii="Arial" w:cs="Arial" w:eastAsia="Arial" w:hAnsi="Arial"/>
          <w:sz w:val="18"/>
          <w:szCs w:val="18"/>
          <w:color w:val="003082"/>
        </w:rPr>
      </w:pPr>
      <w:r>
        <w:rPr>
          <w:rFonts w:ascii="Arial" w:cs="Arial" w:eastAsia="Arial" w:hAnsi="Arial"/>
          <w:sz w:val="18"/>
          <w:szCs w:val="18"/>
          <w:color w:val="003082"/>
        </w:rPr>
        <w:t>Each shareholder of Agora IO exchanged all of their ordinary and preferred shares of Agora IO for an equivalent number of ordinary and preferred shares of Agora issued via a share swap agreement, resulting in Agora becoming the sole shareholder of Agora IO, and Agora IO and its former shareholders becoming the shareholders of Agora.</w:t>
      </w:r>
    </w:p>
    <w:p>
      <w:pPr>
        <w:spacing w:after="0" w:line="129" w:lineRule="exact"/>
        <w:rPr>
          <w:rFonts w:ascii="Arial" w:cs="Arial" w:eastAsia="Arial" w:hAnsi="Arial"/>
          <w:sz w:val="18"/>
          <w:szCs w:val="18"/>
          <w:color w:val="003082"/>
        </w:rPr>
      </w:pPr>
    </w:p>
    <w:p>
      <w:pPr>
        <w:jc w:val="both"/>
        <w:ind w:left="660" w:hanging="328"/>
        <w:spacing w:after="0" w:line="259" w:lineRule="auto"/>
        <w:tabs>
          <w:tab w:leader="none" w:pos="660" w:val="left"/>
        </w:tabs>
        <w:numPr>
          <w:ilvl w:val="0"/>
          <w:numId w:val="44"/>
        </w:numPr>
        <w:rPr>
          <w:rFonts w:ascii="Arial" w:cs="Arial" w:eastAsia="Arial" w:hAnsi="Arial"/>
          <w:sz w:val="18"/>
          <w:szCs w:val="18"/>
          <w:color w:val="003082"/>
        </w:rPr>
      </w:pPr>
      <w:r>
        <w:rPr>
          <w:rFonts w:ascii="Arial" w:cs="Arial" w:eastAsia="Arial" w:hAnsi="Arial"/>
          <w:sz w:val="18"/>
          <w:szCs w:val="18"/>
          <w:color w:val="003082"/>
        </w:rPr>
        <w:t>Immediately after the share swap, (1) Agora IO reclassified and re-designated all of the preferred shares of Agora IO held by Agora into ordinary shares of Agora IO, (2) Agora repurchased all ordinary shares of Agora held by Agora IO and (3) Agora IO repurchased an equivalent number of ordinary shares of Agora IO held by Agora, collectively resulting in the former Agora IO shareholders remaining shareholders of Agora and Agora IO becoming a wholly owned subsidiary of Agora and no longer a shareholder of Agora.</w:t>
      </w:r>
    </w:p>
    <w:p>
      <w:pPr>
        <w:spacing w:after="0" w:line="132" w:lineRule="exact"/>
        <w:rPr>
          <w:rFonts w:ascii="Arial" w:cs="Arial" w:eastAsia="Arial" w:hAnsi="Arial"/>
          <w:sz w:val="18"/>
          <w:szCs w:val="18"/>
          <w:color w:val="003082"/>
        </w:rPr>
      </w:pPr>
    </w:p>
    <w:p>
      <w:pPr>
        <w:jc w:val="both"/>
        <w:ind w:left="660" w:hanging="328"/>
        <w:spacing w:after="0" w:line="257" w:lineRule="auto"/>
        <w:tabs>
          <w:tab w:leader="none" w:pos="660" w:val="left"/>
        </w:tabs>
        <w:numPr>
          <w:ilvl w:val="0"/>
          <w:numId w:val="44"/>
        </w:numPr>
        <w:rPr>
          <w:rFonts w:ascii="Arial" w:cs="Arial" w:eastAsia="Arial" w:hAnsi="Arial"/>
          <w:sz w:val="18"/>
          <w:szCs w:val="18"/>
          <w:color w:val="003082"/>
        </w:rPr>
      </w:pPr>
      <w:r>
        <w:rPr>
          <w:rFonts w:ascii="Arial" w:cs="Arial" w:eastAsia="Arial" w:hAnsi="Arial"/>
          <w:sz w:val="18"/>
          <w:szCs w:val="18"/>
          <w:color w:val="003082"/>
        </w:rPr>
        <w:t>Agora assumed all options granted by Agora IO under the 2018 Equity Incentive Plan, or the 2018 Plan, resulting in the shares subject to the options becoming the same number of shares of Agora instead of shares of Agora IO, but without otherwise affecting the number of options granted, the shares subject to the options, the exercise price of each award, the vesting commencement date or schedule, or the other terms and conditions in the respective award agreements. Agora IO then terminated the 2018 Plan without affecting the then-outstanding awards under the 2018 Plan.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PRC laws and regulations place certain restrictions on foreign investment in and ownership of companies involved in the provision of internet-related services. Accordingly, we conduct our operations in the PRC mainly through our VIE. We have effective control over our VIE through a series of contractual arrangements by and among our WFOE, our VIE and our VIE’s shareholders. These contractual arrangements, as described in more detail below, collectively allow us to (1) exercise effective control over our VIE, (2) receive substantially all of the economic benefits of our VIE and (3) purchase all or part of the equity interests in our VIE pursuant to exclusive call option exercisable when so permitted under PRC laws. For more details, including risks associated with the VIE structure, see the section of this prospectus captioned “Risk Factors—Risks Related to Our Corporate Structure.”</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As a result of our contractual arrangements with our VIE and its shareholders, we are the primary beneficiary of our VIE, and, therefore, have consolidated the financial results of our VIE in our consolidated financial statements in accordance with U.S. GAAP.</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79</w:t>
      </w:r>
    </w:p>
    <w:p>
      <w:pPr>
        <w:sectPr>
          <w:pgSz w:w="11900" w:h="16838" w:orient="portrait"/>
          <w:cols w:equalWidth="0" w:num="1">
            <w:col w:w="11240"/>
          </w:cols>
          <w:pgMar w:left="320" w:top="445" w:right="339" w:bottom="1440" w:gutter="0" w:footer="0" w:header="0"/>
        </w:sectPr>
      </w:pPr>
    </w:p>
    <w:bookmarkStart w:id="84" w:name="page85"/>
    <w:bookmarkEnd w:id="84"/>
    <w:p>
      <w:pPr>
        <w:ind w:left="340"/>
        <w:spacing w:after="0"/>
        <w:rPr>
          <w:sz w:val="20"/>
          <w:szCs w:val="20"/>
          <w:color w:val="auto"/>
        </w:rPr>
      </w:pPr>
      <w:r>
        <w:rPr>
          <w:rFonts w:ascii="Arial" w:cs="Arial" w:eastAsia="Arial" w:hAnsi="Arial"/>
          <w:sz w:val="18"/>
          <w:szCs w:val="18"/>
          <w:color w:val="003082"/>
        </w:rPr>
        <w:t>The following diagram illustrates our corporate structure as of the date of this prospectus, including our subsidiaries and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117475</wp:posOffset>
            </wp:positionV>
            <wp:extent cx="5006340" cy="3197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0634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003082"/>
        </w:rPr>
        <w:t>________________</w:t>
      </w:r>
    </w:p>
    <w:p>
      <w:pPr>
        <w:spacing w:after="0" w:line="19" w:lineRule="exact"/>
        <w:rPr>
          <w:sz w:val="20"/>
          <w:szCs w:val="20"/>
          <w:color w:val="auto"/>
        </w:rPr>
      </w:pPr>
    </w:p>
    <w:p>
      <w:pPr>
        <w:ind w:left="340" w:hanging="332"/>
        <w:spacing w:after="0" w:line="257" w:lineRule="auto"/>
        <w:tabs>
          <w:tab w:leader="none" w:pos="340" w:val="left"/>
        </w:tabs>
        <w:numPr>
          <w:ilvl w:val="0"/>
          <w:numId w:val="45"/>
        </w:numPr>
        <w:rPr>
          <w:rFonts w:ascii="Arial" w:cs="Arial" w:eastAsia="Arial" w:hAnsi="Arial"/>
          <w:sz w:val="16"/>
          <w:szCs w:val="16"/>
          <w:color w:val="003082"/>
        </w:rPr>
      </w:pPr>
      <w:r>
        <w:rPr>
          <w:rFonts w:ascii="Arial" w:cs="Arial" w:eastAsia="Arial" w:hAnsi="Arial"/>
          <w:sz w:val="16"/>
          <w:szCs w:val="16"/>
          <w:color w:val="003082"/>
        </w:rPr>
        <w:t>Mr. Zhao, our founder, chief executive officer and chairman, holds 90% of the equity interests in our VIE, and Ms. Wenjing Ma, a nominee shareholder, holds the remaining 10%.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Contractual Arrangements among our WFOE, our VIE and our VIE’s Shareholders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Below is a summary of the currently effective contractual arrangements by and among our WFOE, our VIE and our VIE’s shareholders.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Agreements that Provide us with Effective Control over our VIE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003082"/>
        </w:rPr>
        <w:t xml:space="preserve">Share Pledge Agreement. </w:t>
      </w:r>
      <w:r>
        <w:rPr>
          <w:rFonts w:ascii="Arial" w:cs="Arial" w:eastAsia="Arial" w:hAnsi="Arial"/>
          <w:sz w:val="16"/>
          <w:szCs w:val="16"/>
          <w:color w:val="003082"/>
        </w:rPr>
        <w:t>Pursuant to the Share Pledge Agreement, dated June 18, 2015, by and among our WFOE, our VIE and our VIE’s</w:t>
      </w:r>
      <w:r>
        <w:rPr>
          <w:rFonts w:ascii="Arial" w:cs="Arial" w:eastAsia="Arial" w:hAnsi="Arial"/>
          <w:sz w:val="16"/>
          <w:szCs w:val="16"/>
          <w:i w:val="1"/>
          <w:iCs w:val="1"/>
          <w:color w:val="003082"/>
        </w:rPr>
        <w:t xml:space="preserve"> </w:t>
      </w:r>
      <w:r>
        <w:rPr>
          <w:rFonts w:ascii="Arial" w:cs="Arial" w:eastAsia="Arial" w:hAnsi="Arial"/>
          <w:sz w:val="16"/>
          <w:szCs w:val="16"/>
          <w:color w:val="003082"/>
        </w:rPr>
        <w:t>shareholders, each of our VIE’s shareholders pledged all of their equity interests in our VIE to our WFOE to guarantee their and our VIE’s performance of their obligations under the contractual arrangements. In the event of a breach by our VIE or our VIE’s shareholders of contractual obligations under these agreements, our WFOE, as pledgee, will be entitled to dispose of the pledged equity interests in our VIE. The shareholders of our VIE also undertake that, during the term of the share pledge agreement, without the prior written consent of our WFOE, they shall not dispose of the pledged equity interests, create or allow any encumbrance on the pledged equity interests or increase the registered capital of our VIE. If there is any increased registered capital pursuant to the terms of this agreement, such increased registered capital would also be deemed as pledged equity interest. Following the terms of the Share Pledge Agreement, the shareholders of our VIE have registered the pledge at the State Administration for Market Regulation on July 29, 2015.</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003082"/>
        </w:rPr>
        <w:t>Voting Rights Proxy Agreement and Irrevocable Powers of Attorney</w:t>
      </w:r>
      <w:r>
        <w:rPr>
          <w:rFonts w:ascii="Arial" w:cs="Arial" w:eastAsia="Arial" w:hAnsi="Arial"/>
          <w:sz w:val="17"/>
          <w:szCs w:val="17"/>
          <w:color w:val="003082"/>
        </w:rPr>
        <w:t>. Under the Voting Rights Proxy Agreement, dated as of June 18, 2015, by and</w:t>
      </w:r>
      <w:r>
        <w:rPr>
          <w:rFonts w:ascii="Arial" w:cs="Arial" w:eastAsia="Arial" w:hAnsi="Arial"/>
          <w:sz w:val="17"/>
          <w:szCs w:val="17"/>
          <w:i w:val="1"/>
          <w:iCs w:val="1"/>
          <w:color w:val="003082"/>
        </w:rPr>
        <w:t xml:space="preserve"> </w:t>
      </w:r>
      <w:r>
        <w:rPr>
          <w:rFonts w:ascii="Arial" w:cs="Arial" w:eastAsia="Arial" w:hAnsi="Arial"/>
          <w:sz w:val="17"/>
          <w:szCs w:val="17"/>
          <w:color w:val="003082"/>
        </w:rPr>
        <w:t>among our WFOE, our VIE and our VIE’s shareholders, and the related irrevocable powers of attorney executed by our VIE’s shareholders on the same date pursuant to the Voting Rights Proxy Agreement, each of our VIE’s shareholders irrevocably granted our WFOE’s designated representative full power of attorney to exercise his or her rights as a shareholder of our VIE, including rights to convene and attend shareholders’ meetings, nominate and elect directors, and appoint and dismiss the senior management of our VIE. Unless otherwise agreed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80</w:t>
      </w:r>
    </w:p>
    <w:p>
      <w:pPr>
        <w:sectPr>
          <w:pgSz w:w="11900" w:h="16838" w:orient="portrait"/>
          <w:cols w:equalWidth="0" w:num="1">
            <w:col w:w="11240"/>
          </w:cols>
          <w:pgMar w:left="320" w:top="341" w:right="339" w:bottom="1440" w:gutter="0" w:footer="0" w:header="0"/>
        </w:sectPr>
      </w:pPr>
    </w:p>
    <w:bookmarkStart w:id="85" w:name="page86"/>
    <w:bookmarkEnd w:id="85"/>
    <w:p>
      <w:pPr>
        <w:jc w:val="both"/>
        <w:spacing w:after="0" w:line="311" w:lineRule="auto"/>
        <w:rPr>
          <w:sz w:val="20"/>
          <w:szCs w:val="20"/>
          <w:color w:val="auto"/>
        </w:rPr>
      </w:pPr>
      <w:r>
        <w:rPr>
          <w:rFonts w:ascii="Arial" w:cs="Arial" w:eastAsia="Arial" w:hAnsi="Arial"/>
          <w:sz w:val="16"/>
          <w:szCs w:val="16"/>
          <w:color w:val="003082"/>
        </w:rPr>
        <w:t>pursuant to the Voting Rights Proxy Agreement, it will remain effective until the earlier of: (1) the end of a ten-year term, which will automatically extend annually unless our WFOE provides 30 days’ prior written notice to our VIE and our VIE’s shareholders; and (2) the termination of the term of operation of our VIE. The related irrevocable powers of attorney will remain effective until the expiration or early termination of the Voting Rights Proxy Agreement.</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Agreement that Allows us to Receive Economic Benefits from our VIE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003082"/>
        </w:rPr>
        <w:t>Exclusive Technology Consulting and Services Agreement</w:t>
      </w:r>
      <w:r>
        <w:rPr>
          <w:rFonts w:ascii="Arial" w:cs="Arial" w:eastAsia="Arial" w:hAnsi="Arial"/>
          <w:sz w:val="18"/>
          <w:szCs w:val="18"/>
          <w:color w:val="003082"/>
        </w:rPr>
        <w:t>. Under the Exclusive Technology Consulting and Services Agreement, dated as of June 18,</w:t>
      </w:r>
      <w:r>
        <w:rPr>
          <w:rFonts w:ascii="Arial" w:cs="Arial" w:eastAsia="Arial" w:hAnsi="Arial"/>
          <w:sz w:val="18"/>
          <w:szCs w:val="18"/>
          <w:i w:val="1"/>
          <w:iCs w:val="1"/>
          <w:color w:val="003082"/>
        </w:rPr>
        <w:t xml:space="preserve"> </w:t>
      </w:r>
      <w:r>
        <w:rPr>
          <w:rFonts w:ascii="Arial" w:cs="Arial" w:eastAsia="Arial" w:hAnsi="Arial"/>
          <w:sz w:val="18"/>
          <w:szCs w:val="18"/>
          <w:color w:val="003082"/>
        </w:rPr>
        <w:t>2015, by and between our WFOE and our VIE, our WFOE has the exclusive right to provide to our VIE consulting and services related to, among other things, information consulting, assisting in information collection and market research, and providing training to personnel. Our WFOE has the exclusive ownership of intellectual property rights created as a result of the performance of this agreement. Our VIE shall pay our WFOE an annual service fee, which may only be adjusted with the approval of our WFOE and Agora HK. Unless otherwise agreed pursuant to the agreement, this agreement will remain effective until the earlier of: (1) the end of a ten-year term, which will automatically extend annually unless our WFOE provides 30 days’ prior written notice to our VIE; (2) our WFOE terminates the agreement because of our VIE’s breach of the agreement; and (3) the termination of the term of operation of our VIE.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Agreement that Provides us with the Option to Purchase the Equity Interest in our VIE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003082"/>
        </w:rPr>
        <w:t xml:space="preserve">Exclusive Option Agreement. </w:t>
      </w:r>
      <w:r>
        <w:rPr>
          <w:rFonts w:ascii="Arial" w:cs="Arial" w:eastAsia="Arial" w:hAnsi="Arial"/>
          <w:sz w:val="17"/>
          <w:szCs w:val="17"/>
          <w:color w:val="003082"/>
        </w:rPr>
        <w:t>Pursuant to the Exclusive Option Agreement, dated as of June 18, 2015, by and among our WFOE, our VIE and our</w:t>
      </w:r>
      <w:r>
        <w:rPr>
          <w:rFonts w:ascii="Arial" w:cs="Arial" w:eastAsia="Arial" w:hAnsi="Arial"/>
          <w:sz w:val="17"/>
          <w:szCs w:val="17"/>
          <w:i w:val="1"/>
          <w:iCs w:val="1"/>
          <w:color w:val="003082"/>
        </w:rPr>
        <w:t xml:space="preserve"> </w:t>
      </w:r>
      <w:r>
        <w:rPr>
          <w:rFonts w:ascii="Arial" w:cs="Arial" w:eastAsia="Arial" w:hAnsi="Arial"/>
          <w:sz w:val="17"/>
          <w:szCs w:val="17"/>
          <w:color w:val="003082"/>
        </w:rPr>
        <w:t>VIE’s shareholders, each of our VIE’s shareholders irrevocably granted our WFOE an exclusive option to purchase, or have its designated person to purchase, at its discretion, to the extent permitted under PRC law, all or part of their equity interests in our VIE, and the purchase price shall be the registered capital of our VIE pro rata to our VIE’s shareholders’ shareholdings or the lowest price permitted by applicable PRC law, as applicable. The shareholders of our VIE undertake that, without the prior written consent of our WFOE or us, they shall not, among other things, increase or decrease the registered capital of our VIE, dispose of its assets, incur any debts or guarantee any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our WFOE gives our VIE a termination notice 30 days before the term ends; (2) all equity interests in our VIE held by our VIE’s shareholders are transferred or assigned to our WFOE or its designated representatives; and (3) the termination of the term of operation of our VIE.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In the opinion of King &amp; Wood Mallesons, our PRC legal counsel:</w:t>
      </w:r>
    </w:p>
    <w:p>
      <w:pPr>
        <w:spacing w:after="0" w:line="171" w:lineRule="exact"/>
        <w:rPr>
          <w:sz w:val="20"/>
          <w:szCs w:val="20"/>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003082"/>
        </w:rPr>
      </w:pPr>
      <w:r>
        <w:rPr>
          <w:rFonts w:ascii="Arial" w:cs="Arial" w:eastAsia="Arial" w:hAnsi="Arial"/>
          <w:sz w:val="18"/>
          <w:szCs w:val="18"/>
          <w:color w:val="003082"/>
        </w:rPr>
        <w:t>the ownership structures of our WFOE and our VIE in China, both currently and immediately after giving effect to this offering, do not and will not violate any applicable PRC law, regulation or rule currently in effect; and</w:t>
      </w:r>
    </w:p>
    <w:p>
      <w:pPr>
        <w:spacing w:after="0" w:line="116" w:lineRule="exact"/>
        <w:rPr>
          <w:rFonts w:ascii="Arial" w:cs="Arial" w:eastAsia="Arial" w:hAnsi="Arial"/>
          <w:sz w:val="18"/>
          <w:szCs w:val="18"/>
          <w:color w:val="003082"/>
        </w:rPr>
      </w:pPr>
    </w:p>
    <w:p>
      <w:pPr>
        <w:jc w:val="both"/>
        <w:ind w:left="660" w:right="20" w:hanging="328"/>
        <w:spacing w:after="0" w:line="263" w:lineRule="auto"/>
        <w:tabs>
          <w:tab w:leader="none" w:pos="660" w:val="left"/>
        </w:tabs>
        <w:numPr>
          <w:ilvl w:val="0"/>
          <w:numId w:val="46"/>
        </w:numPr>
        <w:rPr>
          <w:rFonts w:ascii="Arial" w:cs="Arial" w:eastAsia="Arial" w:hAnsi="Arial"/>
          <w:sz w:val="18"/>
          <w:szCs w:val="18"/>
          <w:color w:val="003082"/>
        </w:rPr>
      </w:pPr>
      <w:r>
        <w:rPr>
          <w:rFonts w:ascii="Arial" w:cs="Arial" w:eastAsia="Arial" w:hAnsi="Arial"/>
          <w:sz w:val="18"/>
          <w:szCs w:val="18"/>
          <w:color w:val="003082"/>
        </w:rPr>
        <w:t>the contractual arrangements among our WFOE, our VIE and our VIE’s shareholders governed by PRC laws are valid, binding and enforceable in accordance with their terms and applicable PRC laws, rules and regulations currently in effect, and will not violate any applicable PRC law, regulation or rule currently in effect.</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 xml:space="preserve">However, we have been further advised by King &amp; Wood Mallesons that there are substantial uncertainties regarding the interpretation and application of current and future PRC laws, rules and regulations. In particular, in January 2015, the Ministry of Commerce of the PRC published a discussion draft of the proposed </w:t>
      </w:r>
      <w:r>
        <w:rPr>
          <w:rFonts w:ascii="Arial" w:cs="Arial" w:eastAsia="Arial" w:hAnsi="Arial"/>
          <w:sz w:val="17"/>
          <w:szCs w:val="17"/>
          <w:i w:val="1"/>
          <w:iCs w:val="1"/>
          <w:color w:val="003082"/>
        </w:rPr>
        <w:t>Foreign Investment Law</w:t>
      </w:r>
      <w:r>
        <w:rPr>
          <w:rFonts w:ascii="Arial" w:cs="Arial" w:eastAsia="Arial" w:hAnsi="Arial"/>
          <w:sz w:val="17"/>
          <w:szCs w:val="17"/>
          <w:color w:val="003082"/>
        </w:rPr>
        <w:t xml:space="preserve"> (2015), or the 2015 Draft, for public review and comments. The 2015 Draft was replaced by the draft </w:t>
      </w:r>
      <w:r>
        <w:rPr>
          <w:rFonts w:ascii="Arial" w:cs="Arial" w:eastAsia="Arial" w:hAnsi="Arial"/>
          <w:sz w:val="17"/>
          <w:szCs w:val="17"/>
          <w:i w:val="1"/>
          <w:iCs w:val="1"/>
          <w:color w:val="003082"/>
        </w:rPr>
        <w:t>Foreign</w:t>
      </w:r>
      <w:r>
        <w:rPr>
          <w:rFonts w:ascii="Arial" w:cs="Arial" w:eastAsia="Arial" w:hAnsi="Arial"/>
          <w:sz w:val="17"/>
          <w:szCs w:val="17"/>
          <w:color w:val="003082"/>
        </w:rPr>
        <w:t xml:space="preserve"> </w:t>
      </w:r>
      <w:r>
        <w:rPr>
          <w:rFonts w:ascii="Arial" w:cs="Arial" w:eastAsia="Arial" w:hAnsi="Arial"/>
          <w:sz w:val="17"/>
          <w:szCs w:val="17"/>
          <w:i w:val="1"/>
          <w:iCs w:val="1"/>
          <w:color w:val="003082"/>
        </w:rPr>
        <w:t xml:space="preserve">Investment Law </w:t>
      </w:r>
      <w:r>
        <w:rPr>
          <w:rFonts w:ascii="Arial" w:cs="Arial" w:eastAsia="Arial" w:hAnsi="Arial"/>
          <w:sz w:val="17"/>
          <w:szCs w:val="17"/>
          <w:color w:val="003082"/>
        </w:rPr>
        <w:t>(2018), which was published by the SCNPC in December 2018 and further amended in January 2019. The new</w:t>
      </w:r>
      <w:r>
        <w:rPr>
          <w:rFonts w:ascii="Arial" w:cs="Arial" w:eastAsia="Arial" w:hAnsi="Arial"/>
          <w:sz w:val="17"/>
          <w:szCs w:val="17"/>
          <w:i w:val="1"/>
          <w:iCs w:val="1"/>
          <w:color w:val="003082"/>
        </w:rPr>
        <w:t xml:space="preserve"> Foreign Investment Law </w:t>
      </w:r>
      <w:r>
        <w:rPr>
          <w:rFonts w:ascii="Arial" w:cs="Arial" w:eastAsia="Arial" w:hAnsi="Arial"/>
          <w:sz w:val="17"/>
          <w:szCs w:val="17"/>
          <w:color w:val="003082"/>
        </w:rPr>
        <w:t xml:space="preserve">was approved by the National People’s Congress on March 15, 2019 and came into effect recently on January 1, 2020. Among other things, the 2015 Draft expands the definition of foreign investment and introduces the principle of “actual control” in determining whether a company is considered a foreign-invested enterprise, or FIE. Under the 2015 Draft, VIEs would also be deemed as FIEs, if they are ultimately “controlled” by foreign investors, and be subject to restrictions on foreign investments. However, the relevant terms with regard to the VIE structure in the 2015 Draft have been removed in their entirety in the newly effective </w:t>
      </w:r>
      <w:r>
        <w:rPr>
          <w:rFonts w:ascii="Arial" w:cs="Arial" w:eastAsia="Arial" w:hAnsi="Arial"/>
          <w:sz w:val="17"/>
          <w:szCs w:val="17"/>
          <w:i w:val="1"/>
          <w:iCs w:val="1"/>
          <w:color w:val="003082"/>
        </w:rPr>
        <w:t>Foreign Investment Law</w:t>
      </w:r>
      <w:r>
        <w:rPr>
          <w:rFonts w:ascii="Arial" w:cs="Arial" w:eastAsia="Arial" w:hAnsi="Arial"/>
          <w:sz w:val="17"/>
          <w:szCs w:val="17"/>
          <w:color w:val="003082"/>
        </w:rPr>
        <w:t xml:space="preserve"> and there are significant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81</w:t>
      </w:r>
    </w:p>
    <w:p>
      <w:pPr>
        <w:sectPr>
          <w:pgSz w:w="11900" w:h="16838" w:orient="portrait"/>
          <w:cols w:equalWidth="0" w:num="1">
            <w:col w:w="11240"/>
          </w:cols>
          <w:pgMar w:left="320" w:top="341" w:right="339" w:bottom="1440" w:gutter="0" w:footer="0" w:header="0"/>
        </w:sectPr>
      </w:pPr>
    </w:p>
    <w:bookmarkStart w:id="86" w:name="page87"/>
    <w:bookmarkEnd w:id="86"/>
    <w:p>
      <w:pPr>
        <w:jc w:val="both"/>
        <w:spacing w:after="0" w:line="263" w:lineRule="auto"/>
        <w:rPr>
          <w:sz w:val="20"/>
          <w:szCs w:val="20"/>
          <w:color w:val="auto"/>
        </w:rPr>
      </w:pPr>
      <w:r>
        <w:rPr>
          <w:rFonts w:ascii="Arial" w:cs="Arial" w:eastAsia="Arial" w:hAnsi="Arial"/>
          <w:sz w:val="18"/>
          <w:szCs w:val="18"/>
          <w:color w:val="003082"/>
        </w:rPr>
        <w:t xml:space="preserve">uncertainties as to how the control status of our VIE would be determined under the </w:t>
      </w:r>
      <w:r>
        <w:rPr>
          <w:rFonts w:ascii="Arial" w:cs="Arial" w:eastAsia="Arial" w:hAnsi="Arial"/>
          <w:sz w:val="18"/>
          <w:szCs w:val="18"/>
          <w:i w:val="1"/>
          <w:iCs w:val="1"/>
          <w:color w:val="003082"/>
        </w:rPr>
        <w:t>Foreign Investment Law</w:t>
      </w:r>
      <w:r>
        <w:rPr>
          <w:rFonts w:ascii="Arial" w:cs="Arial" w:eastAsia="Arial" w:hAnsi="Arial"/>
          <w:sz w:val="18"/>
          <w:szCs w:val="18"/>
          <w:color w:val="003082"/>
        </w:rPr>
        <w:t>, and furthermore, whether any of the businesses that we currently operate or plan to operate in the future through our VIE would be subject to any foreign investment restrictions or prohibitions under the “negative list” then effective.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Accordingly, the PRC regulatory authorities may in the future take a view that is contrary to the opinion of our PRC legal counsel. We have been further advised by King &amp; Wood Mallesons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See the section of this prospectus captioned “Risk Factors—Risks Related to Our Corporate Structure.”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All the agreements under our contractual arrangements are governed by PRC laws and provide for the resolution of disputes through arbitration in China. See the section of this prospectus captioned “Risk Factors—Risks Related to Our Corporate Structure—We rely on contractual arrangements with our VIE and its shareholders to operate our business, which may not be as effective as direct ownership in providing operational control and could adversely affect our business, operating results and financial condition.” Such arbitration provisions have no effect on the rights of our shareholders to pursue claims against us under United States federal securities laws.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82</w:t>
      </w:r>
    </w:p>
    <w:p>
      <w:pPr>
        <w:sectPr>
          <w:pgSz w:w="11900" w:h="16838" w:orient="portrait"/>
          <w:cols w:equalWidth="0" w:num="1">
            <w:col w:w="11240"/>
          </w:cols>
          <w:pgMar w:left="320" w:top="34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003082"/>
        </w:rPr>
        <w:t>SELECTED CONSOLIDATED FINANCIAL AND OPERATING DATA</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The following selected consolidated statements of comprehensive income data and selected consolidated statements of cash flows data for the years ended December 31, 2018 and 2019, and selected consolidated balance sheet data as of December 31, 2018 and 2019, have been derived from our audited consolidated financial statements included elsewhere in this prospectus. The selected consolidated statements of comprehensive income data and selected consolidated statements of cash flows data for the three months ended March 31, 2019 and 2020, and selected consolidated balance sheet data as of March 31, 2020, have been derived from our unaudited interim condensed consolidated financial statements included elsewhere in this prospectus. Our consolidated financial statements are prepared and presented in accordance with U.S. GAAP. Our historical results are not necessarily indicative of our future results. The following selected consolidated financial data for the periods and as of the dates indicated are qualified by reference to, and should be read in conjunction with, our consolidated financial statements and the related notes included elsewhere in this prospectus and the information in the section of this prospectus captioned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Consolidated Statements of Comprehensive Income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Arial" w:cs="Arial" w:eastAsia="Arial" w:hAnsi="Arial"/>
                <w:sz w:val="14"/>
                <w:szCs w:val="14"/>
                <w:b w:val="1"/>
                <w:bCs w:val="1"/>
                <w:color w:val="003082"/>
              </w:rPr>
              <w:t>Year Ended December 31,</w:t>
            </w:r>
          </w:p>
        </w:tc>
        <w:tc>
          <w:tcPr>
            <w:tcW w:w="320" w:type="dxa"/>
            <w:vAlign w:val="bottom"/>
          </w:tcPr>
          <w:p>
            <w:pPr>
              <w:spacing w:after="0"/>
              <w:rPr>
                <w:sz w:val="16"/>
                <w:szCs w:val="16"/>
                <w:color w:val="auto"/>
              </w:rPr>
            </w:pPr>
          </w:p>
        </w:tc>
        <w:tc>
          <w:tcPr>
            <w:tcW w:w="270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1180" w:type="dxa"/>
            <w:vAlign w:val="bottom"/>
            <w:tcBorders>
              <w:top w:val="single" w:sz="8" w:color="3D5588"/>
              <w:bottom w:val="single" w:sz="8" w:color="3D5588"/>
            </w:tcBorders>
          </w:tcPr>
          <w:p>
            <w:pPr>
              <w:jc w:val="right"/>
              <w:ind w:right="492"/>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3D5588"/>
            </w:tcBorders>
          </w:tcPr>
          <w:p>
            <w:pPr>
              <w:spacing w:after="0"/>
              <w:rPr>
                <w:sz w:val="22"/>
                <w:szCs w:val="22"/>
                <w:color w:val="auto"/>
              </w:rPr>
            </w:pPr>
          </w:p>
        </w:tc>
        <w:tc>
          <w:tcPr>
            <w:tcW w:w="36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91"/>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20" w:type="dxa"/>
            <w:vAlign w:val="bottom"/>
            <w:tcBorders>
              <w:top w:val="single" w:sz="8" w:color="3D5588"/>
              <w:bottom w:val="single" w:sz="8" w:color="3D5588"/>
            </w:tcBorders>
          </w:tcPr>
          <w:p>
            <w:pPr>
              <w:spacing w:after="0"/>
              <w:rPr>
                <w:sz w:val="22"/>
                <w:szCs w:val="22"/>
                <w:color w:val="auto"/>
              </w:rPr>
            </w:pPr>
          </w:p>
        </w:tc>
        <w:tc>
          <w:tcPr>
            <w:tcW w:w="1140" w:type="dxa"/>
            <w:vAlign w:val="bottom"/>
            <w:tcBorders>
              <w:top w:val="single" w:sz="8" w:color="3D5588"/>
              <w:bottom w:val="single" w:sz="8" w:color="3D5588"/>
            </w:tcBorders>
          </w:tcPr>
          <w:p>
            <w:pPr>
              <w:jc w:val="right"/>
              <w:ind w:right="512"/>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top w:val="single" w:sz="8" w:color="3D5588"/>
              <w:bottom w:val="single" w:sz="8" w:color="3D5588"/>
            </w:tcBorders>
          </w:tcPr>
          <w:p>
            <w:pPr>
              <w:spacing w:after="0"/>
              <w:rPr>
                <w:sz w:val="22"/>
                <w:szCs w:val="22"/>
                <w:color w:val="auto"/>
              </w:rPr>
            </w:pPr>
          </w:p>
        </w:tc>
        <w:tc>
          <w:tcPr>
            <w:tcW w:w="36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91"/>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80" w:type="dxa"/>
            <w:vAlign w:val="bottom"/>
            <w:gridSpan w:val="9"/>
          </w:tcPr>
          <w:p>
            <w:pPr>
              <w:jc w:val="right"/>
              <w:ind w:right="170"/>
              <w:spacing w:after="0"/>
              <w:rPr>
                <w:sz w:val="20"/>
                <w:szCs w:val="20"/>
                <w:color w:val="auto"/>
              </w:rPr>
            </w:pPr>
            <w:r>
              <w:rPr>
                <w:rFonts w:ascii="Arial" w:cs="Arial" w:eastAsia="Arial" w:hAnsi="Arial"/>
                <w:sz w:val="14"/>
                <w:szCs w:val="14"/>
                <w:b w:val="1"/>
                <w:bCs w:val="1"/>
                <w:color w:val="003082"/>
              </w:rPr>
              <w:t>(US$ in thousands, except for share and per share data)</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Real-time engagement service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43,199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63,925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13,287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35,446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Other revenues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003082"/>
              </w:rPr>
              <w:t>503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003082"/>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003082"/>
              </w:rPr>
              <w:t>114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64,429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13,362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35,560</w:t>
            </w: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003082"/>
              </w:rPr>
              <w:t>Cost of revenues</w:t>
            </w:r>
            <w:r>
              <w:rPr>
                <w:rFonts w:ascii="Arial" w:cs="Arial" w:eastAsia="Arial" w:hAnsi="Arial"/>
                <w:sz w:val="25"/>
                <w:szCs w:val="25"/>
                <w:color w:val="003082"/>
                <w:vertAlign w:val="superscript"/>
              </w:rPr>
              <w:t>(1)</w:t>
            </w:r>
          </w:p>
        </w:tc>
        <w:tc>
          <w:tcPr>
            <w:tcW w:w="280" w:type="dxa"/>
            <w:vAlign w:val="bottom"/>
            <w:tcBorders>
              <w:bottom w:val="single" w:sz="8" w:color="3D5588"/>
            </w:tcBorders>
          </w:tcPr>
          <w:p>
            <w:pPr>
              <w:spacing w:after="0"/>
              <w:rPr>
                <w:sz w:val="23"/>
                <w:szCs w:val="23"/>
                <w:color w:val="auto"/>
              </w:rPr>
            </w:pPr>
          </w:p>
        </w:tc>
        <w:tc>
          <w:tcPr>
            <w:tcW w:w="11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(12,635)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3D5588"/>
            </w:tcBorders>
          </w:tcPr>
          <w:p>
            <w:pPr>
              <w:spacing w:after="0"/>
              <w:rPr>
                <w:sz w:val="23"/>
                <w:szCs w:val="23"/>
                <w:color w:val="auto"/>
              </w:rPr>
            </w:pPr>
          </w:p>
        </w:tc>
        <w:tc>
          <w:tcPr>
            <w:tcW w:w="1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(20,417)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3D5588"/>
            </w:tcBorders>
          </w:tcPr>
          <w:p>
            <w:pPr>
              <w:spacing w:after="0"/>
              <w:rPr>
                <w:sz w:val="23"/>
                <w:szCs w:val="23"/>
                <w:color w:val="auto"/>
              </w:rPr>
            </w:pPr>
          </w:p>
        </w:tc>
        <w:tc>
          <w:tcPr>
            <w:tcW w:w="114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(4,152)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3D5588"/>
            </w:tcBorders>
          </w:tcPr>
          <w:p>
            <w:pPr>
              <w:spacing w:after="0"/>
              <w:rPr>
                <w:sz w:val="23"/>
                <w:szCs w:val="23"/>
                <w:color w:val="auto"/>
              </w:rPr>
            </w:pPr>
          </w:p>
        </w:tc>
        <w:tc>
          <w:tcPr>
            <w:tcW w:w="1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(11,082)</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44,011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9,211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24,478</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Operating expenses: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003082"/>
              </w:rPr>
              <w:t>Research and development expenses</w:t>
            </w:r>
            <w:r>
              <w:rPr>
                <w:rFonts w:ascii="Arial" w:cs="Arial" w:eastAsia="Arial" w:hAnsi="Arial"/>
                <w:sz w:val="25"/>
                <w:szCs w:val="25"/>
                <w:color w:val="003082"/>
                <w:vertAlign w:val="superscript"/>
              </w:rPr>
              <w:t>(1)</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(14,426)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(23,623)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(11,688)</w:t>
            </w:r>
          </w:p>
        </w:tc>
        <w:tc>
          <w:tcPr>
            <w:tcW w:w="0" w:type="dxa"/>
            <w:vAlign w:val="bottom"/>
          </w:tcPr>
          <w:p>
            <w:pPr>
              <w:spacing w:after="0"/>
              <w:rPr>
                <w:sz w:val="1"/>
                <w:szCs w:val="1"/>
                <w:color w:val="auto"/>
              </w:rPr>
            </w:pPr>
          </w:p>
        </w:tc>
      </w:tr>
      <w:tr>
        <w:trPr>
          <w:trHeight w:val="270"/>
        </w:trPr>
        <w:tc>
          <w:tcPr>
            <w:tcW w:w="5080" w:type="dxa"/>
            <w:vAlign w:val="bottom"/>
          </w:tcPr>
          <w:p>
            <w:pPr>
              <w:ind w:left="160"/>
              <w:spacing w:after="0" w:line="270" w:lineRule="exact"/>
              <w:rPr>
                <w:sz w:val="20"/>
                <w:szCs w:val="20"/>
                <w:color w:val="auto"/>
              </w:rPr>
            </w:pPr>
            <w:r>
              <w:rPr>
                <w:rFonts w:ascii="Arial" w:cs="Arial" w:eastAsia="Arial" w:hAnsi="Arial"/>
                <w:sz w:val="18"/>
                <w:szCs w:val="18"/>
                <w:color w:val="003082"/>
              </w:rPr>
              <w:t>Sales and marketing expenses</w:t>
            </w:r>
            <w:r>
              <w:rPr>
                <w:rFonts w:ascii="Arial" w:cs="Arial" w:eastAsia="Arial" w:hAnsi="Arial"/>
                <w:sz w:val="25"/>
                <w:szCs w:val="25"/>
                <w:color w:val="003082"/>
                <w:vertAlign w:val="superscript"/>
              </w:rPr>
              <w:t>(1)</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(11,986)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(19,408)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3082"/>
              </w:rPr>
              <w:t>(4,006)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(6,002)</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003082"/>
              </w:rPr>
              <w:t>General and administrative expenses</w:t>
            </w:r>
            <w:r>
              <w:rPr>
                <w:rFonts w:ascii="Arial" w:cs="Arial" w:eastAsia="Arial" w:hAnsi="Arial"/>
                <w:sz w:val="25"/>
                <w:szCs w:val="25"/>
                <w:color w:val="003082"/>
                <w:vertAlign w:val="superscript"/>
              </w:rPr>
              <w:t>(1)</w:t>
            </w:r>
          </w:p>
        </w:tc>
        <w:tc>
          <w:tcPr>
            <w:tcW w:w="280" w:type="dxa"/>
            <w:vAlign w:val="bottom"/>
            <w:tcBorders>
              <w:bottom w:val="single" w:sz="8" w:color="3D5588"/>
            </w:tcBorders>
            <w:shd w:val="clear" w:color="auto" w:fill="CCEEFF"/>
          </w:tcPr>
          <w:p>
            <w:pPr>
              <w:spacing w:after="0"/>
              <w:rPr>
                <w:sz w:val="23"/>
                <w:szCs w:val="23"/>
                <w:color w:val="auto"/>
              </w:rPr>
            </w:pPr>
          </w:p>
        </w:tc>
        <w:tc>
          <w:tcPr>
            <w:tcW w:w="11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(5,373)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3D5588"/>
            </w:tcBorders>
            <w:shd w:val="clear" w:color="auto" w:fill="CCEEFF"/>
          </w:tcPr>
          <w:p>
            <w:pPr>
              <w:spacing w:after="0"/>
              <w:rPr>
                <w:sz w:val="23"/>
                <w:szCs w:val="23"/>
                <w:color w:val="auto"/>
              </w:rPr>
            </w:pPr>
          </w:p>
        </w:tc>
        <w:tc>
          <w:tcPr>
            <w:tcW w:w="11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(7,177)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3D5588"/>
            </w:tcBorders>
            <w:shd w:val="clear" w:color="auto" w:fill="CCEEFF"/>
          </w:tcPr>
          <w:p>
            <w:pPr>
              <w:spacing w:after="0"/>
              <w:rPr>
                <w:sz w:val="23"/>
                <w:szCs w:val="23"/>
                <w:color w:val="auto"/>
              </w:rPr>
            </w:pPr>
          </w:p>
        </w:tc>
        <w:tc>
          <w:tcPr>
            <w:tcW w:w="114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(1,562)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3D5588"/>
            </w:tcBorders>
            <w:shd w:val="clear" w:color="auto" w:fill="CCEEFF"/>
          </w:tcPr>
          <w:p>
            <w:pPr>
              <w:spacing w:after="0"/>
              <w:rPr>
                <w:sz w:val="23"/>
                <w:szCs w:val="23"/>
                <w:color w:val="auto"/>
              </w:rPr>
            </w:pPr>
          </w:p>
        </w:tc>
        <w:tc>
          <w:tcPr>
            <w:tcW w:w="11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(3,545)</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003082"/>
              </w:rPr>
              <w:t>Total operating expenses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(31,785)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(50,208)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3082"/>
              </w:rPr>
              <w:t>(9,768)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(21,236)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23</w:t>
            </w:r>
          </w:p>
        </w:tc>
        <w:tc>
          <w:tcPr>
            <w:tcW w:w="0" w:type="dxa"/>
            <w:vAlign w:val="bottom"/>
          </w:tcPr>
          <w:p>
            <w:pPr>
              <w:spacing w:after="0"/>
              <w:rPr>
                <w:sz w:val="1"/>
                <w:szCs w:val="1"/>
                <w:color w:val="auto"/>
              </w:rPr>
            </w:pP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003082"/>
              </w:rPr>
              <w:t>Income (loss) from operations</w:t>
            </w:r>
          </w:p>
        </w:tc>
        <w:tc>
          <w:tcPr>
            <w:tcW w:w="280" w:type="dxa"/>
            <w:vAlign w:val="bottom"/>
            <w:tcBorders>
              <w:top w:val="single" w:sz="8" w:color="3D5588"/>
            </w:tcBorders>
          </w:tcPr>
          <w:p>
            <w:pPr>
              <w:spacing w:after="0"/>
              <w:rPr>
                <w:sz w:val="20"/>
                <w:szCs w:val="20"/>
                <w:color w:val="auto"/>
              </w:rPr>
            </w:pPr>
          </w:p>
        </w:tc>
        <w:tc>
          <w:tcPr>
            <w:tcW w:w="11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263</w:t>
            </w:r>
          </w:p>
        </w:tc>
        <w:tc>
          <w:tcPr>
            <w:tcW w:w="10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1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(6,089)</w:t>
            </w:r>
          </w:p>
        </w:tc>
        <w:tc>
          <w:tcPr>
            <w:tcW w:w="120" w:type="dxa"/>
            <w:vAlign w:val="bottom"/>
          </w:tcPr>
          <w:p>
            <w:pPr>
              <w:spacing w:after="0"/>
              <w:rPr>
                <w:sz w:val="20"/>
                <w:szCs w:val="20"/>
                <w:color w:val="auto"/>
              </w:rPr>
            </w:pPr>
          </w:p>
        </w:tc>
        <w:tc>
          <w:tcPr>
            <w:tcW w:w="320" w:type="dxa"/>
            <w:vAlign w:val="bottom"/>
            <w:tcBorders>
              <w:top w:val="single" w:sz="8" w:color="3D5588"/>
            </w:tcBorders>
          </w:tcPr>
          <w:p>
            <w:pPr>
              <w:spacing w:after="0"/>
              <w:rPr>
                <w:sz w:val="20"/>
                <w:szCs w:val="20"/>
                <w:color w:val="auto"/>
              </w:rPr>
            </w:pPr>
          </w:p>
        </w:tc>
        <w:tc>
          <w:tcPr>
            <w:tcW w:w="114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(552)</w:t>
            </w:r>
          </w:p>
        </w:tc>
        <w:tc>
          <w:tcPr>
            <w:tcW w:w="10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10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3,266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Exchange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Interest income</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003082"/>
              </w:rPr>
              <w:t>626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003082"/>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003082"/>
              </w:rPr>
              <w:t>97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3,356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Income taxes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(801)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3082"/>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(369)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2,987</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003082"/>
                <w:w w:val="95"/>
              </w:rPr>
              <w:t>Less: cumulative undeclared dividends on convertible redeemable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003082"/>
              </w:rPr>
              <w:t>preferred shares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(9,961)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(9,961)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003082"/>
              </w:rPr>
              <w:t>(2,490)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(3,399)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Less: accretion on convertible redeemable preferred shares to</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003082"/>
              </w:rPr>
              <w:t>redemption value</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(33,235)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(50,715)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(10,179)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(35,964)</w:t>
            </w:r>
          </w:p>
        </w:tc>
        <w:tc>
          <w:tcPr>
            <w:tcW w:w="0" w:type="dxa"/>
            <w:vAlign w:val="bottom"/>
          </w:tcPr>
          <w:p>
            <w:pPr>
              <w:spacing w:after="0"/>
              <w:rPr>
                <w:sz w:val="1"/>
                <w:szCs w:val="1"/>
                <w:color w:val="auto"/>
              </w:rPr>
            </w:pPr>
          </w:p>
        </w:tc>
      </w:tr>
      <w:tr>
        <w:trPr>
          <w:trHeight w:val="2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003082"/>
              </w:rPr>
              <w:t>Net income (loss) attributable to ordinary shareholders</w:t>
            </w:r>
          </w:p>
        </w:tc>
        <w:tc>
          <w:tcPr>
            <w:tcW w:w="28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79"/>
              </w:rPr>
              <w:t>$</w:t>
            </w:r>
          </w:p>
        </w:tc>
        <w:tc>
          <w:tcPr>
            <w:tcW w:w="11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(42,820)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(66,854)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3D5588"/>
              <w:bottom w:val="single" w:sz="8" w:color="3D5588"/>
            </w:tcBorders>
          </w:tcPr>
          <w:p>
            <w:pPr>
              <w:jc w:val="right"/>
              <w:ind w:right="110"/>
              <w:spacing w:after="0"/>
              <w:rPr>
                <w:sz w:val="20"/>
                <w:szCs w:val="20"/>
                <w:color w:val="auto"/>
              </w:rPr>
            </w:pPr>
            <w:r>
              <w:rPr>
                <w:rFonts w:ascii="Arial" w:cs="Arial" w:eastAsia="Arial" w:hAnsi="Arial"/>
                <w:sz w:val="18"/>
                <w:szCs w:val="18"/>
                <w:color w:val="003082"/>
                <w:w w:val="99"/>
              </w:rPr>
              <w:t>$</w:t>
            </w:r>
          </w:p>
        </w:tc>
        <w:tc>
          <w:tcPr>
            <w:tcW w:w="114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(13,387)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(36,376)</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Other 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0"/>
              <w:spacing w:after="0"/>
              <w:rPr>
                <w:sz w:val="20"/>
                <w:szCs w:val="20"/>
                <w:color w:val="auto"/>
              </w:rPr>
            </w:pPr>
            <w:r>
              <w:rPr>
                <w:rFonts w:ascii="Arial" w:cs="Arial" w:eastAsia="Arial" w:hAnsi="Arial"/>
                <w:sz w:val="18"/>
                <w:szCs w:val="18"/>
                <w:color w:val="003082"/>
              </w:rPr>
              <w:t>Foreign currency translation adjustments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(358)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003082"/>
              </w:rPr>
              <w:t>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(501)</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Total comprehensive income (loss) attributable to Agora, Inc.’s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003082"/>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(43,569)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(67,212)</w:t>
            </w:r>
          </w:p>
        </w:tc>
        <w:tc>
          <w:tcPr>
            <w:tcW w:w="12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(13,066)</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(36,877)</w:t>
            </w:r>
          </w:p>
        </w:tc>
        <w:tc>
          <w:tcPr>
            <w:tcW w:w="0" w:type="dxa"/>
            <w:vAlign w:val="bottom"/>
          </w:tcPr>
          <w:p>
            <w:pPr>
              <w:spacing w:after="0"/>
              <w:rPr>
                <w:sz w:val="1"/>
                <w:szCs w:val="1"/>
                <w:color w:val="auto"/>
              </w:rPr>
            </w:pPr>
          </w:p>
        </w:tc>
      </w:tr>
      <w:tr>
        <w:trPr>
          <w:trHeight w:val="237"/>
        </w:trPr>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003082"/>
              </w:rPr>
              <w:t>ordinary shareholders</w:t>
            </w:r>
          </w:p>
        </w:tc>
        <w:tc>
          <w:tcPr>
            <w:tcW w:w="280" w:type="dxa"/>
            <w:vAlign w:val="bottom"/>
            <w:tcBorders>
              <w:bottom w:val="single" w:sz="8" w:color="3D5588"/>
            </w:tcBorders>
            <w:vMerge w:val="continue"/>
            <w:shd w:val="clear" w:color="auto" w:fill="CCEEFF"/>
          </w:tcPr>
          <w:p>
            <w:pPr>
              <w:spacing w:after="0"/>
              <w:rPr>
                <w:sz w:val="20"/>
                <w:szCs w:val="20"/>
                <w:color w:val="auto"/>
              </w:rPr>
            </w:pPr>
          </w:p>
        </w:tc>
        <w:tc>
          <w:tcPr>
            <w:tcW w:w="1180" w:type="dxa"/>
            <w:vAlign w:val="bottom"/>
            <w:tcBorders>
              <w:bottom w:val="single" w:sz="8" w:color="3D5588"/>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3D5588"/>
            </w:tcBorders>
            <w:vMerge w:val="continue"/>
            <w:shd w:val="clear" w:color="auto" w:fill="CCEEFF"/>
          </w:tcPr>
          <w:p>
            <w:pPr>
              <w:spacing w:after="0"/>
              <w:rPr>
                <w:sz w:val="20"/>
                <w:szCs w:val="20"/>
                <w:color w:val="auto"/>
              </w:rPr>
            </w:pPr>
          </w:p>
        </w:tc>
        <w:tc>
          <w:tcPr>
            <w:tcW w:w="1100" w:type="dxa"/>
            <w:vAlign w:val="bottom"/>
            <w:tcBorders>
              <w:bottom w:val="single" w:sz="8" w:color="3D5588"/>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3D5588"/>
            </w:tcBorders>
            <w:vMerge w:val="continue"/>
            <w:shd w:val="clear" w:color="auto" w:fill="CCEEFF"/>
          </w:tcPr>
          <w:p>
            <w:pPr>
              <w:spacing w:after="0"/>
              <w:rPr>
                <w:sz w:val="20"/>
                <w:szCs w:val="20"/>
                <w:color w:val="auto"/>
              </w:rPr>
            </w:pPr>
          </w:p>
        </w:tc>
        <w:tc>
          <w:tcPr>
            <w:tcW w:w="1140" w:type="dxa"/>
            <w:vAlign w:val="bottom"/>
            <w:tcBorders>
              <w:bottom w:val="single" w:sz="8" w:color="3D5588"/>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3D5588"/>
            </w:tcBorders>
            <w:vMerge w:val="continue"/>
            <w:shd w:val="clear" w:color="auto" w:fill="CCEEFF"/>
          </w:tcPr>
          <w:p>
            <w:pPr>
              <w:spacing w:after="0"/>
              <w:rPr>
                <w:sz w:val="20"/>
                <w:szCs w:val="20"/>
                <w:color w:val="auto"/>
              </w:rPr>
            </w:pPr>
          </w:p>
        </w:tc>
        <w:tc>
          <w:tcPr>
            <w:tcW w:w="1100" w:type="dxa"/>
            <w:vAlign w:val="bottom"/>
            <w:tcBorders>
              <w:bottom w:val="single" w:sz="8" w:color="3D5588"/>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3D5588"/>
            </w:tcBorders>
          </w:tcPr>
          <w:p>
            <w:pPr>
              <w:spacing w:after="0" w:line="20" w:lineRule="exact"/>
              <w:rPr>
                <w:sz w:val="1"/>
                <w:szCs w:val="1"/>
                <w:color w:val="auto"/>
              </w:rPr>
            </w:pPr>
          </w:p>
        </w:tc>
        <w:tc>
          <w:tcPr>
            <w:tcW w:w="11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2"/>
              <w:spacing w:after="0"/>
              <w:rPr>
                <w:sz w:val="20"/>
                <w:szCs w:val="20"/>
                <w:color w:val="auto"/>
              </w:rPr>
            </w:pPr>
            <w:r>
              <w:rPr>
                <w:rFonts w:ascii="Arial" w:cs="Arial" w:eastAsia="Arial" w:hAnsi="Arial"/>
                <w:sz w:val="18"/>
                <w:szCs w:val="18"/>
                <w:color w:val="003082"/>
              </w:rPr>
              <w:t>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3D5588"/>
            </w:tcBorders>
          </w:tcPr>
          <w:p>
            <w:pPr>
              <w:spacing w:after="0"/>
              <w:rPr>
                <w:sz w:val="16"/>
                <w:szCs w:val="16"/>
                <w:color w:val="auto"/>
              </w:rPr>
            </w:pPr>
          </w:p>
        </w:tc>
        <w:tc>
          <w:tcPr>
            <w:tcW w:w="2660" w:type="dxa"/>
            <w:vAlign w:val="bottom"/>
            <w:tcBorders>
              <w:bottom w:val="single" w:sz="8" w:color="3D5588"/>
            </w:tcBorders>
            <w:gridSpan w:val="8"/>
          </w:tcPr>
          <w:p>
            <w:pPr>
              <w:jc w:val="center"/>
              <w:ind w:right="140"/>
              <w:spacing w:after="0"/>
              <w:rPr>
                <w:sz w:val="20"/>
                <w:szCs w:val="20"/>
                <w:color w:val="auto"/>
              </w:rPr>
            </w:pPr>
            <w:r>
              <w:rPr>
                <w:rFonts w:ascii="Arial" w:cs="Arial" w:eastAsia="Arial" w:hAnsi="Arial"/>
                <w:sz w:val="14"/>
                <w:szCs w:val="14"/>
                <w:b w:val="1"/>
                <w:bCs w:val="1"/>
                <w:color w:val="003082"/>
                <w:w w:val="93"/>
              </w:rPr>
              <w:t>Year Ended December 31,</w:t>
            </w:r>
          </w:p>
        </w:tc>
        <w:tc>
          <w:tcPr>
            <w:tcW w:w="12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3D5588"/>
            </w:tcBorders>
            <w:gridSpan w:val="7"/>
          </w:tcPr>
          <w:p>
            <w:pPr>
              <w:jc w:val="right"/>
              <w:ind w:right="500"/>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3D5588"/>
            </w:tcBorders>
          </w:tcPr>
          <w:p>
            <w:pPr>
              <w:spacing w:after="0"/>
              <w:rPr>
                <w:sz w:val="22"/>
                <w:szCs w:val="22"/>
                <w:color w:val="auto"/>
              </w:rPr>
            </w:pPr>
          </w:p>
        </w:tc>
        <w:tc>
          <w:tcPr>
            <w:tcW w:w="1080" w:type="dxa"/>
            <w:vAlign w:val="bottom"/>
            <w:tcBorders>
              <w:bottom w:val="single" w:sz="8" w:color="3D5588"/>
            </w:tcBorders>
          </w:tcPr>
          <w:p>
            <w:pPr>
              <w:jc w:val="right"/>
              <w:ind w:right="401"/>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bottom w:val="single" w:sz="8" w:color="3D5588"/>
            </w:tcBorders>
          </w:tcPr>
          <w:p>
            <w:pPr>
              <w:spacing w:after="0"/>
              <w:rPr>
                <w:sz w:val="22"/>
                <w:szCs w:val="22"/>
                <w:color w:val="auto"/>
              </w:rPr>
            </w:pPr>
          </w:p>
        </w:tc>
        <w:tc>
          <w:tcPr>
            <w:tcW w:w="20" w:type="dxa"/>
            <w:vAlign w:val="bottom"/>
            <w:tcBorders>
              <w:bottom w:val="single" w:sz="8" w:color="3D5588"/>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840" w:type="dxa"/>
            <w:vAlign w:val="bottom"/>
            <w:tcBorders>
              <w:bottom w:val="single" w:sz="8" w:color="3D5588"/>
            </w:tcBorders>
          </w:tcPr>
          <w:p>
            <w:pPr>
              <w:jc w:val="right"/>
              <w:ind w:right="277"/>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20" w:type="dxa"/>
            <w:vAlign w:val="bottom"/>
            <w:tcBorders>
              <w:bottom w:val="single" w:sz="8" w:color="3D5588"/>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gridSpan w:val="2"/>
          </w:tcPr>
          <w:p>
            <w:pPr>
              <w:jc w:val="right"/>
              <w:ind w:right="16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220" w:type="dxa"/>
            <w:vAlign w:val="bottom"/>
            <w:tcBorders>
              <w:bottom w:val="single" w:sz="8" w:color="3D5588"/>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140" w:type="dxa"/>
            <w:vAlign w:val="bottom"/>
            <w:tcBorders>
              <w:bottom w:val="single" w:sz="8" w:color="3D5588"/>
            </w:tcBorders>
          </w:tcPr>
          <w:p>
            <w:pPr>
              <w:spacing w:after="0"/>
              <w:rPr>
                <w:sz w:val="22"/>
                <w:szCs w:val="22"/>
                <w:color w:val="auto"/>
              </w:rPr>
            </w:pPr>
          </w:p>
        </w:tc>
        <w:tc>
          <w:tcPr>
            <w:tcW w:w="860" w:type="dxa"/>
            <w:vAlign w:val="bottom"/>
            <w:tcBorders>
              <w:bottom w:val="single" w:sz="8" w:color="3D5588"/>
            </w:tcBorders>
          </w:tcPr>
          <w:p>
            <w:pPr>
              <w:jc w:val="right"/>
              <w:ind w:right="56"/>
              <w:spacing w:after="0"/>
              <w:rPr>
                <w:sz w:val="20"/>
                <w:szCs w:val="20"/>
                <w:color w:val="auto"/>
              </w:rPr>
            </w:pPr>
            <w:r>
              <w:rPr>
                <w:rFonts w:ascii="Arial" w:cs="Arial" w:eastAsia="Arial" w:hAnsi="Arial"/>
                <w:sz w:val="14"/>
                <w:szCs w:val="14"/>
                <w:b w:val="1"/>
                <w:bCs w:val="1"/>
                <w:color w:val="003082"/>
              </w:rPr>
              <w:t>2020</w:t>
            </w:r>
          </w:p>
        </w:tc>
        <w:tc>
          <w:tcPr>
            <w:tcW w:w="440" w:type="dxa"/>
            <w:vAlign w:val="bottom"/>
            <w:tcBorders>
              <w:bottom w:val="single" w:sz="8" w:color="3D5588"/>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500" w:type="dxa"/>
            <w:vAlign w:val="bottom"/>
            <w:gridSpan w:val="14"/>
          </w:tcPr>
          <w:p>
            <w:pPr>
              <w:ind w:left="20"/>
              <w:spacing w:after="0"/>
              <w:rPr>
                <w:sz w:val="20"/>
                <w:szCs w:val="20"/>
                <w:color w:val="auto"/>
              </w:rPr>
            </w:pPr>
            <w:r>
              <w:rPr>
                <w:rFonts w:ascii="Arial" w:cs="Arial" w:eastAsia="Arial" w:hAnsi="Arial"/>
                <w:sz w:val="14"/>
                <w:szCs w:val="14"/>
                <w:b w:val="1"/>
                <w:bCs w:val="1"/>
                <w:color w:val="003082"/>
                <w:w w:val="93"/>
              </w:rPr>
              <w:t>(US$ in thousands, except for share and per share data)</w:t>
            </w: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080" w:type="dxa"/>
            <w:vAlign w:val="bottom"/>
            <w:gridSpan w:val="3"/>
          </w:tcPr>
          <w:p>
            <w:pPr>
              <w:ind w:left="20"/>
              <w:spacing w:after="0"/>
              <w:rPr>
                <w:sz w:val="20"/>
                <w:szCs w:val="20"/>
                <w:color w:val="auto"/>
              </w:rPr>
            </w:pPr>
            <w:r>
              <w:rPr>
                <w:rFonts w:ascii="Arial" w:cs="Arial" w:eastAsia="Arial" w:hAnsi="Arial"/>
                <w:sz w:val="18"/>
                <w:szCs w:val="18"/>
                <w:color w:val="003082"/>
                <w:w w:val="92"/>
              </w:rPr>
              <w:t>Net loss per share attributable to Agora, Inc.’s ordinary shareholders</w:t>
            </w:r>
          </w:p>
        </w:tc>
        <w:tc>
          <w:tcPr>
            <w:tcW w:w="280" w:type="dxa"/>
            <w:vAlign w:val="bottom"/>
          </w:tcPr>
          <w:p>
            <w:pPr>
              <w:spacing w:after="0"/>
              <w:rPr>
                <w:sz w:val="20"/>
                <w:szCs w:val="20"/>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003082"/>
              </w:rPr>
              <w:t>(0.39)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8"/>
                <w:szCs w:val="18"/>
                <w:color w:val="003082"/>
              </w:rPr>
              <w:t>(0.58)</w:t>
            </w:r>
          </w:p>
        </w:tc>
        <w:tc>
          <w:tcPr>
            <w:tcW w:w="100" w:type="dxa"/>
            <w:vAlign w:val="bottom"/>
            <w:vMerge w:val="restart"/>
          </w:tcPr>
          <w:p>
            <w:pPr>
              <w:spacing w:after="0"/>
              <w:rPr>
                <w:sz w:val="20"/>
                <w:szCs w:val="20"/>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color w:val="003082"/>
              </w:rPr>
              <w:t>(0.12)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003082"/>
              </w:rPr>
              <w:t>(0.30)</w:t>
            </w:r>
          </w:p>
        </w:tc>
        <w:tc>
          <w:tcPr>
            <w:tcW w:w="0" w:type="dxa"/>
            <w:vAlign w:val="bottom"/>
          </w:tcPr>
          <w:p>
            <w:pPr>
              <w:spacing w:after="0"/>
              <w:rPr>
                <w:sz w:val="1"/>
                <w:szCs w:val="1"/>
                <w:color w:val="auto"/>
              </w:rPr>
            </w:pPr>
          </w:p>
        </w:tc>
      </w:tr>
      <w:tr>
        <w:trPr>
          <w:trHeight w:val="284"/>
        </w:trPr>
        <w:tc>
          <w:tcPr>
            <w:tcW w:w="5080" w:type="dxa"/>
            <w:vAlign w:val="bottom"/>
            <w:tcBorders>
              <w:bottom w:val="single" w:sz="8" w:color="CCEEFF"/>
            </w:tcBorders>
            <w:gridSpan w:val="3"/>
          </w:tcPr>
          <w:p>
            <w:pPr>
              <w:ind w:left="220"/>
              <w:spacing w:after="0" w:line="244" w:lineRule="exact"/>
              <w:rPr>
                <w:sz w:val="20"/>
                <w:szCs w:val="20"/>
                <w:color w:val="auto"/>
              </w:rPr>
            </w:pPr>
            <w:r>
              <w:rPr>
                <w:rFonts w:ascii="Arial" w:cs="Arial" w:eastAsia="Arial" w:hAnsi="Arial"/>
                <w:sz w:val="18"/>
                <w:szCs w:val="18"/>
                <w:color w:val="003082"/>
              </w:rPr>
              <w:t>—basic and diluted</w:t>
            </w:r>
            <w:r>
              <w:rPr>
                <w:rFonts w:ascii="Arial" w:cs="Arial" w:eastAsia="Arial" w:hAnsi="Arial"/>
                <w:sz w:val="25"/>
                <w:szCs w:val="25"/>
                <w:color w:val="003082"/>
                <w:vertAlign w:val="superscript"/>
              </w:rPr>
              <w:t>(2)</w:t>
            </w:r>
          </w:p>
        </w:tc>
        <w:tc>
          <w:tcPr>
            <w:tcW w:w="280" w:type="dxa"/>
            <w:vAlign w:val="bottom"/>
            <w:tcBorders>
              <w:bottom w:val="single" w:sz="8" w:color="3D5588"/>
            </w:tcBorders>
          </w:tcPr>
          <w:p>
            <w:pPr>
              <w:spacing w:after="0"/>
              <w:rPr>
                <w:sz w:val="24"/>
                <w:szCs w:val="24"/>
                <w:color w:val="auto"/>
              </w:rPr>
            </w:pPr>
          </w:p>
        </w:tc>
        <w:tc>
          <w:tcPr>
            <w:tcW w:w="1180" w:type="dxa"/>
            <w:vAlign w:val="bottom"/>
            <w:tcBorders>
              <w:bottom w:val="single" w:sz="8" w:color="3D5588"/>
            </w:tcBorders>
            <w:gridSpan w:val="2"/>
            <w:vMerge w:val="continue"/>
          </w:tcPr>
          <w:p>
            <w:pPr>
              <w:spacing w:after="0"/>
              <w:rPr>
                <w:sz w:val="24"/>
                <w:szCs w:val="24"/>
                <w:color w:val="auto"/>
              </w:rPr>
            </w:pPr>
          </w:p>
        </w:tc>
        <w:tc>
          <w:tcPr>
            <w:tcW w:w="20" w:type="dxa"/>
            <w:vAlign w:val="bottom"/>
            <w:tcBorders>
              <w:bottom w:val="single" w:sz="8" w:color="3D5588"/>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1080" w:type="dxa"/>
            <w:vAlign w:val="bottom"/>
            <w:tcBorders>
              <w:bottom w:val="single" w:sz="8" w:color="3D5588"/>
            </w:tcBorders>
            <w:gridSpan w:val="4"/>
            <w:vMerge w:val="continue"/>
          </w:tcPr>
          <w:p>
            <w:pPr>
              <w:spacing w:after="0"/>
              <w:rPr>
                <w:sz w:val="24"/>
                <w:szCs w:val="24"/>
                <w:color w:val="auto"/>
              </w:rPr>
            </w:pPr>
          </w:p>
        </w:tc>
        <w:tc>
          <w:tcPr>
            <w:tcW w:w="100" w:type="dxa"/>
            <w:vAlign w:val="bottom"/>
            <w:tcBorders>
              <w:bottom w:val="single" w:sz="8" w:color="CCEEFF"/>
            </w:tcBorders>
            <w:vMerge w:val="continue"/>
          </w:tcPr>
          <w:p>
            <w:pPr>
              <w:spacing w:after="0"/>
              <w:rPr>
                <w:sz w:val="24"/>
                <w:szCs w:val="24"/>
                <w:color w:val="auto"/>
              </w:rPr>
            </w:pPr>
          </w:p>
        </w:tc>
        <w:tc>
          <w:tcPr>
            <w:tcW w:w="1440" w:type="dxa"/>
            <w:vAlign w:val="bottom"/>
            <w:tcBorders>
              <w:bottom w:val="single" w:sz="8" w:color="3D5588"/>
            </w:tcBorders>
            <w:gridSpan w:val="3"/>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3D5588"/>
            </w:tcBorders>
          </w:tcPr>
          <w:p>
            <w:pPr>
              <w:spacing w:after="0"/>
              <w:rPr>
                <w:sz w:val="24"/>
                <w:szCs w:val="24"/>
                <w:color w:val="auto"/>
              </w:rPr>
            </w:pPr>
          </w:p>
        </w:tc>
        <w:tc>
          <w:tcPr>
            <w:tcW w:w="1300" w:type="dxa"/>
            <w:vAlign w:val="bottom"/>
            <w:tcBorders>
              <w:bottom w:val="single" w:sz="8" w:color="3D5588"/>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080" w:type="dxa"/>
            <w:vAlign w:val="bottom"/>
            <w:gridSpan w:val="3"/>
            <w:shd w:val="clear" w:color="auto" w:fill="CCEEFF"/>
          </w:tcPr>
          <w:p>
            <w:pPr>
              <w:ind w:left="20"/>
              <w:spacing w:after="0" w:line="251" w:lineRule="exact"/>
              <w:rPr>
                <w:sz w:val="20"/>
                <w:szCs w:val="20"/>
                <w:color w:val="auto"/>
              </w:rPr>
            </w:pPr>
            <w:r>
              <w:rPr>
                <w:rFonts w:ascii="Arial" w:cs="Arial" w:eastAsia="Arial" w:hAnsi="Arial"/>
                <w:sz w:val="18"/>
                <w:szCs w:val="18"/>
                <w:color w:val="003082"/>
                <w:w w:val="94"/>
              </w:rPr>
              <w:t>Weighted average number of ordinary shares—basic and diluted</w:t>
            </w:r>
            <w:r>
              <w:rPr>
                <w:rFonts w:ascii="Arial" w:cs="Arial" w:eastAsia="Arial" w:hAnsi="Arial"/>
                <w:sz w:val="25"/>
                <w:szCs w:val="25"/>
                <w:color w:val="003082"/>
                <w:w w:val="94"/>
                <w:vertAlign w:val="superscript"/>
              </w:rPr>
              <w:t>(2)</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109,141,311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003082"/>
                <w:w w:val="93"/>
              </w:rPr>
              <w:t>115,716,392</w:t>
            </w:r>
          </w:p>
        </w:tc>
        <w:tc>
          <w:tcPr>
            <w:tcW w:w="120" w:type="dxa"/>
            <w:vAlign w:val="bottom"/>
            <w:shd w:val="clear" w:color="auto" w:fill="CCEEFF"/>
          </w:tcPr>
          <w:p>
            <w:pPr>
              <w:spacing w:after="0"/>
              <w:rPr>
                <w:sz w:val="21"/>
                <w:szCs w:val="21"/>
                <w:color w:val="auto"/>
              </w:rPr>
            </w:pPr>
          </w:p>
        </w:tc>
        <w:tc>
          <w:tcPr>
            <w:tcW w:w="154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003082"/>
              </w:rPr>
              <w:t>113,245,308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003082"/>
              </w:rPr>
              <w:t>119,882,136</w:t>
            </w:r>
          </w:p>
        </w:tc>
        <w:tc>
          <w:tcPr>
            <w:tcW w:w="0" w:type="dxa"/>
            <w:vAlign w:val="bottom"/>
          </w:tcPr>
          <w:p>
            <w:pPr>
              <w:spacing w:after="0"/>
              <w:rPr>
                <w:sz w:val="1"/>
                <w:szCs w:val="1"/>
                <w:color w:val="auto"/>
              </w:rPr>
            </w:pPr>
          </w:p>
        </w:tc>
      </w:tr>
      <w:tr>
        <w:trPr>
          <w:trHeight w:val="310"/>
        </w:trPr>
        <w:tc>
          <w:tcPr>
            <w:tcW w:w="5080" w:type="dxa"/>
            <w:vAlign w:val="bottom"/>
            <w:tcBorders>
              <w:bottom w:val="single" w:sz="8" w:color="CCEEFF"/>
            </w:tcBorders>
            <w:gridSpan w:val="3"/>
          </w:tcPr>
          <w:p>
            <w:pPr>
              <w:ind w:left="20"/>
              <w:spacing w:after="0" w:line="270" w:lineRule="exact"/>
              <w:rPr>
                <w:sz w:val="20"/>
                <w:szCs w:val="20"/>
                <w:color w:val="auto"/>
              </w:rPr>
            </w:pPr>
            <w:r>
              <w:rPr>
                <w:rFonts w:ascii="Arial" w:cs="Arial" w:eastAsia="Arial" w:hAnsi="Arial"/>
                <w:sz w:val="18"/>
                <w:szCs w:val="18"/>
                <w:color w:val="003082"/>
              </w:rPr>
              <w:t>Pro forma basic earnings per ordinary share (unaudited)</w:t>
            </w:r>
            <w:r>
              <w:rPr>
                <w:rFonts w:ascii="Arial" w:cs="Arial" w:eastAsia="Arial" w:hAnsi="Arial"/>
                <w:sz w:val="25"/>
                <w:szCs w:val="25"/>
                <w:color w:val="003082"/>
                <w:vertAlign w:val="superscript"/>
              </w:rPr>
              <w:t>(3)</w:t>
            </w:r>
          </w:p>
        </w:tc>
        <w:tc>
          <w:tcPr>
            <w:tcW w:w="2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1080" w:type="dxa"/>
            <w:vAlign w:val="bottom"/>
            <w:tcBorders>
              <w:bottom w:val="single" w:sz="8" w:color="3D5588"/>
            </w:tcBorders>
            <w:gridSpan w:val="4"/>
          </w:tcPr>
          <w:p>
            <w:pPr>
              <w:jc w:val="right"/>
              <w:spacing w:after="0"/>
              <w:rPr>
                <w:sz w:val="20"/>
                <w:szCs w:val="20"/>
                <w:color w:val="auto"/>
              </w:rPr>
            </w:pPr>
            <w:r>
              <w:rPr>
                <w:rFonts w:ascii="Arial" w:cs="Arial" w:eastAsia="Arial" w:hAnsi="Arial"/>
                <w:sz w:val="18"/>
                <w:szCs w:val="18"/>
                <w:color w:val="003082"/>
              </w:rPr>
              <w:t>(0.02)</w:t>
            </w: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3D5588"/>
            </w:tcBorders>
          </w:tcPr>
          <w:p>
            <w:pPr>
              <w:spacing w:after="0"/>
              <w:rPr>
                <w:sz w:val="24"/>
                <w:szCs w:val="24"/>
                <w:color w:val="auto"/>
              </w:rPr>
            </w:pPr>
          </w:p>
        </w:tc>
        <w:tc>
          <w:tcPr>
            <w:tcW w:w="1300" w:type="dxa"/>
            <w:vAlign w:val="bottom"/>
            <w:tcBorders>
              <w:bottom w:val="single" w:sz="8" w:color="3D5588"/>
            </w:tcBorders>
            <w:gridSpan w:val="2"/>
          </w:tcPr>
          <w:p>
            <w:pPr>
              <w:jc w:val="right"/>
              <w:ind w:right="100"/>
              <w:spacing w:after="0"/>
              <w:rPr>
                <w:sz w:val="20"/>
                <w:szCs w:val="20"/>
                <w:color w:val="auto"/>
              </w:rPr>
            </w:pPr>
            <w:r>
              <w:rPr>
                <w:rFonts w:ascii="Arial" w:cs="Arial" w:eastAsia="Arial" w:hAnsi="Arial"/>
                <w:sz w:val="18"/>
                <w:szCs w:val="18"/>
                <w:color w:val="003082"/>
              </w:rPr>
              <w:t>0.01</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20"/>
              <w:spacing w:after="0" w:line="251" w:lineRule="exact"/>
              <w:rPr>
                <w:sz w:val="20"/>
                <w:szCs w:val="20"/>
                <w:color w:val="auto"/>
              </w:rPr>
            </w:pPr>
            <w:r>
              <w:rPr>
                <w:rFonts w:ascii="Arial" w:cs="Arial" w:eastAsia="Arial" w:hAnsi="Arial"/>
                <w:sz w:val="18"/>
                <w:szCs w:val="18"/>
                <w:color w:val="003082"/>
              </w:rPr>
              <w:t>Pro forma diluted earnings per ordinary share (unaudited)</w:t>
            </w:r>
            <w:r>
              <w:rPr>
                <w:rFonts w:ascii="Arial" w:cs="Arial" w:eastAsia="Arial" w:hAnsi="Arial"/>
                <w:sz w:val="25"/>
                <w:szCs w:val="25"/>
                <w:color w:val="003082"/>
                <w:vertAlign w:val="superscript"/>
              </w:rPr>
              <w:t>(3)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3D5588"/>
            </w:tcBorders>
            <w:shd w:val="clear" w:color="auto" w:fill="CCEEFF"/>
          </w:tcPr>
          <w:p>
            <w:pPr>
              <w:spacing w:after="0"/>
              <w:rPr>
                <w:sz w:val="21"/>
                <w:szCs w:val="21"/>
                <w:color w:val="auto"/>
              </w:rPr>
            </w:pPr>
          </w:p>
        </w:tc>
        <w:tc>
          <w:tcPr>
            <w:tcW w:w="1080" w:type="dxa"/>
            <w:vAlign w:val="bottom"/>
            <w:tcBorders>
              <w:bottom w:val="single" w:sz="8" w:color="3D5588"/>
            </w:tcBorders>
            <w:gridSpan w:val="4"/>
            <w:shd w:val="clear" w:color="auto" w:fill="CCEEFF"/>
          </w:tcPr>
          <w:p>
            <w:pPr>
              <w:jc w:val="right"/>
              <w:spacing w:after="0"/>
              <w:rPr>
                <w:sz w:val="20"/>
                <w:szCs w:val="20"/>
                <w:color w:val="auto"/>
              </w:rPr>
            </w:pPr>
            <w:r>
              <w:rPr>
                <w:rFonts w:ascii="Arial" w:cs="Arial" w:eastAsia="Arial" w:hAnsi="Arial"/>
                <w:sz w:val="18"/>
                <w:szCs w:val="18"/>
                <w:color w:val="003082"/>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3D5588"/>
            </w:tcBorders>
            <w:shd w:val="clear" w:color="auto" w:fill="CCEEFF"/>
          </w:tcPr>
          <w:p>
            <w:pPr>
              <w:spacing w:after="0"/>
              <w:rPr>
                <w:sz w:val="21"/>
                <w:szCs w:val="21"/>
                <w:color w:val="auto"/>
              </w:rPr>
            </w:pPr>
          </w:p>
        </w:tc>
        <w:tc>
          <w:tcPr>
            <w:tcW w:w="1300" w:type="dxa"/>
            <w:vAlign w:val="bottom"/>
            <w:tcBorders>
              <w:bottom w:val="single" w:sz="8" w:color="3D5588"/>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003082"/>
              </w:rPr>
              <w:t>0.01</w:t>
            </w: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ind w:left="20"/>
              <w:spacing w:after="0"/>
              <w:rPr>
                <w:sz w:val="20"/>
                <w:szCs w:val="20"/>
                <w:color w:val="auto"/>
              </w:rPr>
            </w:pPr>
            <w:r>
              <w:rPr>
                <w:rFonts w:ascii="Arial" w:cs="Arial" w:eastAsia="Arial" w:hAnsi="Arial"/>
                <w:sz w:val="18"/>
                <w:szCs w:val="18"/>
                <w:color w:val="003082"/>
              </w:rPr>
              <w:t>Denominator for pro forma basic earnings per ordinary share</w:t>
            </w: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8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860" w:type="dxa"/>
            <w:vAlign w:val="bottom"/>
            <w:tcBorders>
              <w:bottom w:val="single" w:sz="8" w:color="3D5588"/>
            </w:tcBorders>
          </w:tcPr>
          <w:p>
            <w:pPr>
              <w:spacing w:after="0" w:line="20" w:lineRule="exact"/>
              <w:rPr>
                <w:sz w:val="1"/>
                <w:szCs w:val="1"/>
                <w:color w:val="auto"/>
              </w:rPr>
            </w:pPr>
          </w:p>
        </w:tc>
        <w:tc>
          <w:tcPr>
            <w:tcW w:w="44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0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003082"/>
                <w:w w:val="93"/>
              </w:rPr>
              <w:t>283,571,873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003082"/>
              </w:rPr>
              <w:t>295,848,199</w:t>
            </w:r>
          </w:p>
        </w:tc>
        <w:tc>
          <w:tcPr>
            <w:tcW w:w="0" w:type="dxa"/>
            <w:vAlign w:val="bottom"/>
          </w:tcPr>
          <w:p>
            <w:pPr>
              <w:spacing w:after="0"/>
              <w:rPr>
                <w:sz w:val="1"/>
                <w:szCs w:val="1"/>
                <w:color w:val="auto"/>
              </w:rPr>
            </w:pPr>
          </w:p>
        </w:tc>
      </w:tr>
      <w:tr>
        <w:trPr>
          <w:trHeight w:val="284"/>
        </w:trPr>
        <w:tc>
          <w:tcPr>
            <w:tcW w:w="5080" w:type="dxa"/>
            <w:vAlign w:val="bottom"/>
            <w:tcBorders>
              <w:bottom w:val="single" w:sz="8" w:color="CCEEFF"/>
            </w:tcBorders>
            <w:gridSpan w:val="3"/>
          </w:tcPr>
          <w:p>
            <w:pPr>
              <w:ind w:left="220"/>
              <w:spacing w:after="0" w:line="244" w:lineRule="exact"/>
              <w:rPr>
                <w:sz w:val="20"/>
                <w:szCs w:val="20"/>
                <w:color w:val="auto"/>
              </w:rPr>
            </w:pPr>
            <w:r>
              <w:rPr>
                <w:rFonts w:ascii="Arial" w:cs="Arial" w:eastAsia="Arial" w:hAnsi="Arial"/>
                <w:sz w:val="18"/>
                <w:szCs w:val="18"/>
                <w:color w:val="003082"/>
              </w:rPr>
              <w:t>(unaudited)</w:t>
            </w:r>
            <w:r>
              <w:rPr>
                <w:rFonts w:ascii="Arial" w:cs="Arial" w:eastAsia="Arial" w:hAnsi="Arial"/>
                <w:sz w:val="25"/>
                <w:szCs w:val="25"/>
                <w:color w:val="003082"/>
                <w:vertAlign w:val="superscript"/>
              </w:rPr>
              <w:t>(3)</w:t>
            </w:r>
          </w:p>
        </w:tc>
        <w:tc>
          <w:tcPr>
            <w:tcW w:w="2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960" w:type="dxa"/>
            <w:vAlign w:val="bottom"/>
            <w:tcBorders>
              <w:bottom w:val="single" w:sz="8" w:color="3D5588"/>
            </w:tcBorders>
            <w:gridSpan w:val="3"/>
            <w:vMerge w:val="continue"/>
          </w:tcPr>
          <w:p>
            <w:pPr>
              <w:spacing w:after="0"/>
              <w:rPr>
                <w:sz w:val="24"/>
                <w:szCs w:val="24"/>
                <w:color w:val="auto"/>
              </w:rPr>
            </w:pPr>
          </w:p>
        </w:tc>
        <w:tc>
          <w:tcPr>
            <w:tcW w:w="120" w:type="dxa"/>
            <w:vAlign w:val="bottom"/>
            <w:tcBorders>
              <w:bottom w:val="single" w:sz="8" w:color="3D5588"/>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3D5588"/>
            </w:tcBorders>
          </w:tcPr>
          <w:p>
            <w:pPr>
              <w:spacing w:after="0"/>
              <w:rPr>
                <w:sz w:val="24"/>
                <w:szCs w:val="24"/>
                <w:color w:val="auto"/>
              </w:rPr>
            </w:pPr>
          </w:p>
        </w:tc>
        <w:tc>
          <w:tcPr>
            <w:tcW w:w="1300" w:type="dxa"/>
            <w:vAlign w:val="bottom"/>
            <w:tcBorders>
              <w:bottom w:val="single" w:sz="8" w:color="3D5588"/>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08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8"/>
                <w:szCs w:val="18"/>
                <w:color w:val="003082"/>
              </w:rPr>
              <w:t>Denominator for pro forma diluted earnings per ordinary share</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003082"/>
                <w:w w:val="93"/>
              </w:rPr>
              <w:t>283,571,873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003082"/>
              </w:rPr>
              <w:t>331,484,554</w:t>
            </w: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gridSpan w:val="3"/>
            <w:shd w:val="clear" w:color="auto" w:fill="CCEEFF"/>
          </w:tcPr>
          <w:p>
            <w:pPr>
              <w:ind w:left="220"/>
              <w:spacing w:after="0" w:line="244" w:lineRule="exact"/>
              <w:rPr>
                <w:sz w:val="20"/>
                <w:szCs w:val="20"/>
                <w:color w:val="auto"/>
              </w:rPr>
            </w:pPr>
            <w:r>
              <w:rPr>
                <w:rFonts w:ascii="Arial" w:cs="Arial" w:eastAsia="Arial" w:hAnsi="Arial"/>
                <w:sz w:val="18"/>
                <w:szCs w:val="18"/>
                <w:color w:val="003082"/>
              </w:rPr>
              <w:t>(unaudited)</w:t>
            </w:r>
            <w:r>
              <w:rPr>
                <w:rFonts w:ascii="Arial" w:cs="Arial" w:eastAsia="Arial" w:hAnsi="Arial"/>
                <w:sz w:val="25"/>
                <w:szCs w:val="25"/>
                <w:color w:val="003082"/>
                <w:vertAlign w:val="superscript"/>
              </w:rPr>
              <w:t>(3)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3D5588"/>
            </w:tcBorders>
            <w:shd w:val="clear" w:color="auto" w:fill="CCEEFF"/>
          </w:tcPr>
          <w:p>
            <w:pPr>
              <w:spacing w:after="0"/>
              <w:rPr>
                <w:sz w:val="21"/>
                <w:szCs w:val="21"/>
                <w:color w:val="auto"/>
              </w:rPr>
            </w:pPr>
          </w:p>
        </w:tc>
        <w:tc>
          <w:tcPr>
            <w:tcW w:w="960" w:type="dxa"/>
            <w:vAlign w:val="bottom"/>
            <w:tcBorders>
              <w:bottom w:val="single" w:sz="8" w:color="3D5588"/>
            </w:tcBorders>
            <w:gridSpan w:val="3"/>
            <w:vMerge w:val="continue"/>
            <w:shd w:val="clear" w:color="auto" w:fill="CCEEFF"/>
          </w:tcPr>
          <w:p>
            <w:pPr>
              <w:spacing w:after="0"/>
              <w:rPr>
                <w:sz w:val="21"/>
                <w:szCs w:val="21"/>
                <w:color w:val="auto"/>
              </w:rPr>
            </w:pPr>
          </w:p>
        </w:tc>
        <w:tc>
          <w:tcPr>
            <w:tcW w:w="120" w:type="dxa"/>
            <w:vAlign w:val="bottom"/>
            <w:tcBorders>
              <w:bottom w:val="single" w:sz="8" w:color="3D5588"/>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3D5588"/>
            </w:tcBorders>
            <w:shd w:val="clear" w:color="auto" w:fill="CCEEFF"/>
          </w:tcPr>
          <w:p>
            <w:pPr>
              <w:spacing w:after="0"/>
              <w:rPr>
                <w:sz w:val="21"/>
                <w:szCs w:val="21"/>
                <w:color w:val="auto"/>
              </w:rPr>
            </w:pPr>
          </w:p>
        </w:tc>
        <w:tc>
          <w:tcPr>
            <w:tcW w:w="1300" w:type="dxa"/>
            <w:vAlign w:val="bottom"/>
            <w:tcBorders>
              <w:bottom w:val="single" w:sz="8" w:color="3D5588"/>
            </w:tcBorders>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6"/>
                <w:szCs w:val="16"/>
                <w:color w:val="003082"/>
              </w:rPr>
              <w:t>________________</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8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860" w:type="dxa"/>
            <w:vAlign w:val="bottom"/>
            <w:tcBorders>
              <w:bottom w:val="single" w:sz="8" w:color="3D5588"/>
            </w:tcBorders>
          </w:tcPr>
          <w:p>
            <w:pPr>
              <w:spacing w:after="0" w:line="20" w:lineRule="exact"/>
              <w:rPr>
                <w:sz w:val="1"/>
                <w:szCs w:val="1"/>
                <w:color w:val="auto"/>
              </w:rPr>
            </w:pPr>
          </w:p>
        </w:tc>
        <w:tc>
          <w:tcPr>
            <w:tcW w:w="44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0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060" w:type="dxa"/>
            <w:vAlign w:val="bottom"/>
            <w:gridSpan w:val="9"/>
          </w:tcPr>
          <w:p>
            <w:pPr>
              <w:spacing w:after="0"/>
              <w:rPr>
                <w:sz w:val="20"/>
                <w:szCs w:val="20"/>
                <w:color w:val="auto"/>
              </w:rPr>
            </w:pPr>
            <w:r>
              <w:rPr>
                <w:rFonts w:ascii="Arial" w:cs="Arial" w:eastAsia="Arial" w:hAnsi="Arial"/>
                <w:sz w:val="16"/>
                <w:szCs w:val="16"/>
                <w:color w:val="003082"/>
                <w:w w:val="90"/>
              </w:rPr>
              <w:t>(1)  Share-based compensation expense was allocated to cost of revenue and operating expenses as follows: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003082"/>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20" w:type="dxa"/>
            <w:vAlign w:val="bottom"/>
            <w:tcBorders>
              <w:top w:val="single" w:sz="8" w:color="3D5588"/>
              <w:bottom w:val="single" w:sz="8" w:color="3D5588"/>
            </w:tcBorders>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1080" w:type="dxa"/>
            <w:vAlign w:val="bottom"/>
            <w:tcBorders>
              <w:top w:val="single" w:sz="8" w:color="3D5588"/>
              <w:bottom w:val="single" w:sz="8" w:color="3D5588"/>
            </w:tcBorders>
          </w:tcPr>
          <w:p>
            <w:pPr>
              <w:jc w:val="right"/>
              <w:ind w:right="481"/>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3D5588"/>
            </w:tcBorders>
          </w:tcPr>
          <w:p>
            <w:pPr>
              <w:spacing w:after="0"/>
              <w:rPr>
                <w:sz w:val="22"/>
                <w:szCs w:val="22"/>
                <w:color w:val="auto"/>
              </w:rPr>
            </w:pPr>
          </w:p>
        </w:tc>
        <w:tc>
          <w:tcPr>
            <w:tcW w:w="20" w:type="dxa"/>
            <w:vAlign w:val="bottom"/>
            <w:tcBorders>
              <w:top w:val="single" w:sz="8" w:color="3D5588"/>
              <w:bottom w:val="single" w:sz="8" w:color="3D5588"/>
            </w:tcBorders>
          </w:tcPr>
          <w:p>
            <w:pPr>
              <w:spacing w:after="0"/>
              <w:rPr>
                <w:sz w:val="22"/>
                <w:szCs w:val="22"/>
                <w:color w:val="auto"/>
              </w:rPr>
            </w:pPr>
          </w:p>
        </w:tc>
        <w:tc>
          <w:tcPr>
            <w:tcW w:w="120" w:type="dxa"/>
            <w:vAlign w:val="bottom"/>
            <w:tcBorders>
              <w:top w:val="single" w:sz="8" w:color="3D5588"/>
              <w:bottom w:val="single" w:sz="8" w:color="3D5588"/>
            </w:tcBorders>
          </w:tcPr>
          <w:p>
            <w:pPr>
              <w:spacing w:after="0"/>
              <w:rPr>
                <w:sz w:val="22"/>
                <w:szCs w:val="22"/>
                <w:color w:val="auto"/>
              </w:rPr>
            </w:pPr>
          </w:p>
        </w:tc>
        <w:tc>
          <w:tcPr>
            <w:tcW w:w="380" w:type="dxa"/>
            <w:vAlign w:val="bottom"/>
            <w:tcBorders>
              <w:top w:val="single" w:sz="8" w:color="3D5588"/>
              <w:bottom w:val="single" w:sz="8" w:color="3D5588"/>
            </w:tcBorders>
          </w:tcPr>
          <w:p>
            <w:pPr>
              <w:spacing w:after="0"/>
              <w:rPr>
                <w:sz w:val="22"/>
                <w:szCs w:val="22"/>
                <w:color w:val="auto"/>
              </w:rPr>
            </w:pPr>
          </w:p>
        </w:tc>
        <w:tc>
          <w:tcPr>
            <w:tcW w:w="840" w:type="dxa"/>
            <w:vAlign w:val="bottom"/>
            <w:tcBorders>
              <w:top w:val="single" w:sz="8" w:color="3D5588"/>
              <w:bottom w:val="single" w:sz="8" w:color="3D5588"/>
            </w:tcBorders>
          </w:tcPr>
          <w:p>
            <w:pPr>
              <w:jc w:val="right"/>
              <w:ind w:right="457"/>
              <w:spacing w:after="0"/>
              <w:rPr>
                <w:sz w:val="20"/>
                <w:szCs w:val="20"/>
                <w:color w:val="auto"/>
              </w:rPr>
            </w:pPr>
            <w:r>
              <w:rPr>
                <w:rFonts w:ascii="Arial" w:cs="Arial" w:eastAsia="Arial" w:hAnsi="Arial"/>
                <w:sz w:val="14"/>
                <w:szCs w:val="14"/>
                <w:b w:val="1"/>
                <w:bCs w:val="1"/>
                <w:color w:val="003082"/>
                <w:w w:val="89"/>
              </w:rPr>
              <w:t>2019</w:t>
            </w:r>
          </w:p>
        </w:tc>
        <w:tc>
          <w:tcPr>
            <w:tcW w:w="100" w:type="dxa"/>
            <w:vAlign w:val="bottom"/>
            <w:tcBorders>
              <w:bottom w:val="single" w:sz="8" w:color="3D5588"/>
            </w:tcBorders>
          </w:tcPr>
          <w:p>
            <w:pPr>
              <w:spacing w:after="0"/>
              <w:rPr>
                <w:sz w:val="22"/>
                <w:szCs w:val="22"/>
                <w:color w:val="auto"/>
              </w:rPr>
            </w:pPr>
          </w:p>
        </w:tc>
        <w:tc>
          <w:tcPr>
            <w:tcW w:w="20" w:type="dxa"/>
            <w:vAlign w:val="bottom"/>
            <w:tcBorders>
              <w:top w:val="single" w:sz="8" w:color="3D5588"/>
              <w:bottom w:val="single" w:sz="8" w:color="3D5588"/>
            </w:tcBorders>
          </w:tcPr>
          <w:p>
            <w:pPr>
              <w:spacing w:after="0"/>
              <w:rPr>
                <w:sz w:val="22"/>
                <w:szCs w:val="22"/>
                <w:color w:val="auto"/>
              </w:rPr>
            </w:pPr>
          </w:p>
        </w:tc>
        <w:tc>
          <w:tcPr>
            <w:tcW w:w="120" w:type="dxa"/>
            <w:vAlign w:val="bottom"/>
            <w:tcBorders>
              <w:top w:val="single" w:sz="8" w:color="3D5588"/>
              <w:bottom w:val="single" w:sz="8" w:color="3D5588"/>
            </w:tcBorders>
          </w:tcPr>
          <w:p>
            <w:pPr>
              <w:spacing w:after="0"/>
              <w:rPr>
                <w:sz w:val="22"/>
                <w:szCs w:val="22"/>
                <w:color w:val="auto"/>
              </w:rPr>
            </w:pPr>
          </w:p>
        </w:tc>
        <w:tc>
          <w:tcPr>
            <w:tcW w:w="1200" w:type="dxa"/>
            <w:vAlign w:val="bottom"/>
            <w:tcBorders>
              <w:top w:val="single" w:sz="8" w:color="3D5588"/>
              <w:bottom w:val="single" w:sz="8" w:color="3D5588"/>
            </w:tcBorders>
            <w:gridSpan w:val="2"/>
          </w:tcPr>
          <w:p>
            <w:pPr>
              <w:jc w:val="right"/>
              <w:ind w:right="44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top w:val="single" w:sz="8" w:color="3D5588"/>
              <w:bottom w:val="single" w:sz="8" w:color="3D5588"/>
            </w:tcBorders>
          </w:tcPr>
          <w:p>
            <w:pPr>
              <w:spacing w:after="0"/>
              <w:rPr>
                <w:sz w:val="22"/>
                <w:szCs w:val="22"/>
                <w:color w:val="auto"/>
              </w:rPr>
            </w:pPr>
          </w:p>
        </w:tc>
        <w:tc>
          <w:tcPr>
            <w:tcW w:w="220" w:type="dxa"/>
            <w:vAlign w:val="bottom"/>
            <w:tcBorders>
              <w:top w:val="single" w:sz="8" w:color="3D5588"/>
              <w:bottom w:val="single" w:sz="8" w:color="3D5588"/>
            </w:tcBorders>
          </w:tcPr>
          <w:p>
            <w:pPr>
              <w:spacing w:after="0"/>
              <w:rPr>
                <w:sz w:val="22"/>
                <w:szCs w:val="22"/>
                <w:color w:val="auto"/>
              </w:rPr>
            </w:pPr>
          </w:p>
        </w:tc>
        <w:tc>
          <w:tcPr>
            <w:tcW w:w="120" w:type="dxa"/>
            <w:vAlign w:val="bottom"/>
            <w:tcBorders>
              <w:top w:val="single" w:sz="8" w:color="3D5588"/>
              <w:bottom w:val="single" w:sz="8" w:color="3D5588"/>
            </w:tcBorders>
          </w:tcPr>
          <w:p>
            <w:pPr>
              <w:spacing w:after="0"/>
              <w:rPr>
                <w:sz w:val="22"/>
                <w:szCs w:val="22"/>
                <w:color w:val="auto"/>
              </w:rPr>
            </w:pPr>
          </w:p>
        </w:tc>
        <w:tc>
          <w:tcPr>
            <w:tcW w:w="140" w:type="dxa"/>
            <w:vAlign w:val="bottom"/>
            <w:tcBorders>
              <w:top w:val="single" w:sz="8" w:color="3D5588"/>
              <w:bottom w:val="single" w:sz="8" w:color="3D5588"/>
            </w:tcBorders>
          </w:tcPr>
          <w:p>
            <w:pPr>
              <w:spacing w:after="0"/>
              <w:rPr>
                <w:sz w:val="22"/>
                <w:szCs w:val="22"/>
                <w:color w:val="auto"/>
              </w:rPr>
            </w:pPr>
          </w:p>
        </w:tc>
        <w:tc>
          <w:tcPr>
            <w:tcW w:w="860" w:type="dxa"/>
            <w:vAlign w:val="bottom"/>
            <w:tcBorders>
              <w:top w:val="single" w:sz="8" w:color="3D5588"/>
              <w:bottom w:val="single" w:sz="8" w:color="3D5588"/>
            </w:tcBorders>
          </w:tcPr>
          <w:p>
            <w:pPr>
              <w:jc w:val="right"/>
              <w:ind w:right="436"/>
              <w:spacing w:after="0"/>
              <w:rPr>
                <w:sz w:val="20"/>
                <w:szCs w:val="20"/>
                <w:color w:val="auto"/>
              </w:rPr>
            </w:pPr>
            <w:r>
              <w:rPr>
                <w:rFonts w:ascii="Arial" w:cs="Arial" w:eastAsia="Arial" w:hAnsi="Arial"/>
                <w:sz w:val="14"/>
                <w:szCs w:val="14"/>
                <w:b w:val="1"/>
                <w:bCs w:val="1"/>
                <w:color w:val="003082"/>
              </w:rPr>
              <w:t>2020</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0" w:type="dxa"/>
            <w:vAlign w:val="bottom"/>
            <w:gridSpan w:val="7"/>
          </w:tcPr>
          <w:p>
            <w:pPr>
              <w:ind w:left="300"/>
              <w:spacing w:after="0"/>
              <w:rPr>
                <w:sz w:val="20"/>
                <w:szCs w:val="20"/>
                <w:color w:val="auto"/>
              </w:rPr>
            </w:pPr>
            <w:r>
              <w:rPr>
                <w:rFonts w:ascii="Arial" w:cs="Arial" w:eastAsia="Arial" w:hAnsi="Arial"/>
                <w:sz w:val="14"/>
                <w:szCs w:val="14"/>
                <w:b w:val="1"/>
                <w:bCs w:val="1"/>
                <w:color w:val="003082"/>
              </w:rPr>
              <w:t>(US$ in thousands)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003082"/>
              </w:rPr>
              <w:t>Cost of revenues</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003082"/>
                <w:w w:val="71"/>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003082"/>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003082"/>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003082"/>
                <w:w w:val="71"/>
              </w:rPr>
              <w:t>$</w:t>
            </w: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003082"/>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003082"/>
                <w:w w:val="89"/>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31</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Arial" w:cs="Arial" w:eastAsia="Arial" w:hAnsi="Arial"/>
                <w:sz w:val="16"/>
                <w:szCs w:val="16"/>
                <w:color w:val="003082"/>
              </w:rPr>
              <w:t>Research and development expenses</w:t>
            </w: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003082"/>
              </w:rPr>
              <w:t>920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6"/>
                <w:szCs w:val="16"/>
                <w:color w:val="003082"/>
              </w:rPr>
              <w:t>1,473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6"/>
                <w:szCs w:val="16"/>
                <w:color w:val="003082"/>
              </w:rPr>
              <w:t>327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3082"/>
              </w:rPr>
              <w:t>292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003082"/>
              </w:rPr>
              <w:t>Sales and marketing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003082"/>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003082"/>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6"/>
                <w:szCs w:val="16"/>
                <w:color w:val="003082"/>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003082"/>
              </w:rPr>
              <w:t>485</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740" w:type="dxa"/>
            <w:vAlign w:val="bottom"/>
            <w:gridSpan w:val="2"/>
          </w:tcPr>
          <w:p>
            <w:pPr>
              <w:ind w:left="20"/>
              <w:spacing w:after="0"/>
              <w:rPr>
                <w:sz w:val="20"/>
                <w:szCs w:val="20"/>
                <w:color w:val="auto"/>
              </w:rPr>
            </w:pPr>
            <w:r>
              <w:rPr>
                <w:rFonts w:ascii="Arial" w:cs="Arial" w:eastAsia="Arial" w:hAnsi="Arial"/>
                <w:sz w:val="16"/>
                <w:szCs w:val="16"/>
                <w:color w:val="003082"/>
              </w:rPr>
              <w:t>General and administrative expenses</w:t>
            </w: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003082"/>
              </w:rPr>
              <w:t>905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6"/>
                <w:szCs w:val="16"/>
                <w:color w:val="003082"/>
              </w:rPr>
              <w:t>1,046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
              <w:spacing w:after="0"/>
              <w:rPr>
                <w:sz w:val="20"/>
                <w:szCs w:val="20"/>
                <w:color w:val="auto"/>
              </w:rPr>
            </w:pPr>
            <w:r>
              <w:rPr>
                <w:rFonts w:ascii="Arial" w:cs="Arial" w:eastAsia="Arial" w:hAnsi="Arial"/>
                <w:sz w:val="16"/>
                <w:szCs w:val="16"/>
                <w:color w:val="003082"/>
              </w:rPr>
              <w:t>221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003082"/>
              </w:rPr>
              <w:t>639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20" w:type="dxa"/>
            <w:vAlign w:val="bottom"/>
            <w:tcBorders>
              <w:bottom w:val="single" w:sz="8" w:color="3D5588"/>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0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3D5588"/>
            </w:tcBorders>
            <w:gridSpan w:val="2"/>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8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3D5588"/>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3D5588"/>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40" w:type="dxa"/>
            <w:vAlign w:val="bottom"/>
            <w:tcBorders>
              <w:bottom w:val="single" w:sz="8" w:color="3D5588"/>
            </w:tcBorders>
          </w:tcPr>
          <w:p>
            <w:pPr>
              <w:spacing w:after="0"/>
              <w:rPr>
                <w:sz w:val="2"/>
                <w:szCs w:val="2"/>
                <w:color w:val="auto"/>
              </w:rPr>
            </w:pPr>
          </w:p>
        </w:tc>
        <w:tc>
          <w:tcPr>
            <w:tcW w:w="860" w:type="dxa"/>
            <w:vAlign w:val="bottom"/>
            <w:tcBorders>
              <w:bottom w:val="single" w:sz="8" w:color="3D5588"/>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003082"/>
              </w:rPr>
              <w:t>Total share-based compensation expense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003082"/>
                <w:w w:val="71"/>
              </w:rPr>
              <w:t>$</w:t>
            </w: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003082"/>
              </w:rPr>
              <w:t>2,850</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003082"/>
              </w:rPr>
              <w:t>$</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003082"/>
              </w:rPr>
              <w:t>4,253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003082"/>
                <w:w w:val="71"/>
              </w:rPr>
              <w:t>$</w:t>
            </w:r>
          </w:p>
        </w:tc>
        <w:tc>
          <w:tcPr>
            <w:tcW w:w="120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003082"/>
              </w:rPr>
              <w:t>930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003082"/>
                <w:w w:val="89"/>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003082"/>
              </w:rPr>
              <w:t>1,447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280" w:type="dxa"/>
            <w:vAlign w:val="bottom"/>
            <w:tcBorders>
              <w:top w:val="single" w:sz="8" w:color="3D5588"/>
              <w:bottom w:val="single" w:sz="8" w:color="3D5588"/>
            </w:tcBorders>
          </w:tcPr>
          <w:p>
            <w:pPr>
              <w:spacing w:after="0" w:line="20" w:lineRule="exact"/>
              <w:rPr>
                <w:sz w:val="1"/>
                <w:szCs w:val="1"/>
                <w:color w:val="auto"/>
              </w:rPr>
            </w:pPr>
          </w:p>
        </w:tc>
        <w:tc>
          <w:tcPr>
            <w:tcW w:w="108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11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140" w:type="dxa"/>
            <w:vAlign w:val="bottom"/>
            <w:tcBorders>
              <w:top w:val="single" w:sz="8" w:color="3D5588"/>
              <w:bottom w:val="single" w:sz="8" w:color="3D5588"/>
            </w:tcBorders>
          </w:tcPr>
          <w:p>
            <w:pPr>
              <w:spacing w:after="0" w:line="20" w:lineRule="exact"/>
              <w:rPr>
                <w:sz w:val="1"/>
                <w:szCs w:val="1"/>
                <w:color w:val="auto"/>
              </w:rPr>
            </w:pPr>
          </w:p>
        </w:tc>
        <w:tc>
          <w:tcPr>
            <w:tcW w:w="860" w:type="dxa"/>
            <w:vAlign w:val="bottom"/>
            <w:tcBorders>
              <w:top w:val="single" w:sz="8" w:color="3D5588"/>
              <w:bottom w:val="single" w:sz="8" w:color="3D5588"/>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340" w:right="20" w:hanging="332"/>
        <w:spacing w:after="0" w:line="290" w:lineRule="auto"/>
        <w:tabs>
          <w:tab w:leader="none" w:pos="340" w:val="left"/>
        </w:tabs>
        <w:numPr>
          <w:ilvl w:val="0"/>
          <w:numId w:val="47"/>
        </w:numPr>
        <w:rPr>
          <w:rFonts w:ascii="Arial" w:cs="Arial" w:eastAsia="Arial" w:hAnsi="Arial"/>
          <w:sz w:val="15"/>
          <w:szCs w:val="15"/>
          <w:color w:val="003082"/>
        </w:rPr>
      </w:pPr>
      <w:r>
        <w:rPr>
          <w:rFonts w:ascii="Arial" w:cs="Arial" w:eastAsia="Arial" w:hAnsi="Arial"/>
          <w:sz w:val="15"/>
          <w:szCs w:val="15"/>
          <w:color w:val="003082"/>
        </w:rPr>
        <w:t>See Note 14 to our consolidated financial statements and Note 14 to our unaudited interim condensed consolidated financial statements included elsewhere in this prospectus for an explanation of the calculation of our net income (loss) per share attributable to ordinary shareholders</w:t>
      </w:r>
      <w:r>
        <w:rPr>
          <w:rFonts w:ascii="Arial" w:cs="Arial" w:eastAsia="Arial" w:hAnsi="Arial"/>
          <w:sz w:val="16"/>
          <w:szCs w:val="16"/>
          <w:color w:val="003082"/>
        </w:rPr>
        <w:t>—</w:t>
      </w:r>
      <w:r>
        <w:rPr>
          <w:rFonts w:ascii="Arial" w:cs="Arial" w:eastAsia="Arial" w:hAnsi="Arial"/>
          <w:sz w:val="15"/>
          <w:szCs w:val="15"/>
          <w:color w:val="003082"/>
        </w:rPr>
        <w:t>basic and diluted.</w:t>
      </w:r>
    </w:p>
    <w:p>
      <w:pPr>
        <w:spacing w:after="0" w:line="1" w:lineRule="exact"/>
        <w:rPr>
          <w:rFonts w:ascii="Arial" w:cs="Arial" w:eastAsia="Arial" w:hAnsi="Arial"/>
          <w:sz w:val="15"/>
          <w:szCs w:val="15"/>
          <w:color w:val="003082"/>
        </w:rPr>
      </w:pPr>
    </w:p>
    <w:p>
      <w:pPr>
        <w:ind w:left="340" w:right="20" w:hanging="332"/>
        <w:spacing w:after="0" w:line="333" w:lineRule="auto"/>
        <w:tabs>
          <w:tab w:leader="none" w:pos="340" w:val="left"/>
        </w:tabs>
        <w:numPr>
          <w:ilvl w:val="0"/>
          <w:numId w:val="47"/>
        </w:numPr>
        <w:rPr>
          <w:rFonts w:ascii="Arial" w:cs="Arial" w:eastAsia="Arial" w:hAnsi="Arial"/>
          <w:sz w:val="15"/>
          <w:szCs w:val="15"/>
          <w:color w:val="003082"/>
        </w:rPr>
      </w:pPr>
      <w:r>
        <w:rPr>
          <w:rFonts w:ascii="Arial" w:cs="Arial" w:eastAsia="Arial" w:hAnsi="Arial"/>
          <w:sz w:val="15"/>
          <w:szCs w:val="15"/>
          <w:color w:val="003082"/>
        </w:rPr>
        <w:t>See Note 17 to our consolidated financial statements and Note 17 to our unaudited interim condensed consolidated financial statements included elsewhere in this prospectus for an explanation of the calculation of our pro forma net loss per share attributable to ordinary shareholders</w:t>
      </w:r>
      <w:r>
        <w:rPr>
          <w:rFonts w:ascii="Arial" w:cs="Arial" w:eastAsia="Arial" w:hAnsi="Arial"/>
          <w:sz w:val="16"/>
          <w:szCs w:val="16"/>
          <w:color w:val="003082"/>
        </w:rPr>
        <w:t>—</w:t>
      </w:r>
      <w:r>
        <w:rPr>
          <w:rFonts w:ascii="Arial" w:cs="Arial" w:eastAsia="Arial" w:hAnsi="Arial"/>
          <w:sz w:val="15"/>
          <w:szCs w:val="15"/>
          <w:color w:val="003082"/>
        </w:rPr>
        <w:t>basic and diluted.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Consolidated Cash Flow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ind w:left="420"/>
              <w:spacing w:after="0"/>
              <w:rPr>
                <w:sz w:val="20"/>
                <w:szCs w:val="20"/>
                <w:color w:val="auto"/>
              </w:rPr>
            </w:pPr>
            <w:r>
              <w:rPr>
                <w:rFonts w:ascii="Arial" w:cs="Arial" w:eastAsia="Arial" w:hAnsi="Arial"/>
                <w:sz w:val="14"/>
                <w:szCs w:val="14"/>
                <w:b w:val="1"/>
                <w:bCs w:val="1"/>
                <w:color w:val="003082"/>
              </w:rPr>
              <w:t>Years Ended December 31,</w:t>
            </w:r>
          </w:p>
        </w:tc>
        <w:tc>
          <w:tcPr>
            <w:tcW w:w="540" w:type="dxa"/>
            <w:vAlign w:val="bottom"/>
          </w:tcPr>
          <w:p>
            <w:pPr>
              <w:spacing w:after="0"/>
              <w:rPr>
                <w:sz w:val="16"/>
                <w:szCs w:val="16"/>
                <w:color w:val="auto"/>
              </w:rPr>
            </w:pPr>
          </w:p>
        </w:tc>
        <w:tc>
          <w:tcPr>
            <w:tcW w:w="2480" w:type="dxa"/>
            <w:vAlign w:val="bottom"/>
            <w:gridSpan w:val="3"/>
          </w:tcPr>
          <w:p>
            <w:pPr>
              <w:jc w:val="right"/>
              <w:ind w:right="432"/>
              <w:spacing w:after="0"/>
              <w:rPr>
                <w:sz w:val="20"/>
                <w:szCs w:val="20"/>
                <w:color w:val="auto"/>
              </w:rPr>
            </w:pPr>
            <w:r>
              <w:rPr>
                <w:rFonts w:ascii="Arial" w:cs="Arial" w:eastAsia="Arial" w:hAnsi="Arial"/>
                <w:sz w:val="14"/>
                <w:szCs w:val="14"/>
                <w:b w:val="1"/>
                <w:bCs w:val="1"/>
                <w:color w:val="003082"/>
                <w:w w:val="93"/>
              </w:rPr>
              <w:t>Three Months Ended March 31,</w:t>
            </w:r>
          </w:p>
        </w:tc>
      </w:tr>
      <w:tr>
        <w:trPr>
          <w:trHeight w:val="264"/>
        </w:trPr>
        <w:tc>
          <w:tcPr>
            <w:tcW w:w="5080" w:type="dxa"/>
            <w:vAlign w:val="bottom"/>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1220" w:type="dxa"/>
            <w:vAlign w:val="bottom"/>
            <w:tcBorders>
              <w:top w:val="single" w:sz="8" w:color="3D5588"/>
              <w:bottom w:val="single" w:sz="8" w:color="3D5588"/>
            </w:tcBorders>
          </w:tcPr>
          <w:p>
            <w:pPr>
              <w:jc w:val="right"/>
              <w:ind w:right="534"/>
              <w:spacing w:after="0"/>
              <w:rPr>
                <w:sz w:val="20"/>
                <w:szCs w:val="20"/>
                <w:color w:val="auto"/>
              </w:rPr>
            </w:pPr>
            <w:r>
              <w:rPr>
                <w:rFonts w:ascii="Arial" w:cs="Arial" w:eastAsia="Arial" w:hAnsi="Arial"/>
                <w:sz w:val="14"/>
                <w:szCs w:val="14"/>
                <w:b w:val="1"/>
                <w:bCs w:val="1"/>
                <w:color w:val="003082"/>
              </w:rPr>
              <w:t>2018</w:t>
            </w:r>
          </w:p>
        </w:tc>
        <w:tc>
          <w:tcPr>
            <w:tcW w:w="42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94"/>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540" w:type="dxa"/>
            <w:vAlign w:val="bottom"/>
            <w:tcBorders>
              <w:top w:val="single" w:sz="8" w:color="3D5588"/>
              <w:bottom w:val="single" w:sz="8" w:color="3D5588"/>
            </w:tcBorders>
          </w:tcPr>
          <w:p>
            <w:pPr>
              <w:spacing w:after="0"/>
              <w:rPr>
                <w:sz w:val="22"/>
                <w:szCs w:val="22"/>
                <w:color w:val="auto"/>
              </w:rPr>
            </w:pPr>
          </w:p>
        </w:tc>
        <w:tc>
          <w:tcPr>
            <w:tcW w:w="960" w:type="dxa"/>
            <w:vAlign w:val="bottom"/>
            <w:tcBorders>
              <w:top w:val="single" w:sz="8" w:color="3D5588"/>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w w:val="96"/>
              </w:rPr>
              <w:t>2019</w:t>
            </w:r>
          </w:p>
        </w:tc>
        <w:tc>
          <w:tcPr>
            <w:tcW w:w="42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92"/>
              <w:spacing w:after="0"/>
              <w:rPr>
                <w:sz w:val="20"/>
                <w:szCs w:val="20"/>
                <w:color w:val="auto"/>
              </w:rPr>
            </w:pPr>
            <w:r>
              <w:rPr>
                <w:rFonts w:ascii="Arial" w:cs="Arial" w:eastAsia="Arial" w:hAnsi="Arial"/>
                <w:sz w:val="14"/>
                <w:szCs w:val="14"/>
                <w:b w:val="1"/>
                <w:bCs w:val="1"/>
                <w:color w:val="003082"/>
              </w:rPr>
              <w:t>2020</w:t>
            </w:r>
          </w:p>
        </w:tc>
      </w:tr>
      <w:tr>
        <w:trPr>
          <w:trHeight w:val="250"/>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generated from (used in) operating activities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79"/>
              </w:rPr>
              <w:t>$</w:t>
            </w: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536</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706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003082"/>
                <w:w w:val="9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003082"/>
              </w:rPr>
              <w:t>3,619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003082"/>
              </w:rPr>
              <w:t>Net cash used in investing activities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(3,773)</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(3,353)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003082"/>
              </w:rPr>
              <w:t>(5,951)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(2,496)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provided by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65,772</w:t>
            </w: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003082"/>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49,769</w:t>
            </w:r>
          </w:p>
        </w:tc>
      </w:tr>
      <w:tr>
        <w:trPr>
          <w:trHeight w:val="229"/>
        </w:trPr>
        <w:tc>
          <w:tcPr>
            <w:tcW w:w="5080" w:type="dxa"/>
            <w:vAlign w:val="bottom"/>
          </w:tcPr>
          <w:p>
            <w:pPr>
              <w:ind w:left="40"/>
              <w:spacing w:after="0"/>
              <w:rPr>
                <w:sz w:val="20"/>
                <w:szCs w:val="20"/>
                <w:color w:val="auto"/>
              </w:rPr>
            </w:pPr>
            <w:r>
              <w:rPr>
                <w:rFonts w:ascii="Arial" w:cs="Arial" w:eastAsia="Arial" w:hAnsi="Arial"/>
                <w:sz w:val="18"/>
                <w:szCs w:val="18"/>
                <w:color w:val="003082"/>
                <w:w w:val="94"/>
              </w:rPr>
              <w:t>Effect of foreign exchange rate changes on cash, cash equivalents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080" w:type="dxa"/>
            <w:vAlign w:val="bottom"/>
          </w:tcPr>
          <w:p>
            <w:pPr>
              <w:ind w:left="200"/>
              <w:spacing w:after="0"/>
              <w:rPr>
                <w:sz w:val="20"/>
                <w:szCs w:val="20"/>
                <w:color w:val="auto"/>
              </w:rPr>
            </w:pPr>
            <w:r>
              <w:rPr>
                <w:rFonts w:ascii="Arial" w:cs="Arial" w:eastAsia="Arial" w:hAnsi="Arial"/>
                <w:sz w:val="18"/>
                <w:szCs w:val="18"/>
                <w:color w:val="003082"/>
              </w:rPr>
              <w:t>and restricted cash</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(556)</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(269)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003082"/>
              </w:rPr>
              <w:t>194</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(303)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w w:val="90"/>
              </w:rPr>
              <w:t>Net increase (decrease) in cash,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61,979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(2,915)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(2,139)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46,050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003082"/>
                <w:w w:val="99"/>
              </w:rPr>
              <w:t>Cash, cash equivalents and restricted cash at beginning of year</w:t>
            </w:r>
          </w:p>
        </w:tc>
        <w:tc>
          <w:tcPr>
            <w:tcW w:w="280" w:type="dxa"/>
            <w:vAlign w:val="bottom"/>
          </w:tcPr>
          <w:p>
            <w:pPr>
              <w:spacing w:after="0"/>
              <w:rPr>
                <w:sz w:val="21"/>
                <w:szCs w:val="21"/>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003082"/>
              </w:rPr>
              <w:t>46,619</w:t>
            </w:r>
          </w:p>
        </w:tc>
        <w:tc>
          <w:tcPr>
            <w:tcW w:w="4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003082"/>
              </w:rPr>
              <w:t>108,598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003082"/>
              </w:rPr>
              <w:t>108,598</w:t>
            </w:r>
          </w:p>
        </w:tc>
        <w:tc>
          <w:tcPr>
            <w:tcW w:w="4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003082"/>
              </w:rPr>
              <w:t>105,683</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cash equivalents and restricted cash at end of year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108,598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105,683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003082"/>
              </w:rPr>
              <w:t>106,459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151,733</w:t>
            </w:r>
          </w:p>
        </w:tc>
      </w:tr>
      <w:tr>
        <w:trPr>
          <w:trHeight w:val="594"/>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4"/>
              <w:spacing w:after="0"/>
              <w:rPr>
                <w:sz w:val="20"/>
                <w:szCs w:val="20"/>
                <w:color w:val="auto"/>
              </w:rPr>
            </w:pPr>
            <w:r>
              <w:rPr>
                <w:rFonts w:ascii="Arial" w:cs="Arial" w:eastAsia="Arial" w:hAnsi="Arial"/>
                <w:sz w:val="18"/>
                <w:szCs w:val="18"/>
                <w:color w:val="003082"/>
              </w:rPr>
              <w:t>84</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562"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003082"/>
        </w:rPr>
        <w:t>Key Operating and Financial Metrics: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2140" w:type="dxa"/>
            <w:vAlign w:val="bottom"/>
            <w:tcBorders>
              <w:bottom w:val="single" w:sz="8" w:color="3D5588"/>
            </w:tcBorders>
            <w:gridSpan w:val="3"/>
          </w:tcPr>
          <w:p>
            <w:pPr>
              <w:jc w:val="right"/>
              <w:ind w:right="180"/>
              <w:spacing w:after="0"/>
              <w:rPr>
                <w:sz w:val="20"/>
                <w:szCs w:val="20"/>
                <w:color w:val="auto"/>
              </w:rPr>
            </w:pPr>
            <w:r>
              <w:rPr>
                <w:rFonts w:ascii="Arial" w:cs="Arial" w:eastAsia="Arial" w:hAnsi="Arial"/>
                <w:sz w:val="14"/>
                <w:szCs w:val="14"/>
                <w:b w:val="1"/>
                <w:bCs w:val="1"/>
                <w:color w:val="003082"/>
              </w:rPr>
              <w:t>Year Ended December 31,</w:t>
            </w:r>
          </w:p>
        </w:tc>
        <w:tc>
          <w:tcPr>
            <w:tcW w:w="5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003082"/>
              </w:rPr>
              <w:t>2018</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3082"/>
              </w:rPr>
              <w:t>2019</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80" w:type="dxa"/>
            <w:vAlign w:val="bottom"/>
            <w:tcBorders>
              <w:top w:val="single" w:sz="8" w:color="CCEEFF"/>
            </w:tcBorders>
            <w:shd w:val="clear" w:color="auto" w:fill="CCEEFF"/>
          </w:tcPr>
          <w:p>
            <w:pPr>
              <w:ind w:left="20"/>
              <w:spacing w:after="0" w:line="269" w:lineRule="exact"/>
              <w:rPr>
                <w:sz w:val="20"/>
                <w:szCs w:val="20"/>
                <w:color w:val="auto"/>
              </w:rPr>
            </w:pPr>
            <w:r>
              <w:rPr>
                <w:rFonts w:ascii="Arial" w:cs="Arial" w:eastAsia="Arial" w:hAnsi="Arial"/>
                <w:sz w:val="18"/>
                <w:szCs w:val="18"/>
                <w:color w:val="003082"/>
              </w:rPr>
              <w:t>Dollar-Based Net Expansion Rate</w:t>
            </w:r>
            <w:r>
              <w:rPr>
                <w:rFonts w:ascii="Arial" w:cs="Arial" w:eastAsia="Arial" w:hAnsi="Arial"/>
                <w:sz w:val="25"/>
                <w:szCs w:val="25"/>
                <w:color w:val="003082"/>
                <w:vertAlign w:val="superscript"/>
              </w:rPr>
              <w:t>(1)</w:t>
            </w:r>
          </w:p>
        </w:tc>
        <w:tc>
          <w:tcPr>
            <w:tcW w:w="88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3D5588"/>
            </w:tcBorders>
            <w:shd w:val="clear" w:color="auto" w:fill="CCEEFF"/>
          </w:tcPr>
          <w:p>
            <w:pPr>
              <w:spacing w:after="0"/>
              <w:rPr>
                <w:sz w:val="23"/>
                <w:szCs w:val="23"/>
                <w:color w:val="auto"/>
              </w:rPr>
            </w:pPr>
          </w:p>
        </w:tc>
        <w:tc>
          <w:tcPr>
            <w:tcW w:w="300" w:type="dxa"/>
            <w:vAlign w:val="bottom"/>
            <w:tcBorders>
              <w:top w:val="single" w:sz="8" w:color="3D5588"/>
            </w:tcBorders>
            <w:shd w:val="clear" w:color="auto" w:fill="CCEEFF"/>
          </w:tcPr>
          <w:p>
            <w:pPr>
              <w:spacing w:after="0"/>
              <w:rPr>
                <w:sz w:val="23"/>
                <w:szCs w:val="23"/>
                <w:color w:val="auto"/>
              </w:rPr>
            </w:pPr>
          </w:p>
        </w:tc>
        <w:tc>
          <w:tcPr>
            <w:tcW w:w="110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135%</w:t>
            </w:r>
          </w:p>
        </w:tc>
        <w:tc>
          <w:tcPr>
            <w:tcW w:w="100" w:type="dxa"/>
            <w:vAlign w:val="bottom"/>
            <w:tcBorders>
              <w:top w:val="single" w:sz="8" w:color="CCEEFF"/>
            </w:tcBorders>
            <w:shd w:val="clear" w:color="auto" w:fill="CCEEFF"/>
          </w:tcPr>
          <w:p>
            <w:pPr>
              <w:spacing w:after="0"/>
              <w:rPr>
                <w:sz w:val="23"/>
                <w:szCs w:val="23"/>
                <w:color w:val="auto"/>
              </w:rPr>
            </w:pPr>
          </w:p>
        </w:tc>
        <w:tc>
          <w:tcPr>
            <w:tcW w:w="940" w:type="dxa"/>
            <w:vAlign w:val="bottom"/>
            <w:tcBorders>
              <w:top w:val="single" w:sz="8" w:color="3D5588"/>
            </w:tcBorders>
            <w:shd w:val="clear" w:color="auto" w:fill="CCEEFF"/>
          </w:tcPr>
          <w:p>
            <w:pPr>
              <w:spacing w:after="0"/>
              <w:rPr>
                <w:sz w:val="23"/>
                <w:szCs w:val="23"/>
                <w:color w:val="auto"/>
              </w:rPr>
            </w:pPr>
          </w:p>
        </w:tc>
        <w:tc>
          <w:tcPr>
            <w:tcW w:w="580" w:type="dxa"/>
            <w:vAlign w:val="bottom"/>
            <w:tcBorders>
              <w:top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127%</w:t>
            </w:r>
          </w:p>
        </w:tc>
        <w:tc>
          <w:tcPr>
            <w:tcW w:w="0" w:type="dxa"/>
            <w:vAlign w:val="bottom"/>
          </w:tcPr>
          <w:p>
            <w:pPr>
              <w:spacing w:after="0"/>
              <w:rPr>
                <w:sz w:val="1"/>
                <w:szCs w:val="1"/>
                <w:color w:val="auto"/>
              </w:rPr>
            </w:pPr>
          </w:p>
        </w:tc>
      </w:tr>
      <w:tr>
        <w:trPr>
          <w:trHeight w:val="341"/>
        </w:trPr>
        <w:tc>
          <w:tcPr>
            <w:tcW w:w="5080" w:type="dxa"/>
            <w:vAlign w:val="bottom"/>
          </w:tcPr>
          <w:p>
            <w:pPr>
              <w:ind w:left="20"/>
              <w:spacing w:after="0"/>
              <w:rPr>
                <w:sz w:val="20"/>
                <w:szCs w:val="20"/>
                <w:color w:val="auto"/>
              </w:rPr>
            </w:pPr>
            <w:r>
              <w:rPr>
                <w:rFonts w:ascii="Arial" w:cs="Arial" w:eastAsia="Arial" w:hAnsi="Arial"/>
                <w:sz w:val="18"/>
                <w:szCs w:val="18"/>
                <w:color w:val="003082"/>
              </w:rPr>
              <w:t>Constant Currency Dollar-Based Net Expansion Rate</w:t>
            </w:r>
            <w:r>
              <w:rPr>
                <w:rFonts w:ascii="Arial" w:cs="Arial" w:eastAsia="Arial" w:hAnsi="Arial"/>
                <w:sz w:val="25"/>
                <w:szCs w:val="25"/>
                <w:color w:val="003082"/>
                <w:vertAlign w:val="superscript"/>
              </w:rPr>
              <w:t>(1)</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133%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3082"/>
              </w:rPr>
              <w:t>131%</w:t>
            </w:r>
          </w:p>
        </w:tc>
        <w:tc>
          <w:tcPr>
            <w:tcW w:w="0" w:type="dxa"/>
            <w:vAlign w:val="bottom"/>
          </w:tcPr>
          <w:p>
            <w:pPr>
              <w:spacing w:after="0"/>
              <w:rPr>
                <w:sz w:val="1"/>
                <w:szCs w:val="1"/>
                <w:color w:val="auto"/>
              </w:rPr>
            </w:pPr>
          </w:p>
        </w:tc>
      </w:tr>
      <w:tr>
        <w:trPr>
          <w:trHeight w:val="378"/>
        </w:trPr>
        <w:tc>
          <w:tcPr>
            <w:tcW w:w="5080" w:type="dxa"/>
            <w:vAlign w:val="bottom"/>
          </w:tcPr>
          <w:p>
            <w:pPr>
              <w:spacing w:after="0"/>
              <w:rPr>
                <w:sz w:val="24"/>
                <w:szCs w:val="24"/>
                <w:color w:val="auto"/>
              </w:rPr>
            </w:pPr>
          </w:p>
        </w:tc>
        <w:tc>
          <w:tcPr>
            <w:tcW w:w="3020" w:type="dxa"/>
            <w:vAlign w:val="bottom"/>
            <w:gridSpan w:val="4"/>
            <w:vMerge w:val="restart"/>
          </w:tcPr>
          <w:p>
            <w:pPr>
              <w:jc w:val="right"/>
              <w:ind w:right="75"/>
              <w:spacing w:after="0"/>
              <w:rPr>
                <w:sz w:val="20"/>
                <w:szCs w:val="20"/>
                <w:color w:val="auto"/>
              </w:rPr>
            </w:pPr>
            <w:r>
              <w:rPr>
                <w:rFonts w:ascii="Arial" w:cs="Arial" w:eastAsia="Arial" w:hAnsi="Arial"/>
                <w:sz w:val="14"/>
                <w:szCs w:val="14"/>
                <w:b w:val="1"/>
                <w:bCs w:val="1"/>
                <w:color w:val="003082"/>
                <w:w w:val="98"/>
              </w:rPr>
              <w:t>As of and for the Year Ended December 31,</w:t>
            </w:r>
          </w:p>
        </w:tc>
        <w:tc>
          <w:tcPr>
            <w:tcW w:w="120" w:type="dxa"/>
            <w:vAlign w:val="bottom"/>
          </w:tcPr>
          <w:p>
            <w:pPr>
              <w:spacing w:after="0"/>
              <w:rPr>
                <w:sz w:val="24"/>
                <w:szCs w:val="24"/>
                <w:color w:val="auto"/>
              </w:rPr>
            </w:pPr>
          </w:p>
        </w:tc>
        <w:tc>
          <w:tcPr>
            <w:tcW w:w="3020" w:type="dxa"/>
            <w:vAlign w:val="bottom"/>
            <w:gridSpan w:val="5"/>
          </w:tcPr>
          <w:p>
            <w:pPr>
              <w:jc w:val="right"/>
              <w:spacing w:after="0"/>
              <w:rPr>
                <w:sz w:val="20"/>
                <w:szCs w:val="20"/>
                <w:color w:val="auto"/>
              </w:rPr>
            </w:pPr>
            <w:r>
              <w:rPr>
                <w:rFonts w:ascii="Arial" w:cs="Arial" w:eastAsia="Arial" w:hAnsi="Arial"/>
                <w:sz w:val="14"/>
                <w:szCs w:val="14"/>
                <w:b w:val="1"/>
                <w:bCs w:val="1"/>
                <w:color w:val="003082"/>
                <w:w w:val="97"/>
              </w:rPr>
              <w:t>As of and for the Three Months Ended March</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020" w:type="dxa"/>
            <w:vAlign w:val="bottom"/>
            <w:tcBorders>
              <w:bottom w:val="single" w:sz="8" w:color="3D5588"/>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spacing w:after="0"/>
              <w:rPr>
                <w:sz w:val="16"/>
                <w:szCs w:val="16"/>
                <w:color w:val="auto"/>
              </w:rPr>
            </w:pPr>
          </w:p>
        </w:tc>
        <w:tc>
          <w:tcPr>
            <w:tcW w:w="1040" w:type="dxa"/>
            <w:vAlign w:val="bottom"/>
            <w:tcBorders>
              <w:bottom w:val="single" w:sz="8" w:color="3D5588"/>
            </w:tcBorders>
            <w:gridSpan w:val="2"/>
          </w:tcPr>
          <w:p>
            <w:pPr>
              <w:jc w:val="right"/>
              <w:ind w:right="820"/>
              <w:spacing w:after="0"/>
              <w:rPr>
                <w:sz w:val="20"/>
                <w:szCs w:val="20"/>
                <w:color w:val="auto"/>
              </w:rPr>
            </w:pPr>
            <w:r>
              <w:rPr>
                <w:rFonts w:ascii="Arial" w:cs="Arial" w:eastAsia="Arial" w:hAnsi="Arial"/>
                <w:sz w:val="14"/>
                <w:szCs w:val="14"/>
                <w:b w:val="1"/>
                <w:bCs w:val="1"/>
                <w:color w:val="003082"/>
              </w:rPr>
              <w:t>31,</w:t>
            </w:r>
          </w:p>
        </w:tc>
        <w:tc>
          <w:tcPr>
            <w:tcW w:w="5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88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2018</w:t>
            </w:r>
          </w:p>
        </w:tc>
        <w:tc>
          <w:tcPr>
            <w:tcW w:w="620" w:type="dxa"/>
            <w:vAlign w:val="bottom"/>
            <w:tcBorders>
              <w:bottom w:val="single" w:sz="8" w:color="3D5588"/>
            </w:tcBorders>
          </w:tcPr>
          <w:p>
            <w:pPr>
              <w:spacing w:after="0"/>
              <w:rPr>
                <w:sz w:val="22"/>
                <w:szCs w:val="22"/>
                <w:color w:val="auto"/>
              </w:rPr>
            </w:pPr>
          </w:p>
        </w:tc>
        <w:tc>
          <w:tcPr>
            <w:tcW w:w="1520" w:type="dxa"/>
            <w:vAlign w:val="bottom"/>
            <w:tcBorders>
              <w:bottom w:val="single" w:sz="8" w:color="3D5588"/>
            </w:tcBorders>
            <w:gridSpan w:val="2"/>
          </w:tcPr>
          <w:p>
            <w:pPr>
              <w:jc w:val="right"/>
              <w:ind w:right="495"/>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00" w:type="dxa"/>
            <w:vAlign w:val="bottom"/>
            <w:tcBorders>
              <w:bottom w:val="single" w:sz="8" w:color="3D5588"/>
            </w:tcBorders>
          </w:tcPr>
          <w:p>
            <w:pPr>
              <w:spacing w:after="0"/>
              <w:rPr>
                <w:sz w:val="22"/>
                <w:szCs w:val="22"/>
                <w:color w:val="auto"/>
              </w:rPr>
            </w:pPr>
          </w:p>
        </w:tc>
        <w:tc>
          <w:tcPr>
            <w:tcW w:w="1100" w:type="dxa"/>
            <w:vAlign w:val="bottom"/>
            <w:tcBorders>
              <w:bottom w:val="single" w:sz="8" w:color="3D5588"/>
            </w:tcBorders>
          </w:tcPr>
          <w:p>
            <w:pPr>
              <w:jc w:val="right"/>
              <w:ind w:right="457"/>
              <w:spacing w:after="0"/>
              <w:rPr>
                <w:sz w:val="20"/>
                <w:szCs w:val="20"/>
                <w:color w:val="auto"/>
              </w:rPr>
            </w:pPr>
            <w:r>
              <w:rPr>
                <w:rFonts w:ascii="Arial" w:cs="Arial" w:eastAsia="Arial" w:hAnsi="Arial"/>
                <w:sz w:val="14"/>
                <w:szCs w:val="14"/>
                <w:b w:val="1"/>
                <w:bCs w:val="1"/>
                <w:color w:val="003082"/>
              </w:rPr>
              <w:t>2019</w:t>
            </w:r>
          </w:p>
        </w:tc>
        <w:tc>
          <w:tcPr>
            <w:tcW w:w="1040" w:type="dxa"/>
            <w:vAlign w:val="bottom"/>
            <w:tcBorders>
              <w:bottom w:val="single" w:sz="8" w:color="3D5588"/>
            </w:tcBorders>
            <w:gridSpan w:val="2"/>
          </w:tcPr>
          <w:p>
            <w:pPr>
              <w:jc w:val="right"/>
              <w:spacing w:after="0"/>
              <w:rPr>
                <w:sz w:val="20"/>
                <w:szCs w:val="20"/>
                <w:color w:val="auto"/>
              </w:rPr>
            </w:pPr>
            <w:r>
              <w:rPr>
                <w:rFonts w:ascii="Arial" w:cs="Arial" w:eastAsia="Arial" w:hAnsi="Arial"/>
                <w:sz w:val="14"/>
                <w:szCs w:val="14"/>
                <w:b w:val="1"/>
                <w:bCs w:val="1"/>
                <w:color w:val="003082"/>
              </w:rPr>
              <w:t>2020</w:t>
            </w:r>
          </w:p>
        </w:tc>
        <w:tc>
          <w:tcPr>
            <w:tcW w:w="580" w:type="dxa"/>
            <w:vAlign w:val="bottom"/>
            <w:tcBorders>
              <w:bottom w:val="single" w:sz="8" w:color="3D5588"/>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3082"/>
              </w:rPr>
              <w:t>(US$</w:t>
            </w:r>
          </w:p>
        </w:tc>
        <w:tc>
          <w:tcPr>
            <w:tcW w:w="216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003082"/>
                <w:w w:val="89"/>
              </w:rPr>
              <w:t>in thousands, except values)</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0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003082"/>
              </w:rPr>
              <w:t>Active customers</w:t>
            </w:r>
            <w:r>
              <w:rPr>
                <w:rFonts w:ascii="Arial" w:cs="Arial" w:eastAsia="Arial" w:hAnsi="Arial"/>
                <w:sz w:val="25"/>
                <w:szCs w:val="25"/>
                <w:color w:val="003082"/>
                <w:vertAlign w:val="superscript"/>
              </w:rPr>
              <w:t>(1)</w:t>
            </w:r>
          </w:p>
        </w:tc>
        <w:tc>
          <w:tcPr>
            <w:tcW w:w="8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003082"/>
              </w:rPr>
              <w:t>586</w:t>
            </w:r>
          </w:p>
        </w:tc>
        <w:tc>
          <w:tcPr>
            <w:tcW w:w="8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1,041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678</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003082"/>
              </w:rPr>
              <w:t>1,176</w:t>
            </w:r>
          </w:p>
        </w:tc>
        <w:tc>
          <w:tcPr>
            <w:tcW w:w="0" w:type="dxa"/>
            <w:vAlign w:val="bottom"/>
          </w:tcPr>
          <w:p>
            <w:pPr>
              <w:spacing w:after="0"/>
              <w:rPr>
                <w:sz w:val="1"/>
                <w:szCs w:val="1"/>
                <w:color w:val="auto"/>
              </w:rPr>
            </w:pPr>
          </w:p>
        </w:tc>
      </w:tr>
      <w:tr>
        <w:trPr>
          <w:trHeight w:val="270"/>
        </w:trPr>
        <w:tc>
          <w:tcPr>
            <w:tcW w:w="5080" w:type="dxa"/>
            <w:vAlign w:val="bottom"/>
          </w:tcPr>
          <w:p>
            <w:pPr>
              <w:ind w:left="40"/>
              <w:spacing w:after="0" w:line="270" w:lineRule="exact"/>
              <w:rPr>
                <w:sz w:val="20"/>
                <w:szCs w:val="20"/>
                <w:color w:val="auto"/>
              </w:rPr>
            </w:pPr>
            <w:r>
              <w:rPr>
                <w:rFonts w:ascii="Arial" w:cs="Arial" w:eastAsia="Arial" w:hAnsi="Arial"/>
                <w:sz w:val="18"/>
                <w:szCs w:val="18"/>
                <w:color w:val="003082"/>
              </w:rPr>
              <w:t>Adjusted EBITDA</w:t>
            </w:r>
            <w:r>
              <w:rPr>
                <w:rFonts w:ascii="Arial" w:cs="Arial" w:eastAsia="Arial" w:hAnsi="Arial"/>
                <w:sz w:val="25"/>
                <w:szCs w:val="25"/>
                <w:color w:val="003082"/>
                <w:vertAlign w:val="superscript"/>
              </w:rPr>
              <w:t>(1)</w:t>
            </w:r>
          </w:p>
        </w:tc>
        <w:tc>
          <w:tcPr>
            <w:tcW w:w="880" w:type="dxa"/>
            <w:vAlign w:val="bottom"/>
          </w:tcPr>
          <w:p>
            <w:pPr>
              <w:jc w:val="right"/>
              <w:ind w:right="699"/>
              <w:spacing w:after="0"/>
              <w:rPr>
                <w:sz w:val="20"/>
                <w:szCs w:val="20"/>
                <w:color w:val="auto"/>
              </w:rPr>
            </w:pPr>
            <w:r>
              <w:rPr>
                <w:rFonts w:ascii="Arial" w:cs="Arial" w:eastAsia="Arial" w:hAnsi="Arial"/>
                <w:sz w:val="18"/>
                <w:szCs w:val="18"/>
                <w:color w:val="003082"/>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003082"/>
              </w:rPr>
              <w:t>4,035</w:t>
            </w:r>
          </w:p>
        </w:tc>
        <w:tc>
          <w:tcPr>
            <w:tcW w:w="880" w:type="dxa"/>
            <w:vAlign w:val="bottom"/>
          </w:tcPr>
          <w:p>
            <w:pPr>
              <w:jc w:val="right"/>
              <w:ind w:right="619"/>
              <w:spacing w:after="0"/>
              <w:rPr>
                <w:sz w:val="20"/>
                <w:szCs w:val="20"/>
                <w:color w:val="auto"/>
              </w:rPr>
            </w:pPr>
            <w:r>
              <w:rPr>
                <w:rFonts w:ascii="Arial" w:cs="Arial" w:eastAsia="Arial" w:hAnsi="Arial"/>
                <w:sz w:val="18"/>
                <w:szCs w:val="18"/>
                <w:color w:val="003082"/>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003082"/>
              </w:rPr>
              <w:t>31</w:t>
            </w: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003082"/>
              </w:rPr>
              <w:t>$</w:t>
            </w:r>
          </w:p>
        </w:tc>
        <w:tc>
          <w:tcPr>
            <w:tcW w:w="1100" w:type="dxa"/>
            <w:vAlign w:val="bottom"/>
          </w:tcPr>
          <w:p>
            <w:pPr>
              <w:jc w:val="right"/>
              <w:spacing w:after="0"/>
              <w:rPr>
                <w:sz w:val="20"/>
                <w:szCs w:val="20"/>
                <w:color w:val="auto"/>
              </w:rPr>
            </w:pPr>
            <w:r>
              <w:rPr>
                <w:rFonts w:ascii="Arial" w:cs="Arial" w:eastAsia="Arial" w:hAnsi="Arial"/>
                <w:sz w:val="18"/>
                <w:szCs w:val="18"/>
                <w:color w:val="003082"/>
              </w:rPr>
              <w:t>720</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003082"/>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003082"/>
              </w:rPr>
              <w:t>5,458</w:t>
            </w: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Free cash flow</w:t>
            </w:r>
            <w:r>
              <w:rPr>
                <w:rFonts w:ascii="Arial" w:cs="Arial" w:eastAsia="Arial" w:hAnsi="Arial"/>
                <w:sz w:val="25"/>
                <w:szCs w:val="25"/>
                <w:color w:val="003082"/>
                <w:vertAlign w:val="superscript"/>
              </w:rPr>
              <w:t>(1)</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003082"/>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003082"/>
                <w:w w:val="91"/>
              </w:rPr>
              <w:t>(1,725)</w:t>
            </w:r>
          </w:p>
        </w:tc>
        <w:tc>
          <w:tcPr>
            <w:tcW w:w="8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0030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(4,096)</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0030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2,855</w:t>
            </w: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0030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3082"/>
                <w:w w:val="91"/>
              </w:rPr>
              <w:t>(3,416)</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Arial" w:cs="Arial" w:eastAsia="Arial" w:hAnsi="Arial"/>
                <w:sz w:val="16"/>
                <w:szCs w:val="16"/>
                <w:color w:val="003082"/>
              </w:rPr>
              <w:t>________________</w:t>
            </w: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0" w:hanging="332"/>
        <w:spacing w:after="0" w:line="298" w:lineRule="auto"/>
        <w:tabs>
          <w:tab w:leader="none" w:pos="340" w:val="left"/>
        </w:tabs>
        <w:numPr>
          <w:ilvl w:val="0"/>
          <w:numId w:val="48"/>
        </w:numPr>
        <w:rPr>
          <w:rFonts w:ascii="Arial" w:cs="Arial" w:eastAsia="Arial" w:hAnsi="Arial"/>
          <w:sz w:val="16"/>
          <w:szCs w:val="16"/>
          <w:color w:val="003082"/>
        </w:rPr>
      </w:pPr>
      <w:r>
        <w:rPr>
          <w:rFonts w:ascii="Arial" w:cs="Arial" w:eastAsia="Arial" w:hAnsi="Arial"/>
          <w:sz w:val="16"/>
          <w:szCs w:val="16"/>
          <w:color w:val="003082"/>
        </w:rPr>
        <w:t>See the section of this prospectus captioned “Prospectus Summary</w:t>
      </w:r>
      <w:r>
        <w:rPr>
          <w:rFonts w:ascii="Arial" w:cs="Arial" w:eastAsia="Arial" w:hAnsi="Arial"/>
          <w:sz w:val="17"/>
          <w:szCs w:val="17"/>
          <w:color w:val="003082"/>
        </w:rPr>
        <w:t>—</w:t>
      </w:r>
      <w:r>
        <w:rPr>
          <w:rFonts w:ascii="Arial" w:cs="Arial" w:eastAsia="Arial" w:hAnsi="Arial"/>
          <w:sz w:val="16"/>
          <w:szCs w:val="16"/>
          <w:color w:val="003082"/>
        </w:rPr>
        <w:t>Summary Consolidated Financial and Operating Data—Key Operating and Financial Metrics” for information on how we define and calculate these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Consolidated Balance Sheet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4"/>
          </w:tcPr>
          <w:p>
            <w:pPr>
              <w:ind w:left="580"/>
              <w:spacing w:after="0"/>
              <w:rPr>
                <w:sz w:val="20"/>
                <w:szCs w:val="20"/>
                <w:color w:val="auto"/>
              </w:rPr>
            </w:pPr>
            <w:r>
              <w:rPr>
                <w:rFonts w:ascii="Arial" w:cs="Arial" w:eastAsia="Arial" w:hAnsi="Arial"/>
                <w:sz w:val="14"/>
                <w:szCs w:val="14"/>
                <w:b w:val="1"/>
                <w:bCs w:val="1"/>
                <w:color w:val="003082"/>
              </w:rPr>
              <w:t>As of December 31,</w:t>
            </w:r>
          </w:p>
        </w:tc>
        <w:tc>
          <w:tcPr>
            <w:tcW w:w="200" w:type="dxa"/>
            <w:vAlign w:val="bottom"/>
          </w:tcPr>
          <w:p>
            <w:pPr>
              <w:spacing w:after="0"/>
              <w:rPr>
                <w:sz w:val="16"/>
                <w:szCs w:val="16"/>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003082"/>
              </w:rPr>
              <w:t>As of March 31,</w:t>
            </w:r>
          </w:p>
        </w:tc>
      </w:tr>
      <w:tr>
        <w:trPr>
          <w:trHeight w:val="263"/>
        </w:trPr>
        <w:tc>
          <w:tcPr>
            <w:tcW w:w="50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60" w:type="dxa"/>
            <w:vAlign w:val="bottom"/>
            <w:tcBorders>
              <w:top w:val="single" w:sz="8" w:color="3D5588"/>
              <w:bottom w:val="single" w:sz="8" w:color="3D5588"/>
            </w:tcBorders>
          </w:tcPr>
          <w:p>
            <w:pPr>
              <w:spacing w:after="0"/>
              <w:rPr>
                <w:sz w:val="22"/>
                <w:szCs w:val="22"/>
                <w:color w:val="auto"/>
              </w:rPr>
            </w:pPr>
          </w:p>
        </w:tc>
        <w:tc>
          <w:tcPr>
            <w:tcW w:w="1160" w:type="dxa"/>
            <w:vAlign w:val="bottom"/>
            <w:tcBorders>
              <w:top w:val="single" w:sz="8" w:color="3D5588"/>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2018</w:t>
            </w:r>
          </w:p>
        </w:tc>
        <w:tc>
          <w:tcPr>
            <w:tcW w:w="220" w:type="dxa"/>
            <w:vAlign w:val="bottom"/>
            <w:tcBorders>
              <w:top w:val="single" w:sz="8" w:color="3D5588"/>
              <w:bottom w:val="single" w:sz="8" w:color="3D5588"/>
            </w:tcBorders>
          </w:tcPr>
          <w:p>
            <w:pPr>
              <w:spacing w:after="0"/>
              <w:rPr>
                <w:sz w:val="22"/>
                <w:szCs w:val="22"/>
                <w:color w:val="auto"/>
              </w:rPr>
            </w:pPr>
          </w:p>
        </w:tc>
        <w:tc>
          <w:tcPr>
            <w:tcW w:w="1300" w:type="dxa"/>
            <w:vAlign w:val="bottom"/>
            <w:tcBorders>
              <w:top w:val="single" w:sz="8" w:color="3D5588"/>
              <w:bottom w:val="single" w:sz="8" w:color="3D5588"/>
            </w:tcBorders>
          </w:tcPr>
          <w:p>
            <w:pPr>
              <w:jc w:val="right"/>
              <w:ind w:right="494"/>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200" w:type="dxa"/>
            <w:vAlign w:val="bottom"/>
            <w:tcBorders>
              <w:top w:val="single" w:sz="8" w:color="3D5588"/>
              <w:bottom w:val="single" w:sz="8" w:color="3D5588"/>
            </w:tcBorders>
          </w:tcPr>
          <w:p>
            <w:pPr>
              <w:spacing w:after="0"/>
              <w:rPr>
                <w:sz w:val="22"/>
                <w:szCs w:val="22"/>
                <w:color w:val="auto"/>
              </w:rPr>
            </w:pPr>
          </w:p>
        </w:tc>
        <w:tc>
          <w:tcPr>
            <w:tcW w:w="1360" w:type="dxa"/>
            <w:vAlign w:val="bottom"/>
            <w:tcBorders>
              <w:top w:val="single" w:sz="8" w:color="3D5588"/>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2020</w:t>
            </w:r>
          </w:p>
        </w:tc>
      </w:tr>
      <w:tr>
        <w:trPr>
          <w:trHeight w:val="250"/>
        </w:trPr>
        <w:tc>
          <w:tcPr>
            <w:tcW w:w="50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003082"/>
              </w:rPr>
              <w:t>(US$ in thousands)</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1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003082"/>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108,518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105,603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151,653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003082"/>
              </w:rPr>
              <w:t>Short-term investments</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003082"/>
              </w:rPr>
              <w:t>1,457</w:t>
            </w:r>
          </w:p>
        </w:tc>
        <w:tc>
          <w:tcPr>
            <w:tcW w:w="22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003082"/>
              </w:rPr>
              <w:t>—</w:t>
            </w:r>
          </w:p>
        </w:tc>
      </w:tr>
      <w:tr>
        <w:trPr>
          <w:trHeight w:val="27"/>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Working capital</w:t>
            </w:r>
            <w:r>
              <w:rPr>
                <w:rFonts w:ascii="Arial" w:cs="Arial" w:eastAsia="Arial" w:hAnsi="Arial"/>
                <w:sz w:val="25"/>
                <w:szCs w:val="25"/>
                <w:color w:val="003082"/>
                <w:vertAlign w:val="superscript"/>
              </w:rPr>
              <w:t>(1)</w:t>
            </w:r>
          </w:p>
        </w:tc>
        <w:tc>
          <w:tcPr>
            <w:tcW w:w="14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003082"/>
              </w:rPr>
              <w:t>111,948</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003082"/>
              </w:rPr>
              <w:t>104,750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003082"/>
              </w:rPr>
              <w:t>155,851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003082"/>
              </w:rPr>
              <w:t>Total assets</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003082"/>
              </w:rPr>
              <w:t>127,308</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003082"/>
              </w:rPr>
              <w:t>131,159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003082"/>
              </w:rPr>
              <w:t>197,154</w:t>
            </w:r>
          </w:p>
        </w:tc>
      </w:tr>
      <w:tr>
        <w:trPr>
          <w:trHeight w:val="27"/>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11,295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18,481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30,543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003082"/>
              </w:rPr>
              <w:t>Total Mezzanine equity</w:t>
            </w:r>
          </w:p>
        </w:tc>
        <w:tc>
          <w:tcPr>
            <w:tcW w:w="1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003082"/>
              </w:rPr>
              <w:t>189,255</w:t>
            </w:r>
          </w:p>
        </w:tc>
        <w:tc>
          <w:tcPr>
            <w:tcW w:w="2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003082"/>
              </w:rPr>
              <w:t>239,970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003082"/>
              </w:rPr>
              <w:t>325,934</w:t>
            </w:r>
          </w:p>
        </w:tc>
      </w:tr>
      <w:tr>
        <w:trPr>
          <w:trHeight w:val="27"/>
        </w:trPr>
        <w:tc>
          <w:tcPr>
            <w:tcW w:w="5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shareholders’ equity (deficit)</w:t>
            </w:r>
          </w:p>
        </w:tc>
        <w:tc>
          <w:tcPr>
            <w:tcW w:w="1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(73,242)</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(127,293)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(159,323)</w:t>
            </w:r>
          </w:p>
        </w:tc>
      </w:tr>
      <w:tr>
        <w:trPr>
          <w:trHeight w:val="179"/>
        </w:trPr>
        <w:tc>
          <w:tcPr>
            <w:tcW w:w="5060" w:type="dxa"/>
            <w:vAlign w:val="bottom"/>
          </w:tcPr>
          <w:p>
            <w:pPr>
              <w:spacing w:after="0" w:line="179" w:lineRule="exact"/>
              <w:rPr>
                <w:sz w:val="20"/>
                <w:szCs w:val="20"/>
                <w:color w:val="auto"/>
              </w:rPr>
            </w:pPr>
            <w:r>
              <w:rPr>
                <w:rFonts w:ascii="Arial" w:cs="Arial" w:eastAsia="Arial" w:hAnsi="Arial"/>
                <w:sz w:val="16"/>
                <w:szCs w:val="16"/>
                <w:color w:val="003082"/>
              </w:rPr>
              <w:t>________________</w:t>
            </w: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06"/>
        </w:trPr>
        <w:tc>
          <w:tcPr>
            <w:tcW w:w="5060" w:type="dxa"/>
            <w:vAlign w:val="bottom"/>
          </w:tcPr>
          <w:p>
            <w:pPr>
              <w:spacing w:after="0"/>
              <w:rPr>
                <w:sz w:val="20"/>
                <w:szCs w:val="20"/>
                <w:color w:val="auto"/>
              </w:rPr>
            </w:pPr>
            <w:r>
              <w:rPr>
                <w:rFonts w:ascii="Arial" w:cs="Arial" w:eastAsia="Arial" w:hAnsi="Arial"/>
                <w:sz w:val="16"/>
                <w:szCs w:val="16"/>
                <w:color w:val="003082"/>
              </w:rPr>
              <w:t>(1)  Working capital is defined as current assets less current liabilities.</w:t>
            </w: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25"/>
        </w:trPr>
        <w:tc>
          <w:tcPr>
            <w:tcW w:w="5060" w:type="dxa"/>
            <w:vAlign w:val="bottom"/>
          </w:tcPr>
          <w:p>
            <w:pPr>
              <w:spacing w:after="0"/>
              <w:rPr>
                <w:sz w:val="24"/>
                <w:szCs w:val="24"/>
                <w:color w:val="auto"/>
              </w:rPr>
            </w:pPr>
          </w:p>
        </w:tc>
        <w:tc>
          <w:tcPr>
            <w:tcW w:w="1460" w:type="dxa"/>
            <w:vAlign w:val="bottom"/>
          </w:tcPr>
          <w:p>
            <w:pPr>
              <w:jc w:val="right"/>
              <w:ind w:right="710"/>
              <w:spacing w:after="0"/>
              <w:rPr>
                <w:sz w:val="20"/>
                <w:szCs w:val="20"/>
                <w:color w:val="auto"/>
              </w:rPr>
            </w:pPr>
            <w:r>
              <w:rPr>
                <w:rFonts w:ascii="Arial" w:cs="Arial" w:eastAsia="Arial" w:hAnsi="Arial"/>
                <w:sz w:val="18"/>
                <w:szCs w:val="18"/>
                <w:color w:val="003082"/>
              </w:rPr>
              <w:t>85</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8"/>
          <w:szCs w:val="18"/>
          <w:b w:val="1"/>
          <w:bCs w:val="1"/>
          <w:color w:val="003082"/>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RESULTS OF OPERATIONS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003082"/>
        </w:rPr>
        <w:t>You should read the following discussion and analysis of our financial condition and results of operations together with the consolidated financial statements and related notes included elsewhere in this prospectus. This discussion contains forward-looking statements based upon current plans, expectations and beliefs that involve risks and uncertainties. See the section of this prospectus captioned “Special Note Regarding Forward-Looking Statements and Industry Data.” Our actual results may differ materially from those anticipated in these forward-looking statements as a result of various factors, including those set forth in the section of this prospectus captioned “Risk Factors” and in other parts of this prospectus. Our fiscal year ends on December 31.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Overview</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voice and messaging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Since inception, we have achieved the following significant milestones:</w:t>
      </w:r>
    </w:p>
    <w:p>
      <w:pPr>
        <w:spacing w:after="0" w:line="171"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2013, our chief executive officer, Mr. Zhao, founded our company in Silicon Valley.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2014, we launched our Real-Time Voice product and established our Shanghai office.</w:t>
      </w:r>
    </w:p>
    <w:p>
      <w:pPr>
        <w:spacing w:after="0" w:line="171" w:lineRule="exact"/>
        <w:rPr>
          <w:rFonts w:ascii="Arial" w:cs="Arial" w:eastAsia="Arial" w:hAnsi="Arial"/>
          <w:sz w:val="18"/>
          <w:szCs w:val="18"/>
          <w:color w:val="003082"/>
        </w:rPr>
      </w:pPr>
    </w:p>
    <w:p>
      <w:pPr>
        <w:ind w:left="660" w:hanging="328"/>
        <w:spacing w:after="0" w:line="308" w:lineRule="auto"/>
        <w:tabs>
          <w:tab w:leader="none" w:pos="660" w:val="left"/>
        </w:tabs>
        <w:numPr>
          <w:ilvl w:val="0"/>
          <w:numId w:val="49"/>
        </w:numPr>
        <w:rPr>
          <w:rFonts w:ascii="Arial" w:cs="Arial" w:eastAsia="Arial" w:hAnsi="Arial"/>
          <w:sz w:val="17"/>
          <w:szCs w:val="17"/>
          <w:color w:val="003082"/>
        </w:rPr>
      </w:pPr>
      <w:r>
        <w:rPr>
          <w:rFonts w:ascii="Arial" w:cs="Arial" w:eastAsia="Arial" w:hAnsi="Arial"/>
          <w:sz w:val="17"/>
          <w:szCs w:val="17"/>
          <w:color w:val="003082"/>
        </w:rPr>
        <w:t>In 2015, we launched our Real-Time Video product, signed our first customers and organized the inaugural RTC Conference in Beijing, which was the first conference in Asia focused on real-time engagement technology and which we have hosted every year since.</w:t>
      </w:r>
    </w:p>
    <w:p>
      <w:pPr>
        <w:spacing w:after="0" w:line="92" w:lineRule="exact"/>
        <w:rPr>
          <w:rFonts w:ascii="Arial" w:cs="Arial" w:eastAsia="Arial" w:hAnsi="Arial"/>
          <w:sz w:val="17"/>
          <w:szCs w:val="17"/>
          <w:color w:val="003082"/>
        </w:rPr>
      </w:pPr>
    </w:p>
    <w:p>
      <w:pPr>
        <w:ind w:left="660" w:right="20" w:hanging="328"/>
        <w:spacing w:after="0" w:line="277" w:lineRule="auto"/>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2016, we powered more than 600 million minutes of real-time video and voice engagement through more than 1,000 applications in December alone.</w:t>
      </w:r>
    </w:p>
    <w:p>
      <w:pPr>
        <w:spacing w:after="0" w:line="116"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2017, our products helped developers revolutionize live interactive streaming and social-based gaming by adding real-time video and voice engagement features.</w:t>
      </w:r>
    </w:p>
    <w:p>
      <w:pPr>
        <w:spacing w:after="0" w:line="116"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2018, the SD-RTN expanded to more than 100 co-located data centers worldwide and we launched Agora Analytics, a suite of tools that help developers monitor and diagnose quality issues to improve the end-user experience. In the same year, adoption of our products for education use cases accelerated.</w:t>
      </w:r>
    </w:p>
    <w:p>
      <w:pPr>
        <w:spacing w:after="0" w:line="129"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2019, we expanded the SD-RTN to more than 200 co-located data centers worldwide. Additionally, we launched our Real-Time Messaging product, high-definition video capabilities and the Agora Partner Gallery, our marketplace for third-party solutions and services. We also hosted the inaugural AllThingsRTC conference in San Francisco.</w:t>
      </w:r>
    </w:p>
    <w:p>
      <w:pPr>
        <w:spacing w:after="0" w:line="129"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49"/>
        </w:numPr>
        <w:rPr>
          <w:rFonts w:ascii="Arial" w:cs="Arial" w:eastAsia="Arial" w:hAnsi="Arial"/>
          <w:sz w:val="18"/>
          <w:szCs w:val="18"/>
          <w:color w:val="003082"/>
        </w:rPr>
      </w:pPr>
      <w:r>
        <w:rPr>
          <w:rFonts w:ascii="Arial" w:cs="Arial" w:eastAsia="Arial" w:hAnsi="Arial"/>
          <w:sz w:val="18"/>
          <w:szCs w:val="18"/>
          <w:color w:val="003082"/>
        </w:rPr>
        <w:t>In the month of March 2020 alone we powered more than 40 billion minutes of real-time video and voice engagement for end users in more than 100 countries through more than 10,000 active applications.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paying customers. In each of the periods presented, the vast majority of the minutes of real-time engagement on our platform were attributable to paid usage. Our platform is designed for developers to self-serve, and they typically require minimal individual customer support to deploy our products. Once customers reach a certain spending level with us, we support them with a dedicated account manager who coordinates internal resources to drive customer success. For certain large customers,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86</w:t>
      </w:r>
    </w:p>
    <w:p>
      <w:pPr>
        <w:sectPr>
          <w:pgSz w:w="11900" w:h="16838" w:orient="portrait"/>
          <w:cols w:equalWidth="0" w:num="1">
            <w:col w:w="11240"/>
          </w:cols>
          <w:pgMar w:left="320" w:top="445" w:right="339" w:bottom="1440" w:gutter="0" w:footer="0" w:header="0"/>
        </w:sectPr>
      </w:pPr>
    </w:p>
    <w:bookmarkStart w:id="91" w:name="page92"/>
    <w:bookmarkEnd w:id="91"/>
    <w:p>
      <w:pPr>
        <w:jc w:val="both"/>
        <w:spacing w:after="0" w:line="255" w:lineRule="auto"/>
        <w:rPr>
          <w:sz w:val="20"/>
          <w:szCs w:val="20"/>
          <w:color w:val="auto"/>
        </w:rPr>
      </w:pPr>
      <w:r>
        <w:rPr>
          <w:rFonts w:ascii="Arial" w:cs="Arial" w:eastAsia="Arial" w:hAnsi="Arial"/>
          <w:sz w:val="18"/>
          <w:szCs w:val="18"/>
          <w:color w:val="003082"/>
        </w:rPr>
        <w:t>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 When a use case becomes sufficiently well-established, such as online education using our Real-Time Video product, we deploy our sales team to identify and actively approach similar companies that could also benefit from our products. We also generate a slight portion of our sales through our revenue-sharing relationships with channel partners, such as referral partners, resellers and integration partners. Revenue generated through our channel partners may become a more meaningful contributor over time.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We generate substantially all of our revenue from usage of our platform. Generally, customers enter into 12-month contracts and are invoiced monthly in arrears based on usage. In some cases, we offer tiered, volume-based discounts to our largest customers in return for minimum revenue commitments. Most customers with a minimum revenue commitment contract generate a significant amount of revenue in excess of their minimum revenue commitment in any period. Historically, the aggregate minimum commitment revenue from customers with which we have contracts has constituted a small portion of our revenue in any period, and we expect this to continue in the future.</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In the month of March 2020 alone, we powered more than 40 billion minutes of RTE for end users in more than 100 countries through more than 10,000 active applications. This was up from 20 billion minutes of RTE in the month of December 2019 as end users, particularly in China, spent more time interacting online due to work, school, travel and other restrictions as a result of the COVID-19 outbreak.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March 31, 2020, we had 1,176 active customers, which we define as customers who generate more than US$100 of revenue during the preceding 12 months. As our customers succeed, we share in their success through our usage-based revenue model. As the popularity of individual use cases and applications has varied over time, we believe a useful indicator of the increased activity from our customers is our Constant Currency Dollar-Based Net Expansion Rate, which was 133% and 131% for 2018 and 2019, respectively. See the section of this prospectus captioned “—Key Operating and Financial Metrics—Constant Currency Dollar-Based Net Expansion Rate.”</w:t>
      </w:r>
    </w:p>
    <w:p>
      <w:pPr>
        <w:spacing w:after="0" w:line="14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In 2019 and the three months ended March 31, 2020, the majority of the minutes used by our customers were for our voice products, but we generate a majority of our revenue from usage of our video products, for which we charge our customers more, given the higher bandwidth and technical sophistication required. For each of the periods presented, a majority of our total revenue was generated from customers operating primarily in the PRC, although we expect the percentage of our total revenue derived from customers operating primarily outside of the PRC, to grow as RTE solutions are incorporated into software applications by developers globally. In the three months ended March 31, 2020, we had one customer that accounted for 14% of our total revenue and a second customer that accounted for 10% of our total revenue. In the three months ended March 31, 2019 and the year ended December 31, 2019, no single customer accounted for more than 10% of our total revenue, even after aggregating customers with multiple accounts. In 2018, one customer accounted for 16% of our total revenue.</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We use our SD-RTN, a virtual network overlay on top of the public internet, to handle the real-time data transmission for our products. We own the majority of our servers and network equipment that we host at the more than 200 co-located data centers on which the SD-RTN runs. Our network architecture design allows us to quickly add server capacity at the local data center, connect more data centers at the continent level or purchase additional bandwidth to manage customer growth. We have arrangements with network operators and cloud providers around the world from which we purchase bandwidth. These arrangements are typically one-year renewable agreements with monthly payments due at a fixed unit price based on periodically sampled peak bandwidth usage, and a smaller number of the agreements contain minimum usage commitments or maximum limits on available bandwidth, or both. Historically, a majority of our cost of revenue has been bandwidth, co-location space and cost of our customer solutions and services teams. We seek to optimize our network coverage and connectivity through continuous improvements in routing and sourcing. In the past, as usage volume has increased, we have been able to achieve lower pricing for bandwidth and co-location services. Additionally, as our customer base has diversified, we have improved bandwidth and server utilization as peak usage of customers usually occur at different times. To date, we have chosen to pass on the cost savings from lower pricing and higher utilization to our customers in the form of lower prices to drive increased usage of our platform while maintaining gross margin. We intend to continue this pricing strategy in the near term. This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87</w:t>
      </w:r>
    </w:p>
    <w:p>
      <w:pPr>
        <w:sectPr>
          <w:pgSz w:w="11900" w:h="16838" w:orient="portrait"/>
          <w:cols w:equalWidth="0" w:num="1">
            <w:col w:w="11240"/>
          </w:cols>
          <w:pgMar w:left="320" w:top="341" w:right="339" w:bottom="1440" w:gutter="0" w:footer="0" w:header="0"/>
        </w:sectPr>
      </w:pPr>
    </w:p>
    <w:bookmarkStart w:id="92" w:name="page93"/>
    <w:bookmarkEnd w:id="92"/>
    <w:p>
      <w:pPr>
        <w:jc w:val="both"/>
        <w:spacing w:after="0" w:line="277" w:lineRule="auto"/>
        <w:rPr>
          <w:sz w:val="20"/>
          <w:szCs w:val="20"/>
          <w:color w:val="auto"/>
        </w:rPr>
      </w:pPr>
      <w:r>
        <w:rPr>
          <w:rFonts w:ascii="Arial" w:cs="Arial" w:eastAsia="Arial" w:hAnsi="Arial"/>
          <w:sz w:val="18"/>
          <w:szCs w:val="18"/>
          <w:color w:val="003082"/>
        </w:rPr>
        <w:t>strategy may not result in increased revenue or the growth of our business and may delay or otherwise impair our ability to achieve profitability. Over the longer term, we may leverage these costs savings to expand gross margin.</w:t>
      </w:r>
    </w:p>
    <w:p>
      <w:pPr>
        <w:spacing w:after="0" w:line="11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Our business has experienced rapid growth and is capital efficient. From our inception in 2013 through March 31, 2020, we have raised US$170.4 million of equity capital, net of share and option repurchases, and we had US$151.7 million in cash and cash equivalents as of March 31, 2020. For the three months ended March 31, 2019 and 2020, our total revenue was US$13.4 million and US$35.6 million, respectively, an increase of 165.7%. For the three months ended March 31, 2019 and 2020, our net income (loss) was US$(0.7) million and US$3.0 million, respectively, and our Adjusted EBITDA was US$0.7 million and US$5.5 million, respectively. For 2018 and 2019, our total revenue was US$43.7 million and US $64.4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 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Impact of COVID-19</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On January 30, 2020, the International Health Regulations Emergency Committee of the World Health Organization declared the COVID-19 outbreak a public health emergency of international concern, and on March 11, 2020 the World Health Organization declared the global COVID-19 outbreak a pandemic. The COVID-19 virus continues to impact countries worldwide, including where our end users and customers are located and Shanghai, China and Santa Clara, California where we have business operations. During the COVID-19 pandemic, government authorities around the world have ordered schools and businesses to close, imposed restrictions on non-essential activities and required people to remain at home while imposing significant restrictions on traveling and social gatherings.</w:t>
      </w:r>
    </w:p>
    <w:p>
      <w:pPr>
        <w:spacing w:after="0" w:line="13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While the long-term impact of the COVID-19 outbreak is uncertain, during the first quarter of 2020 we experienced significant usage and revenue growth, as people spent more time learning, gaming and otherwise interacting online due to work, school, travel and other restrictions. This dynamic was particularly pronounced in China, our largest market and one that was impacted by government-imposed restrictions designed to slow the outbreak for a significant portion of the quarter. In the second quarter of 2020, we have continued to observe higher usage than the same period in the prior year; however, the pace of usage growth has moderated sequentially, as restrictions in China have been eased. We also observed increases in numbers of developers and active applications. While we may continue to observe increases in usage and developer adoption of our products to meet end-user demand for RTE, we do not anticipate that we will experience the same level of revenue growth we did in the first quarter of 2020.</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During the first quarter of 2020, we benefited from increase in the number of minutes our video products were used, as well as a trend of shifting towards higher resolution video products. On the other hand, the increased online activity generated higher demand for bandwidth and servers in general, which led to increases in their prices, which offset the mix shift towards higher priced products and resulted in relatively flat gross margin. Although we were able to scale our network infrastructure despite the COVID-19 related headwinds, failure to contain the further spread, or any resurgence, of COVID-19 may affect our ability to cost-effectively maintain and expand our network infrastructure, which could severely disrupt our business and operations and adversely affect our operating results and financial condition.</w:t>
      </w:r>
    </w:p>
    <w:p>
      <w:pPr>
        <w:spacing w:after="0" w:line="13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Stay-at-home restrictions were imposed on our Shanghai headquarters beginning in February 2020 (which have subsequently been removed) and Santa Clara, California headquarters beginning in March 2020 (which remain in place). Even prior to the imposition of such restrictions, we conducted significant portion of our sales and customer support activities remotely, although certain marketing activities that have historically occurred offline, such as our AllThingsRTC Conference in the United States, have been canceled, postponed or moved online. In addition, our research and development personnel remained productive despite requirements to work from home. While COVID-19 has not materially adversely impacted our operations through the date of this prospectus, the impact of COVID-19 on our ability to attract, serve, retain or upsell customers is inherently uncertain and depends on the duration, severity or potential resurgence of the outbreak and its impact on end users, customers and the macroeconomic environment as a whole. Existing and potential customers may choose to reduce or delay technology investments in response to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88</w:t>
      </w:r>
    </w:p>
    <w:p>
      <w:pPr>
        <w:sectPr>
          <w:pgSz w:w="11900" w:h="16838" w:orient="portrait"/>
          <w:cols w:equalWidth="0" w:num="1">
            <w:col w:w="11240"/>
          </w:cols>
          <w:pgMar w:left="320" w:top="341" w:right="339" w:bottom="1440" w:gutter="0" w:footer="0" w:header="0"/>
        </w:sectPr>
      </w:pPr>
    </w:p>
    <w:bookmarkStart w:id="93" w:name="page94"/>
    <w:bookmarkEnd w:id="93"/>
    <w:p>
      <w:pPr>
        <w:jc w:val="both"/>
        <w:ind w:right="20"/>
        <w:spacing w:after="0" w:line="277" w:lineRule="auto"/>
        <w:rPr>
          <w:sz w:val="20"/>
          <w:szCs w:val="20"/>
          <w:color w:val="auto"/>
        </w:rPr>
      </w:pPr>
      <w:r>
        <w:rPr>
          <w:rFonts w:ascii="Arial" w:cs="Arial" w:eastAsia="Arial" w:hAnsi="Arial"/>
          <w:sz w:val="18"/>
          <w:szCs w:val="18"/>
          <w:color w:val="003082"/>
        </w:rPr>
        <w:t>COVID-19 pandemic, or attempt to renegotiate contracts and obtain concessions, which may materially and negatively impact our operating results, financial condition and prospects.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We believe the COVID-19 pandemic will accelerate end users’ shift towards RTE applications. To capture the market opportunity, we intend to continue to invest in the development of market-leading products, maintaining and expanding our grassroots developer outreach and targeted sales efforts to larger organizations, customer support, our platform and international expansion. However, there continues to be significant uncertainties associated with the COVID-19 pandemic, including with respect to the ultimate spread of the virus, the severity of the disease, the duration of the pandemic and further actions that may be taken by governmental authorities around the world to contain the virus or to treat its impact, and these investments may not generate the expected results.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Key Operating and Financial Metrics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2140" w:type="dxa"/>
            <w:vAlign w:val="bottom"/>
            <w:tcBorders>
              <w:bottom w:val="single" w:sz="8" w:color="3D5588"/>
            </w:tcBorders>
            <w:gridSpan w:val="3"/>
          </w:tcPr>
          <w:p>
            <w:pPr>
              <w:jc w:val="right"/>
              <w:ind w:right="180"/>
              <w:spacing w:after="0"/>
              <w:rPr>
                <w:sz w:val="20"/>
                <w:szCs w:val="20"/>
                <w:color w:val="auto"/>
              </w:rPr>
            </w:pPr>
            <w:r>
              <w:rPr>
                <w:rFonts w:ascii="Arial" w:cs="Arial" w:eastAsia="Arial" w:hAnsi="Arial"/>
                <w:sz w:val="14"/>
                <w:szCs w:val="14"/>
                <w:b w:val="1"/>
                <w:bCs w:val="1"/>
                <w:color w:val="003082"/>
              </w:rPr>
              <w:t>Year Ended December 31,</w:t>
            </w:r>
          </w:p>
        </w:tc>
        <w:tc>
          <w:tcPr>
            <w:tcW w:w="5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537"/>
              <w:spacing w:after="0"/>
              <w:rPr>
                <w:sz w:val="20"/>
                <w:szCs w:val="20"/>
                <w:color w:val="auto"/>
              </w:rPr>
            </w:pPr>
            <w:r>
              <w:rPr>
                <w:rFonts w:ascii="Arial" w:cs="Arial" w:eastAsia="Arial" w:hAnsi="Arial"/>
                <w:sz w:val="14"/>
                <w:szCs w:val="14"/>
                <w:b w:val="1"/>
                <w:bCs w:val="1"/>
                <w:color w:val="003082"/>
              </w:rPr>
              <w:t>2018</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3082"/>
              </w:rPr>
              <w:t>2019</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Dollar-Based Net Expansion Rate</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3D5588"/>
              <w:bottom w:val="single" w:sz="8" w:color="CCEEFF"/>
            </w:tcBorders>
            <w:shd w:val="clear" w:color="auto" w:fill="CCEEFF"/>
          </w:tcPr>
          <w:p>
            <w:pPr>
              <w:spacing w:after="0"/>
              <w:rPr>
                <w:sz w:val="21"/>
                <w:szCs w:val="21"/>
                <w:color w:val="auto"/>
              </w:rPr>
            </w:pPr>
          </w:p>
        </w:tc>
        <w:tc>
          <w:tcPr>
            <w:tcW w:w="300" w:type="dxa"/>
            <w:vAlign w:val="bottom"/>
            <w:tcBorders>
              <w:top w:val="single" w:sz="8" w:color="3D5588"/>
              <w:bottom w:val="single" w:sz="8" w:color="CCEEFF"/>
            </w:tcBorders>
            <w:shd w:val="clear" w:color="auto" w:fill="CCEEFF"/>
          </w:tcPr>
          <w:p>
            <w:pPr>
              <w:spacing w:after="0"/>
              <w:rPr>
                <w:sz w:val="21"/>
                <w:szCs w:val="21"/>
                <w:color w:val="auto"/>
              </w:rPr>
            </w:pPr>
          </w:p>
        </w:tc>
        <w:tc>
          <w:tcPr>
            <w:tcW w:w="1100" w:type="dxa"/>
            <w:vAlign w:val="bottom"/>
            <w:tcBorders>
              <w:top w:val="single" w:sz="8" w:color="3D5588"/>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3D5588"/>
              <w:bottom w:val="single" w:sz="8" w:color="CCEEFF"/>
            </w:tcBorders>
            <w:shd w:val="clear" w:color="auto" w:fill="CCEEFF"/>
          </w:tcPr>
          <w:p>
            <w:pPr>
              <w:spacing w:after="0"/>
              <w:rPr>
                <w:sz w:val="21"/>
                <w:szCs w:val="21"/>
                <w:color w:val="auto"/>
              </w:rPr>
            </w:pPr>
          </w:p>
        </w:tc>
        <w:tc>
          <w:tcPr>
            <w:tcW w:w="580" w:type="dxa"/>
            <w:vAlign w:val="bottom"/>
            <w:tcBorders>
              <w:top w:val="single" w:sz="8" w:color="3D5588"/>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127%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Constant Currency Dollar-Based Net Expansion Rate</w:t>
            </w:r>
          </w:p>
        </w:tc>
        <w:tc>
          <w:tcPr>
            <w:tcW w:w="8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133%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3082"/>
              </w:rPr>
              <w:t>131%</w:t>
            </w:r>
          </w:p>
        </w:tc>
        <w:tc>
          <w:tcPr>
            <w:tcW w:w="0" w:type="dxa"/>
            <w:vAlign w:val="bottom"/>
          </w:tcPr>
          <w:p>
            <w:pPr>
              <w:spacing w:after="0"/>
              <w:rPr>
                <w:sz w:val="1"/>
                <w:szCs w:val="1"/>
                <w:color w:val="auto"/>
              </w:rPr>
            </w:pPr>
          </w:p>
        </w:tc>
      </w:tr>
      <w:tr>
        <w:trPr>
          <w:trHeight w:val="477"/>
        </w:trPr>
        <w:tc>
          <w:tcPr>
            <w:tcW w:w="5080" w:type="dxa"/>
            <w:vAlign w:val="bottom"/>
          </w:tcPr>
          <w:p>
            <w:pPr>
              <w:spacing w:after="0"/>
              <w:rPr>
                <w:sz w:val="24"/>
                <w:szCs w:val="24"/>
                <w:color w:val="auto"/>
              </w:rPr>
            </w:pPr>
          </w:p>
        </w:tc>
        <w:tc>
          <w:tcPr>
            <w:tcW w:w="3020" w:type="dxa"/>
            <w:vAlign w:val="bottom"/>
            <w:gridSpan w:val="4"/>
            <w:vMerge w:val="restart"/>
          </w:tcPr>
          <w:p>
            <w:pPr>
              <w:jc w:val="right"/>
              <w:ind w:right="75"/>
              <w:spacing w:after="0"/>
              <w:rPr>
                <w:sz w:val="20"/>
                <w:szCs w:val="20"/>
                <w:color w:val="auto"/>
              </w:rPr>
            </w:pPr>
            <w:r>
              <w:rPr>
                <w:rFonts w:ascii="Arial" w:cs="Arial" w:eastAsia="Arial" w:hAnsi="Arial"/>
                <w:sz w:val="14"/>
                <w:szCs w:val="14"/>
                <w:b w:val="1"/>
                <w:bCs w:val="1"/>
                <w:color w:val="003082"/>
                <w:w w:val="98"/>
              </w:rPr>
              <w:t>As of and for the Year Ended December 31,</w:t>
            </w:r>
          </w:p>
        </w:tc>
        <w:tc>
          <w:tcPr>
            <w:tcW w:w="120" w:type="dxa"/>
            <w:vAlign w:val="bottom"/>
          </w:tcPr>
          <w:p>
            <w:pPr>
              <w:spacing w:after="0"/>
              <w:rPr>
                <w:sz w:val="24"/>
                <w:szCs w:val="24"/>
                <w:color w:val="auto"/>
              </w:rPr>
            </w:pPr>
          </w:p>
        </w:tc>
        <w:tc>
          <w:tcPr>
            <w:tcW w:w="3020" w:type="dxa"/>
            <w:vAlign w:val="bottom"/>
            <w:gridSpan w:val="5"/>
          </w:tcPr>
          <w:p>
            <w:pPr>
              <w:jc w:val="right"/>
              <w:spacing w:after="0"/>
              <w:rPr>
                <w:sz w:val="20"/>
                <w:szCs w:val="20"/>
                <w:color w:val="auto"/>
              </w:rPr>
            </w:pPr>
            <w:r>
              <w:rPr>
                <w:rFonts w:ascii="Arial" w:cs="Arial" w:eastAsia="Arial" w:hAnsi="Arial"/>
                <w:sz w:val="14"/>
                <w:szCs w:val="14"/>
                <w:b w:val="1"/>
                <w:bCs w:val="1"/>
                <w:color w:val="003082"/>
                <w:w w:val="97"/>
              </w:rPr>
              <w:t>As of and for the Three Months Ended March</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020" w:type="dxa"/>
            <w:vAlign w:val="bottom"/>
            <w:tcBorders>
              <w:bottom w:val="single" w:sz="8" w:color="3D5588"/>
            </w:tcBorders>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spacing w:after="0"/>
              <w:rPr>
                <w:sz w:val="16"/>
                <w:szCs w:val="16"/>
                <w:color w:val="auto"/>
              </w:rPr>
            </w:pPr>
          </w:p>
        </w:tc>
        <w:tc>
          <w:tcPr>
            <w:tcW w:w="1040" w:type="dxa"/>
            <w:vAlign w:val="bottom"/>
            <w:tcBorders>
              <w:bottom w:val="single" w:sz="8" w:color="3D5588"/>
            </w:tcBorders>
            <w:gridSpan w:val="2"/>
          </w:tcPr>
          <w:p>
            <w:pPr>
              <w:jc w:val="right"/>
              <w:ind w:right="820"/>
              <w:spacing w:after="0"/>
              <w:rPr>
                <w:sz w:val="20"/>
                <w:szCs w:val="20"/>
                <w:color w:val="auto"/>
              </w:rPr>
            </w:pPr>
            <w:r>
              <w:rPr>
                <w:rFonts w:ascii="Arial" w:cs="Arial" w:eastAsia="Arial" w:hAnsi="Arial"/>
                <w:sz w:val="14"/>
                <w:szCs w:val="14"/>
                <w:b w:val="1"/>
                <w:bCs w:val="1"/>
                <w:color w:val="003082"/>
              </w:rPr>
              <w:t>31,</w:t>
            </w:r>
          </w:p>
        </w:tc>
        <w:tc>
          <w:tcPr>
            <w:tcW w:w="5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88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2018</w:t>
            </w:r>
          </w:p>
        </w:tc>
        <w:tc>
          <w:tcPr>
            <w:tcW w:w="620" w:type="dxa"/>
            <w:vAlign w:val="bottom"/>
            <w:tcBorders>
              <w:bottom w:val="single" w:sz="8" w:color="3D5588"/>
            </w:tcBorders>
          </w:tcPr>
          <w:p>
            <w:pPr>
              <w:spacing w:after="0"/>
              <w:rPr>
                <w:sz w:val="22"/>
                <w:szCs w:val="22"/>
                <w:color w:val="auto"/>
              </w:rPr>
            </w:pPr>
          </w:p>
        </w:tc>
        <w:tc>
          <w:tcPr>
            <w:tcW w:w="1520" w:type="dxa"/>
            <w:vAlign w:val="bottom"/>
            <w:tcBorders>
              <w:bottom w:val="single" w:sz="8" w:color="3D5588"/>
            </w:tcBorders>
            <w:gridSpan w:val="2"/>
          </w:tcPr>
          <w:p>
            <w:pPr>
              <w:jc w:val="right"/>
              <w:ind w:right="495"/>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00" w:type="dxa"/>
            <w:vAlign w:val="bottom"/>
            <w:tcBorders>
              <w:bottom w:val="single" w:sz="8" w:color="3D5588"/>
            </w:tcBorders>
          </w:tcPr>
          <w:p>
            <w:pPr>
              <w:spacing w:after="0"/>
              <w:rPr>
                <w:sz w:val="22"/>
                <w:szCs w:val="22"/>
                <w:color w:val="auto"/>
              </w:rPr>
            </w:pPr>
          </w:p>
        </w:tc>
        <w:tc>
          <w:tcPr>
            <w:tcW w:w="1100" w:type="dxa"/>
            <w:vAlign w:val="bottom"/>
            <w:tcBorders>
              <w:bottom w:val="single" w:sz="8" w:color="3D5588"/>
            </w:tcBorders>
          </w:tcPr>
          <w:p>
            <w:pPr>
              <w:jc w:val="right"/>
              <w:ind w:right="457"/>
              <w:spacing w:after="0"/>
              <w:rPr>
                <w:sz w:val="20"/>
                <w:szCs w:val="20"/>
                <w:color w:val="auto"/>
              </w:rPr>
            </w:pPr>
            <w:r>
              <w:rPr>
                <w:rFonts w:ascii="Arial" w:cs="Arial" w:eastAsia="Arial" w:hAnsi="Arial"/>
                <w:sz w:val="14"/>
                <w:szCs w:val="14"/>
                <w:b w:val="1"/>
                <w:bCs w:val="1"/>
                <w:color w:val="003082"/>
              </w:rPr>
              <w:t>2019</w:t>
            </w:r>
          </w:p>
        </w:tc>
        <w:tc>
          <w:tcPr>
            <w:tcW w:w="1040" w:type="dxa"/>
            <w:vAlign w:val="bottom"/>
            <w:tcBorders>
              <w:bottom w:val="single" w:sz="8" w:color="3D5588"/>
            </w:tcBorders>
            <w:gridSpan w:val="2"/>
          </w:tcPr>
          <w:p>
            <w:pPr>
              <w:jc w:val="right"/>
              <w:spacing w:after="0"/>
              <w:rPr>
                <w:sz w:val="20"/>
                <w:szCs w:val="20"/>
                <w:color w:val="auto"/>
              </w:rPr>
            </w:pPr>
            <w:r>
              <w:rPr>
                <w:rFonts w:ascii="Arial" w:cs="Arial" w:eastAsia="Arial" w:hAnsi="Arial"/>
                <w:sz w:val="14"/>
                <w:szCs w:val="14"/>
                <w:b w:val="1"/>
                <w:bCs w:val="1"/>
                <w:color w:val="003082"/>
              </w:rPr>
              <w:t>2020</w:t>
            </w:r>
          </w:p>
        </w:tc>
        <w:tc>
          <w:tcPr>
            <w:tcW w:w="580" w:type="dxa"/>
            <w:vAlign w:val="bottom"/>
            <w:tcBorders>
              <w:bottom w:val="single" w:sz="8" w:color="3D5588"/>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3082"/>
              </w:rPr>
              <w:t>(US$</w:t>
            </w:r>
          </w:p>
        </w:tc>
        <w:tc>
          <w:tcPr>
            <w:tcW w:w="2160" w:type="dxa"/>
            <w:vAlign w:val="bottom"/>
            <w:gridSpan w:val="4"/>
          </w:tcPr>
          <w:p>
            <w:pPr>
              <w:jc w:val="right"/>
              <w:ind w:right="337"/>
              <w:spacing w:after="0"/>
              <w:rPr>
                <w:sz w:val="20"/>
                <w:szCs w:val="20"/>
                <w:color w:val="auto"/>
              </w:rPr>
            </w:pPr>
            <w:r>
              <w:rPr>
                <w:rFonts w:ascii="Arial" w:cs="Arial" w:eastAsia="Arial" w:hAnsi="Arial"/>
                <w:sz w:val="14"/>
                <w:szCs w:val="14"/>
                <w:b w:val="1"/>
                <w:bCs w:val="1"/>
                <w:color w:val="003082"/>
                <w:w w:val="89"/>
              </w:rPr>
              <w:t>in thousands, except values)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5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Active customers</w:t>
            </w:r>
          </w:p>
        </w:tc>
        <w:tc>
          <w:tcPr>
            <w:tcW w:w="8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3082"/>
              </w:rPr>
              <w:t>586</w:t>
            </w:r>
          </w:p>
        </w:tc>
        <w:tc>
          <w:tcPr>
            <w:tcW w:w="8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1,176</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Adjusted EBITDA</w:t>
            </w:r>
          </w:p>
        </w:tc>
        <w:tc>
          <w:tcPr>
            <w:tcW w:w="880" w:type="dxa"/>
            <w:vAlign w:val="bottom"/>
          </w:tcPr>
          <w:p>
            <w:pPr>
              <w:jc w:val="right"/>
              <w:ind w:right="699"/>
              <w:spacing w:after="0"/>
              <w:rPr>
                <w:sz w:val="20"/>
                <w:szCs w:val="20"/>
                <w:color w:val="auto"/>
              </w:rPr>
            </w:pPr>
            <w:r>
              <w:rPr>
                <w:rFonts w:ascii="Arial" w:cs="Arial" w:eastAsia="Arial" w:hAnsi="Arial"/>
                <w:sz w:val="18"/>
                <w:szCs w:val="18"/>
                <w:color w:val="003082"/>
                <w:w w:val="79"/>
              </w:rPr>
              <w:t>$</w:t>
            </w:r>
          </w:p>
        </w:tc>
        <w:tc>
          <w:tcPr>
            <w:tcW w:w="620" w:type="dxa"/>
            <w:vAlign w:val="bottom"/>
          </w:tcPr>
          <w:p>
            <w:pPr>
              <w:jc w:val="right"/>
              <w:ind w:right="50"/>
              <w:spacing w:after="0"/>
              <w:rPr>
                <w:sz w:val="20"/>
                <w:szCs w:val="20"/>
                <w:color w:val="auto"/>
              </w:rPr>
            </w:pPr>
            <w:r>
              <w:rPr>
                <w:rFonts w:ascii="Arial" w:cs="Arial" w:eastAsia="Arial" w:hAnsi="Arial"/>
                <w:sz w:val="18"/>
                <w:szCs w:val="18"/>
                <w:color w:val="003082"/>
              </w:rPr>
              <w:t>4,035</w:t>
            </w:r>
          </w:p>
        </w:tc>
        <w:tc>
          <w:tcPr>
            <w:tcW w:w="880" w:type="dxa"/>
            <w:vAlign w:val="bottom"/>
          </w:tcPr>
          <w:p>
            <w:pPr>
              <w:jc w:val="right"/>
              <w:ind w:right="619"/>
              <w:spacing w:after="0"/>
              <w:rPr>
                <w:sz w:val="20"/>
                <w:szCs w:val="20"/>
                <w:color w:val="auto"/>
              </w:rPr>
            </w:pPr>
            <w:r>
              <w:rPr>
                <w:rFonts w:ascii="Arial" w:cs="Arial" w:eastAsia="Arial" w:hAnsi="Arial"/>
                <w:sz w:val="18"/>
                <w:szCs w:val="18"/>
                <w:color w:val="003082"/>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003082"/>
              </w:rPr>
              <w:t>31</w:t>
            </w: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003082"/>
              </w:rPr>
              <w:t>$</w:t>
            </w:r>
          </w:p>
        </w:tc>
        <w:tc>
          <w:tcPr>
            <w:tcW w:w="1100" w:type="dxa"/>
            <w:vAlign w:val="bottom"/>
          </w:tcPr>
          <w:p>
            <w:pPr>
              <w:jc w:val="right"/>
              <w:spacing w:after="0"/>
              <w:rPr>
                <w:sz w:val="20"/>
                <w:szCs w:val="20"/>
                <w:color w:val="auto"/>
              </w:rPr>
            </w:pPr>
            <w:r>
              <w:rPr>
                <w:rFonts w:ascii="Arial" w:cs="Arial" w:eastAsia="Arial" w:hAnsi="Arial"/>
                <w:sz w:val="18"/>
                <w:szCs w:val="18"/>
                <w:color w:val="003082"/>
              </w:rPr>
              <w:t>720</w:t>
            </w:r>
          </w:p>
        </w:tc>
        <w:tc>
          <w:tcPr>
            <w:tcW w:w="1040" w:type="dxa"/>
            <w:vAlign w:val="bottom"/>
            <w:gridSpan w:val="2"/>
          </w:tcPr>
          <w:p>
            <w:pPr>
              <w:jc w:val="right"/>
              <w:ind w:right="760"/>
              <w:spacing w:after="0"/>
              <w:rPr>
                <w:sz w:val="20"/>
                <w:szCs w:val="20"/>
                <w:color w:val="auto"/>
              </w:rPr>
            </w:pPr>
            <w:r>
              <w:rPr>
                <w:rFonts w:ascii="Arial" w:cs="Arial" w:eastAsia="Arial" w:hAnsi="Arial"/>
                <w:sz w:val="18"/>
                <w:szCs w:val="18"/>
                <w:color w:val="003082"/>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003082"/>
              </w:rPr>
              <w:t>5,458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Free cash flow</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003082"/>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003082"/>
                <w:w w:val="91"/>
              </w:rPr>
              <w:t>(1,725)</w:t>
            </w:r>
          </w:p>
        </w:tc>
        <w:tc>
          <w:tcPr>
            <w:tcW w:w="88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0030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(4,096)</w:t>
            </w:r>
          </w:p>
        </w:tc>
        <w:tc>
          <w:tcPr>
            <w:tcW w:w="4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0030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2,855</w:t>
            </w:r>
          </w:p>
        </w:tc>
        <w:tc>
          <w:tcPr>
            <w:tcW w:w="10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0030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3082"/>
                <w:w w:val="91"/>
              </w:rPr>
              <w:t>(3,416)</w:t>
            </w:r>
          </w:p>
        </w:tc>
        <w:tc>
          <w:tcPr>
            <w:tcW w:w="0" w:type="dxa"/>
            <w:vAlign w:val="bottom"/>
          </w:tcPr>
          <w:p>
            <w:pPr>
              <w:spacing w:after="0"/>
              <w:rPr>
                <w:sz w:val="1"/>
                <w:szCs w:val="1"/>
                <w:color w:val="auto"/>
              </w:rPr>
            </w:pPr>
          </w:p>
        </w:tc>
      </w:tr>
      <w:tr>
        <w:trPr>
          <w:trHeight w:val="27"/>
        </w:trPr>
        <w:tc>
          <w:tcPr>
            <w:tcW w:w="50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Dollar-Based Net Expansion Rate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ability to drive growth and generate incremental revenue depends, in part, on our ability to maintain and grow our relationships with customers and to increase their usage of our platform. An important way in which we track our performance in this area is by measuring the Dollar-Based Net Expansion Rate for our customers. Our Dollar-Based Net Expansion Rate increases when our customers increase usage of a product, extend usage of a product to new applications or adopt a new product. Our Dollar-Based Net Expansion Rate decreases when our customers cease or reduce usage of a product or when we lower prices.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Dollar-Based Net Expansion Rate measures our ability to increase revenue generated from our existing customer base. To calculate Dollar-Based Net Expansion Rate for a given year, we first identify all customers in the prior year, then calculate the quotient from dividing the revenue generated from such customers in the given year by the revenue generated from the same group of customers in the prior year.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calculate our Dollar-Based Net Expansion Rate on a year-over-year basis because our revenue is subject to fluctuations from quarter to quarter, such as in the first quarter of 2020 when we experienced a spike in the usage of our products as a result of demand for online real-time engagement spurred by the COVID-19 pandemic.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Constant Currency Dollar-Based Net Expansion Rate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generate the majority of our revenue in Renminbi and for financial-reporting purposes translate our Renminbi and other non U.S.-dollar denominated revenue into U.S. dollars at average exchange rates prevailing during the fiscal year. As a result, as the Renminbi depreciates or appreciates against the U.S. dollar, our revenue presented in U.S. dollars, as well as our Dollar-Based Net Expansion Rate, will be negatively or positively affected. See the section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89</w:t>
      </w:r>
    </w:p>
    <w:p>
      <w:pPr>
        <w:sectPr>
          <w:pgSz w:w="11900" w:h="16838" w:orient="portrait"/>
          <w:cols w:equalWidth="0" w:num="1">
            <w:col w:w="11240"/>
          </w:cols>
          <w:pgMar w:left="320" w:top="341" w:right="339" w:bottom="1440" w:gutter="0" w:footer="0" w:header="0"/>
        </w:sectPr>
      </w:pPr>
    </w:p>
    <w:bookmarkStart w:id="94" w:name="page95"/>
    <w:bookmarkEnd w:id="94"/>
    <w:p>
      <w:pPr>
        <w:jc w:val="both"/>
        <w:spacing w:after="0" w:line="257" w:lineRule="auto"/>
        <w:rPr>
          <w:sz w:val="20"/>
          <w:szCs w:val="20"/>
          <w:color w:val="auto"/>
        </w:rPr>
      </w:pPr>
      <w:r>
        <w:rPr>
          <w:rFonts w:ascii="Arial" w:cs="Arial" w:eastAsia="Arial" w:hAnsi="Arial"/>
          <w:sz w:val="18"/>
          <w:szCs w:val="18"/>
          <w:color w:val="003082"/>
        </w:rPr>
        <w:t>this prospectus captioned “—Factors Affecting Our Performance—Effect of Currency Translations” for additional information. Constant Currency Dollar-Based Net Expansion Rate is calculated the same way as our Dollar-Based Net Expansion Rate but using fixed exchange rates based on the daily average exchange rates prevailing during the prior year to remove the impact of foreign currency translations. We believe Constant Currency Dollar-Based Net Expansion Rate facilitates operating performance comparisons on a period-to-period basis as we do not consider the impact of foreign currency fluctuations to be indicative of our core operating performance.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Active Customers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We believe that our ability to expand our customer base is an important indicator of market acceptance of our platform, the growth of our business, and future business opportunities. 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 In each of the periods presented, revenue from active customers represented substantially all of our revenue.</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Adjusted EBITDA is a non-GAAP financial measure that we calculate as net income (loss) before exchange gain (loss), interest income, income taxes, depreciation and amortization, and adjusted to exclude the effects of share-based compensation expense. Adjusted EBITDA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Adjusted EBITDA is not a measure calculated in accordance with GAAP.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Free Cash Flow</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Free cash flow is a non-GAAP financial measure that we calculate as net cash generated from (used in) operating activities less purchases of property and equipment. We believe this is a useful indicator of liquidity that provides information to management and investors about the amount of cash generated from our core operations that, after the purchases of property and equipment, can be used for strategic initiatives, including investing in our business and strengthening our balance sheet. We expect our free cash flow to fluctuate in future periods as we invest in our business to support our plans for growth. Free cash flow is not a measure calculated in accordance with GAAP. See the section of this prospectus captioned “Prospectus Summary—Summary Consolidated Financial and Operating Data—Key Operating and Financial Metrics” for a discussion of the limitations of free cash flow and a reconciliation of free cash flow to as net cash generated from (used in) operating activities, the most comparable GAAP measurement,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Factors Affecting Our Performance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Product and Market Leadership</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We are committed to delivering market-leading products to continue to build and maintain credibility with the global software developer community. We believe we must maintain our technology, product and market leadership position and the strength of our brand to drive further revenue growth. We intend to continue to invest in our engineering capabilities and marketing activities to maintain our strong position in the developer community. Our results of operations may reflect sustained high levels of investments to drive increased customer adoption and usage.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Acquiring New Customers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We are focused on continuing to grow the number of customers that use our platform. Our operating results and growth prospects will depend in part on our ability to attract new developers and convert them into active customers.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90</w:t>
      </w:r>
    </w:p>
    <w:p>
      <w:pPr>
        <w:sectPr>
          <w:pgSz w:w="11900" w:h="16838" w:orient="portrait"/>
          <w:cols w:equalWidth="0" w:num="1">
            <w:col w:w="11240"/>
          </w:cols>
          <w:pgMar w:left="320" w:top="341" w:right="339" w:bottom="1440" w:gutter="0" w:footer="0" w:header="0"/>
        </w:sectPr>
      </w:pPr>
    </w:p>
    <w:bookmarkStart w:id="95" w:name="page96"/>
    <w:bookmarkEnd w:id="95"/>
    <w:p>
      <w:pPr>
        <w:jc w:val="both"/>
        <w:spacing w:after="0" w:line="311" w:lineRule="auto"/>
        <w:rPr>
          <w:sz w:val="20"/>
          <w:szCs w:val="20"/>
          <w:color w:val="auto"/>
        </w:rPr>
      </w:pPr>
      <w:r>
        <w:rPr>
          <w:rFonts w:ascii="Arial" w:cs="Arial" w:eastAsia="Arial" w:hAnsi="Arial"/>
          <w:sz w:val="16"/>
          <w:szCs w:val="16"/>
          <w:color w:val="003082"/>
        </w:rPr>
        <w:t>Our self-service model allows us to more efficiently leverage our investments in sales and marketing activities. In order to maintain our efficient customer acquisition, we must maintain and expand our grassroots developer outreach and targeted sales efforts to larger organizations that could potentially benefit from our products, both of which will require significant investments in advance of realizing revenue growth resulting from such investments.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Expanding Usage of Existing Customers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We believe that there is a significant opportunity for growth with many of our existing customers. Many customers adopt our products through self-managed deployments and often materially expand their usage over time. In order for us to continue to expand usage within our customer base we will need to maintain engineering-level customer support and continue to introduce new products and features as well as innovative new use cases that are tailored to our customers’ needs. Given our usage-based model, we depend on the success of our customers and their applications.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We quantify our expansion across existing customers through our Constant Currency Dollar-Based Net Expansion Rate. Our Constant Currency Dollar-Based Net Expansion Rate reflects adoption and usage within our customers, as our revenue is primarily driven by the customers’ usage of our video and voice products, while removing the impact of currency translations which we do not believe reflect our core operating performance. Constant Currency Dollar-Based Net Expansion Rate may fluctuate as a result of several factors, including the level of penetration within our customer base, expansion of products and features, the mix of use cases and products adopted by customers, fluctuations in the usage of our customers’ applications by their end users and our ability to retain our customers.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Innovation and Enhancement of Our Platform</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We continue to invest resources to enhance the capabilities of our platform and release product updates. For example, in 2019 we introduced our Real-Time Recording, Real-Time Messaging and Real-Time Streaming Acceleration products. In 2019, we also announced the Agora Partner Gallery, our marketplace for third-party solutions and services, to provide our customers with incremental functionalities. We believe that the more developers and other third parties use our platform and integrate it with third-party applications, the more we become the ubiquitous platform for real-time engagement. We will need to expend additional resources to continue introducing new products, features and functionality, and to continue supporting the integration efforts of third parties that enhance the value of our platform.</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International Growth</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Our products serve end users in over 100 countries. A majority of our revenue was generated from customers operating primarily in the PRC in each of the periods presented. Although we believe that adoption of real-time engagement solutions in China is still in the early stages, it is further advanced there than in other countries, especially for consumer-oriented applications. Currently, we maintain dual headquarters in the PRC and the United States as well as a small presence in other countries. We expect to continue to expand our international go-to-market efforts in the future. The expansion of the reach of our platform and our global sales efforts will add increased complexity and cost to our business.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Effect of Currency Translations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As a result of our international operations, primarily in the PRC and the United States, we are exposed to currency translation impacts. Our reporting and functional currency is the U.S. dollar. The functional currency of our WFOE and VIE in the PRC, which generate the majority of our revenue, is the Renminbi. The financial statements of our entities using functional currencies other than the U.S. dollar are translated to the U.S. dollar. Revenue and expense items are translated at average exchange rates prevailing during the fiscal year. As a result, as the Renminbi depreciates or appreciates against the U.S. dollar, our revenue presented in U.S. dollars, as well as our Dollar-Based Net Expansion Rate, will be negatively or positively affected. Constant Currency Dollar-Based Net Expansion Rate is calculated using fixed exchange rates to remove the impact of foreign currency translations.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91</w:t>
      </w:r>
    </w:p>
    <w:p>
      <w:pPr>
        <w:sectPr>
          <w:pgSz w:w="11900" w:h="16838" w:orient="portrait"/>
          <w:cols w:equalWidth="0" w:num="1">
            <w:col w:w="11240"/>
          </w:cols>
          <w:pgMar w:left="320" w:top="3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003082"/>
        </w:rPr>
        <w:t>Components of Our Results of Operations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Revenue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We derive substantially all of our revenue from usage-based fees earned from customers using video, voice, and other products. A majority of the minutes used by our customers are for voice products, but we generate a majority of our revenue from usage of video products, which we sell for a higher price given the higher bandwidth cost and technical sophistication required. Our product mix is impacted by the relative contribution of various use cases. In 2018, 2019 and the three months ended March 31, 2020, we have seen increasing revenue contribution from our video products, mainly driven by the emergence of education use cases, where the majority of usage is video and in certain cases high definition video, for which we charge a higher price. We expect that product and use case mix and their impact on revenue will vary from period to period.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Generally, customers enter into 12-month contracts and are invoiced monthly in arrears based on usage. Historically, we have not experienced any significant recoverability issues with respect to our accounts receivable. We offer tiered, volume-based discounts to our largest customers, in some cases in return for some level of minimum revenue commitment.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Cost of Revenue and Gross Margin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Cost of revenue consists primarily of costs of bandwidth purchased from network operators and cloud providers, data center co-location costs, depreciation of servers and network equipment and personnel costs for customer solutions and services employees.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Gross profit is equal to our total revenues less cost of revenues. Gross profit as a percentage of our total revenues is referred to as gross margin. Our gross margin has been and will continue to be affected by a number of factors, including the timing and extent of our investments in our operations, our ability to manage our bandwidth, co-location and server costs, the mix of video and voice usage and the extent to which we periodically choose to pass on the cost savings from lower pricing and higher utilization to our customers in the form of lower prices as well as our efforts to drive greater usage of our products through attractive pricing.</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Operating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most significant components of operating expenses are personnel costs, which consist of salaries, benefits, bonuses, and share-based compensation. We also incur other non-personnel costs related to our general overhead expenses.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Research and Development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Research and development expenses consist primarily of personnel costs for research and development personnel, cloud infrastructure fees for staging and development, third-party software testing services, and an allocation of general overhead expenses. Because the amount of research and development expenses qualifying for capitalization has been immaterial, all development costs have been expensed as incurred.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We believe that continued investment in our products is important for our future growth, and we expect to continue to focus our research and development efforts on improving the quality of the end-user experience, adding new features and functionalities to our products and introducing new products. We expect our research and development expenses to continue to increase in absolute dollars for the foreseeable future. Although these expenses may fluctuate as a percentage of total revenue from period to period, over the longer term, we expect research and development expenses to decline as a percentage of revenue as we scale our business.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Sales and marketing expenses consist primarily of advertising-related expenditures, marketing costs related to our developer conferences and event, personnel costs of our sales and marketing team and an allocation of our general overhead expenses.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92</w:t>
      </w:r>
    </w:p>
    <w:p>
      <w:pPr>
        <w:sectPr>
          <w:pgSz w:w="11900" w:h="16838" w:orient="portrait"/>
          <w:cols w:equalWidth="0" w:num="1">
            <w:col w:w="11240"/>
          </w:cols>
          <w:pgMar w:left="320" w:top="445" w:right="339" w:bottom="1440" w:gutter="0" w:footer="0" w:header="0"/>
        </w:sectPr>
      </w:pPr>
    </w:p>
    <w:bookmarkStart w:id="97" w:name="page98"/>
    <w:bookmarkEnd w:id="97"/>
    <w:p>
      <w:pPr>
        <w:jc w:val="both"/>
        <w:ind w:firstLine="324"/>
        <w:spacing w:after="0" w:line="293" w:lineRule="auto"/>
        <w:rPr>
          <w:sz w:val="20"/>
          <w:szCs w:val="20"/>
          <w:color w:val="auto"/>
        </w:rPr>
      </w:pPr>
      <w:r>
        <w:rPr>
          <w:rFonts w:ascii="Arial" w:cs="Arial" w:eastAsia="Arial" w:hAnsi="Arial"/>
          <w:sz w:val="16"/>
          <w:szCs w:val="16"/>
          <w:color w:val="003082"/>
        </w:rPr>
        <w:t>Our go-to market strategy is focused on building developer community and enthusiasm for our products. We also employ more targeted sales efforts focused on large potential customers with proven use cases that could benefit from our products. We plan to continue investing in sales and marketing by increasing our sales and marketing headcount, expanding our sales channels, building our brand awareness and sponsoring additional marketing events. We expect our sales and marketing expenses to continue to increase in absolute dollars for the foreseeable future as we expand our sales and marketing efforts and continue to build our brand, although these expenses may fluctuate as a percentage of our total revenue from period to period depending on the timing of these expenses and, over the longer term, we expect them to decline as a percentage of revenue as we scale our business.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General and Administrative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General and administrative expenses consist primarily of personnel costs for our accounting, finance, legal, human resources and administrative support personnel and executives. General and administrative expenses also include costs related to legal and other professional services fees, sales and other taxes, depreciation and amortization of property and equipment and an allocation of our general overhead expenses.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our general and administrative expenses to continue to increase in absolute dollars for the foreseeable future. Although these expenses may fluctuate as a percentage of our total revenue from period to period, over the long term, we expect general and administrative expense to gradually decline as a percentage of revenue as we scale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Results of Operations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003082"/>
        </w:rPr>
        <w:t>The following tables set forth our results of operations for the periods presented and express the relationship of certain line items as a percentage of total revenue for those periods. The period-to-period comparison of financial results is not necessarily indicative of future results.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440"/>
              <w:spacing w:after="0"/>
              <w:rPr>
                <w:sz w:val="20"/>
                <w:szCs w:val="20"/>
                <w:color w:val="auto"/>
              </w:rPr>
            </w:pPr>
            <w:r>
              <w:rPr>
                <w:rFonts w:ascii="Arial" w:cs="Arial" w:eastAsia="Arial" w:hAnsi="Arial"/>
                <w:sz w:val="14"/>
                <w:szCs w:val="14"/>
                <w:b w:val="1"/>
                <w:bCs w:val="1"/>
                <w:color w:val="003082"/>
              </w:rPr>
              <w:t>Year Ended December 31,</w:t>
            </w:r>
          </w:p>
        </w:tc>
        <w:tc>
          <w:tcPr>
            <w:tcW w:w="540" w:type="dxa"/>
            <w:vAlign w:val="bottom"/>
          </w:tcPr>
          <w:p>
            <w:pPr>
              <w:spacing w:after="0"/>
              <w:rPr>
                <w:sz w:val="16"/>
                <w:szCs w:val="16"/>
                <w:color w:val="auto"/>
              </w:rPr>
            </w:pPr>
          </w:p>
        </w:tc>
        <w:tc>
          <w:tcPr>
            <w:tcW w:w="24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003082"/>
                <w:w w:val="93"/>
              </w:rPr>
              <w:t>Three Months Ended March 31,</w:t>
            </w:r>
          </w:p>
        </w:tc>
      </w:tr>
      <w:tr>
        <w:trPr>
          <w:trHeight w:val="264"/>
        </w:trPr>
        <w:tc>
          <w:tcPr>
            <w:tcW w:w="5080" w:type="dxa"/>
            <w:vAlign w:val="bottom"/>
          </w:tcPr>
          <w:p>
            <w:pPr>
              <w:spacing w:after="0"/>
              <w:rPr>
                <w:sz w:val="22"/>
                <w:szCs w:val="22"/>
                <w:color w:val="auto"/>
              </w:rPr>
            </w:pPr>
          </w:p>
        </w:tc>
        <w:tc>
          <w:tcPr>
            <w:tcW w:w="280" w:type="dxa"/>
            <w:vAlign w:val="bottom"/>
            <w:tcBorders>
              <w:top w:val="single" w:sz="8" w:color="3D5588"/>
              <w:bottom w:val="single" w:sz="8" w:color="3D5588"/>
            </w:tcBorders>
          </w:tcPr>
          <w:p>
            <w:pPr>
              <w:spacing w:after="0"/>
              <w:rPr>
                <w:sz w:val="22"/>
                <w:szCs w:val="22"/>
                <w:color w:val="auto"/>
              </w:rPr>
            </w:pPr>
          </w:p>
        </w:tc>
        <w:tc>
          <w:tcPr>
            <w:tcW w:w="1180" w:type="dxa"/>
            <w:vAlign w:val="bottom"/>
            <w:tcBorders>
              <w:top w:val="single" w:sz="8" w:color="3D5588"/>
              <w:bottom w:val="single" w:sz="8" w:color="3D5588"/>
            </w:tcBorders>
          </w:tcPr>
          <w:p>
            <w:pPr>
              <w:jc w:val="right"/>
              <w:ind w:right="492"/>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3D5588"/>
            </w:tcBorders>
          </w:tcPr>
          <w:p>
            <w:pPr>
              <w:spacing w:after="0"/>
              <w:rPr>
                <w:sz w:val="22"/>
                <w:szCs w:val="22"/>
                <w:color w:val="auto"/>
              </w:rPr>
            </w:pPr>
          </w:p>
        </w:tc>
        <w:tc>
          <w:tcPr>
            <w:tcW w:w="36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9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540" w:type="dxa"/>
            <w:vAlign w:val="bottom"/>
            <w:tcBorders>
              <w:top w:val="single" w:sz="8" w:color="3D5588"/>
              <w:bottom w:val="single" w:sz="8" w:color="3D5588"/>
            </w:tcBorders>
          </w:tcPr>
          <w:p>
            <w:pPr>
              <w:spacing w:after="0"/>
              <w:rPr>
                <w:sz w:val="22"/>
                <w:szCs w:val="22"/>
                <w:color w:val="auto"/>
              </w:rPr>
            </w:pPr>
          </w:p>
        </w:tc>
        <w:tc>
          <w:tcPr>
            <w:tcW w:w="920" w:type="dxa"/>
            <w:vAlign w:val="bottom"/>
            <w:tcBorders>
              <w:top w:val="single" w:sz="8" w:color="3D5588"/>
              <w:bottom w:val="single" w:sz="8" w:color="3D5588"/>
            </w:tcBorders>
          </w:tcPr>
          <w:p>
            <w:pPr>
              <w:jc w:val="right"/>
              <w:ind w:right="512"/>
              <w:spacing w:after="0"/>
              <w:rPr>
                <w:sz w:val="20"/>
                <w:szCs w:val="20"/>
                <w:color w:val="auto"/>
              </w:rPr>
            </w:pPr>
            <w:r>
              <w:rPr>
                <w:rFonts w:ascii="Arial" w:cs="Arial" w:eastAsia="Arial" w:hAnsi="Arial"/>
                <w:sz w:val="14"/>
                <w:szCs w:val="14"/>
                <w:b w:val="1"/>
                <w:bCs w:val="1"/>
                <w:color w:val="003082"/>
                <w:w w:val="96"/>
              </w:rPr>
              <w:t>2019</w:t>
            </w:r>
          </w:p>
        </w:tc>
        <w:tc>
          <w:tcPr>
            <w:tcW w:w="100" w:type="dxa"/>
            <w:vAlign w:val="bottom"/>
            <w:tcBorders>
              <w:top w:val="single" w:sz="8" w:color="3D5588"/>
              <w:bottom w:val="single" w:sz="8" w:color="3D5588"/>
            </w:tcBorders>
          </w:tcPr>
          <w:p>
            <w:pPr>
              <w:spacing w:after="0"/>
              <w:rPr>
                <w:sz w:val="22"/>
                <w:szCs w:val="22"/>
                <w:color w:val="auto"/>
              </w:rPr>
            </w:pPr>
          </w:p>
        </w:tc>
        <w:tc>
          <w:tcPr>
            <w:tcW w:w="360" w:type="dxa"/>
            <w:vAlign w:val="bottom"/>
            <w:tcBorders>
              <w:top w:val="single" w:sz="8" w:color="3D5588"/>
              <w:bottom w:val="single" w:sz="8" w:color="3D5588"/>
            </w:tcBorders>
          </w:tcPr>
          <w:p>
            <w:pPr>
              <w:spacing w:after="0"/>
              <w:rPr>
                <w:sz w:val="22"/>
                <w:szCs w:val="22"/>
                <w:color w:val="auto"/>
              </w:rPr>
            </w:pPr>
          </w:p>
        </w:tc>
        <w:tc>
          <w:tcPr>
            <w:tcW w:w="1100" w:type="dxa"/>
            <w:vAlign w:val="bottom"/>
            <w:tcBorders>
              <w:top w:val="single" w:sz="8" w:color="3D5588"/>
              <w:bottom w:val="single" w:sz="8" w:color="3D5588"/>
            </w:tcBorders>
          </w:tcPr>
          <w:p>
            <w:pPr>
              <w:jc w:val="right"/>
              <w:ind w:right="491"/>
              <w:spacing w:after="0"/>
              <w:rPr>
                <w:sz w:val="20"/>
                <w:szCs w:val="20"/>
                <w:color w:val="auto"/>
              </w:rPr>
            </w:pPr>
            <w:r>
              <w:rPr>
                <w:rFonts w:ascii="Arial" w:cs="Arial" w:eastAsia="Arial" w:hAnsi="Arial"/>
                <w:sz w:val="14"/>
                <w:szCs w:val="14"/>
                <w:b w:val="1"/>
                <w:bCs w:val="1"/>
                <w:color w:val="003082"/>
              </w:rPr>
              <w:t>2020</w:t>
            </w:r>
          </w:p>
        </w:tc>
      </w:tr>
      <w:tr>
        <w:trPr>
          <w:trHeight w:val="190"/>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
        </w:trPr>
        <w:tc>
          <w:tcPr>
            <w:tcW w:w="5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Real-time engagement service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43,199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63,925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003082"/>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13,287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35,446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Other revenues</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458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003082"/>
              </w:rPr>
              <w:t>503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003082"/>
              </w:rPr>
              <w:t>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003082"/>
              </w:rPr>
              <w:t>114</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9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64,429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13,362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35,560</w:t>
            </w:r>
          </w:p>
        </w:tc>
      </w:tr>
      <w:tr>
        <w:trPr>
          <w:trHeight w:val="270"/>
        </w:trPr>
        <w:tc>
          <w:tcPr>
            <w:tcW w:w="50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003082"/>
              </w:rPr>
              <w:t>Cost of revenues</w:t>
            </w:r>
            <w:r>
              <w:rPr>
                <w:rFonts w:ascii="Arial" w:cs="Arial" w:eastAsia="Arial" w:hAnsi="Arial"/>
                <w:sz w:val="25"/>
                <w:szCs w:val="25"/>
                <w:color w:val="003082"/>
                <w:vertAlign w:val="superscript"/>
              </w:rPr>
              <w:t>(1)</w:t>
            </w:r>
          </w:p>
        </w:tc>
        <w:tc>
          <w:tcPr>
            <w:tcW w:w="280" w:type="dxa"/>
            <w:vAlign w:val="bottom"/>
            <w:tcBorders>
              <w:bottom w:val="single" w:sz="8" w:color="3D5588"/>
            </w:tcBorders>
          </w:tcPr>
          <w:p>
            <w:pPr>
              <w:spacing w:after="0"/>
              <w:rPr>
                <w:sz w:val="23"/>
                <w:szCs w:val="23"/>
                <w:color w:val="auto"/>
              </w:rPr>
            </w:pPr>
          </w:p>
        </w:tc>
        <w:tc>
          <w:tcPr>
            <w:tcW w:w="11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(12,635)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3D5588"/>
            </w:tcBorders>
          </w:tcPr>
          <w:p>
            <w:pPr>
              <w:spacing w:after="0"/>
              <w:rPr>
                <w:sz w:val="23"/>
                <w:szCs w:val="23"/>
                <w:color w:val="auto"/>
              </w:rPr>
            </w:pPr>
          </w:p>
        </w:tc>
        <w:tc>
          <w:tcPr>
            <w:tcW w:w="1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(20,417)</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3D5588"/>
            </w:tcBorders>
          </w:tcPr>
          <w:p>
            <w:pPr>
              <w:spacing w:after="0"/>
              <w:rPr>
                <w:sz w:val="23"/>
                <w:szCs w:val="23"/>
                <w:color w:val="auto"/>
              </w:rPr>
            </w:pPr>
          </w:p>
        </w:tc>
        <w:tc>
          <w:tcPr>
            <w:tcW w:w="9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(4,152)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3D5588"/>
            </w:tcBorders>
          </w:tcPr>
          <w:p>
            <w:pPr>
              <w:spacing w:after="0"/>
              <w:rPr>
                <w:sz w:val="23"/>
                <w:szCs w:val="23"/>
                <w:color w:val="auto"/>
              </w:rPr>
            </w:pPr>
          </w:p>
        </w:tc>
        <w:tc>
          <w:tcPr>
            <w:tcW w:w="110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(11,082)</w:t>
            </w:r>
          </w:p>
        </w:tc>
      </w:tr>
      <w:tr>
        <w:trPr>
          <w:trHeight w:val="243"/>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44,011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9,211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24,478</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Operating expenses: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003082"/>
              </w:rPr>
              <w:t>Research and development expenses</w:t>
            </w:r>
            <w:r>
              <w:rPr>
                <w:rFonts w:ascii="Arial" w:cs="Arial" w:eastAsia="Arial" w:hAnsi="Arial"/>
                <w:sz w:val="25"/>
                <w:szCs w:val="25"/>
                <w:color w:val="003082"/>
                <w:vertAlign w:val="superscript"/>
              </w:rPr>
              <w:t>(1)</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(14,426)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(23,623)</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(11,688)</w:t>
            </w:r>
          </w:p>
        </w:tc>
      </w:tr>
      <w:tr>
        <w:trPr>
          <w:trHeight w:val="270"/>
        </w:trPr>
        <w:tc>
          <w:tcPr>
            <w:tcW w:w="5080" w:type="dxa"/>
            <w:vAlign w:val="bottom"/>
          </w:tcPr>
          <w:p>
            <w:pPr>
              <w:ind w:left="160"/>
              <w:spacing w:after="0" w:line="270" w:lineRule="exact"/>
              <w:rPr>
                <w:sz w:val="20"/>
                <w:szCs w:val="20"/>
                <w:color w:val="auto"/>
              </w:rPr>
            </w:pPr>
            <w:r>
              <w:rPr>
                <w:rFonts w:ascii="Arial" w:cs="Arial" w:eastAsia="Arial" w:hAnsi="Arial"/>
                <w:sz w:val="18"/>
                <w:szCs w:val="18"/>
                <w:color w:val="003082"/>
              </w:rPr>
              <w:t>Sales and marketing expenses</w:t>
            </w:r>
            <w:r>
              <w:rPr>
                <w:rFonts w:ascii="Arial" w:cs="Arial" w:eastAsia="Arial" w:hAnsi="Arial"/>
                <w:sz w:val="25"/>
                <w:szCs w:val="25"/>
                <w:color w:val="003082"/>
                <w:vertAlign w:val="superscript"/>
              </w:rPr>
              <w:t>(1)</w:t>
            </w: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(11,986)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(19,408)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3082"/>
              </w:rPr>
              <w:t>(4,006)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(6,002)</w:t>
            </w:r>
          </w:p>
        </w:tc>
      </w:tr>
      <w:tr>
        <w:trPr>
          <w:trHeight w:val="270"/>
        </w:trPr>
        <w:tc>
          <w:tcPr>
            <w:tcW w:w="50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003082"/>
              </w:rPr>
              <w:t>General and administrative expenses</w:t>
            </w:r>
            <w:r>
              <w:rPr>
                <w:rFonts w:ascii="Arial" w:cs="Arial" w:eastAsia="Arial" w:hAnsi="Arial"/>
                <w:sz w:val="25"/>
                <w:szCs w:val="25"/>
                <w:color w:val="003082"/>
                <w:vertAlign w:val="superscript"/>
              </w:rPr>
              <w:t>(1)</w:t>
            </w:r>
          </w:p>
        </w:tc>
        <w:tc>
          <w:tcPr>
            <w:tcW w:w="280" w:type="dxa"/>
            <w:vAlign w:val="bottom"/>
            <w:tcBorders>
              <w:bottom w:val="single" w:sz="8" w:color="3D5588"/>
            </w:tcBorders>
            <w:shd w:val="clear" w:color="auto" w:fill="CCEEFF"/>
          </w:tcPr>
          <w:p>
            <w:pPr>
              <w:spacing w:after="0"/>
              <w:rPr>
                <w:sz w:val="23"/>
                <w:szCs w:val="23"/>
                <w:color w:val="auto"/>
              </w:rPr>
            </w:pPr>
          </w:p>
        </w:tc>
        <w:tc>
          <w:tcPr>
            <w:tcW w:w="11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(5,373)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3D5588"/>
            </w:tcBorders>
            <w:shd w:val="clear" w:color="auto" w:fill="CCEEFF"/>
          </w:tcPr>
          <w:p>
            <w:pPr>
              <w:spacing w:after="0"/>
              <w:rPr>
                <w:sz w:val="23"/>
                <w:szCs w:val="23"/>
                <w:color w:val="auto"/>
              </w:rPr>
            </w:pPr>
          </w:p>
        </w:tc>
        <w:tc>
          <w:tcPr>
            <w:tcW w:w="11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(7,177)</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3D5588"/>
            </w:tcBorders>
            <w:shd w:val="clear" w:color="auto" w:fill="CCEEFF"/>
          </w:tcPr>
          <w:p>
            <w:pPr>
              <w:spacing w:after="0"/>
              <w:rPr>
                <w:sz w:val="23"/>
                <w:szCs w:val="23"/>
                <w:color w:val="auto"/>
              </w:rPr>
            </w:pPr>
          </w:p>
        </w:tc>
        <w:tc>
          <w:tcPr>
            <w:tcW w:w="9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(1,562)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3D5588"/>
            </w:tcBorders>
            <w:shd w:val="clear" w:color="auto" w:fill="CCEEFF"/>
          </w:tcPr>
          <w:p>
            <w:pPr>
              <w:spacing w:after="0"/>
              <w:rPr>
                <w:sz w:val="23"/>
                <w:szCs w:val="23"/>
                <w:color w:val="auto"/>
              </w:rPr>
            </w:pPr>
          </w:p>
        </w:tc>
        <w:tc>
          <w:tcPr>
            <w:tcW w:w="11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(3,545)</w:t>
            </w: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003082"/>
              </w:rPr>
              <w:t>Total operating expenses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(31,785)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(50,208)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3082"/>
              </w:rPr>
              <w:t>(9,768)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(21,236)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operating income</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23</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color w:val="003082"/>
              </w:rPr>
              <w:t>Income (loss) from operations</w:t>
            </w:r>
          </w:p>
        </w:tc>
        <w:tc>
          <w:tcPr>
            <w:tcW w:w="280" w:type="dxa"/>
            <w:vAlign w:val="bottom"/>
            <w:tcBorders>
              <w:top w:val="single" w:sz="8" w:color="3D5588"/>
            </w:tcBorders>
          </w:tcPr>
          <w:p>
            <w:pPr>
              <w:spacing w:after="0"/>
              <w:rPr>
                <w:sz w:val="20"/>
                <w:szCs w:val="20"/>
                <w:color w:val="auto"/>
              </w:rPr>
            </w:pPr>
          </w:p>
        </w:tc>
        <w:tc>
          <w:tcPr>
            <w:tcW w:w="11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263</w:t>
            </w:r>
          </w:p>
        </w:tc>
        <w:tc>
          <w:tcPr>
            <w:tcW w:w="10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1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(6,089)</w:t>
            </w:r>
          </w:p>
        </w:tc>
        <w:tc>
          <w:tcPr>
            <w:tcW w:w="120" w:type="dxa"/>
            <w:vAlign w:val="bottom"/>
          </w:tcPr>
          <w:p>
            <w:pPr>
              <w:spacing w:after="0"/>
              <w:rPr>
                <w:sz w:val="20"/>
                <w:szCs w:val="20"/>
                <w:color w:val="auto"/>
              </w:rPr>
            </w:pPr>
          </w:p>
        </w:tc>
        <w:tc>
          <w:tcPr>
            <w:tcW w:w="540" w:type="dxa"/>
            <w:vAlign w:val="bottom"/>
            <w:tcBorders>
              <w:top w:val="single" w:sz="8" w:color="3D5588"/>
            </w:tcBorders>
          </w:tcPr>
          <w:p>
            <w:pPr>
              <w:spacing w:after="0"/>
              <w:rPr>
                <w:sz w:val="20"/>
                <w:szCs w:val="20"/>
                <w:color w:val="auto"/>
              </w:rPr>
            </w:pPr>
          </w:p>
        </w:tc>
        <w:tc>
          <w:tcPr>
            <w:tcW w:w="9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(552)</w:t>
            </w:r>
          </w:p>
        </w:tc>
        <w:tc>
          <w:tcPr>
            <w:tcW w:w="10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10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3,266</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Exchange gain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87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Interest income</w:t>
            </w: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003082"/>
              </w:rPr>
              <w:t>626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003082"/>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003082"/>
              </w:rPr>
              <w:t>97</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9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3,356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003082"/>
              </w:rPr>
              <w:t>Income taxes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(801)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3082"/>
              </w:rPr>
              <w:t>(190)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(369)</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9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r>
      <w:tr>
        <w:trPr>
          <w:trHeight w:val="243"/>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(6,177)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2,987</w:t>
            </w:r>
          </w:p>
        </w:tc>
      </w:tr>
      <w:tr>
        <w:trPr>
          <w:trHeight w:val="432"/>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2"/>
              <w:spacing w:after="0"/>
              <w:rPr>
                <w:sz w:val="20"/>
                <w:szCs w:val="20"/>
                <w:color w:val="auto"/>
              </w:rPr>
            </w:pPr>
            <w:r>
              <w:rPr>
                <w:rFonts w:ascii="Arial" w:cs="Arial" w:eastAsia="Arial" w:hAnsi="Arial"/>
                <w:sz w:val="18"/>
                <w:szCs w:val="18"/>
                <w:color w:val="003082"/>
              </w:rPr>
              <w:t>93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003082"/>
        </w:rPr>
        <w:t>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003082"/>
        </w:rPr>
        <w:t>(1)</w:t>
      </w:r>
      <w:r>
        <w:rPr>
          <w:sz w:val="20"/>
          <w:szCs w:val="20"/>
          <w:color w:val="auto"/>
        </w:rPr>
        <w:tab/>
      </w:r>
      <w:r>
        <w:rPr>
          <w:rFonts w:ascii="Arial" w:cs="Arial" w:eastAsia="Arial" w:hAnsi="Arial"/>
          <w:sz w:val="14"/>
          <w:szCs w:val="14"/>
          <w:color w:val="003082"/>
        </w:rPr>
        <w:t>Share-based compensation expense was allocated to cost of revenue and operating expenses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300" w:type="dxa"/>
            <w:vAlign w:val="bottom"/>
            <w:tcBorders>
              <w:bottom w:val="single" w:sz="8" w:color="3D5588"/>
            </w:tcBorders>
            <w:gridSpan w:val="4"/>
          </w:tcPr>
          <w:p>
            <w:pPr>
              <w:jc w:val="right"/>
              <w:ind w:right="2"/>
              <w:spacing w:after="0"/>
              <w:rPr>
                <w:sz w:val="20"/>
                <w:szCs w:val="20"/>
                <w:color w:val="auto"/>
              </w:rPr>
            </w:pPr>
            <w:r>
              <w:rPr>
                <w:rFonts w:ascii="Arial" w:cs="Arial" w:eastAsia="Arial" w:hAnsi="Arial"/>
                <w:sz w:val="14"/>
                <w:szCs w:val="14"/>
                <w:b w:val="1"/>
                <w:bCs w:val="1"/>
                <w:color w:val="003082"/>
              </w:rPr>
              <w:t>Year Ended December 31,</w:t>
            </w:r>
          </w:p>
        </w:tc>
        <w:tc>
          <w:tcPr>
            <w:tcW w:w="54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2540" w:type="dxa"/>
            <w:vAlign w:val="bottom"/>
            <w:tcBorders>
              <w:bottom w:val="single" w:sz="8" w:color="3D5588"/>
            </w:tcBorders>
            <w:gridSpan w:val="4"/>
          </w:tcPr>
          <w:p>
            <w:pPr>
              <w:jc w:val="right"/>
              <w:ind w:right="321"/>
              <w:spacing w:after="0"/>
              <w:rPr>
                <w:sz w:val="20"/>
                <w:szCs w:val="20"/>
                <w:color w:val="auto"/>
              </w:rPr>
            </w:pPr>
            <w:r>
              <w:rPr>
                <w:rFonts w:ascii="Arial" w:cs="Arial" w:eastAsia="Arial" w:hAnsi="Arial"/>
                <w:sz w:val="14"/>
                <w:szCs w:val="14"/>
                <w:b w:val="1"/>
                <w:bCs w:val="1"/>
                <w:color w:val="003082"/>
              </w:rPr>
              <w:t>Three Months Ended March 31,</w:t>
            </w:r>
          </w:p>
        </w:tc>
      </w:tr>
      <w:tr>
        <w:trPr>
          <w:trHeight w:val="263"/>
        </w:trPr>
        <w:tc>
          <w:tcPr>
            <w:tcW w:w="4720" w:type="dxa"/>
            <w:vAlign w:val="bottom"/>
          </w:tcPr>
          <w:p>
            <w:pPr>
              <w:spacing w:after="0"/>
              <w:rPr>
                <w:sz w:val="22"/>
                <w:szCs w:val="22"/>
                <w:color w:val="auto"/>
              </w:rPr>
            </w:pPr>
          </w:p>
        </w:tc>
        <w:tc>
          <w:tcPr>
            <w:tcW w:w="88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2018</w:t>
            </w:r>
          </w:p>
        </w:tc>
        <w:tc>
          <w:tcPr>
            <w:tcW w:w="500" w:type="dxa"/>
            <w:vAlign w:val="bottom"/>
            <w:tcBorders>
              <w:bottom w:val="single" w:sz="8" w:color="3D5588"/>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2019</w:t>
            </w:r>
          </w:p>
        </w:tc>
        <w:tc>
          <w:tcPr>
            <w:tcW w:w="540" w:type="dxa"/>
            <w:vAlign w:val="bottom"/>
            <w:tcBorders>
              <w:bottom w:val="single" w:sz="8" w:color="3D5588"/>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260" w:type="dxa"/>
            <w:vAlign w:val="bottom"/>
            <w:tcBorders>
              <w:bottom w:val="single" w:sz="8" w:color="3D5588"/>
            </w:tcBorders>
          </w:tcPr>
          <w:p>
            <w:pPr>
              <w:spacing w:after="0"/>
              <w:rPr>
                <w:sz w:val="22"/>
                <w:szCs w:val="22"/>
                <w:color w:val="auto"/>
              </w:rPr>
            </w:pPr>
          </w:p>
        </w:tc>
        <w:tc>
          <w:tcPr>
            <w:tcW w:w="1080" w:type="dxa"/>
            <w:vAlign w:val="bottom"/>
            <w:tcBorders>
              <w:bottom w:val="single" w:sz="8" w:color="3D5588"/>
            </w:tcBorders>
          </w:tcPr>
          <w:p>
            <w:pPr>
              <w:jc w:val="right"/>
              <w:ind w:right="44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20" w:type="dxa"/>
            <w:vAlign w:val="bottom"/>
            <w:tcBorders>
              <w:bottom w:val="single" w:sz="8" w:color="3D5588"/>
            </w:tcBorders>
          </w:tcPr>
          <w:p>
            <w:pPr>
              <w:spacing w:after="0"/>
              <w:rPr>
                <w:sz w:val="22"/>
                <w:szCs w:val="22"/>
                <w:color w:val="auto"/>
              </w:rPr>
            </w:pPr>
          </w:p>
        </w:tc>
        <w:tc>
          <w:tcPr>
            <w:tcW w:w="1020" w:type="dxa"/>
            <w:vAlign w:val="bottom"/>
            <w:tcBorders>
              <w:bottom w:val="single" w:sz="8" w:color="3D5588"/>
            </w:tcBorders>
          </w:tcPr>
          <w:p>
            <w:pPr>
              <w:jc w:val="right"/>
              <w:ind w:right="441"/>
              <w:spacing w:after="0"/>
              <w:rPr>
                <w:sz w:val="20"/>
                <w:szCs w:val="20"/>
                <w:color w:val="auto"/>
              </w:rPr>
            </w:pPr>
            <w:r>
              <w:rPr>
                <w:rFonts w:ascii="Arial" w:cs="Arial" w:eastAsia="Arial" w:hAnsi="Arial"/>
                <w:sz w:val="14"/>
                <w:szCs w:val="14"/>
                <w:b w:val="1"/>
                <w:bCs w:val="1"/>
                <w:color w:val="003082"/>
              </w:rPr>
              <w:t>2020</w:t>
            </w:r>
          </w:p>
        </w:tc>
      </w:tr>
      <w:tr>
        <w:trPr>
          <w:trHeight w:val="190"/>
        </w:trPr>
        <w:tc>
          <w:tcPr>
            <w:tcW w:w="4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00" w:type="dxa"/>
            <w:vAlign w:val="bottom"/>
            <w:gridSpan w:val="5"/>
          </w:tcPr>
          <w:p>
            <w:pPr>
              <w:spacing w:after="0"/>
              <w:rPr>
                <w:sz w:val="20"/>
                <w:szCs w:val="20"/>
                <w:color w:val="auto"/>
              </w:rPr>
            </w:pPr>
            <w:r>
              <w:rPr>
                <w:rFonts w:ascii="Arial" w:cs="Arial" w:eastAsia="Arial" w:hAnsi="Arial"/>
                <w:sz w:val="14"/>
                <w:szCs w:val="14"/>
                <w:b w:val="1"/>
                <w:bCs w:val="1"/>
                <w:color w:val="003082"/>
              </w:rPr>
              <w:t>(US$ 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6"/>
        </w:trPr>
        <w:tc>
          <w:tcPr>
            <w:tcW w:w="4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Cost of revenues</w:t>
            </w:r>
          </w:p>
        </w:tc>
        <w:tc>
          <w:tcPr>
            <w:tcW w:w="880" w:type="dxa"/>
            <w:vAlign w:val="bottom"/>
            <w:tcBorders>
              <w:bottom w:val="single" w:sz="8" w:color="CCEEFF"/>
            </w:tcBorders>
            <w:shd w:val="clear" w:color="auto" w:fill="CCEEFF"/>
          </w:tcPr>
          <w:p>
            <w:pPr>
              <w:jc w:val="right"/>
              <w:ind w:right="704"/>
              <w:spacing w:after="0"/>
              <w:rPr>
                <w:sz w:val="20"/>
                <w:szCs w:val="20"/>
                <w:color w:val="auto"/>
              </w:rPr>
            </w:pPr>
            <w:r>
              <w:rPr>
                <w:rFonts w:ascii="Arial" w:cs="Arial" w:eastAsia="Arial" w:hAnsi="Arial"/>
                <w:sz w:val="16"/>
                <w:szCs w:val="16"/>
                <w:color w:val="003082"/>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003082"/>
              </w:rPr>
              <w:t>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003082"/>
              </w:rPr>
              <w:t>$</w:t>
            </w: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003082"/>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003082"/>
                <w:w w:val="89"/>
              </w:rPr>
              <w:t>$</w:t>
            </w: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003082"/>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003082"/>
                <w:w w:val="89"/>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003082"/>
              </w:rPr>
              <w:t>31</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003082"/>
              </w:rPr>
              <w:t>Research and development expenses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003082"/>
              </w:rPr>
              <w:t>920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003082"/>
              </w:rPr>
              <w:t>1,473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003082"/>
              </w:rPr>
              <w:t>327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3082"/>
              </w:rPr>
              <w:t>292</w:t>
            </w:r>
          </w:p>
        </w:tc>
      </w:tr>
      <w:tr>
        <w:trPr>
          <w:trHeight w:val="33"/>
        </w:trPr>
        <w:tc>
          <w:tcPr>
            <w:tcW w:w="4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Sales and marketing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003082"/>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003082"/>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003082"/>
              </w:rPr>
              <w:t>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003082"/>
              </w:rPr>
              <w:t>485</w:t>
            </w:r>
          </w:p>
        </w:tc>
      </w:tr>
      <w:tr>
        <w:trPr>
          <w:trHeight w:val="237"/>
        </w:trPr>
        <w:tc>
          <w:tcPr>
            <w:tcW w:w="4720" w:type="dxa"/>
            <w:vAlign w:val="bottom"/>
          </w:tcPr>
          <w:p>
            <w:pPr>
              <w:ind w:left="20"/>
              <w:spacing w:after="0"/>
              <w:rPr>
                <w:sz w:val="20"/>
                <w:szCs w:val="20"/>
                <w:color w:val="auto"/>
              </w:rPr>
            </w:pPr>
            <w:r>
              <w:rPr>
                <w:rFonts w:ascii="Arial" w:cs="Arial" w:eastAsia="Arial" w:hAnsi="Arial"/>
                <w:sz w:val="16"/>
                <w:szCs w:val="16"/>
                <w:color w:val="003082"/>
              </w:rPr>
              <w:t>General and administrative expenses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003082"/>
              </w:rPr>
              <w:t>905</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003082"/>
              </w:rPr>
              <w:t>1,046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color w:val="003082"/>
              </w:rPr>
              <w:t>221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003082"/>
              </w:rPr>
              <w:t>639</w:t>
            </w:r>
          </w:p>
        </w:tc>
      </w:tr>
      <w:tr>
        <w:trPr>
          <w:trHeight w:val="33"/>
        </w:trPr>
        <w:tc>
          <w:tcPr>
            <w:tcW w:w="4720" w:type="dxa"/>
            <w:vAlign w:val="bottom"/>
            <w:tcBorders>
              <w:bottom w:val="single" w:sz="8" w:color="CCEEFF"/>
            </w:tcBorders>
          </w:tcPr>
          <w:p>
            <w:pPr>
              <w:spacing w:after="0"/>
              <w:rPr>
                <w:sz w:val="2"/>
                <w:szCs w:val="2"/>
                <w:color w:val="auto"/>
              </w:rPr>
            </w:pPr>
          </w:p>
        </w:tc>
        <w:tc>
          <w:tcPr>
            <w:tcW w:w="880" w:type="dxa"/>
            <w:vAlign w:val="bottom"/>
            <w:tcBorders>
              <w:bottom w:val="single" w:sz="8" w:color="3D5588"/>
            </w:tcBorders>
          </w:tcPr>
          <w:p>
            <w:pPr>
              <w:spacing w:after="0"/>
              <w:rPr>
                <w:sz w:val="2"/>
                <w:szCs w:val="2"/>
                <w:color w:val="auto"/>
              </w:rPr>
            </w:pPr>
          </w:p>
        </w:tc>
        <w:tc>
          <w:tcPr>
            <w:tcW w:w="50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3D5588"/>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3D5588"/>
            </w:tcBorders>
          </w:tcPr>
          <w:p>
            <w:pPr>
              <w:spacing w:after="0"/>
              <w:rPr>
                <w:sz w:val="2"/>
                <w:szCs w:val="2"/>
                <w:color w:val="auto"/>
              </w:rPr>
            </w:pPr>
          </w:p>
        </w:tc>
        <w:tc>
          <w:tcPr>
            <w:tcW w:w="108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020" w:type="dxa"/>
            <w:vAlign w:val="bottom"/>
            <w:tcBorders>
              <w:bottom w:val="single" w:sz="8" w:color="3D5588"/>
            </w:tcBorders>
          </w:tcPr>
          <w:p>
            <w:pPr>
              <w:spacing w:after="0"/>
              <w:rPr>
                <w:sz w:val="2"/>
                <w:szCs w:val="2"/>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003082"/>
              </w:rPr>
              <w:t>Total share-based compensation expense</w:t>
            </w:r>
          </w:p>
        </w:tc>
        <w:tc>
          <w:tcPr>
            <w:tcW w:w="880" w:type="dxa"/>
            <w:vAlign w:val="bottom"/>
            <w:tcBorders>
              <w:bottom w:val="single" w:sz="8" w:color="3D5588"/>
            </w:tcBorders>
            <w:shd w:val="clear" w:color="auto" w:fill="CCEEFF"/>
          </w:tcPr>
          <w:p>
            <w:pPr>
              <w:jc w:val="right"/>
              <w:ind w:right="704"/>
              <w:spacing w:after="0"/>
              <w:rPr>
                <w:sz w:val="20"/>
                <w:szCs w:val="20"/>
                <w:color w:val="auto"/>
              </w:rPr>
            </w:pPr>
            <w:r>
              <w:rPr>
                <w:rFonts w:ascii="Arial" w:cs="Arial" w:eastAsia="Arial" w:hAnsi="Arial"/>
                <w:sz w:val="16"/>
                <w:szCs w:val="16"/>
                <w:color w:val="003082"/>
                <w:w w:val="89"/>
              </w:rPr>
              <w:t>$</w:t>
            </w:r>
          </w:p>
        </w:tc>
        <w:tc>
          <w:tcPr>
            <w:tcW w:w="500" w:type="dxa"/>
            <w:vAlign w:val="bottom"/>
            <w:tcBorders>
              <w:bottom w:val="single" w:sz="8" w:color="3D5588"/>
            </w:tcBorders>
            <w:shd w:val="clear" w:color="auto" w:fill="CCEEFF"/>
          </w:tcPr>
          <w:p>
            <w:pPr>
              <w:jc w:val="right"/>
              <w:ind w:right="19"/>
              <w:spacing w:after="0"/>
              <w:rPr>
                <w:sz w:val="20"/>
                <w:szCs w:val="20"/>
                <w:color w:val="auto"/>
              </w:rPr>
            </w:pPr>
            <w:r>
              <w:rPr>
                <w:rFonts w:ascii="Arial" w:cs="Arial" w:eastAsia="Arial" w:hAnsi="Arial"/>
                <w:sz w:val="16"/>
                <w:szCs w:val="16"/>
                <w:color w:val="003082"/>
                <w:w w:val="94"/>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3D5588"/>
            </w:tcBorders>
            <w:shd w:val="clear" w:color="auto" w:fill="CCEEFF"/>
          </w:tcPr>
          <w:p>
            <w:pPr>
              <w:jc w:val="right"/>
              <w:ind w:right="622"/>
              <w:spacing w:after="0"/>
              <w:rPr>
                <w:sz w:val="20"/>
                <w:szCs w:val="20"/>
                <w:color w:val="auto"/>
              </w:rPr>
            </w:pPr>
            <w:r>
              <w:rPr>
                <w:rFonts w:ascii="Arial" w:cs="Arial" w:eastAsia="Arial" w:hAnsi="Arial"/>
                <w:sz w:val="16"/>
                <w:szCs w:val="16"/>
                <w:color w:val="003082"/>
              </w:rPr>
              <w:t>$</w:t>
            </w:r>
          </w:p>
        </w:tc>
        <w:tc>
          <w:tcPr>
            <w:tcW w:w="540" w:type="dxa"/>
            <w:vAlign w:val="bottom"/>
            <w:tcBorders>
              <w:bottom w:val="single" w:sz="8" w:color="3D5588"/>
            </w:tcBorders>
            <w:shd w:val="clear" w:color="auto" w:fill="CCEEFF"/>
          </w:tcPr>
          <w:p>
            <w:pPr>
              <w:jc w:val="right"/>
              <w:ind w:right="21"/>
              <w:spacing w:after="0"/>
              <w:rPr>
                <w:sz w:val="20"/>
                <w:szCs w:val="20"/>
                <w:color w:val="auto"/>
              </w:rPr>
            </w:pPr>
            <w:r>
              <w:rPr>
                <w:rFonts w:ascii="Arial" w:cs="Arial" w:eastAsia="Arial" w:hAnsi="Arial"/>
                <w:sz w:val="16"/>
                <w:szCs w:val="16"/>
                <w:color w:val="003082"/>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3D5588"/>
            </w:tcBorders>
            <w:shd w:val="clear" w:color="auto" w:fill="CCEEFF"/>
          </w:tcPr>
          <w:p>
            <w:pPr>
              <w:jc w:val="right"/>
              <w:ind w:right="79"/>
              <w:spacing w:after="0"/>
              <w:rPr>
                <w:sz w:val="20"/>
                <w:szCs w:val="20"/>
                <w:color w:val="auto"/>
              </w:rPr>
            </w:pPr>
            <w:r>
              <w:rPr>
                <w:rFonts w:ascii="Arial" w:cs="Arial" w:eastAsia="Arial" w:hAnsi="Arial"/>
                <w:sz w:val="16"/>
                <w:szCs w:val="16"/>
                <w:color w:val="003082"/>
                <w:w w:val="89"/>
              </w:rPr>
              <w:t>$</w:t>
            </w:r>
          </w:p>
        </w:tc>
        <w:tc>
          <w:tcPr>
            <w:tcW w:w="1080" w:type="dxa"/>
            <w:vAlign w:val="bottom"/>
            <w:tcBorders>
              <w:bottom w:val="single" w:sz="8" w:color="3D5588"/>
            </w:tcBorders>
            <w:shd w:val="clear" w:color="auto" w:fill="CCEEFF"/>
          </w:tcPr>
          <w:p>
            <w:pPr>
              <w:jc w:val="right"/>
              <w:ind w:right="2"/>
              <w:spacing w:after="0"/>
              <w:rPr>
                <w:sz w:val="20"/>
                <w:szCs w:val="20"/>
                <w:color w:val="auto"/>
              </w:rPr>
            </w:pPr>
            <w:r>
              <w:rPr>
                <w:rFonts w:ascii="Arial" w:cs="Arial" w:eastAsia="Arial" w:hAnsi="Arial"/>
                <w:sz w:val="16"/>
                <w:szCs w:val="16"/>
                <w:color w:val="003082"/>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3D5588"/>
            </w:tcBorders>
            <w:shd w:val="clear" w:color="auto" w:fill="CCEEFF"/>
          </w:tcPr>
          <w:p>
            <w:pPr>
              <w:jc w:val="right"/>
              <w:ind w:right="139"/>
              <w:spacing w:after="0"/>
              <w:rPr>
                <w:sz w:val="20"/>
                <w:szCs w:val="20"/>
                <w:color w:val="auto"/>
              </w:rPr>
            </w:pPr>
            <w:r>
              <w:rPr>
                <w:rFonts w:ascii="Arial" w:cs="Arial" w:eastAsia="Arial" w:hAnsi="Arial"/>
                <w:sz w:val="16"/>
                <w:szCs w:val="16"/>
                <w:color w:val="003082"/>
                <w:w w:val="89"/>
              </w:rPr>
              <w:t>$</w:t>
            </w:r>
          </w:p>
        </w:tc>
        <w:tc>
          <w:tcPr>
            <w:tcW w:w="1020" w:type="dxa"/>
            <w:vAlign w:val="bottom"/>
            <w:tcBorders>
              <w:bottom w:val="single" w:sz="8" w:color="3D5588"/>
            </w:tcBorders>
            <w:shd w:val="clear" w:color="auto" w:fill="CCEEFF"/>
          </w:tcPr>
          <w:p>
            <w:pPr>
              <w:jc w:val="right"/>
              <w:ind w:right="1"/>
              <w:spacing w:after="0"/>
              <w:rPr>
                <w:sz w:val="20"/>
                <w:szCs w:val="20"/>
                <w:color w:val="auto"/>
              </w:rPr>
            </w:pPr>
            <w:r>
              <w:rPr>
                <w:rFonts w:ascii="Arial" w:cs="Arial" w:eastAsia="Arial" w:hAnsi="Arial"/>
                <w:sz w:val="16"/>
                <w:szCs w:val="16"/>
                <w:color w:val="003082"/>
              </w:rPr>
              <w:t>1,447</w:t>
            </w:r>
          </w:p>
        </w:tc>
      </w:tr>
      <w:tr>
        <w:trPr>
          <w:trHeight w:val="20"/>
        </w:trPr>
        <w:tc>
          <w:tcPr>
            <w:tcW w:w="4720" w:type="dxa"/>
            <w:vAlign w:val="bottom"/>
          </w:tcPr>
          <w:p>
            <w:pPr>
              <w:spacing w:after="0" w:line="20" w:lineRule="exact"/>
              <w:rPr>
                <w:sz w:val="1"/>
                <w:szCs w:val="1"/>
                <w:color w:val="auto"/>
              </w:rPr>
            </w:pPr>
          </w:p>
        </w:tc>
        <w:tc>
          <w:tcPr>
            <w:tcW w:w="880" w:type="dxa"/>
            <w:vAlign w:val="bottom"/>
            <w:tcBorders>
              <w:bottom w:val="single" w:sz="8" w:color="3D5588"/>
            </w:tcBorders>
          </w:tcPr>
          <w:p>
            <w:pPr>
              <w:spacing w:after="0" w:line="20" w:lineRule="exact"/>
              <w:rPr>
                <w:sz w:val="1"/>
                <w:szCs w:val="1"/>
                <w:color w:val="auto"/>
              </w:rPr>
            </w:pPr>
          </w:p>
        </w:tc>
        <w:tc>
          <w:tcPr>
            <w:tcW w:w="5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3D5588"/>
            </w:tcBorders>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1020" w:type="dxa"/>
            <w:vAlign w:val="bottom"/>
            <w:tcBorders>
              <w:bottom w:val="single" w:sz="8" w:color="3D5588"/>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260" w:type="dxa"/>
            <w:vAlign w:val="bottom"/>
            <w:gridSpan w:val="4"/>
          </w:tcPr>
          <w:p>
            <w:pPr>
              <w:ind w:left="800"/>
              <w:spacing w:after="0"/>
              <w:rPr>
                <w:sz w:val="20"/>
                <w:szCs w:val="20"/>
                <w:color w:val="auto"/>
              </w:rPr>
            </w:pPr>
            <w:r>
              <w:rPr>
                <w:rFonts w:ascii="Arial" w:cs="Arial" w:eastAsia="Arial" w:hAnsi="Arial"/>
                <w:sz w:val="14"/>
                <w:szCs w:val="14"/>
                <w:b w:val="1"/>
                <w:bCs w:val="1"/>
                <w:color w:val="003082"/>
              </w:rPr>
              <w:t>Year Ended December 31,</w:t>
            </w:r>
          </w:p>
        </w:tc>
        <w:tc>
          <w:tcPr>
            <w:tcW w:w="3160" w:type="dxa"/>
            <w:vAlign w:val="bottom"/>
            <w:gridSpan w:val="3"/>
          </w:tcPr>
          <w:p>
            <w:pPr>
              <w:jc w:val="right"/>
              <w:ind w:right="491"/>
              <w:spacing w:after="0"/>
              <w:rPr>
                <w:sz w:val="20"/>
                <w:szCs w:val="20"/>
                <w:color w:val="auto"/>
              </w:rPr>
            </w:pPr>
            <w:r>
              <w:rPr>
                <w:rFonts w:ascii="Arial" w:cs="Arial" w:eastAsia="Arial" w:hAnsi="Arial"/>
                <w:sz w:val="14"/>
                <w:szCs w:val="14"/>
                <w:b w:val="1"/>
                <w:bCs w:val="1"/>
                <w:color w:val="003082"/>
              </w:rPr>
              <w:t>Three Months Ended March 31,</w:t>
            </w:r>
          </w:p>
        </w:tc>
      </w:tr>
      <w:tr>
        <w:trPr>
          <w:trHeight w:val="264"/>
        </w:trPr>
        <w:tc>
          <w:tcPr>
            <w:tcW w:w="4820" w:type="dxa"/>
            <w:vAlign w:val="bottom"/>
            <w:tcBorders>
              <w:bottom w:val="single" w:sz="8" w:color="CCEEFF"/>
            </w:tcBorders>
          </w:tcPr>
          <w:p>
            <w:pPr>
              <w:spacing w:after="0"/>
              <w:rPr>
                <w:sz w:val="22"/>
                <w:szCs w:val="22"/>
                <w:color w:val="auto"/>
              </w:rPr>
            </w:pPr>
          </w:p>
        </w:tc>
        <w:tc>
          <w:tcPr>
            <w:tcW w:w="1520" w:type="dxa"/>
            <w:vAlign w:val="bottom"/>
            <w:tcBorders>
              <w:top w:val="single" w:sz="8" w:color="3D5588"/>
              <w:bottom w:val="single" w:sz="8" w:color="3D5588"/>
            </w:tcBorders>
          </w:tcPr>
          <w:p>
            <w:pPr>
              <w:jc w:val="right"/>
              <w:ind w:right="532"/>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CCEEFF"/>
            </w:tcBorders>
          </w:tcPr>
          <w:p>
            <w:pPr>
              <w:spacing w:after="0"/>
              <w:rPr>
                <w:sz w:val="22"/>
                <w:szCs w:val="22"/>
                <w:color w:val="auto"/>
              </w:rPr>
            </w:pPr>
          </w:p>
        </w:tc>
        <w:tc>
          <w:tcPr>
            <w:tcW w:w="1540" w:type="dxa"/>
            <w:vAlign w:val="bottom"/>
            <w:tcBorders>
              <w:top w:val="single" w:sz="8" w:color="3D5588"/>
              <w:bottom w:val="single" w:sz="8" w:color="3D5588"/>
            </w:tcBorders>
          </w:tcPr>
          <w:p>
            <w:pPr>
              <w:jc w:val="right"/>
              <w:ind w:right="531"/>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CCEEFF"/>
            </w:tcBorders>
          </w:tcPr>
          <w:p>
            <w:pPr>
              <w:spacing w:after="0"/>
              <w:rPr>
                <w:sz w:val="22"/>
                <w:szCs w:val="22"/>
                <w:color w:val="auto"/>
              </w:rPr>
            </w:pPr>
          </w:p>
        </w:tc>
        <w:tc>
          <w:tcPr>
            <w:tcW w:w="1520" w:type="dxa"/>
            <w:vAlign w:val="bottom"/>
            <w:tcBorders>
              <w:top w:val="single" w:sz="8" w:color="3D5588"/>
              <w:bottom w:val="single" w:sz="8" w:color="3D5588"/>
            </w:tcBorders>
          </w:tcPr>
          <w:p>
            <w:pPr>
              <w:jc w:val="right"/>
              <w:ind w:right="53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top w:val="single" w:sz="8" w:color="3D5588"/>
              <w:bottom w:val="single" w:sz="8" w:color="CCEEFF"/>
            </w:tcBorders>
          </w:tcPr>
          <w:p>
            <w:pPr>
              <w:spacing w:after="0"/>
              <w:rPr>
                <w:sz w:val="22"/>
                <w:szCs w:val="22"/>
                <w:color w:val="auto"/>
              </w:rPr>
            </w:pPr>
          </w:p>
        </w:tc>
        <w:tc>
          <w:tcPr>
            <w:tcW w:w="1520" w:type="dxa"/>
            <w:vAlign w:val="bottom"/>
            <w:tcBorders>
              <w:top w:val="single" w:sz="8" w:color="3D5588"/>
              <w:bottom w:val="single" w:sz="8" w:color="3D5588"/>
            </w:tcBorders>
          </w:tcPr>
          <w:p>
            <w:pPr>
              <w:jc w:val="right"/>
              <w:ind w:right="531"/>
              <w:spacing w:after="0"/>
              <w:rPr>
                <w:sz w:val="20"/>
                <w:szCs w:val="20"/>
                <w:color w:val="auto"/>
              </w:rPr>
            </w:pPr>
            <w:r>
              <w:rPr>
                <w:rFonts w:ascii="Arial" w:cs="Arial" w:eastAsia="Arial" w:hAnsi="Arial"/>
                <w:sz w:val="14"/>
                <w:szCs w:val="14"/>
                <w:b w:val="1"/>
                <w:bCs w:val="1"/>
                <w:color w:val="003082"/>
              </w:rPr>
              <w:t>2020</w:t>
            </w: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Real-time engagement service revenues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99.2 %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99.4 %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99.7 %</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3082"/>
              </w:rPr>
              <w:t>Other revenues</w:t>
            </w:r>
          </w:p>
        </w:tc>
        <w:tc>
          <w:tcPr>
            <w:tcW w:w="1520" w:type="dxa"/>
            <w:vAlign w:val="bottom"/>
          </w:tcPr>
          <w:p>
            <w:pPr>
              <w:jc w:val="right"/>
              <w:ind w:right="132"/>
              <w:spacing w:after="0"/>
              <w:rPr>
                <w:sz w:val="20"/>
                <w:szCs w:val="20"/>
                <w:color w:val="auto"/>
              </w:rPr>
            </w:pPr>
            <w:r>
              <w:rPr>
                <w:rFonts w:ascii="Arial" w:cs="Arial" w:eastAsia="Arial" w:hAnsi="Arial"/>
                <w:sz w:val="18"/>
                <w:szCs w:val="18"/>
                <w:color w:val="003082"/>
              </w:rPr>
              <w:t>1.0</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003082"/>
              </w:rPr>
              <w:t>0.8</w:t>
            </w:r>
          </w:p>
        </w:tc>
        <w:tc>
          <w:tcPr>
            <w:tcW w:w="10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003082"/>
              </w:rPr>
              <w:t>0.6</w:t>
            </w:r>
          </w:p>
        </w:tc>
        <w:tc>
          <w:tcPr>
            <w:tcW w:w="12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003082"/>
              </w:rPr>
              <w:t>0.3</w:t>
            </w:r>
          </w:p>
        </w:tc>
      </w:tr>
      <w:tr>
        <w:trPr>
          <w:trHeight w:val="27"/>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Total revenues</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003082"/>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003082"/>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003082"/>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003082"/>
              </w:rPr>
              <w:t>100.0</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3082"/>
              </w:rPr>
              <w:t>Cost of revenues</w:t>
            </w:r>
          </w:p>
        </w:tc>
        <w:tc>
          <w:tcPr>
            <w:tcW w:w="1520" w:type="dxa"/>
            <w:vAlign w:val="bottom"/>
          </w:tcPr>
          <w:p>
            <w:pPr>
              <w:jc w:val="right"/>
              <w:ind w:right="72"/>
              <w:spacing w:after="0"/>
              <w:rPr>
                <w:sz w:val="20"/>
                <w:szCs w:val="20"/>
                <w:color w:val="auto"/>
              </w:rPr>
            </w:pPr>
            <w:r>
              <w:rPr>
                <w:rFonts w:ascii="Arial" w:cs="Arial" w:eastAsia="Arial" w:hAnsi="Arial"/>
                <w:sz w:val="18"/>
                <w:szCs w:val="18"/>
                <w:color w:val="003082"/>
              </w:rPr>
              <w:t>(28.9)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003082"/>
              </w:rPr>
              <w:t>(31.7)</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003082"/>
              </w:rPr>
              <w:t>(31.1)</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003082"/>
              </w:rPr>
              <w:t>(31.2)</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Gross profit</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003082"/>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003082"/>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003082"/>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003082"/>
              </w:rPr>
              <w:t>68.8</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3082"/>
              </w:rPr>
              <w:t>Operating expenses:</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Research and development expenses</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003082"/>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003082"/>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003082"/>
              </w:rPr>
              <w:t>(32.9)</w:t>
            </w:r>
          </w:p>
        </w:tc>
      </w:tr>
      <w:tr>
        <w:trPr>
          <w:trHeight w:val="243"/>
        </w:trPr>
        <w:tc>
          <w:tcPr>
            <w:tcW w:w="4820" w:type="dxa"/>
            <w:vAlign w:val="bottom"/>
          </w:tcPr>
          <w:p>
            <w:pPr>
              <w:ind w:left="160"/>
              <w:spacing w:after="0"/>
              <w:rPr>
                <w:sz w:val="20"/>
                <w:szCs w:val="20"/>
                <w:color w:val="auto"/>
              </w:rPr>
            </w:pPr>
            <w:r>
              <w:rPr>
                <w:rFonts w:ascii="Arial" w:cs="Arial" w:eastAsia="Arial" w:hAnsi="Arial"/>
                <w:sz w:val="18"/>
                <w:szCs w:val="18"/>
                <w:color w:val="003082"/>
              </w:rPr>
              <w:t>Sales and marketing expenses</w:t>
            </w:r>
          </w:p>
        </w:tc>
        <w:tc>
          <w:tcPr>
            <w:tcW w:w="1520" w:type="dxa"/>
            <w:vAlign w:val="bottom"/>
          </w:tcPr>
          <w:p>
            <w:pPr>
              <w:jc w:val="right"/>
              <w:ind w:right="72"/>
              <w:spacing w:after="0"/>
              <w:rPr>
                <w:sz w:val="20"/>
                <w:szCs w:val="20"/>
                <w:color w:val="auto"/>
              </w:rPr>
            </w:pPr>
            <w:r>
              <w:rPr>
                <w:rFonts w:ascii="Arial" w:cs="Arial" w:eastAsia="Arial" w:hAnsi="Arial"/>
                <w:sz w:val="18"/>
                <w:szCs w:val="18"/>
                <w:color w:val="003082"/>
              </w:rPr>
              <w:t>(27.5)</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003082"/>
              </w:rPr>
              <w:t>(30.1)</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003082"/>
              </w:rPr>
              <w:t>(30.0)</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003082"/>
              </w:rPr>
              <w:t>(16.9)</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General and administrative expenses</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003082"/>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003082"/>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003082"/>
              </w:rPr>
              <w:t>(10.0)</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003082"/>
              </w:rPr>
              <w:t>Total operating expenses</w:t>
            </w:r>
          </w:p>
        </w:tc>
        <w:tc>
          <w:tcPr>
            <w:tcW w:w="1520" w:type="dxa"/>
            <w:vAlign w:val="bottom"/>
            <w:tcBorders>
              <w:top w:val="single" w:sz="8" w:color="3D5588"/>
            </w:tcBorders>
          </w:tcPr>
          <w:p>
            <w:pPr>
              <w:jc w:val="right"/>
              <w:ind w:right="72"/>
              <w:spacing w:after="0"/>
              <w:rPr>
                <w:sz w:val="20"/>
                <w:szCs w:val="20"/>
                <w:color w:val="auto"/>
              </w:rPr>
            </w:pPr>
            <w:r>
              <w:rPr>
                <w:rFonts w:ascii="Arial" w:cs="Arial" w:eastAsia="Arial" w:hAnsi="Arial"/>
                <w:sz w:val="18"/>
                <w:szCs w:val="18"/>
                <w:color w:val="003082"/>
              </w:rPr>
              <w:t>(72.8)</w:t>
            </w:r>
          </w:p>
        </w:tc>
        <w:tc>
          <w:tcPr>
            <w:tcW w:w="100" w:type="dxa"/>
            <w:vAlign w:val="bottom"/>
          </w:tcPr>
          <w:p>
            <w:pPr>
              <w:spacing w:after="0"/>
              <w:rPr>
                <w:sz w:val="20"/>
                <w:szCs w:val="20"/>
                <w:color w:val="auto"/>
              </w:rPr>
            </w:pPr>
          </w:p>
        </w:tc>
        <w:tc>
          <w:tcPr>
            <w:tcW w:w="1540" w:type="dxa"/>
            <w:vAlign w:val="bottom"/>
            <w:tcBorders>
              <w:top w:val="single" w:sz="8" w:color="3D5588"/>
            </w:tcBorders>
          </w:tcPr>
          <w:p>
            <w:pPr>
              <w:jc w:val="right"/>
              <w:ind w:right="91"/>
              <w:spacing w:after="0"/>
              <w:rPr>
                <w:sz w:val="20"/>
                <w:szCs w:val="20"/>
                <w:color w:val="auto"/>
              </w:rPr>
            </w:pPr>
            <w:r>
              <w:rPr>
                <w:rFonts w:ascii="Arial" w:cs="Arial" w:eastAsia="Arial" w:hAnsi="Arial"/>
                <w:sz w:val="18"/>
                <w:szCs w:val="18"/>
                <w:color w:val="003082"/>
              </w:rPr>
              <w:t>(77.9)</w:t>
            </w:r>
          </w:p>
        </w:tc>
        <w:tc>
          <w:tcPr>
            <w:tcW w:w="100" w:type="dxa"/>
            <w:vAlign w:val="bottom"/>
          </w:tcPr>
          <w:p>
            <w:pPr>
              <w:spacing w:after="0"/>
              <w:rPr>
                <w:sz w:val="20"/>
                <w:szCs w:val="20"/>
                <w:color w:val="auto"/>
              </w:rPr>
            </w:pPr>
          </w:p>
        </w:tc>
        <w:tc>
          <w:tcPr>
            <w:tcW w:w="1520" w:type="dxa"/>
            <w:vAlign w:val="bottom"/>
            <w:tcBorders>
              <w:top w:val="single" w:sz="8" w:color="3D5588"/>
            </w:tcBorders>
          </w:tcPr>
          <w:p>
            <w:pPr>
              <w:jc w:val="right"/>
              <w:ind w:right="92"/>
              <w:spacing w:after="0"/>
              <w:rPr>
                <w:sz w:val="20"/>
                <w:szCs w:val="20"/>
                <w:color w:val="auto"/>
              </w:rPr>
            </w:pPr>
            <w:r>
              <w:rPr>
                <w:rFonts w:ascii="Arial" w:cs="Arial" w:eastAsia="Arial" w:hAnsi="Arial"/>
                <w:sz w:val="18"/>
                <w:szCs w:val="18"/>
                <w:color w:val="003082"/>
              </w:rPr>
              <w:t>(73.1)</w:t>
            </w:r>
          </w:p>
        </w:tc>
        <w:tc>
          <w:tcPr>
            <w:tcW w:w="120" w:type="dxa"/>
            <w:vAlign w:val="bottom"/>
          </w:tcPr>
          <w:p>
            <w:pPr>
              <w:spacing w:after="0"/>
              <w:rPr>
                <w:sz w:val="20"/>
                <w:szCs w:val="20"/>
                <w:color w:val="auto"/>
              </w:rPr>
            </w:pPr>
          </w:p>
        </w:tc>
        <w:tc>
          <w:tcPr>
            <w:tcW w:w="1520" w:type="dxa"/>
            <w:vAlign w:val="bottom"/>
            <w:tcBorders>
              <w:top w:val="single" w:sz="8" w:color="3D5588"/>
            </w:tcBorders>
          </w:tcPr>
          <w:p>
            <w:pPr>
              <w:jc w:val="right"/>
              <w:ind w:right="71"/>
              <w:spacing w:after="0"/>
              <w:rPr>
                <w:sz w:val="20"/>
                <w:szCs w:val="20"/>
                <w:color w:val="auto"/>
              </w:rPr>
            </w:pPr>
            <w:r>
              <w:rPr>
                <w:rFonts w:ascii="Arial" w:cs="Arial" w:eastAsia="Arial" w:hAnsi="Arial"/>
                <w:sz w:val="18"/>
                <w:szCs w:val="18"/>
                <w:color w:val="003082"/>
              </w:rPr>
              <w:t>(59.7)</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operating income</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003082"/>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003082"/>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003082"/>
              </w:rPr>
              <w:t>—</w:t>
            </w: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003082"/>
              </w:rPr>
              <w:t>0.1</w:t>
            </w: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003082"/>
              </w:rPr>
              <w:t>Income (loss) from operations</w:t>
            </w:r>
          </w:p>
        </w:tc>
        <w:tc>
          <w:tcPr>
            <w:tcW w:w="1520" w:type="dxa"/>
            <w:vAlign w:val="bottom"/>
            <w:tcBorders>
              <w:top w:val="single" w:sz="8" w:color="3D5588"/>
            </w:tcBorders>
          </w:tcPr>
          <w:p>
            <w:pPr>
              <w:jc w:val="right"/>
              <w:ind w:right="132"/>
              <w:spacing w:after="0"/>
              <w:rPr>
                <w:sz w:val="20"/>
                <w:szCs w:val="20"/>
                <w:color w:val="auto"/>
              </w:rPr>
            </w:pPr>
            <w:r>
              <w:rPr>
                <w:rFonts w:ascii="Arial" w:cs="Arial" w:eastAsia="Arial" w:hAnsi="Arial"/>
                <w:sz w:val="18"/>
                <w:szCs w:val="18"/>
                <w:color w:val="003082"/>
              </w:rPr>
              <w:t>0.6</w:t>
            </w:r>
          </w:p>
        </w:tc>
        <w:tc>
          <w:tcPr>
            <w:tcW w:w="100" w:type="dxa"/>
            <w:vAlign w:val="bottom"/>
          </w:tcPr>
          <w:p>
            <w:pPr>
              <w:spacing w:after="0"/>
              <w:rPr>
                <w:sz w:val="20"/>
                <w:szCs w:val="20"/>
                <w:color w:val="auto"/>
              </w:rPr>
            </w:pPr>
          </w:p>
        </w:tc>
        <w:tc>
          <w:tcPr>
            <w:tcW w:w="1540" w:type="dxa"/>
            <w:vAlign w:val="bottom"/>
            <w:tcBorders>
              <w:top w:val="single" w:sz="8" w:color="3D5588"/>
            </w:tcBorders>
          </w:tcPr>
          <w:p>
            <w:pPr>
              <w:jc w:val="right"/>
              <w:ind w:right="91"/>
              <w:spacing w:after="0"/>
              <w:rPr>
                <w:sz w:val="20"/>
                <w:szCs w:val="20"/>
                <w:color w:val="auto"/>
              </w:rPr>
            </w:pPr>
            <w:r>
              <w:rPr>
                <w:rFonts w:ascii="Arial" w:cs="Arial" w:eastAsia="Arial" w:hAnsi="Arial"/>
                <w:sz w:val="18"/>
                <w:szCs w:val="18"/>
                <w:color w:val="003082"/>
              </w:rPr>
              <w:t>(9.5)</w:t>
            </w:r>
          </w:p>
        </w:tc>
        <w:tc>
          <w:tcPr>
            <w:tcW w:w="100" w:type="dxa"/>
            <w:vAlign w:val="bottom"/>
          </w:tcPr>
          <w:p>
            <w:pPr>
              <w:spacing w:after="0"/>
              <w:rPr>
                <w:sz w:val="20"/>
                <w:szCs w:val="20"/>
                <w:color w:val="auto"/>
              </w:rPr>
            </w:pPr>
          </w:p>
        </w:tc>
        <w:tc>
          <w:tcPr>
            <w:tcW w:w="1520" w:type="dxa"/>
            <w:vAlign w:val="bottom"/>
            <w:tcBorders>
              <w:top w:val="single" w:sz="8" w:color="3D5588"/>
            </w:tcBorders>
          </w:tcPr>
          <w:p>
            <w:pPr>
              <w:jc w:val="right"/>
              <w:ind w:right="92"/>
              <w:spacing w:after="0"/>
              <w:rPr>
                <w:sz w:val="20"/>
                <w:szCs w:val="20"/>
                <w:color w:val="auto"/>
              </w:rPr>
            </w:pPr>
            <w:r>
              <w:rPr>
                <w:rFonts w:ascii="Arial" w:cs="Arial" w:eastAsia="Arial" w:hAnsi="Arial"/>
                <w:sz w:val="18"/>
                <w:szCs w:val="18"/>
                <w:color w:val="003082"/>
              </w:rPr>
              <w:t>(4.1)</w:t>
            </w:r>
          </w:p>
        </w:tc>
        <w:tc>
          <w:tcPr>
            <w:tcW w:w="120" w:type="dxa"/>
            <w:vAlign w:val="bottom"/>
          </w:tcPr>
          <w:p>
            <w:pPr>
              <w:spacing w:after="0"/>
              <w:rPr>
                <w:sz w:val="20"/>
                <w:szCs w:val="20"/>
                <w:color w:val="auto"/>
              </w:rPr>
            </w:pPr>
          </w:p>
        </w:tc>
        <w:tc>
          <w:tcPr>
            <w:tcW w:w="1520" w:type="dxa"/>
            <w:vAlign w:val="bottom"/>
            <w:tcBorders>
              <w:top w:val="single" w:sz="8" w:color="3D5588"/>
            </w:tcBorders>
          </w:tcPr>
          <w:p>
            <w:pPr>
              <w:jc w:val="right"/>
              <w:ind w:right="131"/>
              <w:spacing w:after="0"/>
              <w:rPr>
                <w:sz w:val="20"/>
                <w:szCs w:val="20"/>
                <w:color w:val="auto"/>
              </w:rPr>
            </w:pPr>
            <w:r>
              <w:rPr>
                <w:rFonts w:ascii="Arial" w:cs="Arial" w:eastAsia="Arial" w:hAnsi="Arial"/>
                <w:sz w:val="18"/>
                <w:szCs w:val="18"/>
                <w:color w:val="003082"/>
              </w:rPr>
              <w:t>9.2</w:t>
            </w:r>
          </w:p>
        </w:tc>
      </w:tr>
      <w:tr>
        <w:trPr>
          <w:trHeight w:val="27"/>
        </w:trPr>
        <w:tc>
          <w:tcPr>
            <w:tcW w:w="48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Exchange gain (loss)</w:t>
            </w: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003082"/>
              </w:rPr>
              <w:t>—</w:t>
            </w:r>
          </w:p>
        </w:tc>
        <w:tc>
          <w:tcPr>
            <w:tcW w:w="15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003082"/>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003082"/>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3082"/>
              </w:rPr>
              <w:t>Interest income</w:t>
            </w:r>
          </w:p>
        </w:tc>
        <w:tc>
          <w:tcPr>
            <w:tcW w:w="1520" w:type="dxa"/>
            <w:vAlign w:val="bottom"/>
          </w:tcPr>
          <w:p>
            <w:pPr>
              <w:jc w:val="right"/>
              <w:ind w:right="132"/>
              <w:spacing w:after="0"/>
              <w:rPr>
                <w:sz w:val="20"/>
                <w:szCs w:val="20"/>
                <w:color w:val="auto"/>
              </w:rPr>
            </w:pPr>
            <w:r>
              <w:rPr>
                <w:rFonts w:ascii="Arial" w:cs="Arial" w:eastAsia="Arial" w:hAnsi="Arial"/>
                <w:sz w:val="18"/>
                <w:szCs w:val="18"/>
                <w:color w:val="003082"/>
              </w:rPr>
              <w:t>0.5</w:t>
            </w:r>
          </w:p>
        </w:tc>
        <w:tc>
          <w:tcPr>
            <w:tcW w:w="100" w:type="dxa"/>
            <w:vAlign w:val="bottom"/>
          </w:tcPr>
          <w:p>
            <w:pPr>
              <w:spacing w:after="0"/>
              <w:rPr>
                <w:sz w:val="21"/>
                <w:szCs w:val="21"/>
                <w:color w:val="auto"/>
              </w:rPr>
            </w:pPr>
          </w:p>
        </w:tc>
        <w:tc>
          <w:tcPr>
            <w:tcW w:w="1540" w:type="dxa"/>
            <w:vAlign w:val="bottom"/>
          </w:tcPr>
          <w:p>
            <w:pPr>
              <w:jc w:val="right"/>
              <w:ind w:right="151"/>
              <w:spacing w:after="0"/>
              <w:rPr>
                <w:sz w:val="20"/>
                <w:szCs w:val="20"/>
                <w:color w:val="auto"/>
              </w:rPr>
            </w:pPr>
            <w:r>
              <w:rPr>
                <w:rFonts w:ascii="Arial" w:cs="Arial" w:eastAsia="Arial" w:hAnsi="Arial"/>
                <w:sz w:val="18"/>
                <w:szCs w:val="18"/>
                <w:color w:val="003082"/>
              </w:rPr>
              <w:t>1.0</w:t>
            </w:r>
          </w:p>
        </w:tc>
        <w:tc>
          <w:tcPr>
            <w:tcW w:w="100" w:type="dxa"/>
            <w:vAlign w:val="bottom"/>
          </w:tcPr>
          <w:p>
            <w:pPr>
              <w:spacing w:after="0"/>
              <w:rPr>
                <w:sz w:val="21"/>
                <w:szCs w:val="21"/>
                <w:color w:val="auto"/>
              </w:rPr>
            </w:pPr>
          </w:p>
        </w:tc>
        <w:tc>
          <w:tcPr>
            <w:tcW w:w="1520" w:type="dxa"/>
            <w:vAlign w:val="bottom"/>
          </w:tcPr>
          <w:p>
            <w:pPr>
              <w:jc w:val="right"/>
              <w:ind w:right="152"/>
              <w:spacing w:after="0"/>
              <w:rPr>
                <w:sz w:val="20"/>
                <w:szCs w:val="20"/>
                <w:color w:val="auto"/>
              </w:rPr>
            </w:pPr>
            <w:r>
              <w:rPr>
                <w:rFonts w:ascii="Arial" w:cs="Arial" w:eastAsia="Arial" w:hAnsi="Arial"/>
                <w:sz w:val="18"/>
                <w:szCs w:val="18"/>
                <w:color w:val="003082"/>
              </w:rPr>
              <w:t>0.3</w:t>
            </w:r>
          </w:p>
        </w:tc>
        <w:tc>
          <w:tcPr>
            <w:tcW w:w="120" w:type="dxa"/>
            <w:vAlign w:val="bottom"/>
          </w:tcPr>
          <w:p>
            <w:pPr>
              <w:spacing w:after="0"/>
              <w:rPr>
                <w:sz w:val="21"/>
                <w:szCs w:val="21"/>
                <w:color w:val="auto"/>
              </w:rPr>
            </w:pPr>
          </w:p>
        </w:tc>
        <w:tc>
          <w:tcPr>
            <w:tcW w:w="1520" w:type="dxa"/>
            <w:vAlign w:val="bottom"/>
          </w:tcPr>
          <w:p>
            <w:pPr>
              <w:jc w:val="right"/>
              <w:ind w:right="131"/>
              <w:spacing w:after="0"/>
              <w:rPr>
                <w:sz w:val="20"/>
                <w:szCs w:val="20"/>
                <w:color w:val="auto"/>
              </w:rPr>
            </w:pPr>
            <w:r>
              <w:rPr>
                <w:rFonts w:ascii="Arial" w:cs="Arial" w:eastAsia="Arial" w:hAnsi="Arial"/>
                <w:sz w:val="18"/>
                <w:szCs w:val="18"/>
                <w:color w:val="003082"/>
              </w:rPr>
              <w:t>0.3</w:t>
            </w:r>
          </w:p>
        </w:tc>
      </w:tr>
      <w:tr>
        <w:trPr>
          <w:trHeight w:val="27"/>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Income (loss) before income taxes</w:t>
            </w:r>
          </w:p>
        </w:tc>
        <w:tc>
          <w:tcPr>
            <w:tcW w:w="15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003082"/>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003082"/>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003082"/>
              </w:rPr>
              <w:t>9.4</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003082"/>
              </w:rPr>
              <w:t>Income taxes</w:t>
            </w:r>
          </w:p>
        </w:tc>
        <w:tc>
          <w:tcPr>
            <w:tcW w:w="1520" w:type="dxa"/>
            <w:vAlign w:val="bottom"/>
          </w:tcPr>
          <w:p>
            <w:pPr>
              <w:jc w:val="right"/>
              <w:ind w:right="72"/>
              <w:spacing w:after="0"/>
              <w:rPr>
                <w:sz w:val="20"/>
                <w:szCs w:val="20"/>
                <w:color w:val="auto"/>
              </w:rPr>
            </w:pPr>
            <w:r>
              <w:rPr>
                <w:rFonts w:ascii="Arial" w:cs="Arial" w:eastAsia="Arial" w:hAnsi="Arial"/>
                <w:sz w:val="18"/>
                <w:szCs w:val="18"/>
                <w:color w:val="003082"/>
              </w:rPr>
              <w:t>(0.2)</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003082"/>
              </w:rPr>
              <w:t>(1.2)</w:t>
            </w:r>
          </w:p>
        </w:tc>
        <w:tc>
          <w:tcPr>
            <w:tcW w:w="100" w:type="dxa"/>
            <w:vAlign w:val="bottom"/>
          </w:tcPr>
          <w:p>
            <w:pPr>
              <w:spacing w:after="0"/>
              <w:rPr>
                <w:sz w:val="21"/>
                <w:szCs w:val="21"/>
                <w:color w:val="auto"/>
              </w:rPr>
            </w:pPr>
          </w:p>
        </w:tc>
        <w:tc>
          <w:tcPr>
            <w:tcW w:w="1520" w:type="dxa"/>
            <w:vAlign w:val="bottom"/>
          </w:tcPr>
          <w:p>
            <w:pPr>
              <w:jc w:val="right"/>
              <w:ind w:right="92"/>
              <w:spacing w:after="0"/>
              <w:rPr>
                <w:sz w:val="20"/>
                <w:szCs w:val="20"/>
                <w:color w:val="auto"/>
              </w:rPr>
            </w:pPr>
            <w:r>
              <w:rPr>
                <w:rFonts w:ascii="Arial" w:cs="Arial" w:eastAsia="Arial" w:hAnsi="Arial"/>
                <w:sz w:val="18"/>
                <w:szCs w:val="18"/>
                <w:color w:val="003082"/>
              </w:rPr>
              <w:t>(1.4)</w:t>
            </w:r>
          </w:p>
        </w:tc>
        <w:tc>
          <w:tcPr>
            <w:tcW w:w="120" w:type="dxa"/>
            <w:vAlign w:val="bottom"/>
          </w:tcPr>
          <w:p>
            <w:pPr>
              <w:spacing w:after="0"/>
              <w:rPr>
                <w:sz w:val="21"/>
                <w:szCs w:val="21"/>
                <w:color w:val="auto"/>
              </w:rPr>
            </w:pPr>
          </w:p>
        </w:tc>
        <w:tc>
          <w:tcPr>
            <w:tcW w:w="1520" w:type="dxa"/>
            <w:vAlign w:val="bottom"/>
          </w:tcPr>
          <w:p>
            <w:pPr>
              <w:jc w:val="right"/>
              <w:ind w:right="71"/>
              <w:spacing w:after="0"/>
              <w:rPr>
                <w:sz w:val="20"/>
                <w:szCs w:val="20"/>
                <w:color w:val="auto"/>
              </w:rPr>
            </w:pPr>
            <w:r>
              <w:rPr>
                <w:rFonts w:ascii="Arial" w:cs="Arial" w:eastAsia="Arial" w:hAnsi="Arial"/>
                <w:sz w:val="18"/>
                <w:szCs w:val="18"/>
                <w:color w:val="003082"/>
              </w:rPr>
              <w:t>(1.0)</w:t>
            </w:r>
          </w:p>
        </w:tc>
      </w:tr>
      <w:tr>
        <w:trPr>
          <w:trHeight w:val="27"/>
        </w:trPr>
        <w:tc>
          <w:tcPr>
            <w:tcW w:w="482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3D5588"/>
            </w:tcBorders>
          </w:tcPr>
          <w:p>
            <w:pPr>
              <w:spacing w:after="0"/>
              <w:rPr>
                <w:sz w:val="2"/>
                <w:szCs w:val="2"/>
                <w:color w:val="auto"/>
              </w:rPr>
            </w:pP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Net income (loss)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0.9 %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(9.6)%</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(5.4)%</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8.4 %</w:t>
            </w:r>
          </w:p>
        </w:tc>
      </w:tr>
      <w:tr>
        <w:trPr>
          <w:trHeight w:val="27"/>
        </w:trPr>
        <w:tc>
          <w:tcPr>
            <w:tcW w:w="48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Comparison of Three Months Ended March 31, 2019 and 2020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ind w:left="440"/>
              <w:spacing w:after="0"/>
              <w:rPr>
                <w:sz w:val="20"/>
                <w:szCs w:val="20"/>
                <w:color w:val="auto"/>
              </w:rPr>
            </w:pPr>
            <w:r>
              <w:rPr>
                <w:rFonts w:ascii="Arial" w:cs="Arial" w:eastAsia="Arial" w:hAnsi="Arial"/>
                <w:sz w:val="14"/>
                <w:szCs w:val="14"/>
                <w:b w:val="1"/>
                <w:bCs w:val="1"/>
                <w:color w:val="003082"/>
              </w:rPr>
              <w:t>Three Months Ended</w:t>
            </w:r>
          </w:p>
        </w:tc>
        <w:tc>
          <w:tcPr>
            <w:tcW w:w="7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520" w:type="dxa"/>
            <w:vAlign w:val="bottom"/>
            <w:tcBorders>
              <w:bottom w:val="single" w:sz="8" w:color="3D5588"/>
            </w:tcBorders>
            <w:gridSpan w:val="2"/>
          </w:tcPr>
          <w:p>
            <w:pPr>
              <w:ind w:left="780"/>
              <w:spacing w:after="0"/>
              <w:rPr>
                <w:sz w:val="20"/>
                <w:szCs w:val="20"/>
                <w:color w:val="auto"/>
              </w:rPr>
            </w:pPr>
            <w:r>
              <w:rPr>
                <w:rFonts w:ascii="Arial" w:cs="Arial" w:eastAsia="Arial" w:hAnsi="Arial"/>
                <w:sz w:val="14"/>
                <w:szCs w:val="14"/>
                <w:b w:val="1"/>
                <w:bCs w:val="1"/>
                <w:color w:val="003082"/>
              </w:rPr>
              <w:t>March 31,</w:t>
            </w:r>
          </w:p>
        </w:tc>
        <w:tc>
          <w:tcPr>
            <w:tcW w:w="96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3D5588"/>
            </w:tcBorders>
          </w:tcPr>
          <w:p>
            <w:pPr>
              <w:spacing w:after="0"/>
              <w:rPr>
                <w:sz w:val="16"/>
                <w:szCs w:val="16"/>
                <w:color w:val="auto"/>
              </w:rPr>
            </w:pPr>
          </w:p>
        </w:tc>
        <w:tc>
          <w:tcPr>
            <w:tcW w:w="116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484"/>
              <w:spacing w:after="0"/>
              <w:rPr>
                <w:sz w:val="20"/>
                <w:szCs w:val="20"/>
                <w:color w:val="auto"/>
              </w:rPr>
            </w:pPr>
            <w:r>
              <w:rPr>
                <w:rFonts w:ascii="Arial" w:cs="Arial" w:eastAsia="Arial" w:hAnsi="Arial"/>
                <w:sz w:val="14"/>
                <w:szCs w:val="14"/>
                <w:b w:val="1"/>
                <w:bCs w:val="1"/>
                <w:color w:val="003082"/>
              </w:rPr>
              <w:t>2019</w:t>
            </w:r>
          </w:p>
        </w:tc>
        <w:tc>
          <w:tcPr>
            <w:tcW w:w="48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ind w:right="462"/>
              <w:spacing w:after="0"/>
              <w:rPr>
                <w:sz w:val="20"/>
                <w:szCs w:val="20"/>
                <w:color w:val="auto"/>
              </w:rPr>
            </w:pPr>
            <w:r>
              <w:rPr>
                <w:rFonts w:ascii="Arial" w:cs="Arial" w:eastAsia="Arial" w:hAnsi="Arial"/>
                <w:sz w:val="14"/>
                <w:szCs w:val="14"/>
                <w:b w:val="1"/>
                <w:bCs w:val="1"/>
                <w:color w:val="003082"/>
              </w:rPr>
              <w:t>2020</w:t>
            </w:r>
          </w:p>
        </w:tc>
        <w:tc>
          <w:tcPr>
            <w:tcW w:w="100" w:type="dxa"/>
            <w:vAlign w:val="bottom"/>
            <w:tcBorders>
              <w:bottom w:val="single" w:sz="8" w:color="3D5588"/>
            </w:tcBorders>
          </w:tcPr>
          <w:p>
            <w:pPr>
              <w:spacing w:after="0"/>
              <w:rPr>
                <w:sz w:val="22"/>
                <w:szCs w:val="22"/>
                <w:color w:val="auto"/>
              </w:rPr>
            </w:pPr>
          </w:p>
        </w:tc>
        <w:tc>
          <w:tcPr>
            <w:tcW w:w="74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w:t>
            </w:r>
          </w:p>
        </w:tc>
        <w:tc>
          <w:tcPr>
            <w:tcW w:w="116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003082"/>
              </w:rPr>
              <w:t>(US$ in thousands)</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040" w:type="dxa"/>
            <w:vAlign w:val="bottom"/>
            <w:shd w:val="clear" w:color="auto" w:fill="CCEEFF"/>
          </w:tcPr>
          <w:p>
            <w:pPr>
              <w:ind w:left="420"/>
              <w:spacing w:after="0"/>
              <w:rPr>
                <w:sz w:val="20"/>
                <w:szCs w:val="20"/>
                <w:color w:val="auto"/>
              </w:rPr>
            </w:pPr>
            <w:r>
              <w:rPr>
                <w:rFonts w:ascii="Arial" w:cs="Arial" w:eastAsia="Arial" w:hAnsi="Arial"/>
                <w:sz w:val="18"/>
                <w:szCs w:val="18"/>
                <w:color w:val="003082"/>
              </w:rPr>
              <w:t>13,362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003082"/>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003082"/>
              </w:rPr>
              <w:t>35,560</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003082"/>
                <w:w w:val="99"/>
              </w:rPr>
              <w:t>$</w:t>
            </w:r>
          </w:p>
        </w:tc>
        <w:tc>
          <w:tcPr>
            <w:tcW w:w="11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003082"/>
                <w:w w:val="87"/>
              </w:rPr>
              <w:t>22,198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166.1%</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increase in total revenues was primarily due to a 161.8% increase in the number of minutes our video products were used, as well as a trend of shifting towards higher resolution video products, in the three months ended March 31, 2020 compared to the prior year period.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94</w:t>
      </w:r>
    </w:p>
    <w:p>
      <w:pPr>
        <w:sectPr>
          <w:pgSz w:w="11900" w:h="16838" w:orient="portrait"/>
          <w:cols w:equalWidth="0" w:num="1">
            <w:col w:w="11240"/>
          </w:cols>
          <w:pgMar w:left="320" w:top="346" w:right="33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i w:val="1"/>
          <w:iCs w:val="1"/>
          <w:color w:val="003082"/>
        </w:rPr>
        <w:t>Cost of Revenue; Gross Margin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003082"/>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600" w:type="dxa"/>
            <w:vAlign w:val="bottom"/>
            <w:tcBorders>
              <w:bottom w:val="single" w:sz="8" w:color="3D5588"/>
            </w:tcBorders>
            <w:gridSpan w:val="2"/>
          </w:tcPr>
          <w:p>
            <w:pPr>
              <w:jc w:val="center"/>
              <w:ind w:left="621"/>
              <w:spacing w:after="0"/>
              <w:rPr>
                <w:sz w:val="20"/>
                <w:szCs w:val="20"/>
                <w:color w:val="auto"/>
              </w:rPr>
            </w:pPr>
            <w:r>
              <w:rPr>
                <w:rFonts w:ascii="Arial" w:cs="Arial" w:eastAsia="Arial" w:hAnsi="Arial"/>
                <w:sz w:val="14"/>
                <w:szCs w:val="14"/>
                <w:b w:val="1"/>
                <w:bCs w:val="1"/>
                <w:color w:val="003082"/>
                <w:w w:val="95"/>
              </w:rPr>
              <w:t>March 31,</w:t>
            </w:r>
          </w:p>
        </w:tc>
        <w:tc>
          <w:tcPr>
            <w:tcW w:w="100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20" w:type="dxa"/>
            <w:vAlign w:val="bottom"/>
            <w:tcBorders>
              <w:bottom w:val="single" w:sz="8" w:color="3D5588"/>
            </w:tcBorders>
          </w:tcPr>
          <w:p>
            <w:pPr>
              <w:jc w:val="right"/>
              <w:ind w:right="521"/>
              <w:spacing w:after="0"/>
              <w:rPr>
                <w:sz w:val="20"/>
                <w:szCs w:val="20"/>
                <w:color w:val="auto"/>
              </w:rPr>
            </w:pPr>
            <w:r>
              <w:rPr>
                <w:rFonts w:ascii="Arial" w:cs="Arial" w:eastAsia="Arial" w:hAnsi="Arial"/>
                <w:sz w:val="14"/>
                <w:szCs w:val="14"/>
                <w:b w:val="1"/>
                <w:bCs w:val="1"/>
                <w:color w:val="003082"/>
              </w:rPr>
              <w:t>2019</w:t>
            </w:r>
          </w:p>
        </w:tc>
        <w:tc>
          <w:tcPr>
            <w:tcW w:w="48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2020</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003082"/>
              </w:rPr>
              <w:t>(4,152)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003082"/>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003082"/>
              </w:rPr>
              <w:t>(11,082)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003082"/>
              </w:rPr>
              <w:t>(6,930)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166.9%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Gross margin</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003082"/>
              </w:rPr>
              <w:t>68.9%</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3082"/>
              </w:rPr>
              <w:t>68.8%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Of the increase in cost of revenues, US$5.6 million was attributable to the increase in bandwidth and co-location costs as we continued to scale our business and to meet COVID-19-generated demand for usage of applications that integrate our products. Cost of revenue was also impacted by a US$0.4 million increase in depreciation.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Gross margin was relatively flat at 68.8% in the three months ended March 31, 2020, compared to 68.9% in the prior year period, as the increase in the video usage and shift towards higher resolution video products was offset by the increased prices for bandwidth and servers in response to COVID-19 driven demand for online activity.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Research and Development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003082"/>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600" w:type="dxa"/>
            <w:vAlign w:val="bottom"/>
            <w:tcBorders>
              <w:bottom w:val="single" w:sz="8" w:color="3D5588"/>
            </w:tcBorders>
            <w:gridSpan w:val="2"/>
          </w:tcPr>
          <w:p>
            <w:pPr>
              <w:jc w:val="center"/>
              <w:ind w:left="621"/>
              <w:spacing w:after="0"/>
              <w:rPr>
                <w:sz w:val="20"/>
                <w:szCs w:val="20"/>
                <w:color w:val="auto"/>
              </w:rPr>
            </w:pPr>
            <w:r>
              <w:rPr>
                <w:rFonts w:ascii="Arial" w:cs="Arial" w:eastAsia="Arial" w:hAnsi="Arial"/>
                <w:sz w:val="14"/>
                <w:szCs w:val="14"/>
                <w:b w:val="1"/>
                <w:bCs w:val="1"/>
                <w:color w:val="003082"/>
                <w:w w:val="95"/>
              </w:rPr>
              <w:t>March 31,</w:t>
            </w:r>
          </w:p>
        </w:tc>
        <w:tc>
          <w:tcPr>
            <w:tcW w:w="100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20" w:type="dxa"/>
            <w:vAlign w:val="bottom"/>
            <w:tcBorders>
              <w:bottom w:val="single" w:sz="8" w:color="3D5588"/>
            </w:tcBorders>
          </w:tcPr>
          <w:p>
            <w:pPr>
              <w:jc w:val="right"/>
              <w:ind w:right="521"/>
              <w:spacing w:after="0"/>
              <w:rPr>
                <w:sz w:val="20"/>
                <w:szCs w:val="20"/>
                <w:color w:val="auto"/>
              </w:rPr>
            </w:pPr>
            <w:r>
              <w:rPr>
                <w:rFonts w:ascii="Arial" w:cs="Arial" w:eastAsia="Arial" w:hAnsi="Arial"/>
                <w:sz w:val="14"/>
                <w:szCs w:val="14"/>
                <w:b w:val="1"/>
                <w:bCs w:val="1"/>
                <w:color w:val="003082"/>
              </w:rPr>
              <w:t>2019</w:t>
            </w:r>
          </w:p>
        </w:tc>
        <w:tc>
          <w:tcPr>
            <w:tcW w:w="48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2020</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Research and development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003082"/>
              </w:rPr>
              <w:t>(4,200)</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003082"/>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003082"/>
              </w:rPr>
              <w:t>(11,688)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003082"/>
              </w:rPr>
              <w:t>(7,488)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178.3%</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003082"/>
              </w:rPr>
              <w:t>31.4%</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3082"/>
              </w:rPr>
              <w:t>32.9%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Of the increase in research and development expenses, US$7.2 million was due to increased employee wages and benefits expense as we continued to build our team.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Selling and Marketing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003082"/>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600" w:type="dxa"/>
            <w:vAlign w:val="bottom"/>
            <w:tcBorders>
              <w:bottom w:val="single" w:sz="8" w:color="3D5588"/>
            </w:tcBorders>
            <w:gridSpan w:val="2"/>
          </w:tcPr>
          <w:p>
            <w:pPr>
              <w:jc w:val="center"/>
              <w:ind w:left="621"/>
              <w:spacing w:after="0"/>
              <w:rPr>
                <w:sz w:val="20"/>
                <w:szCs w:val="20"/>
                <w:color w:val="auto"/>
              </w:rPr>
            </w:pPr>
            <w:r>
              <w:rPr>
                <w:rFonts w:ascii="Arial" w:cs="Arial" w:eastAsia="Arial" w:hAnsi="Arial"/>
                <w:sz w:val="14"/>
                <w:szCs w:val="14"/>
                <w:b w:val="1"/>
                <w:bCs w:val="1"/>
                <w:color w:val="003082"/>
                <w:w w:val="95"/>
              </w:rPr>
              <w:t>March 31,</w:t>
            </w:r>
          </w:p>
        </w:tc>
        <w:tc>
          <w:tcPr>
            <w:tcW w:w="100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20" w:type="dxa"/>
            <w:vAlign w:val="bottom"/>
            <w:tcBorders>
              <w:bottom w:val="single" w:sz="8" w:color="3D5588"/>
            </w:tcBorders>
          </w:tcPr>
          <w:p>
            <w:pPr>
              <w:jc w:val="right"/>
              <w:ind w:right="521"/>
              <w:spacing w:after="0"/>
              <w:rPr>
                <w:sz w:val="20"/>
                <w:szCs w:val="20"/>
                <w:color w:val="auto"/>
              </w:rPr>
            </w:pPr>
            <w:r>
              <w:rPr>
                <w:rFonts w:ascii="Arial" w:cs="Arial" w:eastAsia="Arial" w:hAnsi="Arial"/>
                <w:sz w:val="14"/>
                <w:szCs w:val="14"/>
                <w:b w:val="1"/>
                <w:bCs w:val="1"/>
                <w:color w:val="003082"/>
              </w:rPr>
              <w:t>2019</w:t>
            </w:r>
          </w:p>
        </w:tc>
        <w:tc>
          <w:tcPr>
            <w:tcW w:w="48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2020</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Sales and marketing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003082"/>
              </w:rPr>
              <w:t>(4,006)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003082"/>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003082"/>
              </w:rPr>
              <w:t>(6,002)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003082"/>
              </w:rPr>
              <w:t>(1,996)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49.8%</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003082"/>
              </w:rPr>
              <w:t>30.0%</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3082"/>
              </w:rPr>
              <w:t>16.9%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Of the increase in sales and marketing expenses, US$1.8 million was due to increased employee wages and benefits expense as we continued to build our team and a US$0.1 million increase in share-based compensation. Sales and marketing expenses as a percentage of total revenue decreased as we scaled our business as result of COVID-19 demand for online engagement and, to a lesser degree, as a result of reduced costs for in-person marketing.</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003082"/>
                <w:w w:val="93"/>
              </w:rPr>
              <w:t>Three Months Ended</w:t>
            </w: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780" w:type="dxa"/>
            <w:vAlign w:val="bottom"/>
            <w:tcBorders>
              <w:bottom w:val="single" w:sz="8" w:color="3D5588"/>
            </w:tcBorders>
            <w:gridSpan w:val="2"/>
          </w:tcPr>
          <w:p>
            <w:pPr>
              <w:jc w:val="center"/>
              <w:ind w:left="799"/>
              <w:spacing w:after="0"/>
              <w:rPr>
                <w:sz w:val="20"/>
                <w:szCs w:val="20"/>
                <w:color w:val="auto"/>
              </w:rPr>
            </w:pPr>
            <w:r>
              <w:rPr>
                <w:rFonts w:ascii="Arial" w:cs="Arial" w:eastAsia="Arial" w:hAnsi="Arial"/>
                <w:sz w:val="14"/>
                <w:szCs w:val="14"/>
                <w:b w:val="1"/>
                <w:bCs w:val="1"/>
                <w:color w:val="003082"/>
                <w:w w:val="95"/>
              </w:rPr>
              <w:t>March 31,</w:t>
            </w:r>
          </w:p>
        </w:tc>
        <w:tc>
          <w:tcPr>
            <w:tcW w:w="100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519"/>
              <w:spacing w:after="0"/>
              <w:rPr>
                <w:sz w:val="20"/>
                <w:szCs w:val="20"/>
                <w:color w:val="auto"/>
              </w:rPr>
            </w:pPr>
            <w:r>
              <w:rPr>
                <w:rFonts w:ascii="Arial" w:cs="Arial" w:eastAsia="Arial" w:hAnsi="Arial"/>
                <w:sz w:val="14"/>
                <w:szCs w:val="14"/>
                <w:b w:val="1"/>
                <w:bCs w:val="1"/>
                <w:color w:val="003082"/>
              </w:rPr>
              <w:t>2019</w:t>
            </w:r>
          </w:p>
        </w:tc>
        <w:tc>
          <w:tcPr>
            <w:tcW w:w="48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2020</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003082"/>
              </w:rPr>
              <w:t>(1,562)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003082"/>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003082"/>
              </w:rPr>
              <w:t>(3,545)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003082"/>
              </w:rPr>
              <w:t>(1,983)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127.0%</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Percentage of total revenues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003082"/>
              </w:rPr>
              <w:t>11.7%</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003082"/>
              </w:rPr>
              <w:t>10.0%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5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999"/>
              <w:spacing w:after="0"/>
              <w:rPr>
                <w:sz w:val="20"/>
                <w:szCs w:val="20"/>
                <w:color w:val="auto"/>
              </w:rPr>
            </w:pPr>
            <w:r>
              <w:rPr>
                <w:rFonts w:ascii="Arial" w:cs="Arial" w:eastAsia="Arial" w:hAnsi="Arial"/>
                <w:sz w:val="18"/>
                <w:szCs w:val="18"/>
                <w:color w:val="003082"/>
                <w:w w:val="99"/>
              </w:rPr>
              <w:t>95</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9" w:right="339" w:bottom="1440" w:gutter="0" w:footer="0" w:header="0"/>
        </w:sectPr>
      </w:pPr>
    </w:p>
    <w:bookmarkStart w:id="100" w:name="page101"/>
    <w:bookmarkEnd w:id="100"/>
    <w:p>
      <w:pPr>
        <w:jc w:val="both"/>
        <w:ind w:firstLine="324"/>
        <w:spacing w:after="0" w:line="259" w:lineRule="auto"/>
        <w:rPr>
          <w:sz w:val="20"/>
          <w:szCs w:val="20"/>
          <w:color w:val="auto"/>
        </w:rPr>
      </w:pPr>
      <w:r>
        <w:rPr>
          <w:rFonts w:ascii="Arial" w:cs="Arial" w:eastAsia="Arial" w:hAnsi="Arial"/>
          <w:sz w:val="18"/>
          <w:szCs w:val="18"/>
          <w:color w:val="003082"/>
        </w:rPr>
        <w:t>Of the increase in general and administrative expenses, US$1.0 million was due to an increase in employee wages and benefits expense, US$0.4 million due to share-based compensation and US$0.5 million due to an increase in professional fees as we prepared to become a public company. General and administrative expenses decreased as a percentage of revenue as the benefit of scale were partially offset by increased costs related to becoming a public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Other Operating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Other operating income was not material in either the three months ended March 31, 2019 or 2020.</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Interest Income</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3082"/>
        </w:rPr>
        <w:t>The US$54 thousand increase in interest income was primarily due to an increase in the average balance of cash and cash equivalents and short-term investments in the three months ended March 31, 2020 compared to the prior year period, due to proceeds received from the issuance of Series C+ preferred shares in January 2020.</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Income Taxes;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US$0.2 million increase in income taxes was primarily due to the increase in operating income.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Our effective tax rate was (36.1)% for the three months ended March 31, 2019 and 11.0% for the three months ended March 31, 2020. The change in our effective tax rate was primarily due to an increase in operating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Comparison of Years Ended December 31, 2018 and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003082"/>
                <w:w w:val="93"/>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580" w:type="dxa"/>
            <w:vAlign w:val="bottom"/>
            <w:tcBorders>
              <w:bottom w:val="single" w:sz="8" w:color="3D5588"/>
            </w:tcBorders>
            <w:gridSpan w:val="2"/>
          </w:tcPr>
          <w:p>
            <w:pPr>
              <w:jc w:val="center"/>
              <w:ind w:left="504"/>
              <w:spacing w:after="0"/>
              <w:rPr>
                <w:sz w:val="20"/>
                <w:szCs w:val="20"/>
                <w:color w:val="auto"/>
              </w:rPr>
            </w:pPr>
            <w:r>
              <w:rPr>
                <w:rFonts w:ascii="Arial" w:cs="Arial" w:eastAsia="Arial" w:hAnsi="Arial"/>
                <w:sz w:val="14"/>
                <w:szCs w:val="14"/>
                <w:b w:val="1"/>
                <w:bCs w:val="1"/>
                <w:color w:val="003082"/>
                <w:w w:val="92"/>
              </w:rPr>
              <w:t>December 31,</w:t>
            </w:r>
          </w:p>
        </w:tc>
        <w:tc>
          <w:tcPr>
            <w:tcW w:w="90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3D5588"/>
            </w:tcBorders>
          </w:tcPr>
          <w:p>
            <w:pPr>
              <w:spacing w:after="0"/>
              <w:rPr>
                <w:sz w:val="16"/>
                <w:szCs w:val="16"/>
                <w:color w:val="auto"/>
              </w:rPr>
            </w:pPr>
          </w:p>
        </w:tc>
        <w:tc>
          <w:tcPr>
            <w:tcW w:w="116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484"/>
              <w:spacing w:after="0"/>
              <w:rPr>
                <w:sz w:val="20"/>
                <w:szCs w:val="20"/>
                <w:color w:val="auto"/>
              </w:rPr>
            </w:pPr>
            <w:r>
              <w:rPr>
                <w:rFonts w:ascii="Arial" w:cs="Arial" w:eastAsia="Arial" w:hAnsi="Arial"/>
                <w:sz w:val="14"/>
                <w:szCs w:val="14"/>
                <w:b w:val="1"/>
                <w:bCs w:val="1"/>
                <w:color w:val="003082"/>
              </w:rPr>
              <w:t>2018</w:t>
            </w:r>
          </w:p>
        </w:tc>
        <w:tc>
          <w:tcPr>
            <w:tcW w:w="540" w:type="dxa"/>
            <w:vAlign w:val="bottom"/>
            <w:tcBorders>
              <w:bottom w:val="single" w:sz="8" w:color="3D5588"/>
            </w:tcBorders>
          </w:tcPr>
          <w:p>
            <w:pPr>
              <w:spacing w:after="0"/>
              <w:rPr>
                <w:sz w:val="22"/>
                <w:szCs w:val="22"/>
                <w:color w:val="auto"/>
              </w:rPr>
            </w:pPr>
          </w:p>
        </w:tc>
        <w:tc>
          <w:tcPr>
            <w:tcW w:w="900" w:type="dxa"/>
            <w:vAlign w:val="bottom"/>
            <w:tcBorders>
              <w:bottom w:val="single" w:sz="8" w:color="3D5588"/>
            </w:tcBorders>
          </w:tcPr>
          <w:p>
            <w:pPr>
              <w:jc w:val="right"/>
              <w:ind w:right="462"/>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3D5588"/>
            </w:tcBorders>
          </w:tcPr>
          <w:p>
            <w:pPr>
              <w:spacing w:after="0"/>
              <w:rPr>
                <w:sz w:val="22"/>
                <w:szCs w:val="22"/>
                <w:color w:val="auto"/>
              </w:rPr>
            </w:pPr>
          </w:p>
        </w:tc>
        <w:tc>
          <w:tcPr>
            <w:tcW w:w="74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w:t>
            </w:r>
          </w:p>
        </w:tc>
        <w:tc>
          <w:tcPr>
            <w:tcW w:w="116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003082"/>
              </w:rPr>
              <w:t>(US$ in thousands)</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003082"/>
              </w:rPr>
              <w:t>43,657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003082"/>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003082"/>
              </w:rPr>
              <w:t>64,429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003082"/>
                <w:w w:val="99"/>
              </w:rPr>
              <w:t>$</w:t>
            </w:r>
          </w:p>
        </w:tc>
        <w:tc>
          <w:tcPr>
            <w:tcW w:w="11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003082"/>
                <w:w w:val="87"/>
              </w:rPr>
              <w:t>20,772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47.6%</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 increase in total revenues was primarily due to a 68.4% increase in the number of minutes our products were used in 2019 compared to 2018. This increase in usage was partially offset by a 9.1% decrease in the average price per minute as we passed on the marginal cost savings from our higher bandwidth and server utilization due to a more diversified customer base and lower procurement prices due to our increased scale and sought to drive greater usage of our products. Our total revenues also suffered from a 3.7% foreign exchange translation loss resulting from the depreciation of the Renminbi, in which we receive the majority of our revenue, compared to the U.S. dollar from 2018 to 2019. In 2018, the average Renminbi to U.S. dollar exchange rate was 6.6146 and in 2019 the average Renminbi to U.S. dollar exchange rate was 6.8985, according to the mid-price published by the State Administration of Foreign Exchange of China.</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Cost of Revenue; Gross Margin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003082"/>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gridSpan w:val="2"/>
          </w:tcPr>
          <w:p>
            <w:pPr>
              <w:jc w:val="center"/>
              <w:ind w:left="541"/>
              <w:spacing w:after="0"/>
              <w:rPr>
                <w:sz w:val="20"/>
                <w:szCs w:val="20"/>
                <w:color w:val="auto"/>
              </w:rPr>
            </w:pPr>
            <w:r>
              <w:rPr>
                <w:rFonts w:ascii="Arial" w:cs="Arial" w:eastAsia="Arial" w:hAnsi="Arial"/>
                <w:sz w:val="14"/>
                <w:szCs w:val="14"/>
                <w:b w:val="1"/>
                <w:bCs w:val="1"/>
                <w:color w:val="003082"/>
                <w:w w:val="92"/>
              </w:rPr>
              <w:t>December 31,</w:t>
            </w:r>
          </w:p>
        </w:tc>
        <w:tc>
          <w:tcPr>
            <w:tcW w:w="94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20" w:type="dxa"/>
            <w:vAlign w:val="bottom"/>
            <w:tcBorders>
              <w:bottom w:val="single" w:sz="8" w:color="3D5588"/>
            </w:tcBorders>
          </w:tcPr>
          <w:p>
            <w:pPr>
              <w:jc w:val="right"/>
              <w:ind w:right="521"/>
              <w:spacing w:after="0"/>
              <w:rPr>
                <w:sz w:val="20"/>
                <w:szCs w:val="20"/>
                <w:color w:val="auto"/>
              </w:rPr>
            </w:pPr>
            <w:r>
              <w:rPr>
                <w:rFonts w:ascii="Arial" w:cs="Arial" w:eastAsia="Arial" w:hAnsi="Arial"/>
                <w:sz w:val="14"/>
                <w:szCs w:val="14"/>
                <w:b w:val="1"/>
                <w:bCs w:val="1"/>
                <w:color w:val="003082"/>
              </w:rPr>
              <w:t>2018</w:t>
            </w:r>
          </w:p>
        </w:tc>
        <w:tc>
          <w:tcPr>
            <w:tcW w:w="540" w:type="dxa"/>
            <w:vAlign w:val="bottom"/>
            <w:tcBorders>
              <w:bottom w:val="single" w:sz="8" w:color="3D5588"/>
            </w:tcBorders>
          </w:tcPr>
          <w:p>
            <w:pPr>
              <w:spacing w:after="0"/>
              <w:rPr>
                <w:sz w:val="22"/>
                <w:szCs w:val="22"/>
                <w:color w:val="auto"/>
              </w:rPr>
            </w:pPr>
          </w:p>
        </w:tc>
        <w:tc>
          <w:tcPr>
            <w:tcW w:w="94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003082"/>
              </w:rPr>
              <w:t>12,635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3082"/>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003082"/>
              </w:rPr>
              <w:t>20,417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003082"/>
              </w:rPr>
              <w:t>7,782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Gross margin</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003082"/>
              </w:rPr>
              <w:t>71.1%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3082"/>
              </w:rPr>
              <w:t>68.3%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Of the increase in cost of revenues, US$5.9 million was attributable to the increase in bandwidth and co-location costs as we continued to scale our business. Cost of revenue was also impacted by a US$0.7 million increase in depreciation. On a percentage basis, cost of revenues increased by 61.6%, compared to the 68.4% increase in number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96</w:t>
      </w:r>
    </w:p>
    <w:p>
      <w:pPr>
        <w:sectPr>
          <w:pgSz w:w="11900" w:h="16838" w:orient="portrait"/>
          <w:cols w:equalWidth="0" w:num="1">
            <w:col w:w="11240"/>
          </w:cols>
          <w:pgMar w:left="320" w:top="341" w:right="339" w:bottom="1440" w:gutter="0" w:footer="0" w:header="0"/>
        </w:sectPr>
      </w:pPr>
    </w:p>
    <w:bookmarkStart w:id="101" w:name="page102"/>
    <w:bookmarkEnd w:id="101"/>
    <w:p>
      <w:pPr>
        <w:jc w:val="both"/>
        <w:spacing w:after="0" w:line="263" w:lineRule="auto"/>
        <w:rPr>
          <w:sz w:val="20"/>
          <w:szCs w:val="20"/>
          <w:color w:val="auto"/>
        </w:rPr>
      </w:pPr>
      <w:r>
        <w:rPr>
          <w:rFonts w:ascii="Arial" w:cs="Arial" w:eastAsia="Arial" w:hAnsi="Arial"/>
          <w:sz w:val="18"/>
          <w:szCs w:val="18"/>
          <w:color w:val="003082"/>
        </w:rPr>
        <w:t>of minutes, due to our greater bandwidth and server utilization and lower procurement prices. Cost of revenues increased at a faster pace than revenue because of the increase in depreciation as we purchased servers ahead of expected customer demand, and because we offered attractive pricing to drive greater adoption and usage of our products.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Gross margin declined by 2.8 percentage points as a result of the pricing strategy and increase in depreciation discussed above.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Research and Development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003082"/>
                <w:w w:val="93"/>
              </w:rPr>
              <w:t>Year Ended</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620" w:type="dxa"/>
            <w:vAlign w:val="bottom"/>
            <w:tcBorders>
              <w:bottom w:val="single" w:sz="8" w:color="3D5588"/>
            </w:tcBorders>
            <w:gridSpan w:val="2"/>
          </w:tcPr>
          <w:p>
            <w:pPr>
              <w:jc w:val="center"/>
              <w:ind w:left="541"/>
              <w:spacing w:after="0"/>
              <w:rPr>
                <w:sz w:val="20"/>
                <w:szCs w:val="20"/>
                <w:color w:val="auto"/>
              </w:rPr>
            </w:pPr>
            <w:r>
              <w:rPr>
                <w:rFonts w:ascii="Arial" w:cs="Arial" w:eastAsia="Arial" w:hAnsi="Arial"/>
                <w:sz w:val="14"/>
                <w:szCs w:val="14"/>
                <w:b w:val="1"/>
                <w:bCs w:val="1"/>
                <w:color w:val="003082"/>
                <w:w w:val="92"/>
              </w:rPr>
              <w:t>December 31,</w:t>
            </w:r>
          </w:p>
        </w:tc>
        <w:tc>
          <w:tcPr>
            <w:tcW w:w="92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320" w:type="dxa"/>
            <w:vAlign w:val="bottom"/>
            <w:tcBorders>
              <w:bottom w:val="single" w:sz="8" w:color="3D5588"/>
            </w:tcBorders>
          </w:tcPr>
          <w:p>
            <w:pPr>
              <w:spacing w:after="0"/>
              <w:rPr>
                <w:sz w:val="22"/>
                <w:szCs w:val="22"/>
                <w:color w:val="auto"/>
              </w:rPr>
            </w:pPr>
          </w:p>
        </w:tc>
        <w:tc>
          <w:tcPr>
            <w:tcW w:w="1020" w:type="dxa"/>
            <w:vAlign w:val="bottom"/>
            <w:tcBorders>
              <w:bottom w:val="single" w:sz="8" w:color="3D5588"/>
            </w:tcBorders>
          </w:tcPr>
          <w:p>
            <w:pPr>
              <w:jc w:val="right"/>
              <w:ind w:right="461"/>
              <w:spacing w:after="0"/>
              <w:rPr>
                <w:sz w:val="20"/>
                <w:szCs w:val="20"/>
                <w:color w:val="auto"/>
              </w:rPr>
            </w:pPr>
            <w:r>
              <w:rPr>
                <w:rFonts w:ascii="Arial" w:cs="Arial" w:eastAsia="Arial" w:hAnsi="Arial"/>
                <w:sz w:val="14"/>
                <w:szCs w:val="14"/>
                <w:b w:val="1"/>
                <w:bCs w:val="1"/>
                <w:color w:val="003082"/>
              </w:rPr>
              <w:t>2018</w:t>
            </w:r>
          </w:p>
        </w:tc>
        <w:tc>
          <w:tcPr>
            <w:tcW w:w="600" w:type="dxa"/>
            <w:vAlign w:val="bottom"/>
            <w:tcBorders>
              <w:bottom w:val="single" w:sz="8" w:color="3D5588"/>
            </w:tcBorders>
          </w:tcPr>
          <w:p>
            <w:pPr>
              <w:spacing w:after="0"/>
              <w:rPr>
                <w:sz w:val="22"/>
                <w:szCs w:val="22"/>
                <w:color w:val="auto"/>
              </w:rPr>
            </w:pPr>
          </w:p>
        </w:tc>
        <w:tc>
          <w:tcPr>
            <w:tcW w:w="92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10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Research and development expenses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003082"/>
              </w:rPr>
              <w:t>14,426</w:t>
            </w:r>
          </w:p>
        </w:tc>
        <w:tc>
          <w:tcPr>
            <w:tcW w:w="6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003082"/>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003082"/>
              </w:rPr>
              <w:t>23,623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003082"/>
              </w:rPr>
              <w:t>9,197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63.8%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003082"/>
              </w:rPr>
              <w:t>Percentage of total revenues</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8"/>
                <w:szCs w:val="18"/>
                <w:color w:val="003082"/>
              </w:rPr>
              <w:t>33.0%</w:t>
            </w: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003082"/>
              </w:rPr>
              <w:t>36.7%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Of the increase in research and development expenses, US$7.3 million was due to increased employee wages and benefits expense as we continued to build our team and US$0.6 million was due to an increase in share-based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Selling and Marketing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003082"/>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gridSpan w:val="2"/>
          </w:tcPr>
          <w:p>
            <w:pPr>
              <w:jc w:val="center"/>
              <w:ind w:left="541"/>
              <w:spacing w:after="0"/>
              <w:rPr>
                <w:sz w:val="20"/>
                <w:szCs w:val="20"/>
                <w:color w:val="auto"/>
              </w:rPr>
            </w:pPr>
            <w:r>
              <w:rPr>
                <w:rFonts w:ascii="Arial" w:cs="Arial" w:eastAsia="Arial" w:hAnsi="Arial"/>
                <w:sz w:val="14"/>
                <w:szCs w:val="14"/>
                <w:b w:val="1"/>
                <w:bCs w:val="1"/>
                <w:color w:val="003082"/>
                <w:w w:val="92"/>
              </w:rPr>
              <w:t>December 31,</w:t>
            </w:r>
          </w:p>
        </w:tc>
        <w:tc>
          <w:tcPr>
            <w:tcW w:w="94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20" w:type="dxa"/>
            <w:vAlign w:val="bottom"/>
            <w:tcBorders>
              <w:bottom w:val="single" w:sz="8" w:color="3D5588"/>
            </w:tcBorders>
          </w:tcPr>
          <w:p>
            <w:pPr>
              <w:jc w:val="right"/>
              <w:ind w:right="521"/>
              <w:spacing w:after="0"/>
              <w:rPr>
                <w:sz w:val="20"/>
                <w:szCs w:val="20"/>
                <w:color w:val="auto"/>
              </w:rPr>
            </w:pPr>
            <w:r>
              <w:rPr>
                <w:rFonts w:ascii="Arial" w:cs="Arial" w:eastAsia="Arial" w:hAnsi="Arial"/>
                <w:sz w:val="14"/>
                <w:szCs w:val="14"/>
                <w:b w:val="1"/>
                <w:bCs w:val="1"/>
                <w:color w:val="003082"/>
              </w:rPr>
              <w:t>2018</w:t>
            </w:r>
          </w:p>
        </w:tc>
        <w:tc>
          <w:tcPr>
            <w:tcW w:w="540" w:type="dxa"/>
            <w:vAlign w:val="bottom"/>
            <w:tcBorders>
              <w:bottom w:val="single" w:sz="8" w:color="3D5588"/>
            </w:tcBorders>
          </w:tcPr>
          <w:p>
            <w:pPr>
              <w:spacing w:after="0"/>
              <w:rPr>
                <w:sz w:val="22"/>
                <w:szCs w:val="22"/>
                <w:color w:val="auto"/>
              </w:rPr>
            </w:pPr>
          </w:p>
        </w:tc>
        <w:tc>
          <w:tcPr>
            <w:tcW w:w="94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Sales and marketing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003082"/>
              </w:rPr>
              <w:t>11,986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3082"/>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003082"/>
              </w:rPr>
              <w:t>19,408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003082"/>
              </w:rPr>
              <w:t>7,422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003082"/>
              </w:rPr>
              <w:t>27.5%</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3082"/>
              </w:rPr>
              <w:t>30.1%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Of the increase in sales and marketing expenses, US$4.9 million was due to increased employee wages and benefits expense as we continued to build our team, a US$0.9 million increase in marketing expenses, mainly related to hosting and sponsoring conferences and developer events, a US$0.7 million increase in share-based compensation, and a US$0.6 million increase in advertising expenses.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003082"/>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003082"/>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gridSpan w:val="2"/>
          </w:tcPr>
          <w:p>
            <w:pPr>
              <w:jc w:val="center"/>
              <w:ind w:left="541"/>
              <w:spacing w:after="0"/>
              <w:rPr>
                <w:sz w:val="20"/>
                <w:szCs w:val="20"/>
                <w:color w:val="auto"/>
              </w:rPr>
            </w:pPr>
            <w:r>
              <w:rPr>
                <w:rFonts w:ascii="Arial" w:cs="Arial" w:eastAsia="Arial" w:hAnsi="Arial"/>
                <w:sz w:val="14"/>
                <w:szCs w:val="14"/>
                <w:b w:val="1"/>
                <w:bCs w:val="1"/>
                <w:color w:val="003082"/>
                <w:w w:val="92"/>
              </w:rPr>
              <w:t>December 31,</w:t>
            </w:r>
          </w:p>
        </w:tc>
        <w:tc>
          <w:tcPr>
            <w:tcW w:w="94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vMerge w:val="continue"/>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20" w:type="dxa"/>
            <w:vAlign w:val="bottom"/>
            <w:tcBorders>
              <w:bottom w:val="single" w:sz="8" w:color="3D5588"/>
            </w:tcBorders>
          </w:tcPr>
          <w:p>
            <w:pPr>
              <w:jc w:val="right"/>
              <w:ind w:right="521"/>
              <w:spacing w:after="0"/>
              <w:rPr>
                <w:sz w:val="20"/>
                <w:szCs w:val="20"/>
                <w:color w:val="auto"/>
              </w:rPr>
            </w:pPr>
            <w:r>
              <w:rPr>
                <w:rFonts w:ascii="Arial" w:cs="Arial" w:eastAsia="Arial" w:hAnsi="Arial"/>
                <w:sz w:val="14"/>
                <w:szCs w:val="14"/>
                <w:b w:val="1"/>
                <w:bCs w:val="1"/>
                <w:color w:val="003082"/>
              </w:rPr>
              <w:t>2018</w:t>
            </w:r>
          </w:p>
        </w:tc>
        <w:tc>
          <w:tcPr>
            <w:tcW w:w="540" w:type="dxa"/>
            <w:vAlign w:val="bottom"/>
            <w:tcBorders>
              <w:bottom w:val="single" w:sz="8" w:color="3D5588"/>
            </w:tcBorders>
          </w:tcPr>
          <w:p>
            <w:pPr>
              <w:spacing w:after="0"/>
              <w:rPr>
                <w:sz w:val="22"/>
                <w:szCs w:val="22"/>
                <w:color w:val="auto"/>
              </w:rPr>
            </w:pPr>
          </w:p>
        </w:tc>
        <w:tc>
          <w:tcPr>
            <w:tcW w:w="940" w:type="dxa"/>
            <w:vAlign w:val="bottom"/>
            <w:tcBorders>
              <w:bottom w:val="single" w:sz="8" w:color="3D5588"/>
            </w:tcBorders>
          </w:tcPr>
          <w:p>
            <w:pPr>
              <w:jc w:val="right"/>
              <w:ind w:right="479"/>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spacing w:after="0"/>
              <w:rPr>
                <w:sz w:val="22"/>
                <w:szCs w:val="22"/>
                <w:color w:val="auto"/>
              </w:rPr>
            </w:pPr>
          </w:p>
        </w:tc>
        <w:tc>
          <w:tcPr>
            <w:tcW w:w="1300" w:type="dxa"/>
            <w:vAlign w:val="bottom"/>
            <w:tcBorders>
              <w:bottom w:val="single" w:sz="8" w:color="3D5588"/>
            </w:tcBorders>
          </w:tcPr>
          <w:p>
            <w:pPr>
              <w:jc w:val="right"/>
              <w:ind w:right="1082"/>
              <w:spacing w:after="0"/>
              <w:rPr>
                <w:sz w:val="20"/>
                <w:szCs w:val="20"/>
                <w:color w:val="auto"/>
              </w:rPr>
            </w:pPr>
            <w:r>
              <w:rPr>
                <w:rFonts w:ascii="Arial" w:cs="Arial" w:eastAsia="Arial" w:hAnsi="Arial"/>
                <w:sz w:val="14"/>
                <w:szCs w:val="14"/>
                <w:b w:val="1"/>
                <w:bCs w:val="1"/>
                <w:color w:val="003082"/>
              </w:rPr>
              <w:t>$</w:t>
            </w:r>
          </w:p>
        </w:tc>
        <w:tc>
          <w:tcPr>
            <w:tcW w:w="980" w:type="dxa"/>
            <w:vAlign w:val="bottom"/>
            <w:tcBorders>
              <w:bottom w:val="single" w:sz="8" w:color="3D5588"/>
            </w:tcBorders>
          </w:tcPr>
          <w:p>
            <w:pPr>
              <w:jc w:val="right"/>
              <w:ind w:right="539"/>
              <w:spacing w:after="0"/>
              <w:rPr>
                <w:sz w:val="20"/>
                <w:szCs w:val="20"/>
                <w:color w:val="auto"/>
              </w:rPr>
            </w:pPr>
            <w:r>
              <w:rPr>
                <w:rFonts w:ascii="Arial" w:cs="Arial" w:eastAsia="Arial" w:hAnsi="Arial"/>
                <w:sz w:val="14"/>
                <w:szCs w:val="14"/>
                <w:b w:val="1"/>
                <w:bCs w:val="1"/>
                <w:color w:val="003082"/>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003082"/>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003082"/>
              </w:rPr>
              <w:t>5,373</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003082"/>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003082"/>
              </w:rPr>
              <w:t>7,177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003082"/>
              </w:rPr>
              <w:t>1,804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003082"/>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003082"/>
              </w:rPr>
              <w:t>12.3%</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003082"/>
              </w:rPr>
              <w:t>11.1%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Of the increase in general and administrative expenses, US$0.7 million was due to an increase in employee wages and benefits expense, US$0.1 million due to share-based compensation and US$0.6 million due to an increase in professional fees as we prepared to become a public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Other Operating Income</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The US$917 thousand decrease in other operating income was primarily attributable to a US$1.0 million refund we received in 2018 from the Chinese tax bureau for value-added taxes previously paid at a higher rate as our WFOE qualified for and obtained its software enterprise certificate in 2018.</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97</w:t>
      </w:r>
    </w:p>
    <w:p>
      <w:pPr>
        <w:sectPr>
          <w:pgSz w:w="11900" w:h="16838" w:orient="portrait"/>
          <w:cols w:equalWidth="0" w:num="1">
            <w:col w:w="11240"/>
          </w:cols>
          <w:pgMar w:left="320" w:top="341" w:right="339" w:bottom="1440" w:gutter="0" w:footer="0" w:header="0"/>
        </w:sectPr>
      </w:pPr>
    </w:p>
    <w:bookmarkStart w:id="102" w:name="page103"/>
    <w:bookmarkEnd w:id="102"/>
    <w:p>
      <w:pPr>
        <w:ind w:left="340"/>
        <w:spacing w:after="0"/>
        <w:rPr>
          <w:sz w:val="20"/>
          <w:szCs w:val="20"/>
          <w:color w:val="auto"/>
        </w:rPr>
      </w:pPr>
      <w:r>
        <w:rPr>
          <w:rFonts w:ascii="Arial" w:cs="Arial" w:eastAsia="Arial" w:hAnsi="Arial"/>
          <w:sz w:val="18"/>
          <w:szCs w:val="18"/>
          <w:i w:val="1"/>
          <w:iCs w:val="1"/>
          <w:color w:val="003082"/>
        </w:rPr>
        <w:t>Interest Income</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The US$387 thousand increase in interest income was primarily due to an increase in the average balance of cash and cash equivalents and short-term investments in 2019 compared to 2018, due to proceeds received from the issuance of Series C preferred shares in October 2018.</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Income Taxes;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003082"/>
        </w:rPr>
        <w:t>The US$696 thousand increase in income taxes was primarily due to a US$2.0 million increase in pre-tax income generated by our PRC entities.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effective tax rate was 21.8% for 2018 and (14.9)% for 2019. The change in our effective tax rate was primarily due to an increase in non-deductible share-based compensation expense and an increase in valuation allowance primarily attributable to fully provisioning for net operating loss carry-forwards of Agora Lab.</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Selected Quarterly Results of Operations and Other Financial Data</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following tables set forth selected unaudited quarterly results of operations and other financial and operations data for the nine quarters ended March 31, 2020, as well as the percentage that each line item represents of total revenues. The information for each of these quarters has been prepared on the same basis as the audited annual consolidated financial statements included elsewhere in this prospectus and in the opinion of management, includes all adjustments, which include only normal recurring adjustments, necessary for the fair statement of our consolidated results of operations for these periods. This data should be read in conjunction with our consolidated financial statements and related notes included elsewhere in this prospectus. Our quarterly results of operations will vary in the future. These quarterly operating results are not necessarily indicative of our operating results for any future period.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5"/>
          </w:tcPr>
          <w:p>
            <w:pPr>
              <w:ind w:left="40"/>
              <w:spacing w:after="0"/>
              <w:rPr>
                <w:sz w:val="20"/>
                <w:szCs w:val="20"/>
                <w:color w:val="auto"/>
              </w:rPr>
            </w:pPr>
            <w:r>
              <w:rPr>
                <w:rFonts w:ascii="Arial" w:cs="Arial" w:eastAsia="Arial" w:hAnsi="Arial"/>
                <w:sz w:val="11"/>
                <w:szCs w:val="11"/>
                <w:b w:val="1"/>
                <w:bCs w:val="1"/>
                <w:color w:val="003082"/>
                <w:w w:val="99"/>
              </w:rPr>
              <w:t>Three Months Ended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920" w:type="dxa"/>
            <w:vAlign w:val="bottom"/>
            <w:tcBorders>
              <w:bottom w:val="single" w:sz="8" w:color="3D5588"/>
            </w:tcBorders>
            <w:gridSpan w:val="3"/>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840" w:type="dxa"/>
            <w:vAlign w:val="bottom"/>
            <w:tcBorders>
              <w:bottom w:val="single" w:sz="8" w:color="3D5588"/>
            </w:tcBorders>
            <w:gridSpan w:val="2"/>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160" w:type="dxa"/>
            <w:vAlign w:val="bottom"/>
            <w:tcBorders>
              <w:bottom w:val="single" w:sz="8" w:color="3D5588"/>
            </w:tcBorders>
            <w:gridSpan w:val="2"/>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gridSpan w:val="3"/>
          </w:tcPr>
          <w:p>
            <w:pPr>
              <w:spacing w:after="0" w:line="20" w:lineRule="exact"/>
              <w:rPr>
                <w:sz w:val="1"/>
                <w:szCs w:val="1"/>
                <w:color w:val="auto"/>
              </w:rPr>
            </w:pPr>
          </w:p>
        </w:tc>
        <w:tc>
          <w:tcPr>
            <w:tcW w:w="880" w:type="dxa"/>
            <w:vAlign w:val="bottom"/>
            <w:tcBorders>
              <w:bottom w:val="single" w:sz="8" w:color="3D5588"/>
            </w:tcBorders>
            <w:gridSpan w:val="3"/>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120" w:type="dxa"/>
            <w:vAlign w:val="bottom"/>
            <w:tcBorders>
              <w:bottom w:val="single" w:sz="8" w:color="3D5588"/>
            </w:tcBorders>
            <w:gridSpan w:val="2"/>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120" w:type="dxa"/>
            <w:vAlign w:val="bottom"/>
            <w:tcBorders>
              <w:bottom w:val="single" w:sz="8" w:color="3D5588"/>
            </w:tcBorders>
            <w:gridSpan w:val="2"/>
          </w:tcPr>
          <w:p>
            <w:pPr>
              <w:spacing w:after="0" w:line="20" w:lineRule="exact"/>
              <w:rPr>
                <w:sz w:val="1"/>
                <w:szCs w:val="1"/>
                <w:color w:val="auto"/>
              </w:rPr>
            </w:pPr>
          </w:p>
        </w:tc>
        <w:tc>
          <w:tcPr>
            <w:tcW w:w="760" w:type="dxa"/>
            <w:vAlign w:val="bottom"/>
            <w:tcBorders>
              <w:bottom w:val="single" w:sz="8" w:color="3D5588"/>
            </w:tcBorders>
            <w:gridSpan w:val="2"/>
          </w:tcPr>
          <w:p>
            <w:pPr>
              <w:spacing w:after="0" w:line="20" w:lineRule="exact"/>
              <w:rPr>
                <w:sz w:val="1"/>
                <w:szCs w:val="1"/>
                <w:color w:val="auto"/>
              </w:rPr>
            </w:pPr>
          </w:p>
        </w:tc>
      </w:tr>
      <w:tr>
        <w:trPr>
          <w:trHeight w:val="241"/>
        </w:trPr>
        <w:tc>
          <w:tcPr>
            <w:tcW w:w="182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003082"/>
              </w:rPr>
              <w:t>March 31, 2018</w:t>
            </w:r>
          </w:p>
        </w:tc>
        <w:tc>
          <w:tcPr>
            <w:tcW w:w="10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003082"/>
              </w:rPr>
              <w:t>June 30, 2018</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003082"/>
              </w:rPr>
              <w:t>September 30, 2018</w:t>
            </w:r>
          </w:p>
        </w:tc>
        <w:tc>
          <w:tcPr>
            <w:tcW w:w="12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1"/>
                <w:szCs w:val="11"/>
                <w:b w:val="1"/>
                <w:bCs w:val="1"/>
                <w:color w:val="003082"/>
                <w:w w:val="86"/>
              </w:rPr>
              <w:t>December 31, 2018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003082"/>
              </w:rPr>
              <w:t>March 31, 2019</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003082"/>
              </w:rPr>
              <w:t>June 30, 2019</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003082"/>
              </w:rPr>
              <w:t>September 30, 2019</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003082"/>
              </w:rPr>
              <w:t>December 31, 2019</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003082"/>
                <w:w w:val="91"/>
              </w:rPr>
              <w:t>March 31, 2020</w:t>
            </w:r>
          </w:p>
        </w:tc>
      </w:tr>
      <w:tr>
        <w:trPr>
          <w:trHeight w:val="22"/>
        </w:trPr>
        <w:tc>
          <w:tcPr>
            <w:tcW w:w="1820" w:type="dxa"/>
            <w:vAlign w:val="bottom"/>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7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2280" w:type="dxa"/>
            <w:vAlign w:val="bottom"/>
            <w:tcBorders>
              <w:bottom w:val="single" w:sz="8" w:color="3D5588"/>
            </w:tcBorders>
            <w:gridSpan w:val="7"/>
          </w:tcPr>
          <w:p>
            <w:pPr>
              <w:spacing w:after="0" w:line="20" w:lineRule="exact"/>
              <w:rPr>
                <w:sz w:val="1"/>
                <w:szCs w:val="1"/>
                <w:color w:val="auto"/>
              </w:rPr>
            </w:pPr>
          </w:p>
        </w:tc>
        <w:tc>
          <w:tcPr>
            <w:tcW w:w="60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r>
      <w:tr>
        <w:trPr>
          <w:trHeight w:val="174"/>
        </w:trPr>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7"/>
          </w:tcPr>
          <w:p>
            <w:pPr>
              <w:jc w:val="right"/>
              <w:ind w:right="22"/>
              <w:spacing w:after="0"/>
              <w:rPr>
                <w:sz w:val="20"/>
                <w:szCs w:val="20"/>
                <w:color w:val="auto"/>
              </w:rPr>
            </w:pPr>
            <w:r>
              <w:rPr>
                <w:rFonts w:ascii="Arial" w:cs="Arial" w:eastAsia="Arial" w:hAnsi="Arial"/>
                <w:sz w:val="11"/>
                <w:szCs w:val="11"/>
                <w:b w:val="1"/>
                <w:bCs w:val="1"/>
                <w:color w:val="003082"/>
              </w:rPr>
              <w:t>(Unaudited, US$ in thousands)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76"/>
        </w:trPr>
        <w:tc>
          <w:tcPr>
            <w:tcW w:w="1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r>
      <w:tr>
        <w:trPr>
          <w:trHeight w:val="148"/>
        </w:trPr>
        <w:tc>
          <w:tcPr>
            <w:tcW w:w="18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003082"/>
              </w:rPr>
              <w:t>Real-time engagement service</w:t>
            </w: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76"/>
        </w:trPr>
        <w:tc>
          <w:tcPr>
            <w:tcW w:w="1820" w:type="dxa"/>
            <w:vAlign w:val="bottom"/>
            <w:shd w:val="clear" w:color="auto" w:fill="CCEEFF"/>
          </w:tcPr>
          <w:p>
            <w:pPr>
              <w:ind w:left="220"/>
              <w:spacing w:after="0"/>
              <w:rPr>
                <w:sz w:val="20"/>
                <w:szCs w:val="20"/>
                <w:color w:val="auto"/>
              </w:rPr>
            </w:pPr>
            <w:r>
              <w:rPr>
                <w:rFonts w:ascii="Arial" w:cs="Arial" w:eastAsia="Arial" w:hAnsi="Arial"/>
                <w:sz w:val="13"/>
                <w:szCs w:val="13"/>
                <w:color w:val="003082"/>
              </w:rPr>
              <w:t>revenues</w:t>
            </w: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003082"/>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8,069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10,377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12,492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12,261</w:t>
            </w:r>
          </w:p>
        </w:tc>
        <w:tc>
          <w:tcPr>
            <w:tcW w:w="42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003082"/>
              </w:rPr>
              <w:t>$</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13,287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003082"/>
              </w:rPr>
              <w:t>$</w:t>
            </w: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14,863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16,935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w w:val="82"/>
              </w:rPr>
              <w:t>$</w:t>
            </w: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18,840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35,446</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003082"/>
              </w:rPr>
              <w:t>Other revenues</w:t>
            </w:r>
          </w:p>
        </w:tc>
        <w:tc>
          <w:tcPr>
            <w:tcW w:w="2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720" w:type="dxa"/>
            <w:vAlign w:val="bottom"/>
            <w:tcBorders>
              <w:bottom w:val="single" w:sz="8" w:color="3D5588"/>
            </w:tcBorders>
          </w:tcPr>
          <w:p>
            <w:pPr>
              <w:jc w:val="right"/>
              <w:ind w:right="58"/>
              <w:spacing w:after="0"/>
              <w:rPr>
                <w:sz w:val="20"/>
                <w:szCs w:val="20"/>
                <w:color w:val="auto"/>
              </w:rPr>
            </w:pPr>
            <w:r>
              <w:rPr>
                <w:rFonts w:ascii="Arial" w:cs="Arial" w:eastAsia="Arial" w:hAnsi="Arial"/>
                <w:sz w:val="13"/>
                <w:szCs w:val="13"/>
                <w:color w:val="003082"/>
              </w:rPr>
              <w:t>132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58"/>
              <w:spacing w:after="0"/>
              <w:rPr>
                <w:sz w:val="20"/>
                <w:szCs w:val="20"/>
                <w:color w:val="auto"/>
              </w:rPr>
            </w:pPr>
            <w:r>
              <w:rPr>
                <w:rFonts w:ascii="Arial" w:cs="Arial" w:eastAsia="Arial" w:hAnsi="Arial"/>
                <w:sz w:val="13"/>
                <w:szCs w:val="13"/>
                <w:color w:val="003082"/>
              </w:rPr>
              <w:t>161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160</w:t>
            </w:r>
          </w:p>
        </w:tc>
        <w:tc>
          <w:tcPr>
            <w:tcW w:w="4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3D5588"/>
            </w:tcBorders>
          </w:tcPr>
          <w:p>
            <w:pPr>
              <w:spacing w:after="0"/>
              <w:rPr>
                <w:sz w:val="22"/>
                <w:szCs w:val="22"/>
                <w:color w:val="auto"/>
              </w:rPr>
            </w:pPr>
          </w:p>
        </w:tc>
        <w:tc>
          <w:tcPr>
            <w:tcW w:w="62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75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60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38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38"/>
              <w:spacing w:after="0"/>
              <w:rPr>
                <w:sz w:val="20"/>
                <w:szCs w:val="20"/>
                <w:color w:val="auto"/>
              </w:rPr>
            </w:pPr>
            <w:r>
              <w:rPr>
                <w:rFonts w:ascii="Arial" w:cs="Arial" w:eastAsia="Arial" w:hAnsi="Arial"/>
                <w:sz w:val="13"/>
                <w:szCs w:val="13"/>
                <w:color w:val="003082"/>
              </w:rPr>
              <w:t>125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38"/>
              <w:spacing w:after="0"/>
              <w:rPr>
                <w:sz w:val="20"/>
                <w:szCs w:val="20"/>
                <w:color w:val="auto"/>
              </w:rPr>
            </w:pPr>
            <w:r>
              <w:rPr>
                <w:rFonts w:ascii="Arial" w:cs="Arial" w:eastAsia="Arial" w:hAnsi="Arial"/>
                <w:sz w:val="13"/>
                <w:szCs w:val="13"/>
                <w:color w:val="003082"/>
              </w:rPr>
              <w:t>265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114</w:t>
            </w: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Total revenues</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8,074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10,509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12,652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12,421</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13,362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14,901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17,061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19,105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35,560</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003082"/>
              </w:rPr>
              <w:t>Cost of revenues</w:t>
            </w:r>
            <w:r>
              <w:rPr>
                <w:rFonts w:ascii="Arial" w:cs="Arial" w:eastAsia="Arial" w:hAnsi="Arial"/>
                <w:sz w:val="8"/>
                <w:szCs w:val="8"/>
                <w:color w:val="003082"/>
              </w:rPr>
              <w:t>(1)</w:t>
            </w:r>
          </w:p>
        </w:tc>
        <w:tc>
          <w:tcPr>
            <w:tcW w:w="2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ind w:right="17"/>
              <w:spacing w:after="0"/>
              <w:rPr>
                <w:sz w:val="20"/>
                <w:szCs w:val="20"/>
                <w:color w:val="auto"/>
              </w:rPr>
            </w:pPr>
            <w:r>
              <w:rPr>
                <w:rFonts w:ascii="Arial" w:cs="Arial" w:eastAsia="Arial" w:hAnsi="Arial"/>
                <w:sz w:val="13"/>
                <w:szCs w:val="13"/>
                <w:color w:val="003082"/>
              </w:rPr>
              <w:t>(2,355)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720" w:type="dxa"/>
            <w:vAlign w:val="bottom"/>
            <w:tcBorders>
              <w:bottom w:val="single" w:sz="8" w:color="3D5588"/>
            </w:tcBorders>
          </w:tcPr>
          <w:p>
            <w:pPr>
              <w:jc w:val="right"/>
              <w:ind w:right="18"/>
              <w:spacing w:after="0"/>
              <w:rPr>
                <w:sz w:val="20"/>
                <w:szCs w:val="20"/>
                <w:color w:val="auto"/>
              </w:rPr>
            </w:pPr>
            <w:r>
              <w:rPr>
                <w:rFonts w:ascii="Arial" w:cs="Arial" w:eastAsia="Arial" w:hAnsi="Arial"/>
                <w:sz w:val="13"/>
                <w:szCs w:val="13"/>
                <w:color w:val="003082"/>
              </w:rPr>
              <w:t>(2,888)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18"/>
              <w:spacing w:after="0"/>
              <w:rPr>
                <w:sz w:val="20"/>
                <w:szCs w:val="20"/>
                <w:color w:val="auto"/>
              </w:rPr>
            </w:pPr>
            <w:r>
              <w:rPr>
                <w:rFonts w:ascii="Arial" w:cs="Arial" w:eastAsia="Arial" w:hAnsi="Arial"/>
                <w:sz w:val="13"/>
                <w:szCs w:val="13"/>
                <w:color w:val="003082"/>
              </w:rPr>
              <w:t>(3,482)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(3,909)</w:t>
            </w:r>
          </w:p>
        </w:tc>
        <w:tc>
          <w:tcPr>
            <w:tcW w:w="4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3D5588"/>
            </w:tcBorders>
          </w:tcPr>
          <w:p>
            <w:pPr>
              <w:spacing w:after="0"/>
              <w:rPr>
                <w:sz w:val="22"/>
                <w:szCs w:val="22"/>
                <w:color w:val="auto"/>
              </w:rPr>
            </w:pPr>
          </w:p>
        </w:tc>
        <w:tc>
          <w:tcPr>
            <w:tcW w:w="620" w:type="dxa"/>
            <w:vAlign w:val="bottom"/>
            <w:tcBorders>
              <w:bottom w:val="single" w:sz="8" w:color="3D5588"/>
            </w:tcBorders>
          </w:tcPr>
          <w:p>
            <w:pPr>
              <w:jc w:val="right"/>
              <w:ind w:right="17"/>
              <w:spacing w:after="0"/>
              <w:rPr>
                <w:sz w:val="20"/>
                <w:szCs w:val="20"/>
                <w:color w:val="auto"/>
              </w:rPr>
            </w:pPr>
            <w:r>
              <w:rPr>
                <w:rFonts w:ascii="Arial" w:cs="Arial" w:eastAsia="Arial" w:hAnsi="Arial"/>
                <w:sz w:val="13"/>
                <w:szCs w:val="13"/>
                <w:color w:val="003082"/>
              </w:rPr>
              <w:t>(4,152)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600" w:type="dxa"/>
            <w:vAlign w:val="bottom"/>
            <w:tcBorders>
              <w:bottom w:val="single" w:sz="8" w:color="3D5588"/>
            </w:tcBorders>
          </w:tcPr>
          <w:p>
            <w:pPr>
              <w:jc w:val="right"/>
              <w:ind w:right="17"/>
              <w:spacing w:after="0"/>
              <w:rPr>
                <w:sz w:val="20"/>
                <w:szCs w:val="20"/>
                <w:color w:val="auto"/>
              </w:rPr>
            </w:pPr>
            <w:r>
              <w:rPr>
                <w:rFonts w:ascii="Arial" w:cs="Arial" w:eastAsia="Arial" w:hAnsi="Arial"/>
                <w:sz w:val="13"/>
                <w:szCs w:val="13"/>
                <w:color w:val="003082"/>
              </w:rPr>
              <w:t>(4,584)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(5,248)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(6,434)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(11,082)</w:t>
            </w:r>
          </w:p>
        </w:tc>
      </w:tr>
      <w:tr>
        <w:trPr>
          <w:trHeight w:val="257"/>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003082"/>
              </w:rPr>
              <w:t>Gross profit</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5,719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7,621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9,170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8,512</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9,211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10,317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11,813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12,671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24,478</w:t>
            </w:r>
          </w:p>
        </w:tc>
      </w:tr>
      <w:tr>
        <w:trPr>
          <w:trHeight w:val="262"/>
        </w:trPr>
        <w:tc>
          <w:tcPr>
            <w:tcW w:w="1820" w:type="dxa"/>
            <w:vAlign w:val="bottom"/>
          </w:tcPr>
          <w:p>
            <w:pPr>
              <w:ind w:left="20"/>
              <w:spacing w:after="0"/>
              <w:rPr>
                <w:sz w:val="20"/>
                <w:szCs w:val="20"/>
                <w:color w:val="auto"/>
              </w:rPr>
            </w:pPr>
            <w:r>
              <w:rPr>
                <w:rFonts w:ascii="Arial" w:cs="Arial" w:eastAsia="Arial" w:hAnsi="Arial"/>
                <w:sz w:val="13"/>
                <w:szCs w:val="13"/>
                <w:color w:val="003082"/>
              </w:rPr>
              <w:t>Operating expenses:</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156"/>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003082"/>
              </w:rPr>
              <w:t>Research and development</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6"/>
        </w:trPr>
        <w:tc>
          <w:tcPr>
            <w:tcW w:w="1820" w:type="dxa"/>
            <w:vAlign w:val="bottom"/>
            <w:shd w:val="clear" w:color="auto" w:fill="CCEEFF"/>
          </w:tcPr>
          <w:p>
            <w:pPr>
              <w:ind w:left="360"/>
              <w:spacing w:after="0"/>
              <w:rPr>
                <w:sz w:val="20"/>
                <w:szCs w:val="20"/>
                <w:color w:val="auto"/>
              </w:rPr>
            </w:pPr>
            <w:r>
              <w:rPr>
                <w:rFonts w:ascii="Arial" w:cs="Arial" w:eastAsia="Arial" w:hAnsi="Arial"/>
                <w:sz w:val="13"/>
                <w:szCs w:val="13"/>
                <w:color w:val="003082"/>
              </w:rPr>
              <w:t>expenses</w:t>
            </w:r>
            <w:r>
              <w:rPr>
                <w:rFonts w:ascii="Arial" w:cs="Arial" w:eastAsia="Arial" w:hAnsi="Arial"/>
                <w:sz w:val="8"/>
                <w:szCs w:val="8"/>
                <w:color w:val="003082"/>
              </w:rPr>
              <w:t>(1)</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(3,259)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(3,625)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(3,511)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(4,030)</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(4,200)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(5,708)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(6,587)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(7,128)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(11,688)</w:t>
            </w: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003082"/>
                <w:w w:val="87"/>
              </w:rPr>
              <w:t>Sales and marketing expenses</w:t>
            </w:r>
            <w:r>
              <w:rPr>
                <w:rFonts w:ascii="Arial" w:cs="Arial" w:eastAsia="Arial" w:hAnsi="Arial"/>
                <w:sz w:val="8"/>
                <w:szCs w:val="8"/>
                <w:color w:val="003082"/>
                <w:w w:val="87"/>
              </w:rPr>
              <w:t>(1)</w:t>
            </w:r>
          </w:p>
        </w:tc>
        <w:tc>
          <w:tcPr>
            <w:tcW w:w="220" w:type="dxa"/>
            <w:vAlign w:val="bottom"/>
          </w:tcPr>
          <w:p>
            <w:pPr>
              <w:spacing w:after="0"/>
              <w:rPr>
                <w:sz w:val="22"/>
                <w:szCs w:val="22"/>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003082"/>
              </w:rPr>
              <w:t>(2,152)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color w:val="003082"/>
              </w:rPr>
              <w:t>(2,450)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003082"/>
              </w:rPr>
              <w:t>(3,595)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3082"/>
              </w:rPr>
              <w:t>(3,789)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003082"/>
              </w:rPr>
              <w:t>(4,006)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003082"/>
              </w:rPr>
              <w:t>(5,067)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003082"/>
              </w:rPr>
              <w:t>(4,778)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003082"/>
              </w:rPr>
              <w:t>(5,558)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003082"/>
              </w:rPr>
              <w:t>(6,002)</w:t>
            </w:r>
          </w:p>
        </w:tc>
      </w:tr>
      <w:tr>
        <w:trPr>
          <w:trHeight w:val="156"/>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003082"/>
              </w:rPr>
              <w:t>General and administrative</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0"/>
        </w:trPr>
        <w:tc>
          <w:tcPr>
            <w:tcW w:w="1820" w:type="dxa"/>
            <w:vAlign w:val="bottom"/>
            <w:shd w:val="clear" w:color="auto" w:fill="CCEEFF"/>
          </w:tcPr>
          <w:p>
            <w:pPr>
              <w:ind w:left="360"/>
              <w:spacing w:after="0"/>
              <w:rPr>
                <w:sz w:val="20"/>
                <w:szCs w:val="20"/>
                <w:color w:val="auto"/>
              </w:rPr>
            </w:pPr>
            <w:r>
              <w:rPr>
                <w:rFonts w:ascii="Arial" w:cs="Arial" w:eastAsia="Arial" w:hAnsi="Arial"/>
                <w:sz w:val="13"/>
                <w:szCs w:val="13"/>
                <w:color w:val="003082"/>
              </w:rPr>
              <w:t>expenses</w:t>
            </w:r>
            <w:r>
              <w:rPr>
                <w:rFonts w:ascii="Arial" w:cs="Arial" w:eastAsia="Arial" w:hAnsi="Arial"/>
                <w:sz w:val="8"/>
                <w:szCs w:val="8"/>
                <w:color w:val="003082"/>
              </w:rPr>
              <w:t>(1)</w:t>
            </w:r>
          </w:p>
        </w:tc>
        <w:tc>
          <w:tcPr>
            <w:tcW w:w="220" w:type="dxa"/>
            <w:vAlign w:val="bottom"/>
            <w:tcBorders>
              <w:bottom w:val="single" w:sz="8" w:color="3D5588"/>
            </w:tcBorders>
            <w:shd w:val="clear" w:color="auto" w:fill="CCEEFF"/>
          </w:tcPr>
          <w:p>
            <w:pPr>
              <w:spacing w:after="0"/>
              <w:rPr>
                <w:sz w:val="14"/>
                <w:szCs w:val="14"/>
                <w:color w:val="auto"/>
              </w:rPr>
            </w:pPr>
          </w:p>
        </w:tc>
        <w:tc>
          <w:tcPr>
            <w:tcW w:w="580" w:type="dxa"/>
            <w:vAlign w:val="bottom"/>
            <w:tcBorders>
              <w:bottom w:val="single" w:sz="8" w:color="3D5588"/>
            </w:tcBorders>
            <w:shd w:val="clear" w:color="auto" w:fill="CCEEFF"/>
          </w:tcPr>
          <w:p>
            <w:pPr>
              <w:jc w:val="right"/>
              <w:ind w:right="17"/>
              <w:spacing w:after="0"/>
              <w:rPr>
                <w:sz w:val="20"/>
                <w:szCs w:val="20"/>
                <w:color w:val="auto"/>
              </w:rPr>
            </w:pPr>
            <w:r>
              <w:rPr>
                <w:rFonts w:ascii="Arial" w:cs="Arial" w:eastAsia="Arial" w:hAnsi="Arial"/>
                <w:sz w:val="13"/>
                <w:szCs w:val="13"/>
                <w:color w:val="003082"/>
              </w:rPr>
              <w:t>(943)</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720" w:type="dxa"/>
            <w:vAlign w:val="bottom"/>
            <w:tcBorders>
              <w:bottom w:val="single" w:sz="8" w:color="3D5588"/>
            </w:tcBorders>
            <w:shd w:val="clear" w:color="auto" w:fill="CCEEFF"/>
          </w:tcPr>
          <w:p>
            <w:pPr>
              <w:jc w:val="right"/>
              <w:ind w:right="18"/>
              <w:spacing w:after="0"/>
              <w:rPr>
                <w:sz w:val="20"/>
                <w:szCs w:val="20"/>
                <w:color w:val="auto"/>
              </w:rPr>
            </w:pPr>
            <w:r>
              <w:rPr>
                <w:rFonts w:ascii="Arial" w:cs="Arial" w:eastAsia="Arial" w:hAnsi="Arial"/>
                <w:sz w:val="13"/>
                <w:szCs w:val="13"/>
                <w:color w:val="003082"/>
              </w:rPr>
              <w:t>(1,226)</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1040" w:type="dxa"/>
            <w:vAlign w:val="bottom"/>
            <w:tcBorders>
              <w:bottom w:val="single" w:sz="8" w:color="3D5588"/>
            </w:tcBorders>
            <w:shd w:val="clear" w:color="auto" w:fill="CCEEFF"/>
          </w:tcPr>
          <w:p>
            <w:pPr>
              <w:jc w:val="right"/>
              <w:ind w:right="18"/>
              <w:spacing w:after="0"/>
              <w:rPr>
                <w:sz w:val="20"/>
                <w:szCs w:val="20"/>
                <w:color w:val="auto"/>
              </w:rPr>
            </w:pPr>
            <w:r>
              <w:rPr>
                <w:rFonts w:ascii="Arial" w:cs="Arial" w:eastAsia="Arial" w:hAnsi="Arial"/>
                <w:sz w:val="13"/>
                <w:szCs w:val="13"/>
                <w:color w:val="003082"/>
              </w:rPr>
              <w:t>(1,429)</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3D5588"/>
            </w:tcBorders>
            <w:shd w:val="clear" w:color="auto" w:fill="CCEEFF"/>
          </w:tcPr>
          <w:p>
            <w:pPr>
              <w:spacing w:after="0"/>
              <w:rPr>
                <w:sz w:val="14"/>
                <w:szCs w:val="14"/>
                <w:color w:val="auto"/>
              </w:rPr>
            </w:pPr>
          </w:p>
        </w:tc>
        <w:tc>
          <w:tcPr>
            <w:tcW w:w="96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(1,774)</w:t>
            </w:r>
          </w:p>
        </w:tc>
        <w:tc>
          <w:tcPr>
            <w:tcW w:w="40" w:type="dxa"/>
            <w:vAlign w:val="bottom"/>
            <w:tcBorders>
              <w:bottom w:val="single" w:sz="8" w:color="3D5588"/>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Borders>
              <w:bottom w:val="single" w:sz="8" w:color="3D5588"/>
            </w:tcBorders>
            <w:shd w:val="clear" w:color="auto" w:fill="CCEEFF"/>
          </w:tcPr>
          <w:p>
            <w:pPr>
              <w:spacing w:after="0"/>
              <w:rPr>
                <w:sz w:val="14"/>
                <w:szCs w:val="14"/>
                <w:color w:val="auto"/>
              </w:rPr>
            </w:pPr>
          </w:p>
        </w:tc>
        <w:tc>
          <w:tcPr>
            <w:tcW w:w="620" w:type="dxa"/>
            <w:vAlign w:val="bottom"/>
            <w:tcBorders>
              <w:bottom w:val="single" w:sz="8" w:color="3D5588"/>
            </w:tcBorders>
            <w:shd w:val="clear" w:color="auto" w:fill="CCEEFF"/>
          </w:tcPr>
          <w:p>
            <w:pPr>
              <w:jc w:val="right"/>
              <w:ind w:right="17"/>
              <w:spacing w:after="0"/>
              <w:rPr>
                <w:sz w:val="20"/>
                <w:szCs w:val="20"/>
                <w:color w:val="auto"/>
              </w:rPr>
            </w:pPr>
            <w:r>
              <w:rPr>
                <w:rFonts w:ascii="Arial" w:cs="Arial" w:eastAsia="Arial" w:hAnsi="Arial"/>
                <w:sz w:val="13"/>
                <w:szCs w:val="13"/>
                <w:color w:val="003082"/>
              </w:rPr>
              <w:t>(1,562)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3D5588"/>
            </w:tcBorders>
            <w:shd w:val="clear" w:color="auto" w:fill="CCEEFF"/>
          </w:tcPr>
          <w:p>
            <w:pPr>
              <w:spacing w:after="0"/>
              <w:rPr>
                <w:sz w:val="14"/>
                <w:szCs w:val="14"/>
                <w:color w:val="auto"/>
              </w:rPr>
            </w:pPr>
          </w:p>
        </w:tc>
        <w:tc>
          <w:tcPr>
            <w:tcW w:w="600" w:type="dxa"/>
            <w:vAlign w:val="bottom"/>
            <w:tcBorders>
              <w:bottom w:val="single" w:sz="8" w:color="3D5588"/>
            </w:tcBorders>
            <w:shd w:val="clear" w:color="auto" w:fill="CCEEFF"/>
          </w:tcPr>
          <w:p>
            <w:pPr>
              <w:jc w:val="right"/>
              <w:ind w:right="17"/>
              <w:spacing w:after="0"/>
              <w:rPr>
                <w:sz w:val="20"/>
                <w:szCs w:val="20"/>
                <w:color w:val="auto"/>
              </w:rPr>
            </w:pPr>
            <w:r>
              <w:rPr>
                <w:rFonts w:ascii="Arial" w:cs="Arial" w:eastAsia="Arial" w:hAnsi="Arial"/>
                <w:sz w:val="13"/>
                <w:szCs w:val="13"/>
                <w:color w:val="003082"/>
              </w:rPr>
              <w:t>(1,535)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10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(1,658)</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10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(2,421)</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3D5588"/>
            </w:tcBorders>
            <w:shd w:val="clear" w:color="auto" w:fill="CCEEFF"/>
          </w:tcPr>
          <w:p>
            <w:pPr>
              <w:spacing w:after="0"/>
              <w:rPr>
                <w:sz w:val="14"/>
                <w:szCs w:val="14"/>
                <w:color w:val="auto"/>
              </w:rPr>
            </w:pPr>
          </w:p>
        </w:tc>
        <w:tc>
          <w:tcPr>
            <w:tcW w:w="5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(3,545)</w:t>
            </w:r>
          </w:p>
        </w:tc>
      </w:tr>
      <w:tr>
        <w:trPr>
          <w:trHeight w:val="248"/>
        </w:trPr>
        <w:tc>
          <w:tcPr>
            <w:tcW w:w="1820" w:type="dxa"/>
            <w:vAlign w:val="bottom"/>
          </w:tcPr>
          <w:p>
            <w:pPr>
              <w:ind w:left="40"/>
              <w:spacing w:after="0"/>
              <w:rPr>
                <w:sz w:val="20"/>
                <w:szCs w:val="20"/>
                <w:color w:val="auto"/>
              </w:rPr>
            </w:pPr>
            <w:r>
              <w:rPr>
                <w:rFonts w:ascii="Arial" w:cs="Arial" w:eastAsia="Arial" w:hAnsi="Arial"/>
                <w:sz w:val="13"/>
                <w:szCs w:val="13"/>
                <w:color w:val="003082"/>
              </w:rPr>
              <w:t>Total operating expenses</w:t>
            </w:r>
          </w:p>
        </w:tc>
        <w:tc>
          <w:tcPr>
            <w:tcW w:w="220" w:type="dxa"/>
            <w:vAlign w:val="bottom"/>
          </w:tcPr>
          <w:p>
            <w:pPr>
              <w:spacing w:after="0"/>
              <w:rPr>
                <w:sz w:val="21"/>
                <w:szCs w:val="21"/>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color w:val="003082"/>
              </w:rPr>
              <w:t>(6,354)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18"/>
              <w:spacing w:after="0"/>
              <w:rPr>
                <w:sz w:val="20"/>
                <w:szCs w:val="20"/>
                <w:color w:val="auto"/>
              </w:rPr>
            </w:pPr>
            <w:r>
              <w:rPr>
                <w:rFonts w:ascii="Arial" w:cs="Arial" w:eastAsia="Arial" w:hAnsi="Arial"/>
                <w:sz w:val="13"/>
                <w:szCs w:val="13"/>
                <w:color w:val="003082"/>
              </w:rPr>
              <w:t>(7,302)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3"/>
                <w:szCs w:val="13"/>
                <w:color w:val="003082"/>
              </w:rPr>
              <w:t>(8,535)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3082"/>
              </w:rPr>
              <w:t>(9,594)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003082"/>
              </w:rPr>
              <w:t>(9,768)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003082"/>
              </w:rPr>
              <w:t>(12,310)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003082"/>
              </w:rPr>
              <w:t>(13,024)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003082"/>
              </w:rPr>
              <w:t>(15,106)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003082"/>
              </w:rPr>
              <w:t>(21,236)</w:t>
            </w:r>
          </w:p>
        </w:tc>
      </w:tr>
      <w:tr>
        <w:trPr>
          <w:trHeight w:val="272"/>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003082"/>
              </w:rPr>
              <w:t>Other operating income</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(16)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003082"/>
              </w:rPr>
              <w:t>—</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1,012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58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23</w:t>
            </w:r>
          </w:p>
        </w:tc>
      </w:tr>
      <w:tr>
        <w:trPr>
          <w:trHeight w:val="248"/>
        </w:trPr>
        <w:tc>
          <w:tcPr>
            <w:tcW w:w="1820" w:type="dxa"/>
            <w:vAlign w:val="bottom"/>
          </w:tcPr>
          <w:p>
            <w:pPr>
              <w:ind w:left="20"/>
              <w:spacing w:after="0"/>
              <w:rPr>
                <w:sz w:val="20"/>
                <w:szCs w:val="20"/>
                <w:color w:val="auto"/>
              </w:rPr>
            </w:pPr>
            <w:r>
              <w:rPr>
                <w:rFonts w:ascii="Arial" w:cs="Arial" w:eastAsia="Arial" w:hAnsi="Arial"/>
                <w:sz w:val="13"/>
                <w:szCs w:val="13"/>
                <w:color w:val="003082"/>
              </w:rPr>
              <w:t>Income (loss) from operations</w:t>
            </w:r>
          </w:p>
        </w:tc>
        <w:tc>
          <w:tcPr>
            <w:tcW w:w="220" w:type="dxa"/>
            <w:vAlign w:val="bottom"/>
            <w:tcBorders>
              <w:top w:val="single" w:sz="8" w:color="3D5588"/>
            </w:tcBorders>
          </w:tcPr>
          <w:p>
            <w:pPr>
              <w:spacing w:after="0"/>
              <w:rPr>
                <w:sz w:val="21"/>
                <w:szCs w:val="21"/>
                <w:color w:val="auto"/>
              </w:rPr>
            </w:pPr>
          </w:p>
        </w:tc>
        <w:tc>
          <w:tcPr>
            <w:tcW w:w="580" w:type="dxa"/>
            <w:vAlign w:val="bottom"/>
            <w:tcBorders>
              <w:top w:val="single" w:sz="8" w:color="3D5588"/>
            </w:tcBorders>
          </w:tcPr>
          <w:p>
            <w:pPr>
              <w:jc w:val="right"/>
              <w:ind w:right="17"/>
              <w:spacing w:after="0"/>
              <w:rPr>
                <w:sz w:val="20"/>
                <w:szCs w:val="20"/>
                <w:color w:val="auto"/>
              </w:rPr>
            </w:pPr>
            <w:r>
              <w:rPr>
                <w:rFonts w:ascii="Arial" w:cs="Arial" w:eastAsia="Arial" w:hAnsi="Arial"/>
                <w:sz w:val="13"/>
                <w:szCs w:val="13"/>
                <w:color w:val="003082"/>
              </w:rPr>
              <w:t>(652)</w:t>
            </w:r>
          </w:p>
        </w:tc>
        <w:tc>
          <w:tcPr>
            <w:tcW w:w="120" w:type="dxa"/>
            <w:vAlign w:val="bottom"/>
          </w:tcPr>
          <w:p>
            <w:pPr>
              <w:spacing w:after="0"/>
              <w:rPr>
                <w:sz w:val="21"/>
                <w:szCs w:val="21"/>
                <w:color w:val="auto"/>
              </w:rPr>
            </w:pPr>
          </w:p>
        </w:tc>
        <w:tc>
          <w:tcPr>
            <w:tcW w:w="100" w:type="dxa"/>
            <w:vAlign w:val="bottom"/>
            <w:tcBorders>
              <w:top w:val="single" w:sz="8" w:color="3D5588"/>
            </w:tcBorders>
          </w:tcPr>
          <w:p>
            <w:pPr>
              <w:spacing w:after="0"/>
              <w:rPr>
                <w:sz w:val="21"/>
                <w:szCs w:val="21"/>
                <w:color w:val="auto"/>
              </w:rPr>
            </w:pPr>
          </w:p>
        </w:tc>
        <w:tc>
          <w:tcPr>
            <w:tcW w:w="720" w:type="dxa"/>
            <w:vAlign w:val="bottom"/>
            <w:tcBorders>
              <w:top w:val="single" w:sz="8" w:color="3D5588"/>
            </w:tcBorders>
          </w:tcPr>
          <w:p>
            <w:pPr>
              <w:jc w:val="right"/>
              <w:ind w:right="58"/>
              <w:spacing w:after="0"/>
              <w:rPr>
                <w:sz w:val="20"/>
                <w:szCs w:val="20"/>
                <w:color w:val="auto"/>
              </w:rPr>
            </w:pPr>
            <w:r>
              <w:rPr>
                <w:rFonts w:ascii="Arial" w:cs="Arial" w:eastAsia="Arial" w:hAnsi="Arial"/>
                <w:sz w:val="13"/>
                <w:szCs w:val="13"/>
                <w:color w:val="003082"/>
              </w:rPr>
              <w:t>320</w:t>
            </w:r>
          </w:p>
        </w:tc>
        <w:tc>
          <w:tcPr>
            <w:tcW w:w="120" w:type="dxa"/>
            <w:vAlign w:val="bottom"/>
          </w:tcPr>
          <w:p>
            <w:pPr>
              <w:spacing w:after="0"/>
              <w:rPr>
                <w:sz w:val="21"/>
                <w:szCs w:val="21"/>
                <w:color w:val="auto"/>
              </w:rPr>
            </w:pPr>
          </w:p>
        </w:tc>
        <w:tc>
          <w:tcPr>
            <w:tcW w:w="100" w:type="dxa"/>
            <w:vAlign w:val="bottom"/>
            <w:tcBorders>
              <w:top w:val="single" w:sz="8" w:color="3D5588"/>
            </w:tcBorders>
          </w:tcPr>
          <w:p>
            <w:pPr>
              <w:spacing w:after="0"/>
              <w:rPr>
                <w:sz w:val="21"/>
                <w:szCs w:val="21"/>
                <w:color w:val="auto"/>
              </w:rPr>
            </w:pPr>
          </w:p>
        </w:tc>
        <w:tc>
          <w:tcPr>
            <w:tcW w:w="1040" w:type="dxa"/>
            <w:vAlign w:val="bottom"/>
            <w:tcBorders>
              <w:top w:val="single" w:sz="8" w:color="3D5588"/>
            </w:tcBorders>
          </w:tcPr>
          <w:p>
            <w:pPr>
              <w:jc w:val="right"/>
              <w:ind w:right="58"/>
              <w:spacing w:after="0"/>
              <w:rPr>
                <w:sz w:val="20"/>
                <w:szCs w:val="20"/>
                <w:color w:val="auto"/>
              </w:rPr>
            </w:pPr>
            <w:r>
              <w:rPr>
                <w:rFonts w:ascii="Arial" w:cs="Arial" w:eastAsia="Arial" w:hAnsi="Arial"/>
                <w:sz w:val="13"/>
                <w:szCs w:val="13"/>
                <w:color w:val="003082"/>
              </w:rPr>
              <w:t>1,647</w:t>
            </w:r>
          </w:p>
        </w:tc>
        <w:tc>
          <w:tcPr>
            <w:tcW w:w="120" w:type="dxa"/>
            <w:vAlign w:val="bottom"/>
          </w:tcPr>
          <w:p>
            <w:pPr>
              <w:spacing w:after="0"/>
              <w:rPr>
                <w:sz w:val="21"/>
                <w:szCs w:val="21"/>
                <w:color w:val="auto"/>
              </w:rPr>
            </w:pPr>
          </w:p>
        </w:tc>
        <w:tc>
          <w:tcPr>
            <w:tcW w:w="120" w:type="dxa"/>
            <w:vAlign w:val="bottom"/>
            <w:tcBorders>
              <w:top w:val="single" w:sz="8" w:color="3D5588"/>
            </w:tcBorders>
          </w:tcPr>
          <w:p>
            <w:pPr>
              <w:spacing w:after="0"/>
              <w:rPr>
                <w:sz w:val="21"/>
                <w:szCs w:val="21"/>
                <w:color w:val="auto"/>
              </w:rPr>
            </w:pPr>
          </w:p>
        </w:tc>
        <w:tc>
          <w:tcPr>
            <w:tcW w:w="960" w:type="dxa"/>
            <w:vAlign w:val="bottom"/>
            <w:tcBorders>
              <w:top w:val="single" w:sz="8" w:color="3D5588"/>
            </w:tcBorders>
          </w:tcPr>
          <w:p>
            <w:pPr>
              <w:jc w:val="right"/>
              <w:spacing w:after="0"/>
              <w:rPr>
                <w:sz w:val="20"/>
                <w:szCs w:val="20"/>
                <w:color w:val="auto"/>
              </w:rPr>
            </w:pPr>
            <w:r>
              <w:rPr>
                <w:rFonts w:ascii="Arial" w:cs="Arial" w:eastAsia="Arial" w:hAnsi="Arial"/>
                <w:sz w:val="13"/>
                <w:szCs w:val="13"/>
                <w:color w:val="003082"/>
              </w:rPr>
              <w:t>(1,052)</w:t>
            </w:r>
          </w:p>
        </w:tc>
        <w:tc>
          <w:tcPr>
            <w:tcW w:w="40" w:type="dxa"/>
            <w:vAlign w:val="bottom"/>
            <w:tcBorders>
              <w:top w:val="single" w:sz="8" w:color="3D5588"/>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3D5588"/>
            </w:tcBorders>
          </w:tcPr>
          <w:p>
            <w:pPr>
              <w:spacing w:after="0"/>
              <w:rPr>
                <w:sz w:val="21"/>
                <w:szCs w:val="21"/>
                <w:color w:val="auto"/>
              </w:rPr>
            </w:pPr>
          </w:p>
        </w:tc>
        <w:tc>
          <w:tcPr>
            <w:tcW w:w="620" w:type="dxa"/>
            <w:vAlign w:val="bottom"/>
            <w:tcBorders>
              <w:top w:val="single" w:sz="8" w:color="3D5588"/>
            </w:tcBorders>
          </w:tcPr>
          <w:p>
            <w:pPr>
              <w:jc w:val="right"/>
              <w:ind w:right="17"/>
              <w:spacing w:after="0"/>
              <w:rPr>
                <w:sz w:val="20"/>
                <w:szCs w:val="20"/>
                <w:color w:val="auto"/>
              </w:rPr>
            </w:pPr>
            <w:r>
              <w:rPr>
                <w:rFonts w:ascii="Arial" w:cs="Arial" w:eastAsia="Arial" w:hAnsi="Arial"/>
                <w:sz w:val="13"/>
                <w:szCs w:val="13"/>
                <w:color w:val="003082"/>
              </w:rPr>
              <w:t>(552)</w:t>
            </w:r>
          </w:p>
        </w:tc>
        <w:tc>
          <w:tcPr>
            <w:tcW w:w="100" w:type="dxa"/>
            <w:vAlign w:val="bottom"/>
          </w:tcPr>
          <w:p>
            <w:pPr>
              <w:spacing w:after="0"/>
              <w:rPr>
                <w:sz w:val="21"/>
                <w:szCs w:val="21"/>
                <w:color w:val="auto"/>
              </w:rPr>
            </w:pPr>
          </w:p>
        </w:tc>
        <w:tc>
          <w:tcPr>
            <w:tcW w:w="180" w:type="dxa"/>
            <w:vAlign w:val="bottom"/>
            <w:tcBorders>
              <w:top w:val="single" w:sz="8" w:color="3D5588"/>
            </w:tcBorders>
          </w:tcPr>
          <w:p>
            <w:pPr>
              <w:spacing w:after="0"/>
              <w:rPr>
                <w:sz w:val="21"/>
                <w:szCs w:val="21"/>
                <w:color w:val="auto"/>
              </w:rPr>
            </w:pPr>
          </w:p>
        </w:tc>
        <w:tc>
          <w:tcPr>
            <w:tcW w:w="600" w:type="dxa"/>
            <w:vAlign w:val="bottom"/>
            <w:tcBorders>
              <w:top w:val="single" w:sz="8" w:color="3D5588"/>
            </w:tcBorders>
          </w:tcPr>
          <w:p>
            <w:pPr>
              <w:jc w:val="right"/>
              <w:ind w:right="17"/>
              <w:spacing w:after="0"/>
              <w:rPr>
                <w:sz w:val="20"/>
                <w:szCs w:val="20"/>
                <w:color w:val="auto"/>
              </w:rPr>
            </w:pPr>
            <w:r>
              <w:rPr>
                <w:rFonts w:ascii="Arial" w:cs="Arial" w:eastAsia="Arial" w:hAnsi="Arial"/>
                <w:sz w:val="13"/>
                <w:szCs w:val="13"/>
                <w:color w:val="003082"/>
              </w:rPr>
              <w:t>(1,980)</w:t>
            </w:r>
          </w:p>
        </w:tc>
        <w:tc>
          <w:tcPr>
            <w:tcW w:w="100" w:type="dxa"/>
            <w:vAlign w:val="bottom"/>
          </w:tcPr>
          <w:p>
            <w:pPr>
              <w:spacing w:after="0"/>
              <w:rPr>
                <w:sz w:val="21"/>
                <w:szCs w:val="21"/>
                <w:color w:val="auto"/>
              </w:rPr>
            </w:pPr>
          </w:p>
        </w:tc>
        <w:tc>
          <w:tcPr>
            <w:tcW w:w="100" w:type="dxa"/>
            <w:vAlign w:val="bottom"/>
            <w:tcBorders>
              <w:top w:val="single" w:sz="8" w:color="3D5588"/>
            </w:tcBorders>
          </w:tcPr>
          <w:p>
            <w:pPr>
              <w:spacing w:after="0"/>
              <w:rPr>
                <w:sz w:val="21"/>
                <w:szCs w:val="21"/>
                <w:color w:val="auto"/>
              </w:rPr>
            </w:pPr>
          </w:p>
        </w:tc>
        <w:tc>
          <w:tcPr>
            <w:tcW w:w="1000" w:type="dxa"/>
            <w:vAlign w:val="bottom"/>
            <w:tcBorders>
              <w:top w:val="single" w:sz="8" w:color="3D5588"/>
            </w:tcBorders>
          </w:tcPr>
          <w:p>
            <w:pPr>
              <w:jc w:val="right"/>
              <w:spacing w:after="0"/>
              <w:rPr>
                <w:sz w:val="20"/>
                <w:szCs w:val="20"/>
                <w:color w:val="auto"/>
              </w:rPr>
            </w:pPr>
            <w:r>
              <w:rPr>
                <w:rFonts w:ascii="Arial" w:cs="Arial" w:eastAsia="Arial" w:hAnsi="Arial"/>
                <w:sz w:val="13"/>
                <w:szCs w:val="13"/>
                <w:color w:val="003082"/>
              </w:rPr>
              <w:t>(1,153)</w:t>
            </w:r>
          </w:p>
        </w:tc>
        <w:tc>
          <w:tcPr>
            <w:tcW w:w="120" w:type="dxa"/>
            <w:vAlign w:val="bottom"/>
          </w:tcPr>
          <w:p>
            <w:pPr>
              <w:spacing w:after="0"/>
              <w:rPr>
                <w:sz w:val="21"/>
                <w:szCs w:val="21"/>
                <w:color w:val="auto"/>
              </w:rPr>
            </w:pPr>
          </w:p>
        </w:tc>
        <w:tc>
          <w:tcPr>
            <w:tcW w:w="100" w:type="dxa"/>
            <w:vAlign w:val="bottom"/>
            <w:tcBorders>
              <w:top w:val="single" w:sz="8" w:color="3D5588"/>
            </w:tcBorders>
          </w:tcPr>
          <w:p>
            <w:pPr>
              <w:spacing w:after="0"/>
              <w:rPr>
                <w:sz w:val="21"/>
                <w:szCs w:val="21"/>
                <w:color w:val="auto"/>
              </w:rPr>
            </w:pPr>
          </w:p>
        </w:tc>
        <w:tc>
          <w:tcPr>
            <w:tcW w:w="1000" w:type="dxa"/>
            <w:vAlign w:val="bottom"/>
            <w:tcBorders>
              <w:top w:val="single" w:sz="8" w:color="3D5588"/>
            </w:tcBorders>
          </w:tcPr>
          <w:p>
            <w:pPr>
              <w:jc w:val="right"/>
              <w:spacing w:after="0"/>
              <w:rPr>
                <w:sz w:val="20"/>
                <w:szCs w:val="20"/>
                <w:color w:val="auto"/>
              </w:rPr>
            </w:pPr>
            <w:r>
              <w:rPr>
                <w:rFonts w:ascii="Arial" w:cs="Arial" w:eastAsia="Arial" w:hAnsi="Arial"/>
                <w:sz w:val="13"/>
                <w:szCs w:val="13"/>
                <w:color w:val="003082"/>
              </w:rPr>
              <w:t>(2,404)</w:t>
            </w:r>
          </w:p>
        </w:tc>
        <w:tc>
          <w:tcPr>
            <w:tcW w:w="120" w:type="dxa"/>
            <w:vAlign w:val="bottom"/>
          </w:tcPr>
          <w:p>
            <w:pPr>
              <w:spacing w:after="0"/>
              <w:rPr>
                <w:sz w:val="21"/>
                <w:szCs w:val="21"/>
                <w:color w:val="auto"/>
              </w:rPr>
            </w:pPr>
          </w:p>
        </w:tc>
        <w:tc>
          <w:tcPr>
            <w:tcW w:w="180" w:type="dxa"/>
            <w:vAlign w:val="bottom"/>
            <w:tcBorders>
              <w:top w:val="single" w:sz="8" w:color="3D5588"/>
            </w:tcBorders>
          </w:tcPr>
          <w:p>
            <w:pPr>
              <w:spacing w:after="0"/>
              <w:rPr>
                <w:sz w:val="21"/>
                <w:szCs w:val="21"/>
                <w:color w:val="auto"/>
              </w:rPr>
            </w:pPr>
          </w:p>
        </w:tc>
        <w:tc>
          <w:tcPr>
            <w:tcW w:w="580" w:type="dxa"/>
            <w:vAlign w:val="bottom"/>
            <w:tcBorders>
              <w:top w:val="single" w:sz="8" w:color="3D5588"/>
            </w:tcBorders>
          </w:tcPr>
          <w:p>
            <w:pPr>
              <w:jc w:val="right"/>
              <w:ind w:right="37"/>
              <w:spacing w:after="0"/>
              <w:rPr>
                <w:sz w:val="20"/>
                <w:szCs w:val="20"/>
                <w:color w:val="auto"/>
              </w:rPr>
            </w:pPr>
            <w:r>
              <w:rPr>
                <w:rFonts w:ascii="Arial" w:cs="Arial" w:eastAsia="Arial" w:hAnsi="Arial"/>
                <w:sz w:val="13"/>
                <w:szCs w:val="13"/>
                <w:color w:val="003082"/>
              </w:rPr>
              <w:t>3,266</w:t>
            </w:r>
          </w:p>
        </w:tc>
      </w:tr>
      <w:tr>
        <w:trPr>
          <w:trHeight w:val="278"/>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Exchange gain (loss)</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003082"/>
              </w:rPr>
              <w:t>—</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(7)</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003082"/>
              </w:rPr>
              <w:t>Interest income</w:t>
            </w:r>
          </w:p>
        </w:tc>
        <w:tc>
          <w:tcPr>
            <w:tcW w:w="2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53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720" w:type="dxa"/>
            <w:vAlign w:val="bottom"/>
            <w:tcBorders>
              <w:bottom w:val="single" w:sz="8" w:color="3D5588"/>
            </w:tcBorders>
          </w:tcPr>
          <w:p>
            <w:pPr>
              <w:jc w:val="right"/>
              <w:ind w:right="58"/>
              <w:spacing w:after="0"/>
              <w:rPr>
                <w:sz w:val="20"/>
                <w:szCs w:val="20"/>
                <w:color w:val="auto"/>
              </w:rPr>
            </w:pPr>
            <w:r>
              <w:rPr>
                <w:rFonts w:ascii="Arial" w:cs="Arial" w:eastAsia="Arial" w:hAnsi="Arial"/>
                <w:sz w:val="13"/>
                <w:szCs w:val="13"/>
                <w:color w:val="003082"/>
              </w:rPr>
              <w:t>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58"/>
              <w:spacing w:after="0"/>
              <w:rPr>
                <w:sz w:val="20"/>
                <w:szCs w:val="20"/>
                <w:color w:val="auto"/>
              </w:rPr>
            </w:pPr>
            <w:r>
              <w:rPr>
                <w:rFonts w:ascii="Arial" w:cs="Arial" w:eastAsia="Arial" w:hAnsi="Arial"/>
                <w:sz w:val="13"/>
                <w:szCs w:val="13"/>
                <w:color w:val="003082"/>
              </w:rPr>
              <w:t>71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23</w:t>
            </w:r>
          </w:p>
        </w:tc>
        <w:tc>
          <w:tcPr>
            <w:tcW w:w="4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3D5588"/>
            </w:tcBorders>
          </w:tcPr>
          <w:p>
            <w:pPr>
              <w:spacing w:after="0"/>
              <w:rPr>
                <w:sz w:val="22"/>
                <w:szCs w:val="22"/>
                <w:color w:val="auto"/>
              </w:rPr>
            </w:pPr>
          </w:p>
        </w:tc>
        <w:tc>
          <w:tcPr>
            <w:tcW w:w="62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60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81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38"/>
              <w:spacing w:after="0"/>
              <w:rPr>
                <w:sz w:val="20"/>
                <w:szCs w:val="20"/>
                <w:color w:val="auto"/>
              </w:rPr>
            </w:pPr>
            <w:r>
              <w:rPr>
                <w:rFonts w:ascii="Arial" w:cs="Arial" w:eastAsia="Arial" w:hAnsi="Arial"/>
                <w:sz w:val="13"/>
                <w:szCs w:val="13"/>
                <w:color w:val="003082"/>
              </w:rPr>
              <w:t>262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ind w:right="38"/>
              <w:spacing w:after="0"/>
              <w:rPr>
                <w:sz w:val="20"/>
                <w:szCs w:val="20"/>
                <w:color w:val="auto"/>
              </w:rPr>
            </w:pPr>
            <w:r>
              <w:rPr>
                <w:rFonts w:ascii="Arial" w:cs="Arial" w:eastAsia="Arial" w:hAnsi="Arial"/>
                <w:sz w:val="13"/>
                <w:szCs w:val="13"/>
                <w:color w:val="003082"/>
              </w:rPr>
              <w:t>240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97</w:t>
            </w: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003082"/>
                <w:w w:val="89"/>
              </w:rPr>
              <w:t>Income (loss) before income taxes</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(593)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423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1,718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(1,066)</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(528)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(1,868)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(850)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(2,131)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3,356</w:t>
            </w:r>
          </w:p>
        </w:tc>
      </w:tr>
      <w:tr>
        <w:trPr>
          <w:trHeight w:val="263"/>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003082"/>
              </w:rPr>
              <w:t>Income taxes</w:t>
            </w:r>
          </w:p>
        </w:tc>
        <w:tc>
          <w:tcPr>
            <w:tcW w:w="2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ind w:right="17"/>
              <w:spacing w:after="0"/>
              <w:rPr>
                <w:sz w:val="20"/>
                <w:szCs w:val="20"/>
                <w:color w:val="auto"/>
              </w:rPr>
            </w:pPr>
            <w:r>
              <w:rPr>
                <w:rFonts w:ascii="Arial" w:cs="Arial" w:eastAsia="Arial" w:hAnsi="Arial"/>
                <w:sz w:val="13"/>
                <w:szCs w:val="13"/>
                <w:color w:val="003082"/>
              </w:rPr>
              <w:t>(10)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720" w:type="dxa"/>
            <w:vAlign w:val="bottom"/>
            <w:tcBorders>
              <w:bottom w:val="single" w:sz="8" w:color="3D5588"/>
            </w:tcBorders>
          </w:tcPr>
          <w:p>
            <w:pPr>
              <w:jc w:val="right"/>
              <w:ind w:right="18"/>
              <w:spacing w:after="0"/>
              <w:rPr>
                <w:sz w:val="20"/>
                <w:szCs w:val="20"/>
                <w:color w:val="auto"/>
              </w:rPr>
            </w:pPr>
            <w:r>
              <w:rPr>
                <w:rFonts w:ascii="Arial" w:cs="Arial" w:eastAsia="Arial" w:hAnsi="Arial"/>
                <w:sz w:val="13"/>
                <w:szCs w:val="13"/>
                <w:color w:val="003082"/>
              </w:rPr>
              <w:t>(25)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40" w:type="dxa"/>
            <w:vAlign w:val="bottom"/>
            <w:tcBorders>
              <w:bottom w:val="single" w:sz="8" w:color="3D5588"/>
            </w:tcBorders>
          </w:tcPr>
          <w:p>
            <w:pPr>
              <w:jc w:val="right"/>
              <w:ind w:right="18"/>
              <w:spacing w:after="0"/>
              <w:rPr>
                <w:sz w:val="20"/>
                <w:szCs w:val="20"/>
                <w:color w:val="auto"/>
              </w:rPr>
            </w:pPr>
            <w:r>
              <w:rPr>
                <w:rFonts w:ascii="Arial" w:cs="Arial" w:eastAsia="Arial" w:hAnsi="Arial"/>
                <w:sz w:val="13"/>
                <w:szCs w:val="13"/>
                <w:color w:val="003082"/>
              </w:rPr>
              <w:t>(57)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(13)</w:t>
            </w:r>
          </w:p>
        </w:tc>
        <w:tc>
          <w:tcPr>
            <w:tcW w:w="4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3D5588"/>
            </w:tcBorders>
          </w:tcPr>
          <w:p>
            <w:pPr>
              <w:spacing w:after="0"/>
              <w:rPr>
                <w:sz w:val="22"/>
                <w:szCs w:val="22"/>
                <w:color w:val="auto"/>
              </w:rPr>
            </w:pPr>
          </w:p>
        </w:tc>
        <w:tc>
          <w:tcPr>
            <w:tcW w:w="620" w:type="dxa"/>
            <w:vAlign w:val="bottom"/>
            <w:tcBorders>
              <w:bottom w:val="single" w:sz="8" w:color="3D5588"/>
            </w:tcBorders>
          </w:tcPr>
          <w:p>
            <w:pPr>
              <w:jc w:val="right"/>
              <w:ind w:right="17"/>
              <w:spacing w:after="0"/>
              <w:rPr>
                <w:sz w:val="20"/>
                <w:szCs w:val="20"/>
                <w:color w:val="auto"/>
              </w:rPr>
            </w:pPr>
            <w:r>
              <w:rPr>
                <w:rFonts w:ascii="Arial" w:cs="Arial" w:eastAsia="Arial" w:hAnsi="Arial"/>
                <w:sz w:val="13"/>
                <w:szCs w:val="13"/>
                <w:color w:val="003082"/>
              </w:rPr>
              <w:t>(190)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600" w:type="dxa"/>
            <w:vAlign w:val="bottom"/>
            <w:tcBorders>
              <w:bottom w:val="single" w:sz="8" w:color="3D5588"/>
            </w:tcBorders>
          </w:tcPr>
          <w:p>
            <w:pPr>
              <w:jc w:val="right"/>
              <w:ind w:right="17"/>
              <w:spacing w:after="0"/>
              <w:rPr>
                <w:sz w:val="20"/>
                <w:szCs w:val="20"/>
                <w:color w:val="auto"/>
              </w:rPr>
            </w:pPr>
            <w:r>
              <w:rPr>
                <w:rFonts w:ascii="Arial" w:cs="Arial" w:eastAsia="Arial" w:hAnsi="Arial"/>
                <w:sz w:val="13"/>
                <w:szCs w:val="13"/>
                <w:color w:val="003082"/>
              </w:rPr>
              <w:t>(136)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(264)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3D5588"/>
            </w:tcBorders>
          </w:tcPr>
          <w:p>
            <w:pPr>
              <w:spacing w:after="0"/>
              <w:rPr>
                <w:sz w:val="22"/>
                <w:szCs w:val="22"/>
                <w:color w:val="auto"/>
              </w:rPr>
            </w:pPr>
          </w:p>
        </w:tc>
        <w:tc>
          <w:tcPr>
            <w:tcW w:w="10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(212)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(369)</w:t>
            </w:r>
          </w:p>
        </w:tc>
      </w:tr>
      <w:tr>
        <w:trPr>
          <w:trHeight w:val="256"/>
        </w:trPr>
        <w:tc>
          <w:tcPr>
            <w:tcW w:w="182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Net income (loss)</w:t>
            </w:r>
          </w:p>
        </w:tc>
        <w:tc>
          <w:tcPr>
            <w:tcW w:w="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(603)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398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1,660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(1,079)</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(718)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(2,004)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(1,113)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(2,342)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2,987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98</w:t>
      </w:r>
    </w:p>
    <w:p>
      <w:pPr>
        <w:sectPr>
          <w:pgSz w:w="11900" w:h="16838" w:orient="portrait"/>
          <w:cols w:equalWidth="0" w:num="1">
            <w:col w:w="11240"/>
          </w:cols>
          <w:pgMar w:left="320" w:top="449"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003082"/>
        </w:rPr>
        <w:t>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003082"/>
        </w:rPr>
        <w:t>(1)</w:t>
      </w:r>
      <w:r>
        <w:rPr>
          <w:sz w:val="20"/>
          <w:szCs w:val="20"/>
          <w:color w:val="auto"/>
        </w:rPr>
        <w:tab/>
      </w:r>
      <w:r>
        <w:rPr>
          <w:rFonts w:ascii="Arial" w:cs="Arial" w:eastAsia="Arial" w:hAnsi="Arial"/>
          <w:sz w:val="14"/>
          <w:szCs w:val="14"/>
          <w:color w:val="003082"/>
        </w:rPr>
        <w:t>Share-based compensation expense was allocated to cost of revenue and operating expenses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11"/>
          </w:tcPr>
          <w:p>
            <w:pPr>
              <w:ind w:left="20"/>
              <w:spacing w:after="0"/>
              <w:rPr>
                <w:sz w:val="20"/>
                <w:szCs w:val="20"/>
                <w:color w:val="auto"/>
              </w:rPr>
            </w:pPr>
            <w:r>
              <w:rPr>
                <w:rFonts w:ascii="Arial" w:cs="Arial" w:eastAsia="Arial" w:hAnsi="Arial"/>
                <w:sz w:val="11"/>
                <w:szCs w:val="11"/>
                <w:b w:val="1"/>
                <w:bCs w:val="1"/>
                <w:color w:val="003082"/>
              </w:rPr>
              <w:t>Three Months Ended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gridSpan w:val="2"/>
          </w:tcPr>
          <w:p>
            <w:pPr>
              <w:spacing w:after="0" w:line="20" w:lineRule="exact"/>
              <w:rPr>
                <w:sz w:val="1"/>
                <w:szCs w:val="1"/>
                <w:color w:val="auto"/>
              </w:rPr>
            </w:pPr>
          </w:p>
        </w:tc>
        <w:tc>
          <w:tcPr>
            <w:tcW w:w="840" w:type="dxa"/>
            <w:vAlign w:val="bottom"/>
            <w:tcBorders>
              <w:bottom w:val="single" w:sz="8" w:color="3D5588"/>
            </w:tcBorders>
            <w:gridSpan w:val="3"/>
          </w:tcPr>
          <w:p>
            <w:pPr>
              <w:spacing w:after="0" w:line="20" w:lineRule="exact"/>
              <w:rPr>
                <w:sz w:val="1"/>
                <w:szCs w:val="1"/>
                <w:color w:val="auto"/>
              </w:rPr>
            </w:pPr>
          </w:p>
        </w:tc>
        <w:tc>
          <w:tcPr>
            <w:tcW w:w="760" w:type="dxa"/>
            <w:vAlign w:val="bottom"/>
            <w:tcBorders>
              <w:bottom w:val="single" w:sz="8" w:color="3D5588"/>
            </w:tcBorders>
            <w:gridSpan w:val="3"/>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gridSpan w:val="3"/>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940" w:type="dxa"/>
            <w:vAlign w:val="bottom"/>
            <w:tcBorders>
              <w:bottom w:val="single" w:sz="8" w:color="3D5588"/>
            </w:tcBorders>
            <w:gridSpan w:val="2"/>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680" w:type="dxa"/>
            <w:vAlign w:val="bottom"/>
            <w:tcBorders>
              <w:bottom w:val="single" w:sz="8" w:color="3D5588"/>
            </w:tcBorders>
            <w:gridSpan w:val="2"/>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600" w:type="dxa"/>
            <w:vAlign w:val="bottom"/>
            <w:tcBorders>
              <w:bottom w:val="single" w:sz="8" w:color="3D5588"/>
            </w:tcBorders>
            <w:gridSpan w:val="3"/>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860" w:type="dxa"/>
            <w:vAlign w:val="bottom"/>
            <w:tcBorders>
              <w:bottom w:val="single" w:sz="8" w:color="3D5588"/>
            </w:tcBorders>
            <w:gridSpan w:val="2"/>
          </w:tcPr>
          <w:p>
            <w:pPr>
              <w:spacing w:after="0" w:line="20" w:lineRule="exact"/>
              <w:rPr>
                <w:sz w:val="1"/>
                <w:szCs w:val="1"/>
                <w:color w:val="auto"/>
              </w:rPr>
            </w:pPr>
          </w:p>
        </w:tc>
        <w:tc>
          <w:tcPr>
            <w:tcW w:w="6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780" w:type="dxa"/>
            <w:vAlign w:val="bottom"/>
            <w:tcBorders>
              <w:bottom w:val="single" w:sz="8" w:color="3D5588"/>
            </w:tcBorders>
            <w:gridSpan w:val="2"/>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460" w:type="dxa"/>
            <w:vAlign w:val="bottom"/>
            <w:tcBorders>
              <w:bottom w:val="single" w:sz="8" w:color="3D5588"/>
            </w:tcBorders>
            <w:gridSpan w:val="2"/>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1"/>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gridSpan w:val="5"/>
          </w:tcPr>
          <w:p>
            <w:pPr>
              <w:jc w:val="right"/>
              <w:ind w:right="180"/>
              <w:spacing w:after="0"/>
              <w:rPr>
                <w:sz w:val="20"/>
                <w:szCs w:val="20"/>
                <w:color w:val="auto"/>
              </w:rPr>
            </w:pPr>
            <w:r>
              <w:rPr>
                <w:rFonts w:ascii="Arial" w:cs="Arial" w:eastAsia="Arial" w:hAnsi="Arial"/>
                <w:sz w:val="11"/>
                <w:szCs w:val="11"/>
                <w:b w:val="1"/>
                <w:bCs w:val="1"/>
                <w:color w:val="003082"/>
                <w:w w:val="91"/>
              </w:rPr>
              <w:t>March 31, 2018</w:t>
            </w:r>
          </w:p>
        </w:tc>
        <w:tc>
          <w:tcPr>
            <w:tcW w:w="88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003082"/>
                <w:w w:val="94"/>
              </w:rPr>
              <w:t>June 30, 2018</w:t>
            </w:r>
          </w:p>
        </w:tc>
        <w:tc>
          <w:tcPr>
            <w:tcW w:w="118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003082"/>
                <w:w w:val="93"/>
              </w:rPr>
              <w:t>September 30,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ind w:right="18"/>
              <w:spacing w:after="0"/>
              <w:rPr>
                <w:sz w:val="20"/>
                <w:szCs w:val="20"/>
                <w:color w:val="auto"/>
              </w:rPr>
            </w:pPr>
            <w:r>
              <w:rPr>
                <w:rFonts w:ascii="Arial" w:cs="Arial" w:eastAsia="Arial" w:hAnsi="Arial"/>
                <w:sz w:val="11"/>
                <w:szCs w:val="11"/>
                <w:b w:val="1"/>
                <w:bCs w:val="1"/>
                <w:color w:val="003082"/>
                <w:w w:val="84"/>
              </w:rPr>
              <w:t>December 31,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003082"/>
                <w:w w:val="94"/>
              </w:rPr>
              <w:t>March 31, 2019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5"/>
          </w:tcPr>
          <w:p>
            <w:pPr>
              <w:jc w:val="right"/>
              <w:ind w:right="17"/>
              <w:spacing w:after="0"/>
              <w:rPr>
                <w:sz w:val="20"/>
                <w:szCs w:val="20"/>
                <w:color w:val="auto"/>
              </w:rPr>
            </w:pPr>
            <w:r>
              <w:rPr>
                <w:rFonts w:ascii="Arial" w:cs="Arial" w:eastAsia="Arial" w:hAnsi="Arial"/>
                <w:sz w:val="11"/>
                <w:szCs w:val="11"/>
                <w:b w:val="1"/>
                <w:bCs w:val="1"/>
                <w:color w:val="003082"/>
                <w:w w:val="97"/>
              </w:rPr>
              <w:t>June 30, 2019</w:t>
            </w:r>
          </w:p>
        </w:tc>
        <w:tc>
          <w:tcPr>
            <w:tcW w:w="1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b w:val="1"/>
                <w:bCs w:val="1"/>
                <w:color w:val="003082"/>
                <w:w w:val="93"/>
              </w:rPr>
              <w:t>September 30, 2019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b w:val="1"/>
                <w:bCs w:val="1"/>
                <w:color w:val="003082"/>
                <w:w w:val="94"/>
              </w:rPr>
              <w:t>December 31, 2019</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1"/>
                <w:szCs w:val="11"/>
                <w:b w:val="1"/>
                <w:bCs w:val="1"/>
                <w:color w:val="003082"/>
                <w:w w:val="94"/>
              </w:rPr>
              <w:t>March 31, 2020</w:t>
            </w:r>
          </w:p>
        </w:tc>
        <w:tc>
          <w:tcPr>
            <w:tcW w:w="440" w:type="dxa"/>
            <w:vAlign w:val="bottom"/>
          </w:tcPr>
          <w:p>
            <w:pPr>
              <w:spacing w:after="0"/>
              <w:rPr>
                <w:sz w:val="21"/>
                <w:szCs w:val="21"/>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6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82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800" w:type="dxa"/>
            <w:vAlign w:val="bottom"/>
            <w:tcBorders>
              <w:bottom w:val="single" w:sz="8" w:color="3D5588"/>
            </w:tcBorders>
            <w:gridSpan w:val="3"/>
          </w:tcPr>
          <w:p>
            <w:pPr>
              <w:spacing w:after="0" w:line="20" w:lineRule="exact"/>
              <w:rPr>
                <w:sz w:val="1"/>
                <w:szCs w:val="1"/>
                <w:color w:val="auto"/>
              </w:rPr>
            </w:pPr>
          </w:p>
        </w:tc>
        <w:tc>
          <w:tcPr>
            <w:tcW w:w="120" w:type="dxa"/>
            <w:vAlign w:val="bottom"/>
            <w:tcBorders>
              <w:bottom w:val="single" w:sz="8" w:color="3D5588"/>
            </w:tcBorders>
            <w:gridSpan w:val="2"/>
          </w:tcPr>
          <w:p>
            <w:pPr>
              <w:spacing w:after="0" w:line="20" w:lineRule="exact"/>
              <w:rPr>
                <w:sz w:val="1"/>
                <w:szCs w:val="1"/>
                <w:color w:val="auto"/>
              </w:rPr>
            </w:pPr>
          </w:p>
        </w:tc>
        <w:tc>
          <w:tcPr>
            <w:tcW w:w="920" w:type="dxa"/>
            <w:vAlign w:val="bottom"/>
            <w:tcBorders>
              <w:bottom w:val="single" w:sz="8" w:color="3D5588"/>
            </w:tcBorders>
            <w:gridSpan w:val="5"/>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60" w:type="dxa"/>
            <w:vAlign w:val="bottom"/>
            <w:tcBorders>
              <w:bottom w:val="single" w:sz="8" w:color="3D5588"/>
            </w:tcBorders>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6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68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20" w:type="dxa"/>
            <w:vAlign w:val="bottom"/>
            <w:gridSpan w:val="12"/>
          </w:tcPr>
          <w:p>
            <w:pPr>
              <w:jc w:val="right"/>
              <w:ind w:right="100"/>
              <w:spacing w:after="0"/>
              <w:rPr>
                <w:sz w:val="20"/>
                <w:szCs w:val="20"/>
                <w:color w:val="auto"/>
              </w:rPr>
            </w:pPr>
            <w:r>
              <w:rPr>
                <w:rFonts w:ascii="Arial" w:cs="Arial" w:eastAsia="Arial" w:hAnsi="Arial"/>
                <w:sz w:val="11"/>
                <w:szCs w:val="11"/>
                <w:b w:val="1"/>
                <w:bCs w:val="1"/>
                <w:color w:val="003082"/>
              </w:rPr>
              <w:t>(Unaudited, US$ in thousands)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76"/>
        </w:trPr>
        <w:tc>
          <w:tcPr>
            <w:tcW w:w="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270"/>
        </w:trPr>
        <w:tc>
          <w:tcPr>
            <w:tcW w:w="340" w:type="dxa"/>
            <w:vAlign w:val="bottom"/>
          </w:tcPr>
          <w:p>
            <w:pPr>
              <w:spacing w:after="0"/>
              <w:rPr>
                <w:sz w:val="23"/>
                <w:szCs w:val="2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Cost of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w w:val="82"/>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0030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13</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003082"/>
                <w:w w:val="82"/>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003082"/>
                <w:w w:val="82"/>
              </w:rPr>
              <w:t>$</w:t>
            </w: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12</w:t>
            </w:r>
          </w:p>
        </w:tc>
        <w:tc>
          <w:tcPr>
            <w:tcW w:w="2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0030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21</w:t>
            </w:r>
          </w:p>
        </w:tc>
        <w:tc>
          <w:tcPr>
            <w:tcW w:w="40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003082"/>
              </w:rPr>
              <w:t>$</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003082"/>
              </w:rPr>
              <w:t>20</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003082"/>
              </w:rPr>
              <w:t>$</w:t>
            </w:r>
          </w:p>
        </w:tc>
        <w:tc>
          <w:tcPr>
            <w:tcW w:w="460" w:type="dxa"/>
            <w:vAlign w:val="bottom"/>
            <w:tcBorders>
              <w:right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3"/>
                <w:szCs w:val="13"/>
                <w:color w:val="003082"/>
              </w:rPr>
              <w:t>31</w:t>
            </w:r>
          </w:p>
        </w:tc>
        <w:tc>
          <w:tcPr>
            <w:tcW w:w="440" w:type="dxa"/>
            <w:vAlign w:val="bottom"/>
          </w:tcPr>
          <w:p>
            <w:pPr>
              <w:spacing w:after="0"/>
              <w:rPr>
                <w:sz w:val="23"/>
                <w:szCs w:val="23"/>
                <w:color w:val="auto"/>
              </w:rPr>
            </w:pPr>
          </w:p>
        </w:tc>
      </w:tr>
      <w:tr>
        <w:trPr>
          <w:trHeight w:val="148"/>
        </w:trPr>
        <w:tc>
          <w:tcPr>
            <w:tcW w:w="3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003082"/>
              </w:rPr>
              <w:t>Research 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68"/>
        </w:trPr>
        <w:tc>
          <w:tcPr>
            <w:tcW w:w="340" w:type="dxa"/>
            <w:vAlign w:val="bottom"/>
          </w:tcPr>
          <w:p>
            <w:pPr>
              <w:spacing w:after="0"/>
              <w:rPr>
                <w:sz w:val="14"/>
                <w:szCs w:val="14"/>
                <w:color w:val="auto"/>
              </w:rPr>
            </w:pPr>
          </w:p>
        </w:tc>
        <w:tc>
          <w:tcPr>
            <w:tcW w:w="1360" w:type="dxa"/>
            <w:vAlign w:val="bottom"/>
          </w:tcPr>
          <w:p>
            <w:pPr>
              <w:ind w:left="180"/>
              <w:spacing w:after="0"/>
              <w:rPr>
                <w:sz w:val="20"/>
                <w:szCs w:val="20"/>
                <w:color w:val="auto"/>
              </w:rPr>
            </w:pPr>
            <w:r>
              <w:rPr>
                <w:rFonts w:ascii="Arial" w:cs="Arial" w:eastAsia="Arial" w:hAnsi="Arial"/>
                <w:sz w:val="13"/>
                <w:szCs w:val="13"/>
                <w:color w:val="003082"/>
                <w:w w:val="86"/>
              </w:rPr>
              <w:t>development expenses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003082"/>
              </w:rPr>
              <w:t>161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003082"/>
              </w:rPr>
              <w:t>232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003082"/>
              </w:rPr>
              <w:t>288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18"/>
              <w:spacing w:after="0"/>
              <w:rPr>
                <w:sz w:val="20"/>
                <w:szCs w:val="20"/>
                <w:color w:val="auto"/>
              </w:rPr>
            </w:pPr>
            <w:r>
              <w:rPr>
                <w:rFonts w:ascii="Arial" w:cs="Arial" w:eastAsia="Arial" w:hAnsi="Arial"/>
                <w:sz w:val="13"/>
                <w:szCs w:val="13"/>
                <w:color w:val="003082"/>
              </w:rPr>
              <w:t>238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003082"/>
              </w:rPr>
              <w:t>327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color w:val="003082"/>
                <w:w w:val="92"/>
              </w:rPr>
              <w:t>793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003082"/>
              </w:rPr>
              <w:t>169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3"/>
                <w:szCs w:val="13"/>
                <w:color w:val="003082"/>
              </w:rPr>
              <w:t>183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gridSpan w:val="2"/>
          </w:tcPr>
          <w:p>
            <w:pPr>
              <w:jc w:val="right"/>
              <w:ind w:right="26"/>
              <w:spacing w:after="0"/>
              <w:rPr>
                <w:sz w:val="20"/>
                <w:szCs w:val="20"/>
                <w:color w:val="auto"/>
              </w:rPr>
            </w:pPr>
            <w:r>
              <w:rPr>
                <w:rFonts w:ascii="Arial" w:cs="Arial" w:eastAsia="Arial" w:hAnsi="Arial"/>
                <w:sz w:val="13"/>
                <w:szCs w:val="13"/>
                <w:color w:val="003082"/>
              </w:rPr>
              <w:t>292</w:t>
            </w:r>
          </w:p>
        </w:tc>
        <w:tc>
          <w:tcPr>
            <w:tcW w:w="440" w:type="dxa"/>
            <w:vAlign w:val="bottom"/>
          </w:tcPr>
          <w:p>
            <w:pPr>
              <w:spacing w:after="0"/>
              <w:rPr>
                <w:sz w:val="14"/>
                <w:szCs w:val="14"/>
                <w:color w:val="auto"/>
              </w:rPr>
            </w:pPr>
          </w:p>
        </w:tc>
      </w:tr>
      <w:tr>
        <w:trPr>
          <w:trHeight w:val="156"/>
        </w:trPr>
        <w:tc>
          <w:tcPr>
            <w:tcW w:w="340" w:type="dxa"/>
            <w:vAlign w:val="bottom"/>
          </w:tcPr>
          <w:p>
            <w:pPr>
              <w:spacing w:after="0"/>
              <w:rPr>
                <w:sz w:val="13"/>
                <w:szCs w:val="13"/>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Sales and marketing</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40" w:type="dxa"/>
            <w:vAlign w:val="bottom"/>
          </w:tcPr>
          <w:p>
            <w:pPr>
              <w:spacing w:after="0"/>
              <w:rPr>
                <w:sz w:val="13"/>
                <w:szCs w:val="13"/>
                <w:color w:val="auto"/>
              </w:rPr>
            </w:pPr>
          </w:p>
        </w:tc>
      </w:tr>
      <w:tr>
        <w:trPr>
          <w:trHeight w:val="176"/>
        </w:trPr>
        <w:tc>
          <w:tcPr>
            <w:tcW w:w="340" w:type="dxa"/>
            <w:vAlign w:val="bottom"/>
          </w:tcPr>
          <w:p>
            <w:pPr>
              <w:spacing w:after="0"/>
              <w:rPr>
                <w:sz w:val="15"/>
                <w:szCs w:val="15"/>
                <w:color w:val="auto"/>
              </w:rPr>
            </w:pPr>
          </w:p>
        </w:tc>
        <w:tc>
          <w:tcPr>
            <w:tcW w:w="1360" w:type="dxa"/>
            <w:vAlign w:val="bottom"/>
            <w:shd w:val="clear" w:color="auto" w:fill="CCEEFF"/>
          </w:tcPr>
          <w:p>
            <w:pPr>
              <w:ind w:left="180"/>
              <w:spacing w:after="0"/>
              <w:rPr>
                <w:sz w:val="20"/>
                <w:szCs w:val="20"/>
                <w:color w:val="auto"/>
              </w:rPr>
            </w:pPr>
            <w:r>
              <w:rPr>
                <w:rFonts w:ascii="Arial" w:cs="Arial" w:eastAsia="Arial" w:hAnsi="Arial"/>
                <w:sz w:val="13"/>
                <w:szCs w:val="13"/>
                <w:color w:val="003082"/>
              </w:rPr>
              <w:t>expenses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207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329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325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363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w w:val="92"/>
              </w:rPr>
              <w:t>549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003082"/>
              </w:rPr>
              <w:t>373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tcBorders>
              <w:right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3"/>
                <w:szCs w:val="13"/>
                <w:color w:val="003082"/>
              </w:rPr>
              <w:t>485</w:t>
            </w:r>
          </w:p>
        </w:tc>
        <w:tc>
          <w:tcPr>
            <w:tcW w:w="440" w:type="dxa"/>
            <w:vAlign w:val="bottom"/>
          </w:tcPr>
          <w:p>
            <w:pPr>
              <w:spacing w:after="0"/>
              <w:rPr>
                <w:sz w:val="15"/>
                <w:szCs w:val="15"/>
                <w:color w:val="auto"/>
              </w:rPr>
            </w:pPr>
          </w:p>
        </w:tc>
      </w:tr>
      <w:tr>
        <w:trPr>
          <w:trHeight w:val="148"/>
        </w:trPr>
        <w:tc>
          <w:tcPr>
            <w:tcW w:w="340" w:type="dxa"/>
            <w:vAlign w:val="bottom"/>
          </w:tcPr>
          <w:p>
            <w:pPr>
              <w:spacing w:after="0"/>
              <w:rPr>
                <w:sz w:val="12"/>
                <w:szCs w:val="12"/>
                <w:color w:val="auto"/>
              </w:rPr>
            </w:pPr>
          </w:p>
        </w:tc>
        <w:tc>
          <w:tcPr>
            <w:tcW w:w="1360" w:type="dxa"/>
            <w:vAlign w:val="bottom"/>
          </w:tcPr>
          <w:p>
            <w:pPr>
              <w:ind w:left="20"/>
              <w:spacing w:after="0" w:line="148" w:lineRule="exact"/>
              <w:rPr>
                <w:sz w:val="20"/>
                <w:szCs w:val="20"/>
                <w:color w:val="auto"/>
              </w:rPr>
            </w:pPr>
            <w:r>
              <w:rPr>
                <w:rFonts w:ascii="Arial" w:cs="Arial" w:eastAsia="Arial" w:hAnsi="Arial"/>
                <w:sz w:val="13"/>
                <w:szCs w:val="13"/>
                <w:color w:val="003082"/>
              </w:rPr>
              <w:t>General and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35"/>
        </w:trPr>
        <w:tc>
          <w:tcPr>
            <w:tcW w:w="340" w:type="dxa"/>
            <w:vAlign w:val="bottom"/>
          </w:tcPr>
          <w:p>
            <w:pPr>
              <w:spacing w:after="0"/>
              <w:rPr>
                <w:sz w:val="11"/>
                <w:szCs w:val="11"/>
                <w:color w:val="auto"/>
              </w:rPr>
            </w:pPr>
          </w:p>
        </w:tc>
        <w:tc>
          <w:tcPr>
            <w:tcW w:w="1360" w:type="dxa"/>
            <w:vAlign w:val="bottom"/>
          </w:tcPr>
          <w:p>
            <w:pPr>
              <w:ind w:left="180"/>
              <w:spacing w:after="0" w:line="135" w:lineRule="exact"/>
              <w:rPr>
                <w:sz w:val="20"/>
                <w:szCs w:val="20"/>
                <w:color w:val="auto"/>
              </w:rPr>
            </w:pPr>
            <w:r>
              <w:rPr>
                <w:rFonts w:ascii="Arial" w:cs="Arial" w:eastAsia="Arial" w:hAnsi="Arial"/>
                <w:sz w:val="13"/>
                <w:szCs w:val="13"/>
                <w:color w:val="003082"/>
              </w:rPr>
              <w:t>administrative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r>
      <w:tr>
        <w:trPr>
          <w:trHeight w:val="170"/>
        </w:trPr>
        <w:tc>
          <w:tcPr>
            <w:tcW w:w="340" w:type="dxa"/>
            <w:vAlign w:val="bottom"/>
          </w:tcPr>
          <w:p>
            <w:pPr>
              <w:spacing w:after="0"/>
              <w:rPr>
                <w:sz w:val="14"/>
                <w:szCs w:val="14"/>
                <w:color w:val="auto"/>
              </w:rPr>
            </w:pPr>
          </w:p>
        </w:tc>
        <w:tc>
          <w:tcPr>
            <w:tcW w:w="136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003082"/>
              </w:rPr>
              <w:t>expenses</w:t>
            </w:r>
          </w:p>
        </w:tc>
        <w:tc>
          <w:tcPr>
            <w:tcW w:w="40" w:type="dxa"/>
            <w:vAlign w:val="bottom"/>
            <w:tcBorders>
              <w:bottom w:val="single" w:sz="8" w:color="3D5588"/>
            </w:tcBorders>
          </w:tcPr>
          <w:p>
            <w:pPr>
              <w:spacing w:after="0"/>
              <w:rPr>
                <w:sz w:val="14"/>
                <w:szCs w:val="14"/>
                <w:color w:val="auto"/>
              </w:rPr>
            </w:pPr>
          </w:p>
        </w:tc>
        <w:tc>
          <w:tcPr>
            <w:tcW w:w="40" w:type="dxa"/>
            <w:vAlign w:val="bottom"/>
            <w:tcBorders>
              <w:bottom w:val="single" w:sz="8" w:color="3D5588"/>
            </w:tcBorders>
          </w:tcPr>
          <w:p>
            <w:pPr>
              <w:spacing w:after="0"/>
              <w:rPr>
                <w:sz w:val="14"/>
                <w:szCs w:val="14"/>
                <w:color w:val="auto"/>
              </w:rPr>
            </w:pPr>
          </w:p>
        </w:tc>
        <w:tc>
          <w:tcPr>
            <w:tcW w:w="40" w:type="dxa"/>
            <w:vAlign w:val="bottom"/>
            <w:tcBorders>
              <w:bottom w:val="single" w:sz="8" w:color="3D5588"/>
            </w:tcBorders>
          </w:tcPr>
          <w:p>
            <w:pPr>
              <w:spacing w:after="0"/>
              <w:rPr>
                <w:sz w:val="14"/>
                <w:szCs w:val="14"/>
                <w:color w:val="auto"/>
              </w:rPr>
            </w:pPr>
          </w:p>
        </w:tc>
        <w:tc>
          <w:tcPr>
            <w:tcW w:w="180" w:type="dxa"/>
            <w:vAlign w:val="bottom"/>
            <w:tcBorders>
              <w:bottom w:val="single" w:sz="8" w:color="3D5588"/>
            </w:tcBorders>
          </w:tcPr>
          <w:p>
            <w:pPr>
              <w:spacing w:after="0"/>
              <w:rPr>
                <w:sz w:val="14"/>
                <w:szCs w:val="14"/>
                <w:color w:val="auto"/>
              </w:rPr>
            </w:pPr>
          </w:p>
        </w:tc>
        <w:tc>
          <w:tcPr>
            <w:tcW w:w="54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158</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3D5588"/>
            </w:tcBorders>
          </w:tcPr>
          <w:p>
            <w:pPr>
              <w:spacing w:after="0"/>
              <w:rPr>
                <w:sz w:val="14"/>
                <w:szCs w:val="14"/>
                <w:color w:val="auto"/>
              </w:rPr>
            </w:pPr>
          </w:p>
        </w:tc>
        <w:tc>
          <w:tcPr>
            <w:tcW w:w="56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216</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3D5588"/>
            </w:tcBorders>
          </w:tcPr>
          <w:p>
            <w:pPr>
              <w:spacing w:after="0"/>
              <w:rPr>
                <w:sz w:val="14"/>
                <w:szCs w:val="14"/>
                <w:color w:val="auto"/>
              </w:rPr>
            </w:pPr>
          </w:p>
        </w:tc>
        <w:tc>
          <w:tcPr>
            <w:tcW w:w="82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284</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3D5588"/>
            </w:tcBorders>
          </w:tcPr>
          <w:p>
            <w:pPr>
              <w:spacing w:after="0"/>
              <w:rPr>
                <w:sz w:val="14"/>
                <w:szCs w:val="14"/>
                <w:color w:val="auto"/>
              </w:rPr>
            </w:pPr>
          </w:p>
        </w:tc>
        <w:tc>
          <w:tcPr>
            <w:tcW w:w="80" w:type="dxa"/>
            <w:vAlign w:val="bottom"/>
            <w:tcBorders>
              <w:bottom w:val="single" w:sz="8" w:color="3D5588"/>
            </w:tcBorders>
          </w:tcPr>
          <w:p>
            <w:pPr>
              <w:spacing w:after="0"/>
              <w:rPr>
                <w:sz w:val="14"/>
                <w:szCs w:val="14"/>
                <w:color w:val="auto"/>
              </w:rPr>
            </w:pPr>
          </w:p>
        </w:tc>
        <w:tc>
          <w:tcPr>
            <w:tcW w:w="240" w:type="dxa"/>
            <w:vAlign w:val="bottom"/>
            <w:tcBorders>
              <w:bottom w:val="single" w:sz="8" w:color="3D5588"/>
            </w:tcBorders>
          </w:tcPr>
          <w:p>
            <w:pPr>
              <w:spacing w:after="0"/>
              <w:rPr>
                <w:sz w:val="14"/>
                <w:szCs w:val="14"/>
                <w:color w:val="auto"/>
              </w:rPr>
            </w:pPr>
          </w:p>
        </w:tc>
        <w:tc>
          <w:tcPr>
            <w:tcW w:w="700" w:type="dxa"/>
            <w:vAlign w:val="bottom"/>
            <w:tcBorders>
              <w:bottom w:val="single" w:sz="8" w:color="3D5588"/>
            </w:tcBorders>
          </w:tcPr>
          <w:p>
            <w:pPr>
              <w:jc w:val="right"/>
              <w:ind w:right="18"/>
              <w:spacing w:after="0"/>
              <w:rPr>
                <w:sz w:val="20"/>
                <w:szCs w:val="20"/>
                <w:color w:val="auto"/>
              </w:rPr>
            </w:pPr>
            <w:r>
              <w:rPr>
                <w:rFonts w:ascii="Arial" w:cs="Arial" w:eastAsia="Arial" w:hAnsi="Arial"/>
                <w:sz w:val="13"/>
                <w:szCs w:val="13"/>
                <w:color w:val="003082"/>
              </w:rPr>
              <w:t>248</w:t>
            </w:r>
          </w:p>
        </w:tc>
        <w:tc>
          <w:tcPr>
            <w:tcW w:w="20" w:type="dxa"/>
            <w:vAlign w:val="bottom"/>
            <w:tcBorders>
              <w:bottom w:val="single" w:sz="8" w:color="3D5588"/>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3D5588"/>
            </w:tcBorders>
          </w:tcPr>
          <w:p>
            <w:pPr>
              <w:spacing w:after="0"/>
              <w:rPr>
                <w:sz w:val="14"/>
                <w:szCs w:val="14"/>
                <w:color w:val="auto"/>
              </w:rPr>
            </w:pPr>
          </w:p>
        </w:tc>
        <w:tc>
          <w:tcPr>
            <w:tcW w:w="20" w:type="dxa"/>
            <w:vAlign w:val="bottom"/>
            <w:tcBorders>
              <w:bottom w:val="single" w:sz="8" w:color="3D5588"/>
            </w:tcBorders>
          </w:tcPr>
          <w:p>
            <w:pPr>
              <w:spacing w:after="0"/>
              <w:rPr>
                <w:sz w:val="14"/>
                <w:szCs w:val="14"/>
                <w:color w:val="auto"/>
              </w:rPr>
            </w:pPr>
          </w:p>
        </w:tc>
        <w:tc>
          <w:tcPr>
            <w:tcW w:w="6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221</w:t>
            </w:r>
          </w:p>
        </w:tc>
        <w:tc>
          <w:tcPr>
            <w:tcW w:w="40" w:type="dxa"/>
            <w:vAlign w:val="bottom"/>
            <w:tcBorders>
              <w:bottom w:val="single" w:sz="8" w:color="3D5588"/>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3D5588"/>
            </w:tcBorders>
          </w:tcPr>
          <w:p>
            <w:pPr>
              <w:spacing w:after="0"/>
              <w:rPr>
                <w:sz w:val="14"/>
                <w:szCs w:val="14"/>
                <w:color w:val="auto"/>
              </w:rPr>
            </w:pPr>
          </w:p>
        </w:tc>
        <w:tc>
          <w:tcPr>
            <w:tcW w:w="120" w:type="dxa"/>
            <w:vAlign w:val="bottom"/>
            <w:tcBorders>
              <w:bottom w:val="single" w:sz="8" w:color="3D5588"/>
            </w:tcBorders>
          </w:tcPr>
          <w:p>
            <w:pPr>
              <w:spacing w:after="0"/>
              <w:rPr>
                <w:sz w:val="14"/>
                <w:szCs w:val="14"/>
                <w:color w:val="auto"/>
              </w:rPr>
            </w:pPr>
          </w:p>
        </w:tc>
        <w:tc>
          <w:tcPr>
            <w:tcW w:w="60" w:type="dxa"/>
            <w:vAlign w:val="bottom"/>
            <w:tcBorders>
              <w:bottom w:val="single" w:sz="8" w:color="3D5588"/>
            </w:tcBorders>
          </w:tcPr>
          <w:p>
            <w:pPr>
              <w:spacing w:after="0"/>
              <w:rPr>
                <w:sz w:val="14"/>
                <w:szCs w:val="14"/>
                <w:color w:val="auto"/>
              </w:rPr>
            </w:pPr>
          </w:p>
        </w:tc>
        <w:tc>
          <w:tcPr>
            <w:tcW w:w="220" w:type="dxa"/>
            <w:vAlign w:val="bottom"/>
            <w:tcBorders>
              <w:bottom w:val="single" w:sz="8" w:color="3D5588"/>
            </w:tcBorders>
          </w:tcPr>
          <w:p>
            <w:pPr>
              <w:spacing w:after="0"/>
              <w:rPr>
                <w:sz w:val="14"/>
                <w:szCs w:val="14"/>
                <w:color w:val="auto"/>
              </w:rPr>
            </w:pPr>
          </w:p>
        </w:tc>
        <w:tc>
          <w:tcPr>
            <w:tcW w:w="32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w w:val="92"/>
              </w:rPr>
              <w:t>295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3D5588"/>
            </w:tcBorders>
          </w:tcPr>
          <w:p>
            <w:pPr>
              <w:spacing w:after="0"/>
              <w:rPr>
                <w:sz w:val="14"/>
                <w:szCs w:val="14"/>
                <w:color w:val="auto"/>
              </w:rPr>
            </w:pPr>
          </w:p>
        </w:tc>
        <w:tc>
          <w:tcPr>
            <w:tcW w:w="100" w:type="dxa"/>
            <w:vAlign w:val="bottom"/>
            <w:tcBorders>
              <w:bottom w:val="single" w:sz="8" w:color="3D5588"/>
            </w:tcBorders>
          </w:tcPr>
          <w:p>
            <w:pPr>
              <w:spacing w:after="0"/>
              <w:rPr>
                <w:sz w:val="14"/>
                <w:szCs w:val="14"/>
                <w:color w:val="auto"/>
              </w:rPr>
            </w:pPr>
          </w:p>
        </w:tc>
        <w:tc>
          <w:tcPr>
            <w:tcW w:w="7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260</w:t>
            </w:r>
          </w:p>
        </w:tc>
        <w:tc>
          <w:tcPr>
            <w:tcW w:w="60" w:type="dxa"/>
            <w:vAlign w:val="bottom"/>
            <w:tcBorders>
              <w:bottom w:val="single" w:sz="8" w:color="3D5588"/>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3D5588"/>
            </w:tcBorders>
          </w:tcPr>
          <w:p>
            <w:pPr>
              <w:spacing w:after="0"/>
              <w:rPr>
                <w:sz w:val="14"/>
                <w:szCs w:val="14"/>
                <w:color w:val="auto"/>
              </w:rPr>
            </w:pPr>
          </w:p>
        </w:tc>
        <w:tc>
          <w:tcPr>
            <w:tcW w:w="100" w:type="dxa"/>
            <w:vAlign w:val="bottom"/>
            <w:tcBorders>
              <w:bottom w:val="single" w:sz="8" w:color="3D5588"/>
            </w:tcBorders>
          </w:tcPr>
          <w:p>
            <w:pPr>
              <w:spacing w:after="0"/>
              <w:rPr>
                <w:sz w:val="14"/>
                <w:szCs w:val="14"/>
                <w:color w:val="auto"/>
              </w:rPr>
            </w:pPr>
          </w:p>
        </w:tc>
        <w:tc>
          <w:tcPr>
            <w:tcW w:w="680" w:type="dxa"/>
            <w:vAlign w:val="bottom"/>
            <w:tcBorders>
              <w:bottom w:val="single" w:sz="8" w:color="3D5588"/>
            </w:tcBorders>
          </w:tcPr>
          <w:p>
            <w:pPr>
              <w:jc w:val="right"/>
              <w:ind w:right="19"/>
              <w:spacing w:after="0"/>
              <w:rPr>
                <w:sz w:val="20"/>
                <w:szCs w:val="20"/>
                <w:color w:val="auto"/>
              </w:rPr>
            </w:pPr>
            <w:r>
              <w:rPr>
                <w:rFonts w:ascii="Arial" w:cs="Arial" w:eastAsia="Arial" w:hAnsi="Arial"/>
                <w:sz w:val="13"/>
                <w:szCs w:val="13"/>
                <w:color w:val="003082"/>
              </w:rPr>
              <w:t>271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3D5588"/>
            </w:tcBorders>
          </w:tcPr>
          <w:p>
            <w:pPr>
              <w:spacing w:after="0"/>
              <w:rPr>
                <w:sz w:val="14"/>
                <w:szCs w:val="14"/>
                <w:color w:val="auto"/>
              </w:rPr>
            </w:pPr>
          </w:p>
        </w:tc>
        <w:tc>
          <w:tcPr>
            <w:tcW w:w="460" w:type="dxa"/>
            <w:vAlign w:val="bottom"/>
            <w:tcBorders>
              <w:bottom w:val="single" w:sz="8" w:color="3D5588"/>
            </w:tcBorders>
            <w:gridSpan w:val="2"/>
          </w:tcPr>
          <w:p>
            <w:pPr>
              <w:jc w:val="right"/>
              <w:ind w:right="26"/>
              <w:spacing w:after="0"/>
              <w:rPr>
                <w:sz w:val="20"/>
                <w:szCs w:val="20"/>
                <w:color w:val="auto"/>
              </w:rPr>
            </w:pPr>
            <w:r>
              <w:rPr>
                <w:rFonts w:ascii="Arial" w:cs="Arial" w:eastAsia="Arial" w:hAnsi="Arial"/>
                <w:sz w:val="13"/>
                <w:szCs w:val="13"/>
                <w:color w:val="003082"/>
              </w:rPr>
              <w:t>639</w:t>
            </w:r>
          </w:p>
        </w:tc>
        <w:tc>
          <w:tcPr>
            <w:tcW w:w="440" w:type="dxa"/>
            <w:vAlign w:val="bottom"/>
          </w:tcPr>
          <w:p>
            <w:pPr>
              <w:spacing w:after="0"/>
              <w:rPr>
                <w:sz w:val="14"/>
                <w:szCs w:val="14"/>
                <w:color w:val="auto"/>
              </w:rPr>
            </w:pPr>
          </w:p>
        </w:tc>
      </w:tr>
      <w:tr>
        <w:trPr>
          <w:trHeight w:val="121"/>
        </w:trPr>
        <w:tc>
          <w:tcPr>
            <w:tcW w:w="340" w:type="dxa"/>
            <w:vAlign w:val="bottom"/>
          </w:tcPr>
          <w:p>
            <w:pPr>
              <w:spacing w:after="0"/>
              <w:rPr>
                <w:sz w:val="10"/>
                <w:szCs w:val="10"/>
                <w:color w:val="auto"/>
              </w:rPr>
            </w:pPr>
          </w:p>
        </w:tc>
        <w:tc>
          <w:tcPr>
            <w:tcW w:w="136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003082"/>
              </w:rPr>
              <w:t>Total share-based</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tcBorders>
              <w:right w:val="single" w:sz="8" w:color="CCEEFF"/>
            </w:tcBorders>
            <w:shd w:val="clear" w:color="auto" w:fill="CCEEFF"/>
          </w:tcPr>
          <w:p>
            <w:pPr>
              <w:spacing w:after="0"/>
              <w:rPr>
                <w:sz w:val="10"/>
                <w:szCs w:val="10"/>
                <w:color w:val="auto"/>
              </w:rPr>
            </w:pPr>
          </w:p>
        </w:tc>
        <w:tc>
          <w:tcPr>
            <w:tcW w:w="440" w:type="dxa"/>
            <w:vAlign w:val="bottom"/>
          </w:tcPr>
          <w:p>
            <w:pPr>
              <w:spacing w:after="0"/>
              <w:rPr>
                <w:sz w:val="10"/>
                <w:szCs w:val="10"/>
                <w:color w:val="auto"/>
              </w:rPr>
            </w:pPr>
          </w:p>
        </w:tc>
      </w:tr>
      <w:tr>
        <w:trPr>
          <w:trHeight w:val="174"/>
        </w:trPr>
        <w:tc>
          <w:tcPr>
            <w:tcW w:w="340" w:type="dxa"/>
            <w:vAlign w:val="bottom"/>
          </w:tcPr>
          <w:p>
            <w:pPr>
              <w:spacing w:after="0"/>
              <w:rPr>
                <w:sz w:val="15"/>
                <w:szCs w:val="15"/>
                <w:color w:val="auto"/>
              </w:rPr>
            </w:pPr>
          </w:p>
        </w:tc>
        <w:tc>
          <w:tcPr>
            <w:tcW w:w="144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003082"/>
                <w:w w:val="85"/>
              </w:rPr>
              <w:t>compensation expense $</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447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003082"/>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667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003082"/>
                <w:w w:val="82"/>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914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003082"/>
                <w:w w:val="82"/>
              </w:rPr>
              <w:t>$</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822</w:t>
            </w:r>
          </w:p>
        </w:tc>
        <w:tc>
          <w:tcPr>
            <w:tcW w:w="24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color w:val="0030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930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003082"/>
              </w:rPr>
              <w:t>1,656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820</w:t>
            </w:r>
          </w:p>
        </w:tc>
        <w:tc>
          <w:tcPr>
            <w:tcW w:w="40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003082"/>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003082"/>
              </w:rPr>
              <w:t>847</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003082"/>
              </w:rPr>
              <w:t>$</w:t>
            </w:r>
          </w:p>
        </w:tc>
        <w:tc>
          <w:tcPr>
            <w:tcW w:w="460" w:type="dxa"/>
            <w:vAlign w:val="bottom"/>
            <w:tcBorders>
              <w:right w:val="single" w:sz="8" w:color="CCEEFF"/>
            </w:tcBorders>
            <w:gridSpan w:val="2"/>
            <w:shd w:val="clear" w:color="auto" w:fill="CCEEFF"/>
          </w:tcPr>
          <w:p>
            <w:pPr>
              <w:jc w:val="right"/>
              <w:ind w:right="26"/>
              <w:spacing w:after="0"/>
              <w:rPr>
                <w:sz w:val="20"/>
                <w:szCs w:val="20"/>
                <w:color w:val="auto"/>
              </w:rPr>
            </w:pPr>
            <w:r>
              <w:rPr>
                <w:rFonts w:ascii="Arial" w:cs="Arial" w:eastAsia="Arial" w:hAnsi="Arial"/>
                <w:sz w:val="13"/>
                <w:szCs w:val="13"/>
                <w:color w:val="003082"/>
              </w:rPr>
              <w:t>1,447</w:t>
            </w:r>
          </w:p>
        </w:tc>
        <w:tc>
          <w:tcPr>
            <w:tcW w:w="44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3D5588"/>
              <w:bottom w:val="single" w:sz="8" w:color="3D5588"/>
            </w:tcBorders>
          </w:tcPr>
          <w:p>
            <w:pPr>
              <w:spacing w:after="0" w:line="20" w:lineRule="exact"/>
              <w:rPr>
                <w:sz w:val="1"/>
                <w:szCs w:val="1"/>
                <w:color w:val="auto"/>
              </w:rPr>
            </w:pPr>
          </w:p>
        </w:tc>
        <w:tc>
          <w:tcPr>
            <w:tcW w:w="40" w:type="dxa"/>
            <w:vAlign w:val="bottom"/>
            <w:tcBorders>
              <w:top w:val="single" w:sz="8" w:color="3D5588"/>
              <w:bottom w:val="single" w:sz="8" w:color="3D5588"/>
            </w:tcBorders>
          </w:tcPr>
          <w:p>
            <w:pPr>
              <w:spacing w:after="0" w:line="20" w:lineRule="exact"/>
              <w:rPr>
                <w:sz w:val="1"/>
                <w:szCs w:val="1"/>
                <w:color w:val="auto"/>
              </w:rPr>
            </w:pPr>
          </w:p>
        </w:tc>
        <w:tc>
          <w:tcPr>
            <w:tcW w:w="40" w:type="dxa"/>
            <w:vAlign w:val="bottom"/>
            <w:tcBorders>
              <w:top w:val="single" w:sz="8" w:color="3D5588"/>
              <w:bottom w:val="single" w:sz="8" w:color="3D5588"/>
            </w:tcBorders>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5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560" w:type="dxa"/>
            <w:vAlign w:val="bottom"/>
            <w:tcBorders>
              <w:top w:val="single" w:sz="8" w:color="3D5588"/>
              <w:bottom w:val="single" w:sz="8" w:color="3D5588"/>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3D5588"/>
              <w:bottom w:val="single" w:sz="8" w:color="3D5588"/>
            </w:tcBorders>
          </w:tcPr>
          <w:p>
            <w:pPr>
              <w:spacing w:after="0" w:line="20" w:lineRule="exact"/>
              <w:rPr>
                <w:sz w:val="1"/>
                <w:szCs w:val="1"/>
                <w:color w:val="auto"/>
              </w:rPr>
            </w:pPr>
          </w:p>
        </w:tc>
        <w:tc>
          <w:tcPr>
            <w:tcW w:w="820" w:type="dxa"/>
            <w:vAlign w:val="bottom"/>
            <w:tcBorders>
              <w:top w:val="single" w:sz="8" w:color="3D5588"/>
              <w:bottom w:val="single" w:sz="8" w:color="3D5588"/>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80" w:type="dxa"/>
            <w:vAlign w:val="bottom"/>
            <w:tcBorders>
              <w:top w:val="single" w:sz="8" w:color="3D5588"/>
              <w:bottom w:val="single" w:sz="8" w:color="3D5588"/>
            </w:tcBorders>
          </w:tcPr>
          <w:p>
            <w:pPr>
              <w:spacing w:after="0" w:line="20" w:lineRule="exact"/>
              <w:rPr>
                <w:sz w:val="1"/>
                <w:szCs w:val="1"/>
                <w:color w:val="auto"/>
              </w:rPr>
            </w:pPr>
          </w:p>
        </w:tc>
        <w:tc>
          <w:tcPr>
            <w:tcW w:w="240" w:type="dxa"/>
            <w:vAlign w:val="bottom"/>
            <w:tcBorders>
              <w:top w:val="single" w:sz="8" w:color="3D5588"/>
              <w:bottom w:val="single" w:sz="8" w:color="3D5588"/>
            </w:tcBorders>
          </w:tcPr>
          <w:p>
            <w:pPr>
              <w:spacing w:after="0" w:line="20" w:lineRule="exact"/>
              <w:rPr>
                <w:sz w:val="1"/>
                <w:szCs w:val="1"/>
                <w:color w:val="auto"/>
              </w:rPr>
            </w:pPr>
          </w:p>
        </w:tc>
        <w:tc>
          <w:tcPr>
            <w:tcW w:w="700" w:type="dxa"/>
            <w:vAlign w:val="bottom"/>
            <w:tcBorders>
              <w:top w:val="single" w:sz="8" w:color="3D5588"/>
              <w:bottom w:val="single" w:sz="8" w:color="3D5588"/>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3D5588"/>
              <w:bottom w:val="single" w:sz="8" w:color="3D5588"/>
            </w:tcBorders>
          </w:tcPr>
          <w:p>
            <w:pPr>
              <w:spacing w:after="0" w:line="20" w:lineRule="exact"/>
              <w:rPr>
                <w:sz w:val="1"/>
                <w:szCs w:val="1"/>
                <w:color w:val="auto"/>
              </w:rPr>
            </w:pPr>
          </w:p>
        </w:tc>
        <w:tc>
          <w:tcPr>
            <w:tcW w:w="20" w:type="dxa"/>
            <w:vAlign w:val="bottom"/>
            <w:tcBorders>
              <w:top w:val="single" w:sz="8" w:color="3D5588"/>
              <w:bottom w:val="single" w:sz="8" w:color="3D5588"/>
            </w:tcBorders>
          </w:tcPr>
          <w:p>
            <w:pPr>
              <w:spacing w:after="0" w:line="20" w:lineRule="exact"/>
              <w:rPr>
                <w:sz w:val="1"/>
                <w:szCs w:val="1"/>
                <w:color w:val="auto"/>
              </w:rPr>
            </w:pPr>
          </w:p>
        </w:tc>
        <w:tc>
          <w:tcPr>
            <w:tcW w:w="700" w:type="dxa"/>
            <w:vAlign w:val="bottom"/>
            <w:tcBorders>
              <w:top w:val="single" w:sz="8" w:color="3D5588"/>
              <w:bottom w:val="single" w:sz="8" w:color="3D5588"/>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60" w:type="dxa"/>
            <w:vAlign w:val="bottom"/>
            <w:tcBorders>
              <w:top w:val="single" w:sz="8" w:color="3D5588"/>
              <w:bottom w:val="single" w:sz="8" w:color="3D5588"/>
            </w:tcBorders>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32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6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68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340" w:type="dxa"/>
            <w:vAlign w:val="bottom"/>
            <w:tcBorders>
              <w:top w:val="single" w:sz="8" w:color="3D5588"/>
              <w:bottom w:val="single" w:sz="8" w:color="3D5588"/>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52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6"/>
          </w:tcPr>
          <w:p>
            <w:pPr>
              <w:jc w:val="center"/>
              <w:ind w:right="60"/>
              <w:spacing w:after="0"/>
              <w:rPr>
                <w:sz w:val="20"/>
                <w:szCs w:val="20"/>
                <w:color w:val="auto"/>
              </w:rPr>
            </w:pPr>
            <w:r>
              <w:rPr>
                <w:rFonts w:ascii="Arial" w:cs="Arial" w:eastAsia="Arial" w:hAnsi="Arial"/>
                <w:sz w:val="11"/>
                <w:szCs w:val="11"/>
                <w:b w:val="1"/>
                <w:bCs w:val="1"/>
                <w:color w:val="003082"/>
                <w:w w:val="90"/>
              </w:rPr>
              <w:t>Three Months Ended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840" w:type="dxa"/>
            <w:vAlign w:val="bottom"/>
            <w:tcBorders>
              <w:bottom w:val="single" w:sz="8" w:color="3D5588"/>
            </w:tcBorders>
            <w:gridSpan w:val="3"/>
          </w:tcPr>
          <w:p>
            <w:pPr>
              <w:spacing w:after="0" w:line="20" w:lineRule="exact"/>
              <w:rPr>
                <w:sz w:val="1"/>
                <w:szCs w:val="1"/>
                <w:color w:val="auto"/>
              </w:rPr>
            </w:pPr>
          </w:p>
        </w:tc>
        <w:tc>
          <w:tcPr>
            <w:tcW w:w="880" w:type="dxa"/>
            <w:vAlign w:val="bottom"/>
            <w:tcBorders>
              <w:bottom w:val="single" w:sz="8" w:color="3D5588"/>
            </w:tcBorders>
            <w:gridSpan w:val="4"/>
          </w:tcPr>
          <w:p>
            <w:pPr>
              <w:spacing w:after="0" w:line="20" w:lineRule="exact"/>
              <w:rPr>
                <w:sz w:val="1"/>
                <w:szCs w:val="1"/>
                <w:color w:val="auto"/>
              </w:rPr>
            </w:pPr>
          </w:p>
        </w:tc>
        <w:tc>
          <w:tcPr>
            <w:tcW w:w="1180" w:type="dxa"/>
            <w:vAlign w:val="bottom"/>
            <w:tcBorders>
              <w:bottom w:val="single" w:sz="8" w:color="3D5588"/>
            </w:tcBorders>
            <w:gridSpan w:val="4"/>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940" w:type="dxa"/>
            <w:vAlign w:val="bottom"/>
            <w:tcBorders>
              <w:bottom w:val="single" w:sz="8" w:color="3D5588"/>
            </w:tcBorders>
            <w:gridSpan w:val="2"/>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gridSpan w:val="6"/>
          </w:tcPr>
          <w:p>
            <w:pPr>
              <w:spacing w:after="0" w:line="20" w:lineRule="exact"/>
              <w:rPr>
                <w:sz w:val="1"/>
                <w:szCs w:val="1"/>
                <w:color w:val="auto"/>
              </w:rPr>
            </w:pPr>
          </w:p>
        </w:tc>
        <w:tc>
          <w:tcPr>
            <w:tcW w:w="860" w:type="dxa"/>
            <w:vAlign w:val="bottom"/>
            <w:tcBorders>
              <w:bottom w:val="single" w:sz="8" w:color="3D5588"/>
            </w:tcBorders>
            <w:gridSpan w:val="5"/>
          </w:tcPr>
          <w:p>
            <w:pPr>
              <w:spacing w:after="0" w:line="20" w:lineRule="exact"/>
              <w:rPr>
                <w:sz w:val="1"/>
                <w:szCs w:val="1"/>
                <w:color w:val="auto"/>
              </w:rPr>
            </w:pPr>
          </w:p>
        </w:tc>
        <w:tc>
          <w:tcPr>
            <w:tcW w:w="1260" w:type="dxa"/>
            <w:vAlign w:val="bottom"/>
            <w:tcBorders>
              <w:bottom w:val="single" w:sz="8" w:color="3D5588"/>
            </w:tcBorders>
            <w:gridSpan w:val="5"/>
          </w:tcPr>
          <w:p>
            <w:pPr>
              <w:spacing w:after="0" w:line="20" w:lineRule="exact"/>
              <w:rPr>
                <w:sz w:val="1"/>
                <w:szCs w:val="1"/>
                <w:color w:val="auto"/>
              </w:rPr>
            </w:pPr>
          </w:p>
        </w:tc>
        <w:tc>
          <w:tcPr>
            <w:tcW w:w="1140" w:type="dxa"/>
            <w:vAlign w:val="bottom"/>
            <w:tcBorders>
              <w:bottom w:val="single" w:sz="8" w:color="3D5588"/>
            </w:tcBorders>
            <w:gridSpan w:val="3"/>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780" w:type="dxa"/>
            <w:vAlign w:val="bottom"/>
            <w:tcBorders>
              <w:bottom w:val="single" w:sz="8" w:color="3D5588"/>
            </w:tcBorders>
            <w:gridSpan w:val="2"/>
          </w:tcPr>
          <w:p>
            <w:pPr>
              <w:spacing w:after="0" w:line="20" w:lineRule="exact"/>
              <w:rPr>
                <w:sz w:val="1"/>
                <w:szCs w:val="1"/>
                <w:color w:val="auto"/>
              </w:rPr>
            </w:pPr>
          </w:p>
        </w:tc>
      </w:tr>
      <w:tr>
        <w:trPr>
          <w:trHeight w:val="241"/>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003082"/>
                <w:w w:val="89"/>
              </w:rPr>
              <w:t>March 31, 2018</w:t>
            </w:r>
          </w:p>
        </w:tc>
        <w:tc>
          <w:tcPr>
            <w:tcW w:w="880" w:type="dxa"/>
            <w:vAlign w:val="bottom"/>
            <w:gridSpan w:val="4"/>
          </w:tcPr>
          <w:p>
            <w:pPr>
              <w:jc w:val="right"/>
              <w:ind w:right="180"/>
              <w:spacing w:after="0"/>
              <w:rPr>
                <w:sz w:val="20"/>
                <w:szCs w:val="20"/>
                <w:color w:val="auto"/>
              </w:rPr>
            </w:pPr>
            <w:r>
              <w:rPr>
                <w:rFonts w:ascii="Arial" w:cs="Arial" w:eastAsia="Arial" w:hAnsi="Arial"/>
                <w:sz w:val="11"/>
                <w:szCs w:val="11"/>
                <w:b w:val="1"/>
                <w:bCs w:val="1"/>
                <w:color w:val="003082"/>
                <w:w w:val="94"/>
              </w:rPr>
              <w:t>June 30, 2018</w:t>
            </w:r>
          </w:p>
        </w:tc>
        <w:tc>
          <w:tcPr>
            <w:tcW w:w="118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003082"/>
                <w:w w:val="93"/>
              </w:rPr>
              <w:t>September 30,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b w:val="1"/>
                <w:bCs w:val="1"/>
                <w:color w:val="003082"/>
                <w:w w:val="90"/>
              </w:rPr>
              <w:t>December 31,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6"/>
          </w:tcPr>
          <w:p>
            <w:pPr>
              <w:ind w:left="80"/>
              <w:spacing w:after="0"/>
              <w:rPr>
                <w:sz w:val="20"/>
                <w:szCs w:val="20"/>
                <w:color w:val="auto"/>
              </w:rPr>
            </w:pPr>
            <w:r>
              <w:rPr>
                <w:rFonts w:ascii="Arial" w:cs="Arial" w:eastAsia="Arial" w:hAnsi="Arial"/>
                <w:sz w:val="11"/>
                <w:szCs w:val="11"/>
                <w:b w:val="1"/>
                <w:bCs w:val="1"/>
                <w:color w:val="003082"/>
              </w:rPr>
              <w:t>March 31, 2019</w:t>
            </w:r>
          </w:p>
        </w:tc>
        <w:tc>
          <w:tcPr>
            <w:tcW w:w="860" w:type="dxa"/>
            <w:vAlign w:val="bottom"/>
            <w:gridSpan w:val="5"/>
          </w:tcPr>
          <w:p>
            <w:pPr>
              <w:jc w:val="right"/>
              <w:ind w:right="200"/>
              <w:spacing w:after="0"/>
              <w:rPr>
                <w:sz w:val="20"/>
                <w:szCs w:val="20"/>
                <w:color w:val="auto"/>
              </w:rPr>
            </w:pPr>
            <w:r>
              <w:rPr>
                <w:rFonts w:ascii="Arial" w:cs="Arial" w:eastAsia="Arial" w:hAnsi="Arial"/>
                <w:sz w:val="11"/>
                <w:szCs w:val="11"/>
                <w:b w:val="1"/>
                <w:bCs w:val="1"/>
                <w:color w:val="003082"/>
                <w:w w:val="89"/>
              </w:rPr>
              <w:t>June 30, 2019</w:t>
            </w:r>
          </w:p>
        </w:tc>
        <w:tc>
          <w:tcPr>
            <w:tcW w:w="1260" w:type="dxa"/>
            <w:vAlign w:val="bottom"/>
            <w:gridSpan w:val="5"/>
          </w:tcPr>
          <w:p>
            <w:pPr>
              <w:ind w:left="120"/>
              <w:spacing w:after="0"/>
              <w:rPr>
                <w:sz w:val="20"/>
                <w:szCs w:val="20"/>
                <w:color w:val="auto"/>
              </w:rPr>
            </w:pPr>
            <w:r>
              <w:rPr>
                <w:rFonts w:ascii="Arial" w:cs="Arial" w:eastAsia="Arial" w:hAnsi="Arial"/>
                <w:sz w:val="11"/>
                <w:szCs w:val="11"/>
                <w:b w:val="1"/>
                <w:bCs w:val="1"/>
                <w:color w:val="003082"/>
              </w:rPr>
              <w:t>September 30, 2019</w:t>
            </w:r>
          </w:p>
        </w:tc>
        <w:tc>
          <w:tcPr>
            <w:tcW w:w="1140" w:type="dxa"/>
            <w:vAlign w:val="bottom"/>
            <w:gridSpan w:val="3"/>
          </w:tcPr>
          <w:p>
            <w:pPr>
              <w:jc w:val="right"/>
              <w:ind w:right="66"/>
              <w:spacing w:after="0"/>
              <w:rPr>
                <w:sz w:val="20"/>
                <w:szCs w:val="20"/>
                <w:color w:val="auto"/>
              </w:rPr>
            </w:pPr>
            <w:r>
              <w:rPr>
                <w:rFonts w:ascii="Arial" w:cs="Arial" w:eastAsia="Arial" w:hAnsi="Arial"/>
                <w:sz w:val="11"/>
                <w:szCs w:val="11"/>
                <w:b w:val="1"/>
                <w:bCs w:val="1"/>
                <w:color w:val="003082"/>
              </w:rPr>
              <w:t>December 31, 2019</w:t>
            </w:r>
          </w:p>
        </w:tc>
        <w:tc>
          <w:tcPr>
            <w:tcW w:w="12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003082"/>
                <w:w w:val="91"/>
              </w:rPr>
              <w:t>March 31, 2020</w:t>
            </w: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6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82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7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gridSpan w:val="6"/>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6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68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440" w:type="dxa"/>
            <w:vAlign w:val="bottom"/>
            <w:tcBorders>
              <w:bottom w:val="single" w:sz="8" w:color="3D5588"/>
            </w:tcBorders>
          </w:tcPr>
          <w:p>
            <w:pPr>
              <w:spacing w:after="0" w:line="20" w:lineRule="exact"/>
              <w:rPr>
                <w:sz w:val="1"/>
                <w:szCs w:val="1"/>
                <w:color w:val="auto"/>
              </w:rPr>
            </w:pPr>
          </w:p>
        </w:tc>
      </w:tr>
      <w:tr>
        <w:trPr>
          <w:trHeight w:val="174"/>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6"/>
          </w:tcPr>
          <w:p>
            <w:pPr>
              <w:jc w:val="center"/>
              <w:ind w:right="80"/>
              <w:spacing w:after="0"/>
              <w:rPr>
                <w:sz w:val="20"/>
                <w:szCs w:val="20"/>
                <w:color w:val="auto"/>
              </w:rPr>
            </w:pPr>
            <w:r>
              <w:rPr>
                <w:rFonts w:ascii="Arial" w:cs="Arial" w:eastAsia="Arial" w:hAnsi="Arial"/>
                <w:sz w:val="11"/>
                <w:szCs w:val="11"/>
                <w:b w:val="1"/>
                <w:bCs w:val="1"/>
                <w:color w:val="003082"/>
                <w:w w:val="91"/>
              </w:rPr>
              <w:t>(Unaudited)</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76"/>
        </w:trPr>
        <w:tc>
          <w:tcPr>
            <w:tcW w:w="17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r>
      <w:tr>
        <w:trPr>
          <w:trHeight w:val="148"/>
        </w:trPr>
        <w:tc>
          <w:tcPr>
            <w:tcW w:w="170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003082"/>
                <w:w w:val="94"/>
              </w:rPr>
              <w:t>Real-time engagement service</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76"/>
        </w:trPr>
        <w:tc>
          <w:tcPr>
            <w:tcW w:w="1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003082"/>
              </w:rPr>
              <w:t>revenues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99.9%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98.7%</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98.7%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6"/>
              <w:spacing w:after="0"/>
              <w:rPr>
                <w:sz w:val="20"/>
                <w:szCs w:val="20"/>
                <w:color w:val="auto"/>
              </w:rPr>
            </w:pPr>
            <w:r>
              <w:rPr>
                <w:rFonts w:ascii="Arial" w:cs="Arial" w:eastAsia="Arial" w:hAnsi="Arial"/>
                <w:sz w:val="13"/>
                <w:szCs w:val="13"/>
                <w:color w:val="003082"/>
              </w:rPr>
              <w:t>98.7%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gridSpan w:val="4"/>
            <w:shd w:val="clear" w:color="auto" w:fill="CCEEFF"/>
          </w:tcPr>
          <w:p>
            <w:pPr>
              <w:jc w:val="right"/>
              <w:ind w:right="6"/>
              <w:spacing w:after="0"/>
              <w:rPr>
                <w:sz w:val="20"/>
                <w:szCs w:val="20"/>
                <w:color w:val="auto"/>
              </w:rPr>
            </w:pPr>
            <w:r>
              <w:rPr>
                <w:rFonts w:ascii="Arial" w:cs="Arial" w:eastAsia="Arial" w:hAnsi="Arial"/>
                <w:sz w:val="13"/>
                <w:szCs w:val="13"/>
                <w:color w:val="003082"/>
              </w:rPr>
              <w:t>99.4%</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003082"/>
              </w:rPr>
              <w:t>99.7%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26"/>
              <w:spacing w:after="0"/>
              <w:rPr>
                <w:sz w:val="20"/>
                <w:szCs w:val="20"/>
                <w:color w:val="auto"/>
              </w:rPr>
            </w:pPr>
            <w:r>
              <w:rPr>
                <w:rFonts w:ascii="Arial" w:cs="Arial" w:eastAsia="Arial" w:hAnsi="Arial"/>
                <w:sz w:val="13"/>
                <w:szCs w:val="13"/>
                <w:color w:val="003082"/>
                <w:w w:val="81"/>
              </w:rPr>
              <w:t>99.3%</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
              <w:spacing w:after="0"/>
              <w:rPr>
                <w:sz w:val="20"/>
                <w:szCs w:val="20"/>
                <w:color w:val="auto"/>
              </w:rPr>
            </w:pPr>
            <w:r>
              <w:rPr>
                <w:rFonts w:ascii="Arial" w:cs="Arial" w:eastAsia="Arial" w:hAnsi="Arial"/>
                <w:sz w:val="13"/>
                <w:szCs w:val="13"/>
                <w:color w:val="003082"/>
              </w:rPr>
              <w:t>98.6%</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99.7%</w:t>
            </w:r>
          </w:p>
        </w:tc>
      </w:tr>
      <w:tr>
        <w:trPr>
          <w:trHeight w:val="263"/>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003082"/>
              </w:rPr>
              <w:t>Other revenues</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40" w:type="dxa"/>
            <w:vAlign w:val="bottom"/>
            <w:tcBorders>
              <w:bottom w:val="single" w:sz="8" w:color="3D5588"/>
            </w:tcBorders>
          </w:tcPr>
          <w:p>
            <w:pPr>
              <w:jc w:val="right"/>
              <w:ind w:right="97"/>
              <w:spacing w:after="0"/>
              <w:rPr>
                <w:sz w:val="20"/>
                <w:szCs w:val="20"/>
                <w:color w:val="auto"/>
              </w:rPr>
            </w:pPr>
            <w:r>
              <w:rPr>
                <w:rFonts w:ascii="Arial" w:cs="Arial" w:eastAsia="Arial" w:hAnsi="Arial"/>
                <w:sz w:val="13"/>
                <w:szCs w:val="13"/>
                <w:color w:val="003082"/>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1.3</w:t>
            </w:r>
          </w:p>
        </w:tc>
        <w:tc>
          <w:tcPr>
            <w:tcW w:w="2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1.3</w:t>
            </w:r>
          </w:p>
        </w:tc>
        <w:tc>
          <w:tcPr>
            <w:tcW w:w="2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3D5588"/>
            </w:tcBorders>
          </w:tcPr>
          <w:p>
            <w:pPr>
              <w:spacing w:after="0"/>
              <w:rPr>
                <w:sz w:val="22"/>
                <w:szCs w:val="22"/>
                <w:color w:val="auto"/>
              </w:rPr>
            </w:pPr>
          </w:p>
        </w:tc>
        <w:tc>
          <w:tcPr>
            <w:tcW w:w="240" w:type="dxa"/>
            <w:vAlign w:val="bottom"/>
            <w:tcBorders>
              <w:bottom w:val="single" w:sz="8" w:color="3D5588"/>
            </w:tcBorders>
          </w:tcPr>
          <w:p>
            <w:pPr>
              <w:spacing w:after="0"/>
              <w:rPr>
                <w:sz w:val="22"/>
                <w:szCs w:val="22"/>
                <w:color w:val="auto"/>
              </w:rPr>
            </w:pPr>
          </w:p>
        </w:tc>
        <w:tc>
          <w:tcPr>
            <w:tcW w:w="7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1.3</w:t>
            </w:r>
          </w:p>
        </w:tc>
        <w:tc>
          <w:tcPr>
            <w:tcW w:w="20" w:type="dxa"/>
            <w:vAlign w:val="bottom"/>
            <w:tcBorders>
              <w:bottom w:val="single" w:sz="8" w:color="3D5588"/>
            </w:tcBorders>
          </w:tcPr>
          <w:p>
            <w:pPr>
              <w:spacing w:after="0"/>
              <w:rPr>
                <w:sz w:val="22"/>
                <w:szCs w:val="22"/>
                <w:color w:val="auto"/>
              </w:rPr>
            </w:pPr>
          </w:p>
        </w:tc>
        <w:tc>
          <w:tcPr>
            <w:tcW w:w="80" w:type="dxa"/>
            <w:vAlign w:val="bottom"/>
            <w:tcBorders>
              <w:bottom w:val="single" w:sz="8" w:color="3D5588"/>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gridSpan w:val="3"/>
          </w:tcPr>
          <w:p>
            <w:pPr>
              <w:jc w:val="right"/>
              <w:ind w:right="80"/>
              <w:spacing w:after="0"/>
              <w:rPr>
                <w:sz w:val="20"/>
                <w:szCs w:val="20"/>
                <w:color w:val="auto"/>
              </w:rPr>
            </w:pPr>
            <w:r>
              <w:rPr>
                <w:rFonts w:ascii="Arial" w:cs="Arial" w:eastAsia="Arial" w:hAnsi="Arial"/>
                <w:sz w:val="13"/>
                <w:szCs w:val="13"/>
                <w:color w:val="003082"/>
              </w:rPr>
              <w:t>0.6</w:t>
            </w:r>
          </w:p>
        </w:tc>
        <w:tc>
          <w:tcPr>
            <w:tcW w:w="8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3D5588"/>
            </w:tcBorders>
          </w:tcPr>
          <w:p>
            <w:pPr>
              <w:spacing w:after="0"/>
              <w:rPr>
                <w:sz w:val="22"/>
                <w:szCs w:val="22"/>
                <w:color w:val="auto"/>
              </w:rPr>
            </w:pPr>
          </w:p>
        </w:tc>
        <w:tc>
          <w:tcPr>
            <w:tcW w:w="220" w:type="dxa"/>
            <w:vAlign w:val="bottom"/>
            <w:tcBorders>
              <w:bottom w:val="single" w:sz="8" w:color="3D5588"/>
            </w:tcBorders>
          </w:tcPr>
          <w:p>
            <w:pPr>
              <w:spacing w:after="0"/>
              <w:rPr>
                <w:sz w:val="22"/>
                <w:szCs w:val="22"/>
                <w:color w:val="auto"/>
              </w:rPr>
            </w:pPr>
          </w:p>
        </w:tc>
        <w:tc>
          <w:tcPr>
            <w:tcW w:w="420" w:type="dxa"/>
            <w:vAlign w:val="bottom"/>
            <w:tcBorders>
              <w:bottom w:val="single" w:sz="8" w:color="3D5588"/>
            </w:tcBorders>
            <w:gridSpan w:val="2"/>
          </w:tcPr>
          <w:p>
            <w:pPr>
              <w:jc w:val="right"/>
              <w:spacing w:after="0"/>
              <w:rPr>
                <w:sz w:val="20"/>
                <w:szCs w:val="20"/>
                <w:color w:val="auto"/>
              </w:rPr>
            </w:pPr>
            <w:r>
              <w:rPr>
                <w:rFonts w:ascii="Arial" w:cs="Arial" w:eastAsia="Arial" w:hAnsi="Arial"/>
                <w:sz w:val="13"/>
                <w:szCs w:val="13"/>
                <w:color w:val="003082"/>
              </w:rPr>
              <w:t>0.3</w:t>
            </w:r>
          </w:p>
        </w:tc>
        <w:tc>
          <w:tcPr>
            <w:tcW w:w="12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3D5588"/>
            </w:tcBorders>
          </w:tcPr>
          <w:p>
            <w:pPr>
              <w:spacing w:after="0"/>
              <w:rPr>
                <w:sz w:val="22"/>
                <w:szCs w:val="22"/>
                <w:color w:val="auto"/>
              </w:rPr>
            </w:pPr>
          </w:p>
        </w:tc>
        <w:tc>
          <w:tcPr>
            <w:tcW w:w="400" w:type="dxa"/>
            <w:vAlign w:val="bottom"/>
            <w:tcBorders>
              <w:bottom w:val="single" w:sz="8" w:color="3D5588"/>
            </w:tcBorders>
            <w:gridSpan w:val="3"/>
          </w:tcPr>
          <w:p>
            <w:pPr>
              <w:jc w:val="right"/>
              <w:ind w:right="126"/>
              <w:spacing w:after="0"/>
              <w:rPr>
                <w:sz w:val="20"/>
                <w:szCs w:val="20"/>
                <w:color w:val="auto"/>
              </w:rPr>
            </w:pPr>
            <w:r>
              <w:rPr>
                <w:rFonts w:ascii="Arial" w:cs="Arial" w:eastAsia="Arial" w:hAnsi="Arial"/>
                <w:sz w:val="13"/>
                <w:szCs w:val="13"/>
                <w:color w:val="003082"/>
              </w:rPr>
              <w:t>0.7</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3D5588"/>
            </w:tcBorders>
          </w:tcPr>
          <w:p>
            <w:pPr>
              <w:spacing w:after="0"/>
              <w:rPr>
                <w:sz w:val="22"/>
                <w:szCs w:val="22"/>
                <w:color w:val="auto"/>
              </w:rPr>
            </w:pPr>
          </w:p>
        </w:tc>
        <w:tc>
          <w:tcPr>
            <w:tcW w:w="460" w:type="dxa"/>
            <w:vAlign w:val="bottom"/>
            <w:tcBorders>
              <w:bottom w:val="single" w:sz="8" w:color="3D5588"/>
            </w:tcBorders>
            <w:gridSpan w:val="2"/>
          </w:tcPr>
          <w:p>
            <w:pPr>
              <w:jc w:val="right"/>
              <w:ind w:right="106"/>
              <w:spacing w:after="0"/>
              <w:rPr>
                <w:sz w:val="20"/>
                <w:szCs w:val="20"/>
                <w:color w:val="auto"/>
              </w:rPr>
            </w:pPr>
            <w:r>
              <w:rPr>
                <w:rFonts w:ascii="Arial" w:cs="Arial" w:eastAsia="Arial" w:hAnsi="Arial"/>
                <w:sz w:val="13"/>
                <w:szCs w:val="13"/>
                <w:color w:val="003082"/>
              </w:rPr>
              <w:t>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440" w:type="dxa"/>
            <w:vAlign w:val="bottom"/>
            <w:tcBorders>
              <w:bottom w:val="single" w:sz="8" w:color="3D5588"/>
            </w:tcBorders>
          </w:tcPr>
          <w:p>
            <w:pPr>
              <w:jc w:val="right"/>
              <w:ind w:right="77"/>
              <w:spacing w:after="0"/>
              <w:rPr>
                <w:sz w:val="20"/>
                <w:szCs w:val="20"/>
                <w:color w:val="auto"/>
              </w:rPr>
            </w:pPr>
            <w:r>
              <w:rPr>
                <w:rFonts w:ascii="Arial" w:cs="Arial" w:eastAsia="Arial" w:hAnsi="Arial"/>
                <w:sz w:val="13"/>
                <w:szCs w:val="13"/>
                <w:color w:val="003082"/>
              </w:rPr>
              <w:t>0.3</w:t>
            </w:r>
          </w:p>
        </w:tc>
      </w:tr>
      <w:tr>
        <w:trPr>
          <w:trHeight w:val="257"/>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003082"/>
              </w:rPr>
              <w:t>Total revenues</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003082"/>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100.0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100.0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100.0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003082"/>
              </w:rPr>
              <w:t>100.0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100.0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4"/>
            <w:shd w:val="clear" w:color="auto" w:fill="CCEEFF"/>
          </w:tcPr>
          <w:p>
            <w:pPr>
              <w:jc w:val="right"/>
              <w:ind w:right="126"/>
              <w:spacing w:after="0"/>
              <w:rPr>
                <w:sz w:val="20"/>
                <w:szCs w:val="20"/>
                <w:color w:val="auto"/>
              </w:rPr>
            </w:pPr>
            <w:r>
              <w:rPr>
                <w:rFonts w:ascii="Arial" w:cs="Arial" w:eastAsia="Arial" w:hAnsi="Arial"/>
                <w:sz w:val="13"/>
                <w:szCs w:val="13"/>
                <w:color w:val="003082"/>
              </w:rPr>
              <w:t>100.0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003082"/>
                <w:w w:val="85"/>
              </w:rPr>
              <w:t>100.0</w:t>
            </w:r>
          </w:p>
        </w:tc>
        <w:tc>
          <w:tcPr>
            <w:tcW w:w="1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w w:val="85"/>
              </w:rPr>
              <w:t>100.0</w:t>
            </w:r>
          </w:p>
        </w:tc>
      </w:tr>
      <w:tr>
        <w:trPr>
          <w:trHeight w:val="262"/>
        </w:trPr>
        <w:tc>
          <w:tcPr>
            <w:tcW w:w="1700" w:type="dxa"/>
            <w:vAlign w:val="bottom"/>
            <w:gridSpan w:val="2"/>
          </w:tcPr>
          <w:p>
            <w:pPr>
              <w:ind w:left="20"/>
              <w:spacing w:after="0"/>
              <w:rPr>
                <w:sz w:val="20"/>
                <w:szCs w:val="20"/>
                <w:color w:val="auto"/>
              </w:rPr>
            </w:pPr>
            <w:r>
              <w:rPr>
                <w:rFonts w:ascii="Arial" w:cs="Arial" w:eastAsia="Arial" w:hAnsi="Arial"/>
                <w:sz w:val="13"/>
                <w:szCs w:val="13"/>
                <w:color w:val="003082"/>
              </w:rPr>
              <w:t>Cost of revenues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003082"/>
              </w:rPr>
              <w:t>(29.2)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003082"/>
              </w:rPr>
              <w:t>(27.5)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3082"/>
              </w:rPr>
              <w:t>(27.5)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003082"/>
              </w:rPr>
              <w:t>(31.5)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003082"/>
              </w:rPr>
              <w:t>(31.1)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003082"/>
              </w:rPr>
              <w:t>(30.8)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4"/>
          </w:tcPr>
          <w:p>
            <w:pPr>
              <w:jc w:val="right"/>
              <w:ind w:right="86"/>
              <w:spacing w:after="0"/>
              <w:rPr>
                <w:sz w:val="20"/>
                <w:szCs w:val="20"/>
                <w:color w:val="auto"/>
              </w:rPr>
            </w:pPr>
            <w:r>
              <w:rPr>
                <w:rFonts w:ascii="Arial" w:cs="Arial" w:eastAsia="Arial" w:hAnsi="Arial"/>
                <w:sz w:val="13"/>
                <w:szCs w:val="13"/>
                <w:color w:val="003082"/>
              </w:rPr>
              <w:t>(30.8)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gridSpan w:val="2"/>
          </w:tcPr>
          <w:p>
            <w:pPr>
              <w:jc w:val="right"/>
              <w:ind w:right="66"/>
              <w:spacing w:after="0"/>
              <w:rPr>
                <w:sz w:val="20"/>
                <w:szCs w:val="20"/>
                <w:color w:val="auto"/>
              </w:rPr>
            </w:pPr>
            <w:r>
              <w:rPr>
                <w:rFonts w:ascii="Arial" w:cs="Arial" w:eastAsia="Arial" w:hAnsi="Arial"/>
                <w:sz w:val="13"/>
                <w:szCs w:val="13"/>
                <w:color w:val="003082"/>
                <w:w w:val="94"/>
              </w:rPr>
              <w:t>(33.7)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003082"/>
                <w:w w:val="94"/>
              </w:rPr>
              <w:t>(31.2)</w:t>
            </w:r>
          </w:p>
        </w:tc>
      </w:tr>
      <w:tr>
        <w:trPr>
          <w:trHeight w:val="278"/>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003082"/>
              </w:rPr>
              <w:t>Gross profit</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003082"/>
              </w:rPr>
              <w:t>70.8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72.5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72.5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68.5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003082"/>
              </w:rPr>
              <w:t>68.9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69.2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003082"/>
                <w:w w:val="78"/>
              </w:rPr>
              <w:t>69.2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003082"/>
              </w:rPr>
              <w:t>66.3</w:t>
            </w:r>
          </w:p>
        </w:tc>
        <w:tc>
          <w:tcPr>
            <w:tcW w:w="12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68.8</w:t>
            </w:r>
          </w:p>
        </w:tc>
      </w:tr>
      <w:tr>
        <w:trPr>
          <w:trHeight w:val="262"/>
        </w:trPr>
        <w:tc>
          <w:tcPr>
            <w:tcW w:w="1700" w:type="dxa"/>
            <w:vAlign w:val="bottom"/>
            <w:gridSpan w:val="2"/>
          </w:tcPr>
          <w:p>
            <w:pPr>
              <w:ind w:left="20"/>
              <w:spacing w:after="0"/>
              <w:rPr>
                <w:sz w:val="20"/>
                <w:szCs w:val="20"/>
                <w:color w:val="auto"/>
              </w:rPr>
            </w:pPr>
            <w:r>
              <w:rPr>
                <w:rFonts w:ascii="Arial" w:cs="Arial" w:eastAsia="Arial" w:hAnsi="Arial"/>
                <w:sz w:val="13"/>
                <w:szCs w:val="13"/>
                <w:color w:val="003082"/>
              </w:rPr>
              <w:t>Operating expenses: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15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003082"/>
                <w:w w:val="95"/>
              </w:rPr>
              <w:t>Research and development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6"/>
        </w:trPr>
        <w:tc>
          <w:tcPr>
            <w:tcW w:w="340" w:type="dxa"/>
            <w:vAlign w:val="bottom"/>
            <w:shd w:val="clear" w:color="auto" w:fill="CCEEFF"/>
          </w:tcPr>
          <w:p>
            <w:pPr>
              <w:spacing w:after="0"/>
              <w:rPr>
                <w:sz w:val="15"/>
                <w:szCs w:val="15"/>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expenses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(40.4)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(34.5)</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(27.7)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003082"/>
              </w:rPr>
              <w:t>(31.4)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(38.3)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4"/>
            <w:shd w:val="clear" w:color="auto" w:fill="CCEEFF"/>
          </w:tcPr>
          <w:p>
            <w:pPr>
              <w:jc w:val="right"/>
              <w:ind w:right="86"/>
              <w:spacing w:after="0"/>
              <w:rPr>
                <w:sz w:val="20"/>
                <w:szCs w:val="20"/>
                <w:color w:val="auto"/>
              </w:rPr>
            </w:pPr>
            <w:r>
              <w:rPr>
                <w:rFonts w:ascii="Arial" w:cs="Arial" w:eastAsia="Arial" w:hAnsi="Arial"/>
                <w:sz w:val="13"/>
                <w:szCs w:val="13"/>
                <w:color w:val="003082"/>
              </w:rPr>
              <w:t>(38.6)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003082"/>
                <w:w w:val="94"/>
              </w:rPr>
              <w:t>(37.3)</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w w:val="94"/>
              </w:rPr>
              <w:t>(32.9)</w:t>
            </w:r>
          </w:p>
        </w:tc>
      </w:tr>
      <w:tr>
        <w:trPr>
          <w:trHeight w:val="262"/>
        </w:trPr>
        <w:tc>
          <w:tcPr>
            <w:tcW w:w="1700" w:type="dxa"/>
            <w:vAlign w:val="bottom"/>
            <w:gridSpan w:val="2"/>
          </w:tcPr>
          <w:p>
            <w:pPr>
              <w:ind w:left="160"/>
              <w:spacing w:after="0"/>
              <w:rPr>
                <w:sz w:val="20"/>
                <w:szCs w:val="20"/>
                <w:color w:val="auto"/>
              </w:rPr>
            </w:pPr>
            <w:r>
              <w:rPr>
                <w:rFonts w:ascii="Arial" w:cs="Arial" w:eastAsia="Arial" w:hAnsi="Arial"/>
                <w:sz w:val="13"/>
                <w:szCs w:val="13"/>
                <w:color w:val="003082"/>
                <w:w w:val="85"/>
              </w:rPr>
              <w:t>Sales and marketing expenses</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003082"/>
              </w:rPr>
              <w:t>(26.7)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003082"/>
              </w:rPr>
              <w:t>(23.3)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3082"/>
              </w:rPr>
              <w:t>(28.4)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003082"/>
              </w:rPr>
              <w:t>(30.5)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003082"/>
              </w:rPr>
              <w:t>(30.0)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003082"/>
              </w:rPr>
              <w:t>(34.0)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4"/>
          </w:tcPr>
          <w:p>
            <w:pPr>
              <w:jc w:val="right"/>
              <w:ind w:right="86"/>
              <w:spacing w:after="0"/>
              <w:rPr>
                <w:sz w:val="20"/>
                <w:szCs w:val="20"/>
                <w:color w:val="auto"/>
              </w:rPr>
            </w:pPr>
            <w:r>
              <w:rPr>
                <w:rFonts w:ascii="Arial" w:cs="Arial" w:eastAsia="Arial" w:hAnsi="Arial"/>
                <w:sz w:val="13"/>
                <w:szCs w:val="13"/>
                <w:color w:val="003082"/>
              </w:rPr>
              <w:t>(28.0)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gridSpan w:val="2"/>
          </w:tcPr>
          <w:p>
            <w:pPr>
              <w:jc w:val="right"/>
              <w:ind w:right="66"/>
              <w:spacing w:after="0"/>
              <w:rPr>
                <w:sz w:val="20"/>
                <w:szCs w:val="20"/>
                <w:color w:val="auto"/>
              </w:rPr>
            </w:pPr>
            <w:r>
              <w:rPr>
                <w:rFonts w:ascii="Arial" w:cs="Arial" w:eastAsia="Arial" w:hAnsi="Arial"/>
                <w:sz w:val="13"/>
                <w:szCs w:val="13"/>
                <w:color w:val="003082"/>
                <w:w w:val="94"/>
              </w:rPr>
              <w:t>(29.1)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003082"/>
                <w:w w:val="94"/>
              </w:rPr>
              <w:t>(16.9)</w:t>
            </w:r>
          </w:p>
        </w:tc>
      </w:tr>
      <w:tr>
        <w:trPr>
          <w:trHeight w:val="15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003082"/>
                <w:w w:val="97"/>
              </w:rPr>
              <w:t>General and administrative</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70"/>
        </w:trPr>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expenses</w:t>
            </w:r>
          </w:p>
        </w:tc>
        <w:tc>
          <w:tcPr>
            <w:tcW w:w="40" w:type="dxa"/>
            <w:vAlign w:val="bottom"/>
            <w:shd w:val="clear" w:color="auto" w:fill="CCEEFF"/>
          </w:tcPr>
          <w:p>
            <w:pPr>
              <w:spacing w:after="0"/>
              <w:rPr>
                <w:sz w:val="14"/>
                <w:szCs w:val="14"/>
                <w:color w:val="auto"/>
              </w:rPr>
            </w:pPr>
          </w:p>
        </w:tc>
        <w:tc>
          <w:tcPr>
            <w:tcW w:w="40" w:type="dxa"/>
            <w:vAlign w:val="bottom"/>
            <w:tcBorders>
              <w:bottom w:val="single" w:sz="8" w:color="3D5588"/>
            </w:tcBorders>
            <w:shd w:val="clear" w:color="auto" w:fill="CCEEFF"/>
          </w:tcPr>
          <w:p>
            <w:pPr>
              <w:spacing w:after="0"/>
              <w:rPr>
                <w:sz w:val="14"/>
                <w:szCs w:val="14"/>
                <w:color w:val="auto"/>
              </w:rPr>
            </w:pPr>
          </w:p>
        </w:tc>
        <w:tc>
          <w:tcPr>
            <w:tcW w:w="40" w:type="dxa"/>
            <w:vAlign w:val="bottom"/>
            <w:tcBorders>
              <w:bottom w:val="single" w:sz="8" w:color="3D5588"/>
            </w:tcBorders>
            <w:shd w:val="clear" w:color="auto" w:fill="CCEEFF"/>
          </w:tcPr>
          <w:p>
            <w:pPr>
              <w:spacing w:after="0"/>
              <w:rPr>
                <w:sz w:val="14"/>
                <w:szCs w:val="14"/>
                <w:color w:val="auto"/>
              </w:rPr>
            </w:pPr>
          </w:p>
        </w:tc>
        <w:tc>
          <w:tcPr>
            <w:tcW w:w="180" w:type="dxa"/>
            <w:vAlign w:val="bottom"/>
            <w:tcBorders>
              <w:bottom w:val="single" w:sz="8" w:color="3D5588"/>
            </w:tcBorders>
            <w:shd w:val="clear" w:color="auto" w:fill="CCEEFF"/>
          </w:tcPr>
          <w:p>
            <w:pPr>
              <w:spacing w:after="0"/>
              <w:rPr>
                <w:sz w:val="14"/>
                <w:szCs w:val="14"/>
                <w:color w:val="auto"/>
              </w:rPr>
            </w:pPr>
          </w:p>
        </w:tc>
        <w:tc>
          <w:tcPr>
            <w:tcW w:w="540" w:type="dxa"/>
            <w:vAlign w:val="bottom"/>
            <w:tcBorders>
              <w:bottom w:val="single" w:sz="8" w:color="3D5588"/>
            </w:tcBorders>
            <w:shd w:val="clear" w:color="auto" w:fill="CCEEFF"/>
          </w:tcPr>
          <w:p>
            <w:pPr>
              <w:jc w:val="right"/>
              <w:ind w:right="57"/>
              <w:spacing w:after="0"/>
              <w:rPr>
                <w:sz w:val="20"/>
                <w:szCs w:val="20"/>
                <w:color w:val="auto"/>
              </w:rPr>
            </w:pPr>
            <w:r>
              <w:rPr>
                <w:rFonts w:ascii="Arial" w:cs="Arial" w:eastAsia="Arial" w:hAnsi="Arial"/>
                <w:sz w:val="13"/>
                <w:szCs w:val="13"/>
                <w:color w:val="003082"/>
              </w:rPr>
              <w:t>(11.7)</w:t>
            </w:r>
          </w:p>
        </w:tc>
        <w:tc>
          <w:tcPr>
            <w:tcW w:w="120" w:type="dxa"/>
            <w:vAlign w:val="bottom"/>
            <w:shd w:val="clear" w:color="auto" w:fill="CCEEFF"/>
          </w:tcPr>
          <w:p>
            <w:pPr>
              <w:spacing w:after="0"/>
              <w:rPr>
                <w:sz w:val="14"/>
                <w:szCs w:val="14"/>
                <w:color w:val="auto"/>
              </w:rPr>
            </w:pPr>
          </w:p>
        </w:tc>
        <w:tc>
          <w:tcPr>
            <w:tcW w:w="180" w:type="dxa"/>
            <w:vAlign w:val="bottom"/>
            <w:tcBorders>
              <w:bottom w:val="single" w:sz="8" w:color="3D5588"/>
            </w:tcBorders>
            <w:shd w:val="clear" w:color="auto" w:fill="CCEEFF"/>
          </w:tcPr>
          <w:p>
            <w:pPr>
              <w:spacing w:after="0"/>
              <w:rPr>
                <w:sz w:val="14"/>
                <w:szCs w:val="14"/>
                <w:color w:val="auto"/>
              </w:rPr>
            </w:pPr>
          </w:p>
        </w:tc>
        <w:tc>
          <w:tcPr>
            <w:tcW w:w="56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(11.7)</w:t>
            </w:r>
          </w:p>
        </w:tc>
        <w:tc>
          <w:tcPr>
            <w:tcW w:w="20" w:type="dxa"/>
            <w:vAlign w:val="bottom"/>
            <w:tcBorders>
              <w:bottom w:val="single" w:sz="8" w:color="3D5588"/>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3D5588"/>
            </w:tcBorders>
            <w:shd w:val="clear" w:color="auto" w:fill="CCEEFF"/>
          </w:tcPr>
          <w:p>
            <w:pPr>
              <w:spacing w:after="0"/>
              <w:rPr>
                <w:sz w:val="14"/>
                <w:szCs w:val="14"/>
                <w:color w:val="auto"/>
              </w:rPr>
            </w:pPr>
          </w:p>
        </w:tc>
        <w:tc>
          <w:tcPr>
            <w:tcW w:w="8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(11.3)</w:t>
            </w:r>
          </w:p>
        </w:tc>
        <w:tc>
          <w:tcPr>
            <w:tcW w:w="20" w:type="dxa"/>
            <w:vAlign w:val="bottom"/>
            <w:tcBorders>
              <w:bottom w:val="single" w:sz="8" w:color="3D5588"/>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3D5588"/>
            </w:tcBorders>
            <w:shd w:val="clear" w:color="auto" w:fill="CCEEFF"/>
          </w:tcPr>
          <w:p>
            <w:pPr>
              <w:spacing w:after="0"/>
              <w:rPr>
                <w:sz w:val="14"/>
                <w:szCs w:val="14"/>
                <w:color w:val="auto"/>
              </w:rPr>
            </w:pPr>
          </w:p>
        </w:tc>
        <w:tc>
          <w:tcPr>
            <w:tcW w:w="240" w:type="dxa"/>
            <w:vAlign w:val="bottom"/>
            <w:tcBorders>
              <w:bottom w:val="single" w:sz="8" w:color="3D5588"/>
            </w:tcBorders>
            <w:shd w:val="clear" w:color="auto" w:fill="CCEEFF"/>
          </w:tcPr>
          <w:p>
            <w:pPr>
              <w:spacing w:after="0"/>
              <w:rPr>
                <w:sz w:val="14"/>
                <w:szCs w:val="14"/>
                <w:color w:val="auto"/>
              </w:rPr>
            </w:pPr>
          </w:p>
        </w:tc>
        <w:tc>
          <w:tcPr>
            <w:tcW w:w="7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(14.3)</w:t>
            </w:r>
          </w:p>
        </w:tc>
        <w:tc>
          <w:tcPr>
            <w:tcW w:w="20" w:type="dxa"/>
            <w:vAlign w:val="bottom"/>
            <w:tcBorders>
              <w:bottom w:val="single" w:sz="8" w:color="3D5588"/>
            </w:tcBorders>
            <w:shd w:val="clear" w:color="auto" w:fill="CCEEFF"/>
          </w:tcPr>
          <w:p>
            <w:pPr>
              <w:spacing w:after="0"/>
              <w:rPr>
                <w:sz w:val="14"/>
                <w:szCs w:val="14"/>
                <w:color w:val="auto"/>
              </w:rPr>
            </w:pPr>
          </w:p>
        </w:tc>
        <w:tc>
          <w:tcPr>
            <w:tcW w:w="80" w:type="dxa"/>
            <w:vAlign w:val="bottom"/>
            <w:tcBorders>
              <w:bottom w:val="single" w:sz="8" w:color="3D5588"/>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3D5588"/>
            </w:tcBorders>
            <w:shd w:val="clear" w:color="auto" w:fill="CCEEFF"/>
          </w:tcPr>
          <w:p>
            <w:pPr>
              <w:spacing w:after="0"/>
              <w:rPr>
                <w:sz w:val="14"/>
                <w:szCs w:val="14"/>
                <w:color w:val="auto"/>
              </w:rPr>
            </w:pPr>
          </w:p>
        </w:tc>
        <w:tc>
          <w:tcPr>
            <w:tcW w:w="820" w:type="dxa"/>
            <w:vAlign w:val="bottom"/>
            <w:tcBorders>
              <w:bottom w:val="single" w:sz="8" w:color="3D5588"/>
            </w:tcBorders>
            <w:gridSpan w:val="3"/>
            <w:shd w:val="clear" w:color="auto" w:fill="CCEEFF"/>
          </w:tcPr>
          <w:p>
            <w:pPr>
              <w:jc w:val="right"/>
              <w:ind w:right="40"/>
              <w:spacing w:after="0"/>
              <w:rPr>
                <w:sz w:val="20"/>
                <w:szCs w:val="20"/>
                <w:color w:val="auto"/>
              </w:rPr>
            </w:pPr>
            <w:r>
              <w:rPr>
                <w:rFonts w:ascii="Arial" w:cs="Arial" w:eastAsia="Arial" w:hAnsi="Arial"/>
                <w:sz w:val="13"/>
                <w:szCs w:val="13"/>
                <w:color w:val="003082"/>
              </w:rPr>
              <w:t>(11.7)</w:t>
            </w:r>
          </w:p>
        </w:tc>
        <w:tc>
          <w:tcPr>
            <w:tcW w:w="80" w:type="dxa"/>
            <w:vAlign w:val="bottom"/>
            <w:tcBorders>
              <w:bottom w:val="single" w:sz="8" w:color="3D5588"/>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tcBorders>
              <w:bottom w:val="single" w:sz="8" w:color="3D5588"/>
            </w:tcBorders>
            <w:shd w:val="clear" w:color="auto" w:fill="CCEEFF"/>
          </w:tcPr>
          <w:p>
            <w:pPr>
              <w:spacing w:after="0"/>
              <w:rPr>
                <w:sz w:val="14"/>
                <w:szCs w:val="14"/>
                <w:color w:val="auto"/>
              </w:rPr>
            </w:pPr>
          </w:p>
        </w:tc>
        <w:tc>
          <w:tcPr>
            <w:tcW w:w="220" w:type="dxa"/>
            <w:vAlign w:val="bottom"/>
            <w:tcBorders>
              <w:bottom w:val="single" w:sz="8" w:color="3D5588"/>
            </w:tcBorders>
            <w:shd w:val="clear" w:color="auto" w:fill="CCEEFF"/>
          </w:tcPr>
          <w:p>
            <w:pPr>
              <w:spacing w:after="0"/>
              <w:rPr>
                <w:sz w:val="14"/>
                <w:szCs w:val="14"/>
                <w:color w:val="auto"/>
              </w:rPr>
            </w:pPr>
          </w:p>
        </w:tc>
        <w:tc>
          <w:tcPr>
            <w:tcW w:w="420" w:type="dxa"/>
            <w:vAlign w:val="bottom"/>
            <w:tcBorders>
              <w:bottom w:val="single" w:sz="8" w:color="3D5588"/>
            </w:tcBorders>
            <w:gridSpan w:val="2"/>
            <w:shd w:val="clear" w:color="auto" w:fill="CCEEFF"/>
          </w:tcPr>
          <w:p>
            <w:pPr>
              <w:jc w:val="right"/>
              <w:spacing w:after="0"/>
              <w:rPr>
                <w:sz w:val="20"/>
                <w:szCs w:val="20"/>
                <w:color w:val="auto"/>
              </w:rPr>
            </w:pPr>
            <w:r>
              <w:rPr>
                <w:rFonts w:ascii="Arial" w:cs="Arial" w:eastAsia="Arial" w:hAnsi="Arial"/>
                <w:sz w:val="13"/>
                <w:szCs w:val="13"/>
                <w:color w:val="003082"/>
              </w:rPr>
              <w:t>(10.3)</w:t>
            </w:r>
          </w:p>
        </w:tc>
        <w:tc>
          <w:tcPr>
            <w:tcW w:w="120" w:type="dxa"/>
            <w:vAlign w:val="bottom"/>
            <w:tcBorders>
              <w:bottom w:val="single" w:sz="8" w:color="3D5588"/>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tcBorders>
              <w:bottom w:val="single" w:sz="8" w:color="3D5588"/>
            </w:tcBorders>
            <w:shd w:val="clear" w:color="auto" w:fill="CCEEFF"/>
          </w:tcPr>
          <w:p>
            <w:pPr>
              <w:spacing w:after="0"/>
              <w:rPr>
                <w:sz w:val="14"/>
                <w:szCs w:val="14"/>
                <w:color w:val="auto"/>
              </w:rPr>
            </w:pPr>
          </w:p>
        </w:tc>
        <w:tc>
          <w:tcPr>
            <w:tcW w:w="400" w:type="dxa"/>
            <w:vAlign w:val="bottom"/>
            <w:tcBorders>
              <w:bottom w:val="single" w:sz="8" w:color="3D5588"/>
            </w:tcBorders>
            <w:gridSpan w:val="3"/>
            <w:shd w:val="clear" w:color="auto" w:fill="CCEEFF"/>
          </w:tcPr>
          <w:p>
            <w:pPr>
              <w:jc w:val="right"/>
              <w:ind w:right="86"/>
              <w:spacing w:after="0"/>
              <w:rPr>
                <w:sz w:val="20"/>
                <w:szCs w:val="20"/>
                <w:color w:val="auto"/>
              </w:rPr>
            </w:pPr>
            <w:r>
              <w:rPr>
                <w:rFonts w:ascii="Arial" w:cs="Arial" w:eastAsia="Arial" w:hAnsi="Arial"/>
                <w:sz w:val="13"/>
                <w:szCs w:val="13"/>
                <w:color w:val="003082"/>
                <w:w w:val="89"/>
              </w:rPr>
              <w:t>(9.7)</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3D5588"/>
            </w:tcBorders>
            <w:shd w:val="clear" w:color="auto" w:fill="CCEEFF"/>
          </w:tcPr>
          <w:p>
            <w:pPr>
              <w:spacing w:after="0"/>
              <w:rPr>
                <w:sz w:val="14"/>
                <w:szCs w:val="14"/>
                <w:color w:val="auto"/>
              </w:rPr>
            </w:pPr>
          </w:p>
        </w:tc>
        <w:tc>
          <w:tcPr>
            <w:tcW w:w="460" w:type="dxa"/>
            <w:vAlign w:val="bottom"/>
            <w:tcBorders>
              <w:bottom w:val="single" w:sz="8" w:color="3D5588"/>
            </w:tcBorders>
            <w:gridSpan w:val="2"/>
            <w:shd w:val="clear" w:color="auto" w:fill="CCEEFF"/>
          </w:tcPr>
          <w:p>
            <w:pPr>
              <w:jc w:val="right"/>
              <w:ind w:right="66"/>
              <w:spacing w:after="0"/>
              <w:rPr>
                <w:sz w:val="20"/>
                <w:szCs w:val="20"/>
                <w:color w:val="auto"/>
              </w:rPr>
            </w:pPr>
            <w:r>
              <w:rPr>
                <w:rFonts w:ascii="Arial" w:cs="Arial" w:eastAsia="Arial" w:hAnsi="Arial"/>
                <w:sz w:val="13"/>
                <w:szCs w:val="13"/>
                <w:color w:val="003082"/>
                <w:w w:val="94"/>
              </w:rPr>
              <w:t>(12.7)</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3D5588"/>
              <w:right w:val="single" w:sz="8" w:color="CCEEFF"/>
            </w:tcBorders>
            <w:shd w:val="clear" w:color="auto" w:fill="CCEEFF"/>
          </w:tcPr>
          <w:p>
            <w:pPr>
              <w:spacing w:after="0"/>
              <w:rPr>
                <w:sz w:val="14"/>
                <w:szCs w:val="14"/>
                <w:color w:val="auto"/>
              </w:rPr>
            </w:pPr>
          </w:p>
        </w:tc>
        <w:tc>
          <w:tcPr>
            <w:tcW w:w="440" w:type="dxa"/>
            <w:vAlign w:val="bottom"/>
            <w:tcBorders>
              <w:bottom w:val="single" w:sz="8" w:color="3D5588"/>
            </w:tcBorders>
            <w:shd w:val="clear" w:color="auto" w:fill="CCEEFF"/>
          </w:tcPr>
          <w:p>
            <w:pPr>
              <w:jc w:val="right"/>
              <w:ind w:right="37"/>
              <w:spacing w:after="0"/>
              <w:rPr>
                <w:sz w:val="20"/>
                <w:szCs w:val="20"/>
                <w:color w:val="auto"/>
              </w:rPr>
            </w:pPr>
            <w:r>
              <w:rPr>
                <w:rFonts w:ascii="Arial" w:cs="Arial" w:eastAsia="Arial" w:hAnsi="Arial"/>
                <w:sz w:val="13"/>
                <w:szCs w:val="13"/>
                <w:color w:val="003082"/>
                <w:w w:val="94"/>
              </w:rPr>
              <w:t>(10.0)</w:t>
            </w:r>
          </w:p>
        </w:tc>
      </w:tr>
      <w:tr>
        <w:trPr>
          <w:trHeight w:val="249"/>
        </w:trPr>
        <w:tc>
          <w:tcPr>
            <w:tcW w:w="1700" w:type="dxa"/>
            <w:vAlign w:val="bottom"/>
            <w:gridSpan w:val="2"/>
          </w:tcPr>
          <w:p>
            <w:pPr>
              <w:ind w:left="40"/>
              <w:spacing w:after="0"/>
              <w:rPr>
                <w:sz w:val="20"/>
                <w:szCs w:val="20"/>
                <w:color w:val="auto"/>
              </w:rPr>
            </w:pPr>
            <w:r>
              <w:rPr>
                <w:rFonts w:ascii="Arial" w:cs="Arial" w:eastAsia="Arial" w:hAnsi="Arial"/>
                <w:sz w:val="13"/>
                <w:szCs w:val="13"/>
                <w:color w:val="003082"/>
              </w:rPr>
              <w:t>Total operating expenses</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003082"/>
              </w:rPr>
              <w:t>(78.7)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003082"/>
              </w:rPr>
              <w:t>(69.5)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003082"/>
              </w:rPr>
              <w:t>(67.5)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003082"/>
              </w:rPr>
              <w:t>(77.2)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3"/>
                <w:szCs w:val="13"/>
                <w:color w:val="003082"/>
              </w:rPr>
              <w:t>(73.1)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003082"/>
              </w:rPr>
              <w:t>(82.6)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4"/>
          </w:tcPr>
          <w:p>
            <w:pPr>
              <w:jc w:val="right"/>
              <w:ind w:right="86"/>
              <w:spacing w:after="0"/>
              <w:rPr>
                <w:sz w:val="20"/>
                <w:szCs w:val="20"/>
                <w:color w:val="auto"/>
              </w:rPr>
            </w:pPr>
            <w:r>
              <w:rPr>
                <w:rFonts w:ascii="Arial" w:cs="Arial" w:eastAsia="Arial" w:hAnsi="Arial"/>
                <w:sz w:val="13"/>
                <w:szCs w:val="13"/>
                <w:color w:val="003082"/>
              </w:rPr>
              <w:t>(76.3)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ind w:right="66"/>
              <w:spacing w:after="0"/>
              <w:rPr>
                <w:sz w:val="20"/>
                <w:szCs w:val="20"/>
                <w:color w:val="auto"/>
              </w:rPr>
            </w:pPr>
            <w:r>
              <w:rPr>
                <w:rFonts w:ascii="Arial" w:cs="Arial" w:eastAsia="Arial" w:hAnsi="Arial"/>
                <w:sz w:val="13"/>
                <w:szCs w:val="13"/>
                <w:color w:val="003082"/>
                <w:w w:val="94"/>
              </w:rPr>
              <w:t>(79.1)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jc w:val="right"/>
              <w:ind w:right="37"/>
              <w:spacing w:after="0"/>
              <w:rPr>
                <w:sz w:val="20"/>
                <w:szCs w:val="20"/>
                <w:color w:val="auto"/>
              </w:rPr>
            </w:pPr>
            <w:r>
              <w:rPr>
                <w:rFonts w:ascii="Arial" w:cs="Arial" w:eastAsia="Arial" w:hAnsi="Arial"/>
                <w:sz w:val="13"/>
                <w:szCs w:val="13"/>
                <w:color w:val="003082"/>
                <w:w w:val="94"/>
              </w:rPr>
              <w:t>(59.7)</w:t>
            </w:r>
          </w:p>
        </w:tc>
      </w:tr>
      <w:tr>
        <w:trPr>
          <w:trHeight w:val="271"/>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003082"/>
              </w:rPr>
              <w:t>Other operating income</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003082"/>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8.0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0.2</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80" w:type="dxa"/>
            <w:vAlign w:val="bottom"/>
            <w:gridSpan w:val="6"/>
            <w:shd w:val="clear" w:color="auto" w:fill="CCEEFF"/>
          </w:tcPr>
          <w:p>
            <w:pPr>
              <w:jc w:val="right"/>
              <w:ind w:right="340"/>
              <w:spacing w:after="0"/>
              <w:rPr>
                <w:sz w:val="20"/>
                <w:szCs w:val="20"/>
                <w:color w:val="auto"/>
              </w:rPr>
            </w:pPr>
            <w:r>
              <w:rPr>
                <w:rFonts w:ascii="Arial" w:cs="Arial" w:eastAsia="Arial" w:hAnsi="Arial"/>
                <w:sz w:val="13"/>
                <w:szCs w:val="13"/>
                <w:color w:val="003082"/>
              </w:rPr>
              <w:t>—</w:t>
            </w:r>
          </w:p>
        </w:tc>
        <w:tc>
          <w:tcPr>
            <w:tcW w:w="2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0.1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003082"/>
              </w:rPr>
              <w:t>0.3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003082"/>
              </w:rPr>
              <w:t>0.2</w:t>
            </w:r>
          </w:p>
        </w:tc>
        <w:tc>
          <w:tcPr>
            <w:tcW w:w="12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0.1</w:t>
            </w:r>
          </w:p>
        </w:tc>
      </w:tr>
      <w:tr>
        <w:trPr>
          <w:trHeight w:val="248"/>
        </w:trPr>
        <w:tc>
          <w:tcPr>
            <w:tcW w:w="1700" w:type="dxa"/>
            <w:vAlign w:val="bottom"/>
            <w:gridSpan w:val="2"/>
          </w:tcPr>
          <w:p>
            <w:pPr>
              <w:ind w:left="20"/>
              <w:spacing w:after="0"/>
              <w:rPr>
                <w:sz w:val="20"/>
                <w:szCs w:val="20"/>
                <w:color w:val="auto"/>
              </w:rPr>
            </w:pPr>
            <w:r>
              <w:rPr>
                <w:rFonts w:ascii="Arial" w:cs="Arial" w:eastAsia="Arial" w:hAnsi="Arial"/>
                <w:sz w:val="13"/>
                <w:szCs w:val="13"/>
                <w:color w:val="003082"/>
                <w:w w:val="96"/>
              </w:rPr>
              <w:t>Income (loss) from operations</w:t>
            </w:r>
          </w:p>
        </w:tc>
        <w:tc>
          <w:tcPr>
            <w:tcW w:w="40" w:type="dxa"/>
            <w:vAlign w:val="bottom"/>
          </w:tcPr>
          <w:p>
            <w:pPr>
              <w:spacing w:after="0"/>
              <w:rPr>
                <w:sz w:val="21"/>
                <w:szCs w:val="21"/>
                <w:color w:val="auto"/>
              </w:rPr>
            </w:pPr>
          </w:p>
        </w:tc>
        <w:tc>
          <w:tcPr>
            <w:tcW w:w="40" w:type="dxa"/>
            <w:vAlign w:val="bottom"/>
            <w:tcBorders>
              <w:top w:val="single" w:sz="8" w:color="3D5588"/>
            </w:tcBorders>
          </w:tcPr>
          <w:p>
            <w:pPr>
              <w:spacing w:after="0"/>
              <w:rPr>
                <w:sz w:val="21"/>
                <w:szCs w:val="21"/>
                <w:color w:val="auto"/>
              </w:rPr>
            </w:pPr>
          </w:p>
        </w:tc>
        <w:tc>
          <w:tcPr>
            <w:tcW w:w="40" w:type="dxa"/>
            <w:vAlign w:val="bottom"/>
            <w:tcBorders>
              <w:top w:val="single" w:sz="8" w:color="3D5588"/>
            </w:tcBorders>
          </w:tcPr>
          <w:p>
            <w:pPr>
              <w:spacing w:after="0"/>
              <w:rPr>
                <w:sz w:val="21"/>
                <w:szCs w:val="21"/>
                <w:color w:val="auto"/>
              </w:rPr>
            </w:pPr>
          </w:p>
        </w:tc>
        <w:tc>
          <w:tcPr>
            <w:tcW w:w="180" w:type="dxa"/>
            <w:vAlign w:val="bottom"/>
            <w:tcBorders>
              <w:top w:val="single" w:sz="8" w:color="3D5588"/>
            </w:tcBorders>
          </w:tcPr>
          <w:p>
            <w:pPr>
              <w:spacing w:after="0"/>
              <w:rPr>
                <w:sz w:val="21"/>
                <w:szCs w:val="21"/>
                <w:color w:val="auto"/>
              </w:rPr>
            </w:pPr>
          </w:p>
        </w:tc>
        <w:tc>
          <w:tcPr>
            <w:tcW w:w="540" w:type="dxa"/>
            <w:vAlign w:val="bottom"/>
            <w:tcBorders>
              <w:top w:val="single" w:sz="8" w:color="3D5588"/>
            </w:tcBorders>
          </w:tcPr>
          <w:p>
            <w:pPr>
              <w:jc w:val="right"/>
              <w:ind w:right="57"/>
              <w:spacing w:after="0"/>
              <w:rPr>
                <w:sz w:val="20"/>
                <w:szCs w:val="20"/>
                <w:color w:val="auto"/>
              </w:rPr>
            </w:pPr>
            <w:r>
              <w:rPr>
                <w:rFonts w:ascii="Arial" w:cs="Arial" w:eastAsia="Arial" w:hAnsi="Arial"/>
                <w:sz w:val="13"/>
                <w:szCs w:val="13"/>
                <w:color w:val="003082"/>
              </w:rPr>
              <w:t>(8.1)</w:t>
            </w:r>
          </w:p>
        </w:tc>
        <w:tc>
          <w:tcPr>
            <w:tcW w:w="120" w:type="dxa"/>
            <w:vAlign w:val="bottom"/>
          </w:tcPr>
          <w:p>
            <w:pPr>
              <w:spacing w:after="0"/>
              <w:rPr>
                <w:sz w:val="21"/>
                <w:szCs w:val="21"/>
                <w:color w:val="auto"/>
              </w:rPr>
            </w:pPr>
          </w:p>
        </w:tc>
        <w:tc>
          <w:tcPr>
            <w:tcW w:w="180" w:type="dxa"/>
            <w:vAlign w:val="bottom"/>
            <w:tcBorders>
              <w:top w:val="single" w:sz="8" w:color="3D5588"/>
            </w:tcBorders>
          </w:tcPr>
          <w:p>
            <w:pPr>
              <w:spacing w:after="0"/>
              <w:rPr>
                <w:sz w:val="21"/>
                <w:szCs w:val="21"/>
                <w:color w:val="auto"/>
              </w:rPr>
            </w:pPr>
          </w:p>
        </w:tc>
        <w:tc>
          <w:tcPr>
            <w:tcW w:w="560" w:type="dxa"/>
            <w:vAlign w:val="bottom"/>
            <w:tcBorders>
              <w:top w:val="single" w:sz="8" w:color="3D5588"/>
            </w:tcBorders>
          </w:tcPr>
          <w:p>
            <w:pPr>
              <w:jc w:val="right"/>
              <w:ind w:right="57"/>
              <w:spacing w:after="0"/>
              <w:rPr>
                <w:sz w:val="20"/>
                <w:szCs w:val="20"/>
                <w:color w:val="auto"/>
              </w:rPr>
            </w:pPr>
            <w:r>
              <w:rPr>
                <w:rFonts w:ascii="Arial" w:cs="Arial" w:eastAsia="Arial" w:hAnsi="Arial"/>
                <w:sz w:val="13"/>
                <w:szCs w:val="13"/>
                <w:color w:val="003082"/>
              </w:rPr>
              <w:t>3.0</w:t>
            </w:r>
          </w:p>
        </w:tc>
        <w:tc>
          <w:tcPr>
            <w:tcW w:w="20" w:type="dxa"/>
            <w:vAlign w:val="bottom"/>
            <w:tcBorders>
              <w:top w:val="single" w:sz="8" w:color="3D5588"/>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3D5588"/>
            </w:tcBorders>
          </w:tcPr>
          <w:p>
            <w:pPr>
              <w:spacing w:after="0"/>
              <w:rPr>
                <w:sz w:val="21"/>
                <w:szCs w:val="21"/>
                <w:color w:val="auto"/>
              </w:rPr>
            </w:pPr>
          </w:p>
        </w:tc>
        <w:tc>
          <w:tcPr>
            <w:tcW w:w="820" w:type="dxa"/>
            <w:vAlign w:val="bottom"/>
            <w:tcBorders>
              <w:top w:val="single" w:sz="8" w:color="3D5588"/>
            </w:tcBorders>
          </w:tcPr>
          <w:p>
            <w:pPr>
              <w:jc w:val="right"/>
              <w:ind w:right="37"/>
              <w:spacing w:after="0"/>
              <w:rPr>
                <w:sz w:val="20"/>
                <w:szCs w:val="20"/>
                <w:color w:val="auto"/>
              </w:rPr>
            </w:pPr>
            <w:r>
              <w:rPr>
                <w:rFonts w:ascii="Arial" w:cs="Arial" w:eastAsia="Arial" w:hAnsi="Arial"/>
                <w:sz w:val="13"/>
                <w:szCs w:val="13"/>
                <w:color w:val="003082"/>
              </w:rPr>
              <w:t>13.0</w:t>
            </w:r>
          </w:p>
        </w:tc>
        <w:tc>
          <w:tcPr>
            <w:tcW w:w="20" w:type="dxa"/>
            <w:vAlign w:val="bottom"/>
            <w:tcBorders>
              <w:top w:val="single" w:sz="8" w:color="3D5588"/>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3D5588"/>
            </w:tcBorders>
          </w:tcPr>
          <w:p>
            <w:pPr>
              <w:spacing w:after="0"/>
              <w:rPr>
                <w:sz w:val="21"/>
                <w:szCs w:val="21"/>
                <w:color w:val="auto"/>
              </w:rPr>
            </w:pPr>
          </w:p>
        </w:tc>
        <w:tc>
          <w:tcPr>
            <w:tcW w:w="240" w:type="dxa"/>
            <w:vAlign w:val="bottom"/>
            <w:tcBorders>
              <w:top w:val="single" w:sz="8" w:color="3D5588"/>
            </w:tcBorders>
          </w:tcPr>
          <w:p>
            <w:pPr>
              <w:spacing w:after="0"/>
              <w:rPr>
                <w:sz w:val="21"/>
                <w:szCs w:val="21"/>
                <w:color w:val="auto"/>
              </w:rPr>
            </w:pPr>
          </w:p>
        </w:tc>
        <w:tc>
          <w:tcPr>
            <w:tcW w:w="700" w:type="dxa"/>
            <w:vAlign w:val="bottom"/>
            <w:tcBorders>
              <w:top w:val="single" w:sz="8" w:color="3D5588"/>
            </w:tcBorders>
          </w:tcPr>
          <w:p>
            <w:pPr>
              <w:jc w:val="right"/>
              <w:spacing w:after="0"/>
              <w:rPr>
                <w:sz w:val="20"/>
                <w:szCs w:val="20"/>
                <w:color w:val="auto"/>
              </w:rPr>
            </w:pPr>
            <w:r>
              <w:rPr>
                <w:rFonts w:ascii="Arial" w:cs="Arial" w:eastAsia="Arial" w:hAnsi="Arial"/>
                <w:sz w:val="13"/>
                <w:szCs w:val="13"/>
                <w:color w:val="003082"/>
              </w:rPr>
              <w:t>(8.5)</w:t>
            </w:r>
          </w:p>
        </w:tc>
        <w:tc>
          <w:tcPr>
            <w:tcW w:w="20" w:type="dxa"/>
            <w:vAlign w:val="bottom"/>
            <w:tcBorders>
              <w:top w:val="single" w:sz="8" w:color="3D5588"/>
            </w:tcBorders>
          </w:tcPr>
          <w:p>
            <w:pPr>
              <w:spacing w:after="0"/>
              <w:rPr>
                <w:sz w:val="21"/>
                <w:szCs w:val="21"/>
                <w:color w:val="auto"/>
              </w:rPr>
            </w:pPr>
          </w:p>
        </w:tc>
        <w:tc>
          <w:tcPr>
            <w:tcW w:w="80" w:type="dxa"/>
            <w:vAlign w:val="bottom"/>
            <w:tcBorders>
              <w:top w:val="single" w:sz="8" w:color="3D5588"/>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3D5588"/>
            </w:tcBorders>
          </w:tcPr>
          <w:p>
            <w:pPr>
              <w:spacing w:after="0"/>
              <w:rPr>
                <w:sz w:val="21"/>
                <w:szCs w:val="21"/>
                <w:color w:val="auto"/>
              </w:rPr>
            </w:pPr>
          </w:p>
        </w:tc>
        <w:tc>
          <w:tcPr>
            <w:tcW w:w="820" w:type="dxa"/>
            <w:vAlign w:val="bottom"/>
            <w:tcBorders>
              <w:top w:val="single" w:sz="8" w:color="3D5588"/>
            </w:tcBorders>
            <w:gridSpan w:val="3"/>
          </w:tcPr>
          <w:p>
            <w:pPr>
              <w:jc w:val="right"/>
              <w:ind w:right="40"/>
              <w:spacing w:after="0"/>
              <w:rPr>
                <w:sz w:val="20"/>
                <w:szCs w:val="20"/>
                <w:color w:val="auto"/>
              </w:rPr>
            </w:pPr>
            <w:r>
              <w:rPr>
                <w:rFonts w:ascii="Arial" w:cs="Arial" w:eastAsia="Arial" w:hAnsi="Arial"/>
                <w:sz w:val="13"/>
                <w:szCs w:val="13"/>
                <w:color w:val="003082"/>
              </w:rPr>
              <w:t>(4.1)</w:t>
            </w:r>
          </w:p>
        </w:tc>
        <w:tc>
          <w:tcPr>
            <w:tcW w:w="80" w:type="dxa"/>
            <w:vAlign w:val="bottom"/>
            <w:tcBorders>
              <w:top w:val="single" w:sz="8" w:color="3D5588"/>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Borders>
              <w:top w:val="single" w:sz="8" w:color="3D5588"/>
            </w:tcBorders>
          </w:tcPr>
          <w:p>
            <w:pPr>
              <w:spacing w:after="0"/>
              <w:rPr>
                <w:sz w:val="21"/>
                <w:szCs w:val="21"/>
                <w:color w:val="auto"/>
              </w:rPr>
            </w:pPr>
          </w:p>
        </w:tc>
        <w:tc>
          <w:tcPr>
            <w:tcW w:w="220" w:type="dxa"/>
            <w:vAlign w:val="bottom"/>
            <w:tcBorders>
              <w:top w:val="single" w:sz="8" w:color="3D5588"/>
            </w:tcBorders>
          </w:tcPr>
          <w:p>
            <w:pPr>
              <w:spacing w:after="0"/>
              <w:rPr>
                <w:sz w:val="21"/>
                <w:szCs w:val="21"/>
                <w:color w:val="auto"/>
              </w:rPr>
            </w:pPr>
          </w:p>
        </w:tc>
        <w:tc>
          <w:tcPr>
            <w:tcW w:w="420" w:type="dxa"/>
            <w:vAlign w:val="bottom"/>
            <w:tcBorders>
              <w:top w:val="single" w:sz="8" w:color="3D5588"/>
            </w:tcBorders>
            <w:gridSpan w:val="2"/>
          </w:tcPr>
          <w:p>
            <w:pPr>
              <w:jc w:val="right"/>
              <w:spacing w:after="0"/>
              <w:rPr>
                <w:sz w:val="20"/>
                <w:szCs w:val="20"/>
                <w:color w:val="auto"/>
              </w:rPr>
            </w:pPr>
            <w:r>
              <w:rPr>
                <w:rFonts w:ascii="Arial" w:cs="Arial" w:eastAsia="Arial" w:hAnsi="Arial"/>
                <w:sz w:val="13"/>
                <w:szCs w:val="13"/>
                <w:color w:val="003082"/>
              </w:rPr>
              <w:t>(13.3)</w:t>
            </w:r>
          </w:p>
        </w:tc>
        <w:tc>
          <w:tcPr>
            <w:tcW w:w="120" w:type="dxa"/>
            <w:vAlign w:val="bottom"/>
            <w:tcBorders>
              <w:top w:val="single" w:sz="8" w:color="3D5588"/>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Borders>
              <w:top w:val="single" w:sz="8" w:color="3D5588"/>
            </w:tcBorders>
          </w:tcPr>
          <w:p>
            <w:pPr>
              <w:spacing w:after="0"/>
              <w:rPr>
                <w:sz w:val="21"/>
                <w:szCs w:val="21"/>
                <w:color w:val="auto"/>
              </w:rPr>
            </w:pPr>
          </w:p>
        </w:tc>
        <w:tc>
          <w:tcPr>
            <w:tcW w:w="400" w:type="dxa"/>
            <w:vAlign w:val="bottom"/>
            <w:tcBorders>
              <w:top w:val="single" w:sz="8" w:color="3D5588"/>
            </w:tcBorders>
            <w:gridSpan w:val="3"/>
          </w:tcPr>
          <w:p>
            <w:pPr>
              <w:jc w:val="right"/>
              <w:ind w:right="86"/>
              <w:spacing w:after="0"/>
              <w:rPr>
                <w:sz w:val="20"/>
                <w:szCs w:val="20"/>
                <w:color w:val="auto"/>
              </w:rPr>
            </w:pPr>
            <w:r>
              <w:rPr>
                <w:rFonts w:ascii="Arial" w:cs="Arial" w:eastAsia="Arial" w:hAnsi="Arial"/>
                <w:sz w:val="13"/>
                <w:szCs w:val="13"/>
                <w:color w:val="003082"/>
                <w:w w:val="89"/>
              </w:rPr>
              <w:t>(6.8)</w:t>
            </w:r>
          </w:p>
        </w:tc>
        <w:tc>
          <w:tcPr>
            <w:tcW w:w="100" w:type="dxa"/>
            <w:vAlign w:val="bottom"/>
          </w:tcPr>
          <w:p>
            <w:pPr>
              <w:spacing w:after="0"/>
              <w:rPr>
                <w:sz w:val="21"/>
                <w:szCs w:val="21"/>
                <w:color w:val="auto"/>
              </w:rPr>
            </w:pPr>
          </w:p>
        </w:tc>
        <w:tc>
          <w:tcPr>
            <w:tcW w:w="680" w:type="dxa"/>
            <w:vAlign w:val="bottom"/>
            <w:tcBorders>
              <w:top w:val="single" w:sz="8" w:color="3D5588"/>
            </w:tcBorders>
          </w:tcPr>
          <w:p>
            <w:pPr>
              <w:spacing w:after="0"/>
              <w:rPr>
                <w:sz w:val="21"/>
                <w:szCs w:val="21"/>
                <w:color w:val="auto"/>
              </w:rPr>
            </w:pPr>
          </w:p>
        </w:tc>
        <w:tc>
          <w:tcPr>
            <w:tcW w:w="460" w:type="dxa"/>
            <w:vAlign w:val="bottom"/>
            <w:tcBorders>
              <w:top w:val="single" w:sz="8" w:color="3D5588"/>
            </w:tcBorders>
            <w:gridSpan w:val="2"/>
          </w:tcPr>
          <w:p>
            <w:pPr>
              <w:jc w:val="right"/>
              <w:ind w:right="66"/>
              <w:spacing w:after="0"/>
              <w:rPr>
                <w:sz w:val="20"/>
                <w:szCs w:val="20"/>
                <w:color w:val="auto"/>
              </w:rPr>
            </w:pPr>
            <w:r>
              <w:rPr>
                <w:rFonts w:ascii="Arial" w:cs="Arial" w:eastAsia="Arial" w:hAnsi="Arial"/>
                <w:sz w:val="13"/>
                <w:szCs w:val="13"/>
                <w:color w:val="003082"/>
                <w:w w:val="94"/>
              </w:rPr>
              <w:t>(12.6)</w:t>
            </w:r>
          </w:p>
        </w:tc>
        <w:tc>
          <w:tcPr>
            <w:tcW w:w="120" w:type="dxa"/>
            <w:vAlign w:val="bottom"/>
          </w:tcPr>
          <w:p>
            <w:pPr>
              <w:spacing w:after="0"/>
              <w:rPr>
                <w:sz w:val="21"/>
                <w:szCs w:val="21"/>
                <w:color w:val="auto"/>
              </w:rPr>
            </w:pPr>
          </w:p>
        </w:tc>
        <w:tc>
          <w:tcPr>
            <w:tcW w:w="340" w:type="dxa"/>
            <w:vAlign w:val="bottom"/>
            <w:tcBorders>
              <w:top w:val="single" w:sz="8" w:color="3D5588"/>
            </w:tcBorders>
          </w:tcPr>
          <w:p>
            <w:pPr>
              <w:spacing w:after="0"/>
              <w:rPr>
                <w:sz w:val="21"/>
                <w:szCs w:val="21"/>
                <w:color w:val="auto"/>
              </w:rPr>
            </w:pPr>
          </w:p>
        </w:tc>
        <w:tc>
          <w:tcPr>
            <w:tcW w:w="440" w:type="dxa"/>
            <w:vAlign w:val="bottom"/>
            <w:tcBorders>
              <w:top w:val="single" w:sz="8" w:color="3D5588"/>
            </w:tcBorders>
          </w:tcPr>
          <w:p>
            <w:pPr>
              <w:jc w:val="right"/>
              <w:ind w:right="77"/>
              <w:spacing w:after="0"/>
              <w:rPr>
                <w:sz w:val="20"/>
                <w:szCs w:val="20"/>
                <w:color w:val="auto"/>
              </w:rPr>
            </w:pPr>
            <w:r>
              <w:rPr>
                <w:rFonts w:ascii="Arial" w:cs="Arial" w:eastAsia="Arial" w:hAnsi="Arial"/>
                <w:sz w:val="13"/>
                <w:szCs w:val="13"/>
                <w:color w:val="003082"/>
              </w:rPr>
              <w:t>9.2</w:t>
            </w:r>
          </w:p>
        </w:tc>
      </w:tr>
      <w:tr>
        <w:trPr>
          <w:trHeight w:val="278"/>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003082"/>
              </w:rPr>
              <w:t>Exchange gain (loss)</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003082"/>
              </w:rPr>
              <w:t>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0.1</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003082"/>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(0.3)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003082"/>
              </w:rPr>
              <w:t>(0.1)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126"/>
              <w:spacing w:after="0"/>
              <w:rPr>
                <w:sz w:val="20"/>
                <w:szCs w:val="20"/>
                <w:color w:val="auto"/>
              </w:rPr>
            </w:pPr>
            <w:r>
              <w:rPr>
                <w:rFonts w:ascii="Arial" w:cs="Arial" w:eastAsia="Arial" w:hAnsi="Arial"/>
                <w:sz w:val="13"/>
                <w:szCs w:val="13"/>
                <w:color w:val="003082"/>
              </w:rPr>
              <w:t>0.2</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06"/>
              <w:spacing w:after="0"/>
              <w:rPr>
                <w:sz w:val="20"/>
                <w:szCs w:val="20"/>
                <w:color w:val="auto"/>
              </w:rPr>
            </w:pPr>
            <w:r>
              <w:rPr>
                <w:rFonts w:ascii="Arial" w:cs="Arial" w:eastAsia="Arial" w:hAnsi="Arial"/>
                <w:sz w:val="13"/>
                <w:szCs w:val="13"/>
                <w:color w:val="003082"/>
              </w:rPr>
              <w:t>0.2</w:t>
            </w:r>
          </w:p>
        </w:tc>
        <w:tc>
          <w:tcPr>
            <w:tcW w:w="12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w:t>
            </w:r>
          </w:p>
        </w:tc>
      </w:tr>
      <w:tr>
        <w:trPr>
          <w:trHeight w:val="264"/>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003082"/>
              </w:rPr>
              <w:t>Interest income</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40" w:type="dxa"/>
            <w:vAlign w:val="bottom"/>
            <w:tcBorders>
              <w:bottom w:val="single" w:sz="8" w:color="3D5588"/>
            </w:tcBorders>
          </w:tcPr>
          <w:p>
            <w:pPr>
              <w:jc w:val="right"/>
              <w:ind w:right="97"/>
              <w:spacing w:after="0"/>
              <w:rPr>
                <w:sz w:val="20"/>
                <w:szCs w:val="20"/>
                <w:color w:val="auto"/>
              </w:rPr>
            </w:pPr>
            <w:r>
              <w:rPr>
                <w:rFonts w:ascii="Arial" w:cs="Arial" w:eastAsia="Arial" w:hAnsi="Arial"/>
                <w:sz w:val="13"/>
                <w:szCs w:val="13"/>
                <w:color w:val="003082"/>
              </w:rPr>
              <w:t>0.7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0.9</w:t>
            </w:r>
          </w:p>
        </w:tc>
        <w:tc>
          <w:tcPr>
            <w:tcW w:w="2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0.6</w:t>
            </w:r>
          </w:p>
        </w:tc>
        <w:tc>
          <w:tcPr>
            <w:tcW w:w="2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3D5588"/>
            </w:tcBorders>
          </w:tcPr>
          <w:p>
            <w:pPr>
              <w:spacing w:after="0"/>
              <w:rPr>
                <w:sz w:val="22"/>
                <w:szCs w:val="22"/>
                <w:color w:val="auto"/>
              </w:rPr>
            </w:pPr>
          </w:p>
        </w:tc>
        <w:tc>
          <w:tcPr>
            <w:tcW w:w="240" w:type="dxa"/>
            <w:vAlign w:val="bottom"/>
            <w:tcBorders>
              <w:bottom w:val="single" w:sz="8" w:color="3D5588"/>
            </w:tcBorders>
          </w:tcPr>
          <w:p>
            <w:pPr>
              <w:spacing w:after="0"/>
              <w:rPr>
                <w:sz w:val="22"/>
                <w:szCs w:val="22"/>
                <w:color w:val="auto"/>
              </w:rPr>
            </w:pPr>
          </w:p>
        </w:tc>
        <w:tc>
          <w:tcPr>
            <w:tcW w:w="7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0.2</w:t>
            </w:r>
          </w:p>
        </w:tc>
        <w:tc>
          <w:tcPr>
            <w:tcW w:w="20" w:type="dxa"/>
            <w:vAlign w:val="bottom"/>
            <w:tcBorders>
              <w:bottom w:val="single" w:sz="8" w:color="3D5588"/>
            </w:tcBorders>
          </w:tcPr>
          <w:p>
            <w:pPr>
              <w:spacing w:after="0"/>
              <w:rPr>
                <w:sz w:val="22"/>
                <w:szCs w:val="22"/>
                <w:color w:val="auto"/>
              </w:rPr>
            </w:pPr>
          </w:p>
        </w:tc>
        <w:tc>
          <w:tcPr>
            <w:tcW w:w="80" w:type="dxa"/>
            <w:vAlign w:val="bottom"/>
            <w:tcBorders>
              <w:bottom w:val="single" w:sz="8" w:color="3D5588"/>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gridSpan w:val="3"/>
          </w:tcPr>
          <w:p>
            <w:pPr>
              <w:jc w:val="right"/>
              <w:ind w:right="80"/>
              <w:spacing w:after="0"/>
              <w:rPr>
                <w:sz w:val="20"/>
                <w:szCs w:val="20"/>
                <w:color w:val="auto"/>
              </w:rPr>
            </w:pPr>
            <w:r>
              <w:rPr>
                <w:rFonts w:ascii="Arial" w:cs="Arial" w:eastAsia="Arial" w:hAnsi="Arial"/>
                <w:sz w:val="13"/>
                <w:szCs w:val="13"/>
                <w:color w:val="003082"/>
              </w:rPr>
              <w:t>0.3</w:t>
            </w:r>
          </w:p>
        </w:tc>
        <w:tc>
          <w:tcPr>
            <w:tcW w:w="8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3D5588"/>
            </w:tcBorders>
          </w:tcPr>
          <w:p>
            <w:pPr>
              <w:spacing w:after="0"/>
              <w:rPr>
                <w:sz w:val="22"/>
                <w:szCs w:val="22"/>
                <w:color w:val="auto"/>
              </w:rPr>
            </w:pPr>
          </w:p>
        </w:tc>
        <w:tc>
          <w:tcPr>
            <w:tcW w:w="220" w:type="dxa"/>
            <w:vAlign w:val="bottom"/>
            <w:tcBorders>
              <w:bottom w:val="single" w:sz="8" w:color="3D5588"/>
            </w:tcBorders>
          </w:tcPr>
          <w:p>
            <w:pPr>
              <w:spacing w:after="0"/>
              <w:rPr>
                <w:sz w:val="22"/>
                <w:szCs w:val="22"/>
                <w:color w:val="auto"/>
              </w:rPr>
            </w:pPr>
          </w:p>
        </w:tc>
        <w:tc>
          <w:tcPr>
            <w:tcW w:w="420" w:type="dxa"/>
            <w:vAlign w:val="bottom"/>
            <w:tcBorders>
              <w:bottom w:val="single" w:sz="8" w:color="3D5588"/>
            </w:tcBorders>
            <w:gridSpan w:val="2"/>
          </w:tcPr>
          <w:p>
            <w:pPr>
              <w:jc w:val="right"/>
              <w:spacing w:after="0"/>
              <w:rPr>
                <w:sz w:val="20"/>
                <w:szCs w:val="20"/>
                <w:color w:val="auto"/>
              </w:rPr>
            </w:pPr>
            <w:r>
              <w:rPr>
                <w:rFonts w:ascii="Arial" w:cs="Arial" w:eastAsia="Arial" w:hAnsi="Arial"/>
                <w:sz w:val="13"/>
                <w:szCs w:val="13"/>
                <w:color w:val="003082"/>
              </w:rPr>
              <w:t>0.5</w:t>
            </w:r>
          </w:p>
        </w:tc>
        <w:tc>
          <w:tcPr>
            <w:tcW w:w="12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3D5588"/>
            </w:tcBorders>
          </w:tcPr>
          <w:p>
            <w:pPr>
              <w:spacing w:after="0"/>
              <w:rPr>
                <w:sz w:val="22"/>
                <w:szCs w:val="22"/>
                <w:color w:val="auto"/>
              </w:rPr>
            </w:pPr>
          </w:p>
        </w:tc>
        <w:tc>
          <w:tcPr>
            <w:tcW w:w="400" w:type="dxa"/>
            <w:vAlign w:val="bottom"/>
            <w:tcBorders>
              <w:bottom w:val="single" w:sz="8" w:color="3D5588"/>
            </w:tcBorders>
            <w:gridSpan w:val="3"/>
          </w:tcPr>
          <w:p>
            <w:pPr>
              <w:jc w:val="right"/>
              <w:ind w:right="126"/>
              <w:spacing w:after="0"/>
              <w:rPr>
                <w:sz w:val="20"/>
                <w:szCs w:val="20"/>
                <w:color w:val="auto"/>
              </w:rPr>
            </w:pPr>
            <w:r>
              <w:rPr>
                <w:rFonts w:ascii="Arial" w:cs="Arial" w:eastAsia="Arial" w:hAnsi="Arial"/>
                <w:sz w:val="13"/>
                <w:szCs w:val="13"/>
                <w:color w:val="003082"/>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3D5588"/>
            </w:tcBorders>
          </w:tcPr>
          <w:p>
            <w:pPr>
              <w:spacing w:after="0"/>
              <w:rPr>
                <w:sz w:val="22"/>
                <w:szCs w:val="22"/>
                <w:color w:val="auto"/>
              </w:rPr>
            </w:pPr>
          </w:p>
        </w:tc>
        <w:tc>
          <w:tcPr>
            <w:tcW w:w="460" w:type="dxa"/>
            <w:vAlign w:val="bottom"/>
            <w:tcBorders>
              <w:bottom w:val="single" w:sz="8" w:color="3D5588"/>
            </w:tcBorders>
            <w:gridSpan w:val="2"/>
          </w:tcPr>
          <w:p>
            <w:pPr>
              <w:jc w:val="right"/>
              <w:ind w:right="106"/>
              <w:spacing w:after="0"/>
              <w:rPr>
                <w:sz w:val="20"/>
                <w:szCs w:val="20"/>
                <w:color w:val="auto"/>
              </w:rPr>
            </w:pPr>
            <w:r>
              <w:rPr>
                <w:rFonts w:ascii="Arial" w:cs="Arial" w:eastAsia="Arial" w:hAnsi="Arial"/>
                <w:sz w:val="13"/>
                <w:szCs w:val="13"/>
                <w:color w:val="003082"/>
              </w:rPr>
              <w:t>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440" w:type="dxa"/>
            <w:vAlign w:val="bottom"/>
            <w:tcBorders>
              <w:bottom w:val="single" w:sz="8" w:color="3D5588"/>
            </w:tcBorders>
          </w:tcPr>
          <w:p>
            <w:pPr>
              <w:jc w:val="right"/>
              <w:ind w:right="77"/>
              <w:spacing w:after="0"/>
              <w:rPr>
                <w:sz w:val="20"/>
                <w:szCs w:val="20"/>
                <w:color w:val="auto"/>
              </w:rPr>
            </w:pPr>
            <w:r>
              <w:rPr>
                <w:rFonts w:ascii="Arial" w:cs="Arial" w:eastAsia="Arial" w:hAnsi="Arial"/>
                <w:sz w:val="13"/>
                <w:szCs w:val="13"/>
                <w:color w:val="003082"/>
              </w:rPr>
              <w:t>0.3</w:t>
            </w:r>
          </w:p>
        </w:tc>
      </w:tr>
      <w:tr>
        <w:trPr>
          <w:trHeight w:val="134"/>
        </w:trPr>
        <w:tc>
          <w:tcPr>
            <w:tcW w:w="170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3"/>
                <w:szCs w:val="13"/>
                <w:color w:val="003082"/>
              </w:rPr>
              <w:t>Income (loss) before income</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003082"/>
              </w:rPr>
              <w:t>taxes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(7.3)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4.0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13.6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(8.6)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003082"/>
              </w:rPr>
              <w:t>(3.9)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rPr>
              <w:t>(12.5)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gridSpan w:val="3"/>
            <w:shd w:val="clear" w:color="auto" w:fill="CCEEFF"/>
          </w:tcPr>
          <w:p>
            <w:pPr>
              <w:jc w:val="right"/>
              <w:ind w:right="86"/>
              <w:spacing w:after="0"/>
              <w:rPr>
                <w:sz w:val="20"/>
                <w:szCs w:val="20"/>
                <w:color w:val="auto"/>
              </w:rPr>
            </w:pPr>
            <w:r>
              <w:rPr>
                <w:rFonts w:ascii="Arial" w:cs="Arial" w:eastAsia="Arial" w:hAnsi="Arial"/>
                <w:sz w:val="13"/>
                <w:szCs w:val="13"/>
                <w:color w:val="003082"/>
                <w:w w:val="89"/>
              </w:rPr>
              <w:t>(5.0)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66"/>
              <w:spacing w:after="0"/>
              <w:rPr>
                <w:sz w:val="20"/>
                <w:szCs w:val="20"/>
                <w:color w:val="auto"/>
              </w:rPr>
            </w:pPr>
            <w:r>
              <w:rPr>
                <w:rFonts w:ascii="Arial" w:cs="Arial" w:eastAsia="Arial" w:hAnsi="Arial"/>
                <w:sz w:val="13"/>
                <w:szCs w:val="13"/>
                <w:color w:val="003082"/>
                <w:w w:val="94"/>
              </w:rPr>
              <w:t>(11.2)</w:t>
            </w:r>
          </w:p>
        </w:tc>
        <w:tc>
          <w:tcPr>
            <w:tcW w:w="120" w:type="dxa"/>
            <w:vAlign w:val="bottom"/>
            <w:shd w:val="clear" w:color="auto" w:fill="CCEEFF"/>
          </w:tcPr>
          <w:p>
            <w:pPr>
              <w:spacing w:after="0"/>
              <w:rPr>
                <w:sz w:val="15"/>
                <w:szCs w:val="15"/>
                <w:color w:val="auto"/>
              </w:rPr>
            </w:pPr>
          </w:p>
        </w:tc>
        <w:tc>
          <w:tcPr>
            <w:tcW w:w="340" w:type="dxa"/>
            <w:vAlign w:val="bottom"/>
            <w:tcBorders>
              <w:right w:val="single" w:sz="8" w:color="CCEEFF"/>
            </w:tcBorders>
            <w:shd w:val="clear" w:color="auto" w:fill="CCEEFF"/>
          </w:tcPr>
          <w:p>
            <w:pPr>
              <w:spacing w:after="0"/>
              <w:rPr>
                <w:sz w:val="15"/>
                <w:szCs w:val="15"/>
                <w:color w:val="auto"/>
              </w:rPr>
            </w:pPr>
          </w:p>
        </w:tc>
        <w:tc>
          <w:tcPr>
            <w:tcW w:w="4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9.4</w:t>
            </w:r>
          </w:p>
        </w:tc>
      </w:tr>
      <w:tr>
        <w:trPr>
          <w:trHeight w:val="263"/>
        </w:trPr>
        <w:tc>
          <w:tcPr>
            <w:tcW w:w="17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003082"/>
              </w:rPr>
              <w:t>Income taxes</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40" w:type="dxa"/>
            <w:vAlign w:val="bottom"/>
            <w:tcBorders>
              <w:bottom w:val="single" w:sz="8" w:color="3D5588"/>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40" w:type="dxa"/>
            <w:vAlign w:val="bottom"/>
            <w:tcBorders>
              <w:bottom w:val="single" w:sz="8" w:color="3D5588"/>
            </w:tcBorders>
          </w:tcPr>
          <w:p>
            <w:pPr>
              <w:jc w:val="right"/>
              <w:ind w:right="57"/>
              <w:spacing w:after="0"/>
              <w:rPr>
                <w:sz w:val="20"/>
                <w:szCs w:val="20"/>
                <w:color w:val="auto"/>
              </w:rPr>
            </w:pPr>
            <w:r>
              <w:rPr>
                <w:rFonts w:ascii="Arial" w:cs="Arial" w:eastAsia="Arial" w:hAnsi="Arial"/>
                <w:sz w:val="13"/>
                <w:szCs w:val="13"/>
                <w:color w:val="003082"/>
              </w:rPr>
              <w:t>(0.1)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3D5588"/>
            </w:tcBorders>
          </w:tcPr>
          <w:p>
            <w:pPr>
              <w:spacing w:after="0"/>
              <w:rPr>
                <w:sz w:val="22"/>
                <w:szCs w:val="22"/>
                <w:color w:val="auto"/>
              </w:rPr>
            </w:pPr>
          </w:p>
        </w:tc>
        <w:tc>
          <w:tcPr>
            <w:tcW w:w="56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(0.2)</w:t>
            </w:r>
          </w:p>
        </w:tc>
        <w:tc>
          <w:tcPr>
            <w:tcW w:w="2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(0.5)</w:t>
            </w:r>
          </w:p>
        </w:tc>
        <w:tc>
          <w:tcPr>
            <w:tcW w:w="2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3D5588"/>
            </w:tcBorders>
          </w:tcPr>
          <w:p>
            <w:pPr>
              <w:spacing w:after="0"/>
              <w:rPr>
                <w:sz w:val="22"/>
                <w:szCs w:val="22"/>
                <w:color w:val="auto"/>
              </w:rPr>
            </w:pPr>
          </w:p>
        </w:tc>
        <w:tc>
          <w:tcPr>
            <w:tcW w:w="240" w:type="dxa"/>
            <w:vAlign w:val="bottom"/>
            <w:tcBorders>
              <w:bottom w:val="single" w:sz="8" w:color="3D5588"/>
            </w:tcBorders>
          </w:tcPr>
          <w:p>
            <w:pPr>
              <w:spacing w:after="0"/>
              <w:rPr>
                <w:sz w:val="22"/>
                <w:szCs w:val="22"/>
                <w:color w:val="auto"/>
              </w:rPr>
            </w:pPr>
          </w:p>
        </w:tc>
        <w:tc>
          <w:tcPr>
            <w:tcW w:w="700" w:type="dxa"/>
            <w:vAlign w:val="bottom"/>
            <w:tcBorders>
              <w:bottom w:val="single" w:sz="8" w:color="3D5588"/>
            </w:tcBorders>
          </w:tcPr>
          <w:p>
            <w:pPr>
              <w:jc w:val="right"/>
              <w:spacing w:after="0"/>
              <w:rPr>
                <w:sz w:val="20"/>
                <w:szCs w:val="20"/>
                <w:color w:val="auto"/>
              </w:rPr>
            </w:pPr>
            <w:r>
              <w:rPr>
                <w:rFonts w:ascii="Arial" w:cs="Arial" w:eastAsia="Arial" w:hAnsi="Arial"/>
                <w:sz w:val="13"/>
                <w:szCs w:val="13"/>
                <w:color w:val="003082"/>
              </w:rPr>
              <w:t>(0.1)</w:t>
            </w:r>
          </w:p>
        </w:tc>
        <w:tc>
          <w:tcPr>
            <w:tcW w:w="20" w:type="dxa"/>
            <w:vAlign w:val="bottom"/>
            <w:tcBorders>
              <w:bottom w:val="single" w:sz="8" w:color="3D5588"/>
            </w:tcBorders>
          </w:tcPr>
          <w:p>
            <w:pPr>
              <w:spacing w:after="0"/>
              <w:rPr>
                <w:sz w:val="22"/>
                <w:szCs w:val="22"/>
                <w:color w:val="auto"/>
              </w:rPr>
            </w:pPr>
          </w:p>
        </w:tc>
        <w:tc>
          <w:tcPr>
            <w:tcW w:w="80" w:type="dxa"/>
            <w:vAlign w:val="bottom"/>
            <w:tcBorders>
              <w:bottom w:val="single" w:sz="8" w:color="3D5588"/>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3D5588"/>
            </w:tcBorders>
          </w:tcPr>
          <w:p>
            <w:pPr>
              <w:spacing w:after="0"/>
              <w:rPr>
                <w:sz w:val="22"/>
                <w:szCs w:val="22"/>
                <w:color w:val="auto"/>
              </w:rPr>
            </w:pPr>
          </w:p>
        </w:tc>
        <w:tc>
          <w:tcPr>
            <w:tcW w:w="820" w:type="dxa"/>
            <w:vAlign w:val="bottom"/>
            <w:tcBorders>
              <w:bottom w:val="single" w:sz="8" w:color="3D5588"/>
            </w:tcBorders>
            <w:gridSpan w:val="3"/>
          </w:tcPr>
          <w:p>
            <w:pPr>
              <w:jc w:val="right"/>
              <w:ind w:right="40"/>
              <w:spacing w:after="0"/>
              <w:rPr>
                <w:sz w:val="20"/>
                <w:szCs w:val="20"/>
                <w:color w:val="auto"/>
              </w:rPr>
            </w:pPr>
            <w:r>
              <w:rPr>
                <w:rFonts w:ascii="Arial" w:cs="Arial" w:eastAsia="Arial" w:hAnsi="Arial"/>
                <w:sz w:val="13"/>
                <w:szCs w:val="13"/>
                <w:color w:val="003082"/>
              </w:rPr>
              <w:t>(1.4)</w:t>
            </w:r>
          </w:p>
        </w:tc>
        <w:tc>
          <w:tcPr>
            <w:tcW w:w="80" w:type="dxa"/>
            <w:vAlign w:val="bottom"/>
            <w:tcBorders>
              <w:bottom w:val="single" w:sz="8" w:color="3D5588"/>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3D5588"/>
            </w:tcBorders>
          </w:tcPr>
          <w:p>
            <w:pPr>
              <w:spacing w:after="0"/>
              <w:rPr>
                <w:sz w:val="22"/>
                <w:szCs w:val="22"/>
                <w:color w:val="auto"/>
              </w:rPr>
            </w:pPr>
          </w:p>
        </w:tc>
        <w:tc>
          <w:tcPr>
            <w:tcW w:w="220" w:type="dxa"/>
            <w:vAlign w:val="bottom"/>
            <w:tcBorders>
              <w:bottom w:val="single" w:sz="8" w:color="3D5588"/>
            </w:tcBorders>
          </w:tcPr>
          <w:p>
            <w:pPr>
              <w:spacing w:after="0"/>
              <w:rPr>
                <w:sz w:val="22"/>
                <w:szCs w:val="22"/>
                <w:color w:val="auto"/>
              </w:rPr>
            </w:pPr>
          </w:p>
        </w:tc>
        <w:tc>
          <w:tcPr>
            <w:tcW w:w="420" w:type="dxa"/>
            <w:vAlign w:val="bottom"/>
            <w:tcBorders>
              <w:bottom w:val="single" w:sz="8" w:color="3D5588"/>
            </w:tcBorders>
            <w:gridSpan w:val="2"/>
          </w:tcPr>
          <w:p>
            <w:pPr>
              <w:jc w:val="right"/>
              <w:spacing w:after="0"/>
              <w:rPr>
                <w:sz w:val="20"/>
                <w:szCs w:val="20"/>
                <w:color w:val="auto"/>
              </w:rPr>
            </w:pPr>
            <w:r>
              <w:rPr>
                <w:rFonts w:ascii="Arial" w:cs="Arial" w:eastAsia="Arial" w:hAnsi="Arial"/>
                <w:sz w:val="13"/>
                <w:szCs w:val="13"/>
                <w:color w:val="003082"/>
              </w:rPr>
              <w:t>(0.9)</w:t>
            </w:r>
          </w:p>
        </w:tc>
        <w:tc>
          <w:tcPr>
            <w:tcW w:w="12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3D5588"/>
            </w:tcBorders>
          </w:tcPr>
          <w:p>
            <w:pPr>
              <w:spacing w:after="0"/>
              <w:rPr>
                <w:sz w:val="22"/>
                <w:szCs w:val="22"/>
                <w:color w:val="auto"/>
              </w:rPr>
            </w:pPr>
          </w:p>
        </w:tc>
        <w:tc>
          <w:tcPr>
            <w:tcW w:w="400" w:type="dxa"/>
            <w:vAlign w:val="bottom"/>
            <w:tcBorders>
              <w:bottom w:val="single" w:sz="8" w:color="3D5588"/>
            </w:tcBorders>
            <w:gridSpan w:val="3"/>
          </w:tcPr>
          <w:p>
            <w:pPr>
              <w:jc w:val="right"/>
              <w:ind w:right="86"/>
              <w:spacing w:after="0"/>
              <w:rPr>
                <w:sz w:val="20"/>
                <w:szCs w:val="20"/>
                <w:color w:val="auto"/>
              </w:rPr>
            </w:pPr>
            <w:r>
              <w:rPr>
                <w:rFonts w:ascii="Arial" w:cs="Arial" w:eastAsia="Arial" w:hAnsi="Arial"/>
                <w:sz w:val="13"/>
                <w:szCs w:val="13"/>
                <w:color w:val="003082"/>
                <w:w w:val="89"/>
              </w:rPr>
              <w:t>(1.5)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3D5588"/>
            </w:tcBorders>
          </w:tcPr>
          <w:p>
            <w:pPr>
              <w:spacing w:after="0"/>
              <w:rPr>
                <w:sz w:val="22"/>
                <w:szCs w:val="22"/>
                <w:color w:val="auto"/>
              </w:rPr>
            </w:pPr>
          </w:p>
        </w:tc>
        <w:tc>
          <w:tcPr>
            <w:tcW w:w="460" w:type="dxa"/>
            <w:vAlign w:val="bottom"/>
            <w:tcBorders>
              <w:bottom w:val="single" w:sz="8" w:color="3D5588"/>
            </w:tcBorders>
            <w:gridSpan w:val="2"/>
          </w:tcPr>
          <w:p>
            <w:pPr>
              <w:jc w:val="right"/>
              <w:ind w:right="66"/>
              <w:spacing w:after="0"/>
              <w:rPr>
                <w:sz w:val="20"/>
                <w:szCs w:val="20"/>
                <w:color w:val="auto"/>
              </w:rPr>
            </w:pPr>
            <w:r>
              <w:rPr>
                <w:rFonts w:ascii="Arial" w:cs="Arial" w:eastAsia="Arial" w:hAnsi="Arial"/>
                <w:sz w:val="13"/>
                <w:szCs w:val="13"/>
                <w:color w:val="003082"/>
              </w:rPr>
              <w:t>(1.1)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440" w:type="dxa"/>
            <w:vAlign w:val="bottom"/>
            <w:tcBorders>
              <w:bottom w:val="single" w:sz="8" w:color="3D5588"/>
            </w:tcBorders>
          </w:tcPr>
          <w:p>
            <w:pPr>
              <w:jc w:val="right"/>
              <w:ind w:right="37"/>
              <w:spacing w:after="0"/>
              <w:rPr>
                <w:sz w:val="20"/>
                <w:szCs w:val="20"/>
                <w:color w:val="auto"/>
              </w:rPr>
            </w:pPr>
            <w:r>
              <w:rPr>
                <w:rFonts w:ascii="Arial" w:cs="Arial" w:eastAsia="Arial" w:hAnsi="Arial"/>
                <w:sz w:val="13"/>
                <w:szCs w:val="13"/>
                <w:color w:val="003082"/>
              </w:rPr>
              <w:t>(1.0)</w:t>
            </w:r>
          </w:p>
        </w:tc>
      </w:tr>
      <w:tr>
        <w:trPr>
          <w:trHeight w:val="257"/>
        </w:trPr>
        <w:tc>
          <w:tcPr>
            <w:tcW w:w="17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003082"/>
              </w:rPr>
              <w:t>Net income (loss)</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13.1%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003082"/>
              </w:rPr>
              <w:t>(8.7)%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003082"/>
              </w:rPr>
              <w:t>(5.4)%</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003082"/>
              </w:rPr>
              <w:t>(13.4)%</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003082"/>
                <w:w w:val="88"/>
              </w:rPr>
              <w:t>(6.5)%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003082"/>
                <w:w w:val="92"/>
              </w:rPr>
              <w:t>(12.3)%</w:t>
            </w:r>
          </w:p>
        </w:tc>
        <w:tc>
          <w:tcPr>
            <w:tcW w:w="120" w:type="dxa"/>
            <w:vAlign w:val="bottom"/>
            <w:shd w:val="clear" w:color="auto" w:fill="CCEEFF"/>
          </w:tcPr>
          <w:p>
            <w:pPr>
              <w:spacing w:after="0"/>
              <w:rPr>
                <w:sz w:val="22"/>
                <w:szCs w:val="22"/>
                <w:color w:val="auto"/>
              </w:rPr>
            </w:pPr>
          </w:p>
        </w:tc>
        <w:tc>
          <w:tcPr>
            <w:tcW w:w="340" w:type="dxa"/>
            <w:vAlign w:val="bottom"/>
            <w:tcBorders>
              <w:right w:val="single" w:sz="8" w:color="CCEEFF"/>
            </w:tcBorders>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8.4%</w:t>
            </w:r>
          </w:p>
        </w:tc>
      </w:tr>
      <w:tr>
        <w:trPr>
          <w:trHeight w:val="545"/>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6"/>
          </w:tcPr>
          <w:p>
            <w:pPr>
              <w:ind w:left="60"/>
              <w:spacing w:after="0"/>
              <w:rPr>
                <w:sz w:val="20"/>
                <w:szCs w:val="20"/>
                <w:color w:val="auto"/>
              </w:rPr>
            </w:pPr>
            <w:r>
              <w:rPr>
                <w:rFonts w:ascii="Arial" w:cs="Arial" w:eastAsia="Arial" w:hAnsi="Arial"/>
                <w:sz w:val="11"/>
                <w:szCs w:val="11"/>
                <w:b w:val="1"/>
                <w:bCs w:val="1"/>
                <w:color w:val="003082"/>
                <w:w w:val="91"/>
              </w:rPr>
              <w:t>Three Months Ended</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3D5588"/>
            </w:tcBorders>
            <w:gridSpan w:val="3"/>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700" w:type="dxa"/>
            <w:vAlign w:val="bottom"/>
            <w:tcBorders>
              <w:bottom w:val="single" w:sz="8" w:color="3D5588"/>
            </w:tcBorders>
            <w:gridSpan w:val="3"/>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940" w:type="dxa"/>
            <w:vAlign w:val="bottom"/>
            <w:tcBorders>
              <w:bottom w:val="single" w:sz="8" w:color="3D5588"/>
            </w:tcBorders>
            <w:gridSpan w:val="3"/>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940" w:type="dxa"/>
            <w:vAlign w:val="bottom"/>
            <w:tcBorders>
              <w:bottom w:val="single" w:sz="8" w:color="3D5588"/>
            </w:tcBorders>
            <w:gridSpan w:val="6"/>
          </w:tcPr>
          <w:p>
            <w:pPr>
              <w:spacing w:after="0" w:line="20" w:lineRule="exact"/>
              <w:rPr>
                <w:sz w:val="1"/>
                <w:szCs w:val="1"/>
                <w:color w:val="auto"/>
              </w:rPr>
            </w:pPr>
          </w:p>
        </w:tc>
        <w:tc>
          <w:tcPr>
            <w:tcW w:w="1080" w:type="dxa"/>
            <w:vAlign w:val="bottom"/>
            <w:tcBorders>
              <w:bottom w:val="single" w:sz="8" w:color="3D5588"/>
            </w:tcBorders>
            <w:gridSpan w:val="6"/>
          </w:tcPr>
          <w:p>
            <w:pPr>
              <w:spacing w:after="0" w:line="20" w:lineRule="exact"/>
              <w:rPr>
                <w:sz w:val="1"/>
                <w:szCs w:val="1"/>
                <w:color w:val="auto"/>
              </w:rPr>
            </w:pPr>
          </w:p>
        </w:tc>
        <w:tc>
          <w:tcPr>
            <w:tcW w:w="860" w:type="dxa"/>
            <w:vAlign w:val="bottom"/>
            <w:tcBorders>
              <w:bottom w:val="single" w:sz="8" w:color="3D5588"/>
            </w:tcBorders>
            <w:gridSpan w:val="5"/>
          </w:tcPr>
          <w:p>
            <w:pPr>
              <w:spacing w:after="0" w:line="20" w:lineRule="exact"/>
              <w:rPr>
                <w:sz w:val="1"/>
                <w:szCs w:val="1"/>
                <w:color w:val="auto"/>
              </w:rPr>
            </w:pPr>
          </w:p>
        </w:tc>
        <w:tc>
          <w:tcPr>
            <w:tcW w:w="1260" w:type="dxa"/>
            <w:vAlign w:val="bottom"/>
            <w:tcBorders>
              <w:bottom w:val="single" w:sz="8" w:color="3D5588"/>
            </w:tcBorders>
            <w:gridSpan w:val="5"/>
          </w:tcPr>
          <w:p>
            <w:pPr>
              <w:spacing w:after="0" w:line="20" w:lineRule="exact"/>
              <w:rPr>
                <w:sz w:val="1"/>
                <w:szCs w:val="1"/>
                <w:color w:val="auto"/>
              </w:rPr>
            </w:pPr>
          </w:p>
        </w:tc>
        <w:tc>
          <w:tcPr>
            <w:tcW w:w="1140" w:type="dxa"/>
            <w:vAlign w:val="bottom"/>
            <w:tcBorders>
              <w:bottom w:val="single" w:sz="8" w:color="3D5588"/>
            </w:tcBorders>
            <w:gridSpan w:val="3"/>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780" w:type="dxa"/>
            <w:vAlign w:val="bottom"/>
            <w:tcBorders>
              <w:bottom w:val="single" w:sz="8" w:color="3D5588"/>
            </w:tcBorders>
            <w:gridSpan w:val="2"/>
          </w:tcPr>
          <w:p>
            <w:pPr>
              <w:spacing w:after="0" w:line="20" w:lineRule="exact"/>
              <w:rPr>
                <w:sz w:val="1"/>
                <w:szCs w:val="1"/>
                <w:color w:val="auto"/>
              </w:rPr>
            </w:pPr>
          </w:p>
        </w:tc>
      </w:tr>
      <w:tr>
        <w:trPr>
          <w:trHeight w:val="242"/>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1"/>
                <w:szCs w:val="11"/>
                <w:b w:val="1"/>
                <w:bCs w:val="1"/>
                <w:color w:val="003082"/>
                <w:w w:val="94"/>
              </w:rPr>
              <w:t>March 31, 2018</w:t>
            </w:r>
          </w:p>
        </w:tc>
        <w:tc>
          <w:tcPr>
            <w:tcW w:w="180" w:type="dxa"/>
            <w:vAlign w:val="bottom"/>
          </w:tcPr>
          <w:p>
            <w:pPr>
              <w:spacing w:after="0"/>
              <w:rPr>
                <w:sz w:val="21"/>
                <w:szCs w:val="2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003082"/>
                <w:w w:val="83"/>
              </w:rPr>
              <w:t>June 30, 2018</w:t>
            </w:r>
          </w:p>
        </w:tc>
        <w:tc>
          <w:tcPr>
            <w:tcW w:w="24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1"/>
                <w:szCs w:val="11"/>
                <w:b w:val="1"/>
                <w:bCs w:val="1"/>
                <w:color w:val="003082"/>
                <w:w w:val="87"/>
              </w:rPr>
              <w:t>September 30, 2018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1"/>
                <w:szCs w:val="11"/>
                <w:b w:val="1"/>
                <w:bCs w:val="1"/>
                <w:color w:val="003082"/>
                <w:w w:val="86"/>
              </w:rPr>
              <w:t>December 31, 2018</w:t>
            </w:r>
          </w:p>
        </w:tc>
        <w:tc>
          <w:tcPr>
            <w:tcW w:w="1080" w:type="dxa"/>
            <w:vAlign w:val="bottom"/>
            <w:gridSpan w:val="6"/>
          </w:tcPr>
          <w:p>
            <w:pPr>
              <w:jc w:val="right"/>
              <w:ind w:right="100"/>
              <w:spacing w:after="0"/>
              <w:rPr>
                <w:sz w:val="20"/>
                <w:szCs w:val="20"/>
                <w:color w:val="auto"/>
              </w:rPr>
            </w:pPr>
            <w:r>
              <w:rPr>
                <w:rFonts w:ascii="Arial" w:cs="Arial" w:eastAsia="Arial" w:hAnsi="Arial"/>
                <w:sz w:val="11"/>
                <w:szCs w:val="11"/>
                <w:b w:val="1"/>
                <w:bCs w:val="1"/>
                <w:color w:val="003082"/>
              </w:rPr>
              <w:t>March 31, 2019</w:t>
            </w:r>
          </w:p>
        </w:tc>
        <w:tc>
          <w:tcPr>
            <w:tcW w:w="860" w:type="dxa"/>
            <w:vAlign w:val="bottom"/>
            <w:gridSpan w:val="5"/>
          </w:tcPr>
          <w:p>
            <w:pPr>
              <w:jc w:val="right"/>
              <w:ind w:right="80"/>
              <w:spacing w:after="0"/>
              <w:rPr>
                <w:sz w:val="20"/>
                <w:szCs w:val="20"/>
                <w:color w:val="auto"/>
              </w:rPr>
            </w:pPr>
            <w:r>
              <w:rPr>
                <w:rFonts w:ascii="Arial" w:cs="Arial" w:eastAsia="Arial" w:hAnsi="Arial"/>
                <w:sz w:val="11"/>
                <w:szCs w:val="11"/>
                <w:b w:val="1"/>
                <w:bCs w:val="1"/>
                <w:color w:val="003082"/>
              </w:rPr>
              <w:t>June 30, 2019</w:t>
            </w:r>
          </w:p>
        </w:tc>
        <w:tc>
          <w:tcPr>
            <w:tcW w:w="1260" w:type="dxa"/>
            <w:vAlign w:val="bottom"/>
            <w:gridSpan w:val="5"/>
          </w:tcPr>
          <w:p>
            <w:pPr>
              <w:ind w:left="200"/>
              <w:spacing w:after="0"/>
              <w:rPr>
                <w:sz w:val="20"/>
                <w:szCs w:val="20"/>
                <w:color w:val="auto"/>
              </w:rPr>
            </w:pPr>
            <w:r>
              <w:rPr>
                <w:rFonts w:ascii="Arial" w:cs="Arial" w:eastAsia="Arial" w:hAnsi="Arial"/>
                <w:sz w:val="11"/>
                <w:szCs w:val="11"/>
                <w:b w:val="1"/>
                <w:bCs w:val="1"/>
                <w:color w:val="003082"/>
              </w:rPr>
              <w:t>September 30, 2019</w:t>
            </w:r>
          </w:p>
        </w:tc>
        <w:tc>
          <w:tcPr>
            <w:tcW w:w="1140" w:type="dxa"/>
            <w:vAlign w:val="bottom"/>
            <w:gridSpan w:val="3"/>
          </w:tcPr>
          <w:p>
            <w:pPr>
              <w:jc w:val="right"/>
              <w:ind w:right="46"/>
              <w:spacing w:after="0"/>
              <w:rPr>
                <w:sz w:val="20"/>
                <w:szCs w:val="20"/>
                <w:color w:val="auto"/>
              </w:rPr>
            </w:pPr>
            <w:r>
              <w:rPr>
                <w:rFonts w:ascii="Arial" w:cs="Arial" w:eastAsia="Arial" w:hAnsi="Arial"/>
                <w:sz w:val="11"/>
                <w:szCs w:val="11"/>
                <w:b w:val="1"/>
                <w:bCs w:val="1"/>
                <w:color w:val="003082"/>
              </w:rPr>
              <w:t>December 31, 2019</w:t>
            </w:r>
          </w:p>
        </w:tc>
        <w:tc>
          <w:tcPr>
            <w:tcW w:w="120" w:type="dxa"/>
            <w:vAlign w:val="bottom"/>
          </w:tcPr>
          <w:p>
            <w:pPr>
              <w:spacing w:after="0"/>
              <w:rPr>
                <w:sz w:val="21"/>
                <w:szCs w:val="2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003082"/>
                <w:w w:val="91"/>
              </w:rPr>
              <w:t>March 31, 2020</w:t>
            </w:r>
          </w:p>
        </w:tc>
      </w:tr>
      <w:tr>
        <w:trPr>
          <w:trHeight w:val="22"/>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56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82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8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700" w:type="dxa"/>
            <w:vAlign w:val="bottom"/>
            <w:tcBorders>
              <w:bottom w:val="single" w:sz="8" w:color="3D5588"/>
            </w:tcBorders>
          </w:tcPr>
          <w:p>
            <w:pPr>
              <w:spacing w:after="0" w:line="20" w:lineRule="exact"/>
              <w:rPr>
                <w:sz w:val="1"/>
                <w:szCs w:val="1"/>
                <w:color w:val="auto"/>
              </w:rPr>
            </w:pPr>
          </w:p>
        </w:tc>
        <w:tc>
          <w:tcPr>
            <w:tcW w:w="20" w:type="dxa"/>
            <w:vAlign w:val="bottom"/>
            <w:tcBorders>
              <w:bottom w:val="single" w:sz="8" w:color="3D5588"/>
            </w:tcBorders>
          </w:tcPr>
          <w:p>
            <w:pPr>
              <w:spacing w:after="0" w:line="20" w:lineRule="exact"/>
              <w:rPr>
                <w:sz w:val="1"/>
                <w:szCs w:val="1"/>
                <w:color w:val="auto"/>
              </w:rPr>
            </w:pPr>
          </w:p>
        </w:tc>
        <w:tc>
          <w:tcPr>
            <w:tcW w:w="1520" w:type="dxa"/>
            <w:vAlign w:val="bottom"/>
            <w:tcBorders>
              <w:bottom w:val="single" w:sz="8" w:color="3D5588"/>
            </w:tcBorders>
            <w:gridSpan w:val="11"/>
          </w:tcPr>
          <w:p>
            <w:pPr>
              <w:spacing w:after="0" w:line="20" w:lineRule="exact"/>
              <w:rPr>
                <w:sz w:val="1"/>
                <w:szCs w:val="1"/>
                <w:color w:val="auto"/>
              </w:rPr>
            </w:pPr>
          </w:p>
        </w:tc>
        <w:tc>
          <w:tcPr>
            <w:tcW w:w="3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6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68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440" w:type="dxa"/>
            <w:vAlign w:val="bottom"/>
            <w:tcBorders>
              <w:bottom w:val="single" w:sz="8" w:color="3D5588"/>
            </w:tcBorders>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11"/>
          </w:tcPr>
          <w:p>
            <w:pPr>
              <w:jc w:val="right"/>
              <w:spacing w:after="0"/>
              <w:rPr>
                <w:sz w:val="20"/>
                <w:szCs w:val="20"/>
                <w:color w:val="auto"/>
              </w:rPr>
            </w:pPr>
            <w:r>
              <w:rPr>
                <w:rFonts w:ascii="Arial" w:cs="Arial" w:eastAsia="Arial" w:hAnsi="Arial"/>
                <w:sz w:val="11"/>
                <w:szCs w:val="11"/>
                <w:b w:val="1"/>
                <w:bCs w:val="1"/>
                <w:color w:val="003082"/>
                <w:w w:val="91"/>
              </w:rPr>
              <w:t>(Unaudited, US$ in thousands)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
        </w:trPr>
        <w:tc>
          <w:tcPr>
            <w:tcW w:w="1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70"/>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003082"/>
              </w:rPr>
              <w:t>Other Financial Data</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tcBorders>
              <w:right w:val="single" w:sz="8" w:color="CCEEFF"/>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r>
      <w:tr>
        <w:trPr>
          <w:trHeight w:val="262"/>
        </w:trPr>
        <w:tc>
          <w:tcPr>
            <w:tcW w:w="1700" w:type="dxa"/>
            <w:vAlign w:val="bottom"/>
            <w:gridSpan w:val="2"/>
          </w:tcPr>
          <w:p>
            <w:pPr>
              <w:ind w:left="40"/>
              <w:spacing w:after="0"/>
              <w:rPr>
                <w:sz w:val="20"/>
                <w:szCs w:val="20"/>
                <w:color w:val="auto"/>
              </w:rPr>
            </w:pPr>
            <w:r>
              <w:rPr>
                <w:rFonts w:ascii="Arial" w:cs="Arial" w:eastAsia="Arial" w:hAnsi="Arial"/>
                <w:sz w:val="13"/>
                <w:szCs w:val="13"/>
                <w:color w:val="003082"/>
              </w:rPr>
              <w:t>Adjusted EBITDA</w:t>
            </w:r>
            <w:r>
              <w:rPr>
                <w:rFonts w:ascii="Arial" w:cs="Arial" w:eastAsia="Arial" w:hAnsi="Arial"/>
                <w:sz w:val="8"/>
                <w:szCs w:val="8"/>
                <w:color w:val="003082"/>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2"/>
          </w:tcPr>
          <w:p>
            <w:pPr>
              <w:jc w:val="right"/>
              <w:ind w:right="46"/>
              <w:spacing w:after="0"/>
              <w:rPr>
                <w:sz w:val="20"/>
                <w:szCs w:val="20"/>
                <w:color w:val="auto"/>
              </w:rPr>
            </w:pPr>
            <w:r>
              <w:rPr>
                <w:rFonts w:ascii="Arial" w:cs="Arial" w:eastAsia="Arial" w:hAnsi="Arial"/>
                <w:sz w:val="13"/>
                <w:szCs w:val="13"/>
                <w:color w:val="003082"/>
              </w:rPr>
              <w:t>$</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003082"/>
              </w:rPr>
              <w:t>(45)</w:t>
            </w:r>
          </w:p>
        </w:tc>
        <w:tc>
          <w:tcPr>
            <w:tcW w:w="180" w:type="dxa"/>
            <w:vAlign w:val="bottom"/>
          </w:tcPr>
          <w:p>
            <w:pPr>
              <w:jc w:val="right"/>
              <w:spacing w:after="0"/>
              <w:rPr>
                <w:sz w:val="20"/>
                <w:szCs w:val="20"/>
                <w:color w:val="auto"/>
              </w:rPr>
            </w:pPr>
            <w:r>
              <w:rPr>
                <w:rFonts w:ascii="Arial" w:cs="Arial" w:eastAsia="Arial" w:hAnsi="Arial"/>
                <w:sz w:val="13"/>
                <w:szCs w:val="13"/>
                <w:color w:val="003082"/>
              </w:rPr>
              <w:t>$</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003082"/>
              </w:rPr>
              <w:t>1,177</w:t>
            </w:r>
          </w:p>
        </w:tc>
        <w:tc>
          <w:tcPr>
            <w:tcW w:w="240" w:type="dxa"/>
            <w:vAlign w:val="bottom"/>
          </w:tcPr>
          <w:p>
            <w:pPr>
              <w:jc w:val="right"/>
              <w:spacing w:after="0"/>
              <w:rPr>
                <w:sz w:val="20"/>
                <w:szCs w:val="20"/>
                <w:color w:val="auto"/>
              </w:rPr>
            </w:pPr>
            <w:r>
              <w:rPr>
                <w:rFonts w:ascii="Arial" w:cs="Arial" w:eastAsia="Arial" w:hAnsi="Arial"/>
                <w:sz w:val="13"/>
                <w:szCs w:val="13"/>
                <w:color w:val="003082"/>
              </w:rPr>
              <w:t>$</w:t>
            </w:r>
          </w:p>
        </w:tc>
        <w:tc>
          <w:tcPr>
            <w:tcW w:w="940" w:type="dxa"/>
            <w:vAlign w:val="bottom"/>
            <w:gridSpan w:val="3"/>
          </w:tcPr>
          <w:p>
            <w:pPr>
              <w:jc w:val="right"/>
              <w:ind w:right="20"/>
              <w:spacing w:after="0"/>
              <w:rPr>
                <w:sz w:val="20"/>
                <w:szCs w:val="20"/>
                <w:color w:val="auto"/>
              </w:rPr>
            </w:pPr>
            <w:r>
              <w:rPr>
                <w:rFonts w:ascii="Arial" w:cs="Arial" w:eastAsia="Arial" w:hAnsi="Arial"/>
                <w:sz w:val="13"/>
                <w:szCs w:val="13"/>
                <w:color w:val="003082"/>
              </w:rPr>
              <w:t>2,815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003082"/>
              </w:rPr>
              <w:t>$</w:t>
            </w:r>
          </w:p>
        </w:tc>
        <w:tc>
          <w:tcPr>
            <w:tcW w:w="700" w:type="dxa"/>
            <w:vAlign w:val="bottom"/>
          </w:tcPr>
          <w:p>
            <w:pPr>
              <w:spacing w:after="0"/>
              <w:rPr>
                <w:sz w:val="22"/>
                <w:szCs w:val="22"/>
                <w:color w:val="auto"/>
              </w:rPr>
            </w:pPr>
          </w:p>
        </w:tc>
        <w:tc>
          <w:tcPr>
            <w:tcW w:w="220" w:type="dxa"/>
            <w:vAlign w:val="bottom"/>
            <w:gridSpan w:val="4"/>
          </w:tcPr>
          <w:p>
            <w:pPr>
              <w:jc w:val="right"/>
              <w:spacing w:after="0"/>
              <w:rPr>
                <w:sz w:val="20"/>
                <w:szCs w:val="20"/>
                <w:color w:val="auto"/>
              </w:rPr>
            </w:pPr>
            <w:r>
              <w:rPr>
                <w:rFonts w:ascii="Arial" w:cs="Arial" w:eastAsia="Arial" w:hAnsi="Arial"/>
                <w:sz w:val="13"/>
                <w:szCs w:val="13"/>
                <w:color w:val="003082"/>
              </w:rPr>
              <w:t>88</w:t>
            </w:r>
          </w:p>
        </w:tc>
        <w:tc>
          <w:tcPr>
            <w:tcW w:w="20" w:type="dxa"/>
            <w:vAlign w:val="bottom"/>
          </w:tcPr>
          <w:p>
            <w:pPr>
              <w:spacing w:after="0"/>
              <w:rPr>
                <w:sz w:val="22"/>
                <w:szCs w:val="22"/>
                <w:color w:val="auto"/>
              </w:rPr>
            </w:pPr>
          </w:p>
        </w:tc>
        <w:tc>
          <w:tcPr>
            <w:tcW w:w="660" w:type="dxa"/>
            <w:vAlign w:val="bottom"/>
          </w:tcPr>
          <w:p>
            <w:pPr>
              <w:jc w:val="right"/>
              <w:ind w:right="339"/>
              <w:spacing w:after="0"/>
              <w:rPr>
                <w:sz w:val="20"/>
                <w:szCs w:val="20"/>
                <w:color w:val="auto"/>
              </w:rPr>
            </w:pPr>
            <w:r>
              <w:rPr>
                <w:rFonts w:ascii="Arial" w:cs="Arial" w:eastAsia="Arial" w:hAnsi="Arial"/>
                <w:sz w:val="13"/>
                <w:szCs w:val="13"/>
                <w:color w:val="003082"/>
              </w:rPr>
              <w:t>$</w:t>
            </w:r>
          </w:p>
        </w:tc>
        <w:tc>
          <w:tcPr>
            <w:tcW w:w="360" w:type="dxa"/>
            <w:vAlign w:val="bottom"/>
            <w:gridSpan w:val="4"/>
          </w:tcPr>
          <w:p>
            <w:pPr>
              <w:jc w:val="right"/>
              <w:ind w:right="80"/>
              <w:spacing w:after="0"/>
              <w:rPr>
                <w:sz w:val="20"/>
                <w:szCs w:val="20"/>
                <w:color w:val="auto"/>
              </w:rPr>
            </w:pPr>
            <w:r>
              <w:rPr>
                <w:rFonts w:ascii="Arial" w:cs="Arial" w:eastAsia="Arial" w:hAnsi="Arial"/>
                <w:sz w:val="13"/>
                <w:szCs w:val="13"/>
                <w:color w:val="003082"/>
              </w:rPr>
              <w:t>720</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003082"/>
              </w:rPr>
              <w:t>$</w:t>
            </w:r>
          </w:p>
        </w:tc>
        <w:tc>
          <w:tcPr>
            <w:tcW w:w="3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003082"/>
                <w:w w:val="82"/>
              </w:rPr>
              <w:t>105</w:t>
            </w:r>
          </w:p>
        </w:tc>
        <w:tc>
          <w:tcPr>
            <w:tcW w:w="10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3082"/>
              </w:rPr>
              <w:t>$</w:t>
            </w:r>
          </w:p>
        </w:tc>
        <w:tc>
          <w:tcPr>
            <w:tcW w:w="400" w:type="dxa"/>
            <w:vAlign w:val="bottom"/>
            <w:gridSpan w:val="3"/>
          </w:tcPr>
          <w:p>
            <w:pPr>
              <w:jc w:val="right"/>
              <w:ind w:right="6"/>
              <w:spacing w:after="0"/>
              <w:rPr>
                <w:sz w:val="20"/>
                <w:szCs w:val="20"/>
                <w:color w:val="auto"/>
              </w:rPr>
            </w:pPr>
            <w:r>
              <w:rPr>
                <w:rFonts w:ascii="Arial" w:cs="Arial" w:eastAsia="Arial" w:hAnsi="Arial"/>
                <w:sz w:val="13"/>
                <w:szCs w:val="13"/>
                <w:color w:val="003082"/>
              </w:rPr>
              <w:t>187</w:t>
            </w:r>
          </w:p>
        </w:tc>
        <w:tc>
          <w:tcPr>
            <w:tcW w:w="100" w:type="dxa"/>
            <w:vAlign w:val="bottom"/>
          </w:tcPr>
          <w:p>
            <w:pPr>
              <w:spacing w:after="0"/>
              <w:rPr>
                <w:sz w:val="22"/>
                <w:szCs w:val="22"/>
                <w:color w:val="auto"/>
              </w:rPr>
            </w:pPr>
          </w:p>
        </w:tc>
        <w:tc>
          <w:tcPr>
            <w:tcW w:w="680" w:type="dxa"/>
            <w:vAlign w:val="bottom"/>
          </w:tcPr>
          <w:p>
            <w:pPr>
              <w:jc w:val="right"/>
              <w:ind w:right="479"/>
              <w:spacing w:after="0"/>
              <w:rPr>
                <w:sz w:val="20"/>
                <w:szCs w:val="20"/>
                <w:color w:val="auto"/>
              </w:rPr>
            </w:pPr>
            <w:r>
              <w:rPr>
                <w:rFonts w:ascii="Arial" w:cs="Arial" w:eastAsia="Arial" w:hAnsi="Arial"/>
                <w:sz w:val="13"/>
                <w:szCs w:val="13"/>
                <w:color w:val="003082"/>
              </w:rPr>
              <w:t>$</w:t>
            </w:r>
          </w:p>
        </w:tc>
        <w:tc>
          <w:tcPr>
            <w:tcW w:w="460" w:type="dxa"/>
            <w:vAlign w:val="bottom"/>
            <w:gridSpan w:val="2"/>
          </w:tcPr>
          <w:p>
            <w:pPr>
              <w:ind w:left="140"/>
              <w:spacing w:after="0"/>
              <w:rPr>
                <w:sz w:val="20"/>
                <w:szCs w:val="20"/>
                <w:color w:val="auto"/>
              </w:rPr>
            </w:pPr>
            <w:r>
              <w:rPr>
                <w:rFonts w:ascii="Arial" w:cs="Arial" w:eastAsia="Arial" w:hAnsi="Arial"/>
                <w:sz w:val="13"/>
                <w:szCs w:val="13"/>
                <w:color w:val="003082"/>
                <w:w w:val="98"/>
              </w:rPr>
              <w:t>(981)</w:t>
            </w:r>
          </w:p>
        </w:tc>
        <w:tc>
          <w:tcPr>
            <w:tcW w:w="460" w:type="dxa"/>
            <w:vAlign w:val="bottom"/>
            <w:gridSpan w:val="2"/>
          </w:tcPr>
          <w:p>
            <w:pPr>
              <w:ind w:left="160"/>
              <w:spacing w:after="0"/>
              <w:rPr>
                <w:sz w:val="20"/>
                <w:szCs w:val="20"/>
                <w:color w:val="auto"/>
              </w:rPr>
            </w:pPr>
            <w:r>
              <w:rPr>
                <w:rFonts w:ascii="Arial" w:cs="Arial" w:eastAsia="Arial" w:hAnsi="Arial"/>
                <w:sz w:val="13"/>
                <w:szCs w:val="13"/>
                <w:color w:val="003082"/>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003082"/>
                <w:w w:val="98"/>
              </w:rPr>
              <w:t>5,458</w:t>
            </w:r>
          </w:p>
        </w:tc>
      </w:tr>
      <w:tr>
        <w:trPr>
          <w:trHeight w:val="278"/>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003082"/>
              </w:rPr>
              <w:t>Free cash flow</w:t>
            </w:r>
            <w:r>
              <w:rPr>
                <w:rFonts w:ascii="Arial" w:cs="Arial" w:eastAsia="Arial" w:hAnsi="Arial"/>
                <w:sz w:val="8"/>
                <w:szCs w:val="8"/>
                <w:color w:val="003082"/>
              </w:rPr>
              <w:t>(1)</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ind w:right="46"/>
              <w:spacing w:after="0"/>
              <w:rPr>
                <w:sz w:val="20"/>
                <w:szCs w:val="20"/>
                <w:color w:val="auto"/>
              </w:rPr>
            </w:pPr>
            <w:r>
              <w:rPr>
                <w:rFonts w:ascii="Arial" w:cs="Arial" w:eastAsia="Arial" w:hAnsi="Arial"/>
                <w:sz w:val="13"/>
                <w:szCs w:val="13"/>
                <w:color w:val="003082"/>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003082"/>
              </w:rPr>
              <w:t>(1,220)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003082"/>
              </w:rPr>
              <w:t>(3,033)</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003082"/>
              </w:rPr>
              <w:t>225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003082"/>
              </w:rPr>
              <w:t>2,303</w:t>
            </w: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39"/>
              <w:spacing w:after="0"/>
              <w:rPr>
                <w:sz w:val="20"/>
                <w:szCs w:val="20"/>
                <w:color w:val="auto"/>
              </w:rPr>
            </w:pPr>
            <w:r>
              <w:rPr>
                <w:rFonts w:ascii="Arial" w:cs="Arial" w:eastAsia="Arial" w:hAnsi="Arial"/>
                <w:sz w:val="13"/>
                <w:szCs w:val="13"/>
                <w:color w:val="003082"/>
              </w:rPr>
              <w:t>$</w:t>
            </w:r>
          </w:p>
        </w:tc>
        <w:tc>
          <w:tcPr>
            <w:tcW w:w="3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003082"/>
                <w:w w:val="79"/>
              </w:rPr>
              <w:t>2,855</w:t>
            </w: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003082"/>
              </w:rPr>
              <w:t>(6,581)</w:t>
            </w:r>
          </w:p>
        </w:tc>
        <w:tc>
          <w:tcPr>
            <w:tcW w:w="760" w:type="dxa"/>
            <w:vAlign w:val="bottom"/>
            <w:shd w:val="clear" w:color="auto" w:fill="CCEEFF"/>
          </w:tcPr>
          <w:p>
            <w:pPr>
              <w:ind w:left="120"/>
              <w:spacing w:after="0"/>
              <w:rPr>
                <w:sz w:val="20"/>
                <w:szCs w:val="20"/>
                <w:color w:val="auto"/>
              </w:rPr>
            </w:pPr>
            <w:r>
              <w:rPr>
                <w:rFonts w:ascii="Arial" w:cs="Arial" w:eastAsia="Arial" w:hAnsi="Arial"/>
                <w:sz w:val="13"/>
                <w:szCs w:val="13"/>
                <w:color w:val="003082"/>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003082"/>
                <w:w w:val="87"/>
              </w:rPr>
              <w:t>(1,267)</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3"/>
                <w:szCs w:val="13"/>
                <w:color w:val="003082"/>
              </w:rPr>
              <w:t>$</w:t>
            </w:r>
          </w:p>
        </w:tc>
        <w:tc>
          <w:tcPr>
            <w:tcW w:w="460" w:type="dxa"/>
            <w:vAlign w:val="bottom"/>
            <w:gridSpan w:val="2"/>
            <w:shd w:val="clear" w:color="auto" w:fill="CCEEFF"/>
          </w:tcPr>
          <w:p>
            <w:pPr>
              <w:jc w:val="right"/>
              <w:ind w:right="26"/>
              <w:spacing w:after="0"/>
              <w:rPr>
                <w:sz w:val="20"/>
                <w:szCs w:val="20"/>
                <w:color w:val="auto"/>
              </w:rPr>
            </w:pPr>
            <w:r>
              <w:rPr>
                <w:rFonts w:ascii="Arial" w:cs="Arial" w:eastAsia="Arial" w:hAnsi="Arial"/>
                <w:sz w:val="13"/>
                <w:szCs w:val="13"/>
                <w:color w:val="003082"/>
              </w:rPr>
              <w:t>897</w:t>
            </w:r>
          </w:p>
        </w:tc>
        <w:tc>
          <w:tcPr>
            <w:tcW w:w="4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0030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003082"/>
                <w:w w:val="87"/>
              </w:rPr>
              <w:t>(3,416)</w:t>
            </w:r>
          </w:p>
        </w:tc>
      </w:tr>
      <w:tr>
        <w:trPr>
          <w:trHeight w:val="191"/>
        </w:trPr>
        <w:tc>
          <w:tcPr>
            <w:tcW w:w="1700" w:type="dxa"/>
            <w:vAlign w:val="bottom"/>
            <w:gridSpan w:val="2"/>
          </w:tcPr>
          <w:p>
            <w:pPr>
              <w:spacing w:after="0"/>
              <w:rPr>
                <w:sz w:val="20"/>
                <w:szCs w:val="20"/>
                <w:color w:val="auto"/>
              </w:rPr>
            </w:pPr>
            <w:r>
              <w:rPr>
                <w:rFonts w:ascii="Arial" w:cs="Arial" w:eastAsia="Arial" w:hAnsi="Arial"/>
                <w:sz w:val="16"/>
                <w:szCs w:val="16"/>
                <w:color w:val="003082"/>
              </w:rPr>
              <w:t>________________</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ind w:left="340" w:right="20" w:hanging="332"/>
        <w:spacing w:after="0" w:line="298" w:lineRule="auto"/>
        <w:tabs>
          <w:tab w:leader="none" w:pos="340" w:val="left"/>
        </w:tabs>
        <w:numPr>
          <w:ilvl w:val="0"/>
          <w:numId w:val="50"/>
        </w:numPr>
        <w:rPr>
          <w:rFonts w:ascii="Arial" w:cs="Arial" w:eastAsia="Arial" w:hAnsi="Arial"/>
          <w:sz w:val="16"/>
          <w:szCs w:val="16"/>
          <w:color w:val="003082"/>
        </w:rPr>
      </w:pPr>
      <w:r>
        <w:rPr>
          <w:rFonts w:ascii="Arial" w:cs="Arial" w:eastAsia="Arial" w:hAnsi="Arial"/>
          <w:sz w:val="16"/>
          <w:szCs w:val="16"/>
          <w:color w:val="003082"/>
        </w:rPr>
        <w:t>See the section of this prospectus captioned “Prospectus Summary</w:t>
      </w:r>
      <w:r>
        <w:rPr>
          <w:rFonts w:ascii="Arial" w:cs="Arial" w:eastAsia="Arial" w:hAnsi="Arial"/>
          <w:sz w:val="17"/>
          <w:szCs w:val="17"/>
          <w:color w:val="003082"/>
        </w:rPr>
        <w:t>—</w:t>
      </w:r>
      <w:r>
        <w:rPr>
          <w:rFonts w:ascii="Arial" w:cs="Arial" w:eastAsia="Arial" w:hAnsi="Arial"/>
          <w:sz w:val="16"/>
          <w:szCs w:val="16"/>
          <w:color w:val="003082"/>
        </w:rPr>
        <w:t>Summary Consolidated Financial and Operating Data—Key Operating and Financial Metrics” for information on how we define and calculate these measures.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99</w:t>
      </w:r>
    </w:p>
    <w:p>
      <w:pPr>
        <w:sectPr>
          <w:pgSz w:w="11900" w:h="16838" w:orient="portrait"/>
          <w:cols w:equalWidth="0" w:num="1">
            <w:col w:w="11240"/>
          </w:cols>
          <w:pgMar w:left="320" w:top="346" w:right="339" w:bottom="1440" w:gutter="0" w:footer="0" w:header="0"/>
        </w:sectPr>
      </w:pPr>
    </w:p>
    <w:bookmarkStart w:id="104" w:name="page105"/>
    <w:bookmarkEnd w:id="104"/>
    <w:p>
      <w:pPr>
        <w:ind w:left="340"/>
        <w:spacing w:after="0"/>
        <w:rPr>
          <w:sz w:val="20"/>
          <w:szCs w:val="20"/>
          <w:color w:val="auto"/>
        </w:rPr>
      </w:pPr>
      <w:r>
        <w:rPr>
          <w:rFonts w:ascii="Arial" w:cs="Arial" w:eastAsia="Arial" w:hAnsi="Arial"/>
          <w:sz w:val="18"/>
          <w:szCs w:val="18"/>
          <w:color w:val="003082"/>
        </w:rPr>
        <w:t>The following table reflects the reconciliation of net income (loss) to Adjusted EBITDA:</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5"/>
          </w:tcPr>
          <w:p>
            <w:pPr>
              <w:ind w:left="40"/>
              <w:spacing w:after="0"/>
              <w:rPr>
                <w:sz w:val="20"/>
                <w:szCs w:val="20"/>
                <w:color w:val="auto"/>
              </w:rPr>
            </w:pPr>
            <w:r>
              <w:rPr>
                <w:rFonts w:ascii="Arial" w:cs="Arial" w:eastAsia="Arial" w:hAnsi="Arial"/>
                <w:sz w:val="11"/>
                <w:szCs w:val="11"/>
                <w:b w:val="1"/>
                <w:bCs w:val="1"/>
                <w:color w:val="003082"/>
                <w:w w:val="99"/>
              </w:rPr>
              <w:t>Three Months Ended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920" w:type="dxa"/>
            <w:vAlign w:val="bottom"/>
            <w:tcBorders>
              <w:bottom w:val="single" w:sz="8" w:color="3D5588"/>
            </w:tcBorders>
            <w:gridSpan w:val="3"/>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840" w:type="dxa"/>
            <w:vAlign w:val="bottom"/>
            <w:tcBorders>
              <w:bottom w:val="single" w:sz="8" w:color="3D5588"/>
            </w:tcBorders>
            <w:gridSpan w:val="2"/>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160" w:type="dxa"/>
            <w:vAlign w:val="bottom"/>
            <w:tcBorders>
              <w:bottom w:val="single" w:sz="8" w:color="3D5588"/>
            </w:tcBorders>
            <w:gridSpan w:val="2"/>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gridSpan w:val="3"/>
          </w:tcPr>
          <w:p>
            <w:pPr>
              <w:spacing w:after="0" w:line="20" w:lineRule="exact"/>
              <w:rPr>
                <w:sz w:val="1"/>
                <w:szCs w:val="1"/>
                <w:color w:val="auto"/>
              </w:rPr>
            </w:pPr>
          </w:p>
        </w:tc>
        <w:tc>
          <w:tcPr>
            <w:tcW w:w="880" w:type="dxa"/>
            <w:vAlign w:val="bottom"/>
            <w:tcBorders>
              <w:bottom w:val="single" w:sz="8" w:color="3D5588"/>
            </w:tcBorders>
            <w:gridSpan w:val="3"/>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120" w:type="dxa"/>
            <w:vAlign w:val="bottom"/>
            <w:tcBorders>
              <w:bottom w:val="single" w:sz="8" w:color="3D5588"/>
            </w:tcBorders>
            <w:gridSpan w:val="2"/>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120" w:type="dxa"/>
            <w:vAlign w:val="bottom"/>
            <w:tcBorders>
              <w:bottom w:val="single" w:sz="8" w:color="3D5588"/>
            </w:tcBorders>
            <w:gridSpan w:val="2"/>
          </w:tcPr>
          <w:p>
            <w:pPr>
              <w:spacing w:after="0" w:line="20" w:lineRule="exact"/>
              <w:rPr>
                <w:sz w:val="1"/>
                <w:szCs w:val="1"/>
                <w:color w:val="auto"/>
              </w:rPr>
            </w:pPr>
          </w:p>
        </w:tc>
        <w:tc>
          <w:tcPr>
            <w:tcW w:w="760" w:type="dxa"/>
            <w:vAlign w:val="bottom"/>
            <w:tcBorders>
              <w:bottom w:val="single" w:sz="8" w:color="3D5588"/>
            </w:tcBorders>
            <w:gridSpan w:val="2"/>
          </w:tcPr>
          <w:p>
            <w:pPr>
              <w:spacing w:after="0" w:line="20" w:lineRule="exact"/>
              <w:rPr>
                <w:sz w:val="1"/>
                <w:szCs w:val="1"/>
                <w:color w:val="auto"/>
              </w:rPr>
            </w:pPr>
          </w:p>
        </w:tc>
      </w:tr>
      <w:tr>
        <w:trPr>
          <w:trHeight w:val="241"/>
        </w:trPr>
        <w:tc>
          <w:tcPr>
            <w:tcW w:w="1820" w:type="dxa"/>
            <w:vAlign w:val="bottom"/>
          </w:tcPr>
          <w:p>
            <w:pPr>
              <w:spacing w:after="0"/>
              <w:rPr>
                <w:sz w:val="21"/>
                <w:szCs w:val="21"/>
                <w:color w:val="auto"/>
              </w:rPr>
            </w:pPr>
          </w:p>
        </w:tc>
        <w:tc>
          <w:tcPr>
            <w:tcW w:w="920" w:type="dxa"/>
            <w:vAlign w:val="bottom"/>
            <w:gridSpan w:val="3"/>
          </w:tcPr>
          <w:p>
            <w:pPr>
              <w:ind w:left="40"/>
              <w:spacing w:after="0"/>
              <w:rPr>
                <w:sz w:val="20"/>
                <w:szCs w:val="20"/>
                <w:color w:val="auto"/>
              </w:rPr>
            </w:pPr>
            <w:r>
              <w:rPr>
                <w:rFonts w:ascii="Arial" w:cs="Arial" w:eastAsia="Arial" w:hAnsi="Arial"/>
                <w:sz w:val="11"/>
                <w:szCs w:val="11"/>
                <w:b w:val="1"/>
                <w:bCs w:val="1"/>
                <w:color w:val="003082"/>
              </w:rPr>
              <w:t>March 31, 2018</w:t>
            </w:r>
          </w:p>
        </w:tc>
        <w:tc>
          <w:tcPr>
            <w:tcW w:w="10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003082"/>
              </w:rPr>
              <w:t>June 30, 2018</w:t>
            </w:r>
          </w:p>
        </w:tc>
        <w:tc>
          <w:tcPr>
            <w:tcW w:w="100" w:type="dxa"/>
            <w:vAlign w:val="bottom"/>
          </w:tcPr>
          <w:p>
            <w:pPr>
              <w:spacing w:after="0"/>
              <w:rPr>
                <w:sz w:val="21"/>
                <w:szCs w:val="21"/>
                <w:color w:val="auto"/>
              </w:rPr>
            </w:pPr>
          </w:p>
        </w:tc>
        <w:tc>
          <w:tcPr>
            <w:tcW w:w="1160" w:type="dxa"/>
            <w:vAlign w:val="bottom"/>
            <w:gridSpan w:val="2"/>
          </w:tcPr>
          <w:p>
            <w:pPr>
              <w:ind w:left="20"/>
              <w:spacing w:after="0"/>
              <w:rPr>
                <w:sz w:val="20"/>
                <w:szCs w:val="20"/>
                <w:color w:val="auto"/>
              </w:rPr>
            </w:pPr>
            <w:r>
              <w:rPr>
                <w:rFonts w:ascii="Arial" w:cs="Arial" w:eastAsia="Arial" w:hAnsi="Arial"/>
                <w:sz w:val="11"/>
                <w:szCs w:val="11"/>
                <w:b w:val="1"/>
                <w:bCs w:val="1"/>
                <w:color w:val="003082"/>
              </w:rPr>
              <w:t>September 30, 2018</w:t>
            </w:r>
          </w:p>
        </w:tc>
        <w:tc>
          <w:tcPr>
            <w:tcW w:w="12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1"/>
                <w:szCs w:val="11"/>
                <w:b w:val="1"/>
                <w:bCs w:val="1"/>
                <w:color w:val="003082"/>
                <w:w w:val="86"/>
              </w:rPr>
              <w:t>December 31, 2018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ind w:left="80"/>
              <w:spacing w:after="0"/>
              <w:rPr>
                <w:sz w:val="20"/>
                <w:szCs w:val="20"/>
                <w:color w:val="auto"/>
              </w:rPr>
            </w:pPr>
            <w:r>
              <w:rPr>
                <w:rFonts w:ascii="Arial" w:cs="Arial" w:eastAsia="Arial" w:hAnsi="Arial"/>
                <w:sz w:val="11"/>
                <w:szCs w:val="11"/>
                <w:b w:val="1"/>
                <w:bCs w:val="1"/>
                <w:color w:val="003082"/>
              </w:rPr>
              <w:t>March 31, 2019</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003082"/>
              </w:rPr>
              <w:t>June 30, 2019</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003082"/>
              </w:rPr>
              <w:t>September 30, 2019</w:t>
            </w:r>
          </w:p>
        </w:tc>
        <w:tc>
          <w:tcPr>
            <w:tcW w:w="10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003082"/>
              </w:rPr>
              <w:t>December 31, 2019</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003082"/>
                <w:w w:val="91"/>
              </w:rPr>
              <w:t>March 31, 2020</w:t>
            </w:r>
          </w:p>
        </w:tc>
      </w:tr>
      <w:tr>
        <w:trPr>
          <w:trHeight w:val="22"/>
        </w:trPr>
        <w:tc>
          <w:tcPr>
            <w:tcW w:w="1820" w:type="dxa"/>
            <w:vAlign w:val="bottom"/>
          </w:tcPr>
          <w:p>
            <w:pPr>
              <w:spacing w:after="0" w:line="20" w:lineRule="exact"/>
              <w:rPr>
                <w:sz w:val="1"/>
                <w:szCs w:val="1"/>
                <w:color w:val="auto"/>
              </w:rPr>
            </w:pPr>
          </w:p>
        </w:tc>
        <w:tc>
          <w:tcPr>
            <w:tcW w:w="280" w:type="dxa"/>
            <w:vAlign w:val="bottom"/>
            <w:tcBorders>
              <w:bottom w:val="single" w:sz="8" w:color="3D5588"/>
            </w:tcBorders>
          </w:tcPr>
          <w:p>
            <w:pPr>
              <w:spacing w:after="0" w:line="20" w:lineRule="exact"/>
              <w:rPr>
                <w:sz w:val="1"/>
                <w:szCs w:val="1"/>
                <w:color w:val="auto"/>
              </w:rPr>
            </w:pPr>
          </w:p>
        </w:tc>
        <w:tc>
          <w:tcPr>
            <w:tcW w:w="5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7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560" w:type="dxa"/>
            <w:vAlign w:val="bottom"/>
            <w:tcBorders>
              <w:bottom w:val="single" w:sz="8" w:color="3D5588"/>
            </w:tcBorders>
            <w:gridSpan w:val="4"/>
          </w:tcPr>
          <w:p>
            <w:pPr>
              <w:spacing w:after="0" w:line="20" w:lineRule="exact"/>
              <w:rPr>
                <w:sz w:val="1"/>
                <w:szCs w:val="1"/>
                <w:color w:val="auto"/>
              </w:rPr>
            </w:pPr>
          </w:p>
        </w:tc>
        <w:tc>
          <w:tcPr>
            <w:tcW w:w="760" w:type="dxa"/>
            <w:vAlign w:val="bottom"/>
            <w:tcBorders>
              <w:bottom w:val="single" w:sz="8" w:color="3D5588"/>
            </w:tcBorders>
            <w:gridSpan w:val="3"/>
          </w:tcPr>
          <w:p>
            <w:pPr>
              <w:spacing w:after="0" w:line="20" w:lineRule="exact"/>
              <w:rPr>
                <w:sz w:val="1"/>
                <w:szCs w:val="1"/>
                <w:color w:val="auto"/>
              </w:rPr>
            </w:pPr>
          </w:p>
        </w:tc>
        <w:tc>
          <w:tcPr>
            <w:tcW w:w="56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0" w:type="dxa"/>
            <w:vAlign w:val="bottom"/>
            <w:tcBorders>
              <w:bottom w:val="single" w:sz="8" w:color="3D5588"/>
            </w:tcBorders>
          </w:tcPr>
          <w:p>
            <w:pPr>
              <w:spacing w:after="0" w:line="20" w:lineRule="exact"/>
              <w:rPr>
                <w:sz w:val="1"/>
                <w:szCs w:val="1"/>
                <w:color w:val="auto"/>
              </w:rPr>
            </w:pPr>
          </w:p>
        </w:tc>
        <w:tc>
          <w:tcPr>
            <w:tcW w:w="1000" w:type="dxa"/>
            <w:vAlign w:val="bottom"/>
            <w:tcBorders>
              <w:bottom w:val="single" w:sz="8" w:color="3D5588"/>
            </w:tcBorders>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r>
      <w:tr>
        <w:trPr>
          <w:trHeight w:val="228"/>
        </w:trPr>
        <w:tc>
          <w:tcPr>
            <w:tcW w:w="1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1"/>
                <w:szCs w:val="11"/>
                <w:b w:val="1"/>
                <w:bCs w:val="1"/>
                <w:color w:val="003082"/>
              </w:rPr>
              <w:t>(Unaudited, US$</w:t>
            </w:r>
          </w:p>
        </w:tc>
        <w:tc>
          <w:tcPr>
            <w:tcW w:w="760" w:type="dxa"/>
            <w:vAlign w:val="bottom"/>
            <w:gridSpan w:val="3"/>
          </w:tcPr>
          <w:p>
            <w:pPr>
              <w:jc w:val="right"/>
              <w:ind w:right="60"/>
              <w:spacing w:after="0"/>
              <w:rPr>
                <w:sz w:val="20"/>
                <w:szCs w:val="20"/>
                <w:color w:val="auto"/>
              </w:rPr>
            </w:pPr>
            <w:r>
              <w:rPr>
                <w:rFonts w:ascii="Arial" w:cs="Arial" w:eastAsia="Arial" w:hAnsi="Arial"/>
                <w:sz w:val="11"/>
                <w:szCs w:val="11"/>
                <w:b w:val="1"/>
                <w:bCs w:val="1"/>
                <w:color w:val="003082"/>
                <w:w w:val="85"/>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
        </w:trPr>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70"/>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003082"/>
              </w:rPr>
              <w:t>Net income (loss)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3"/>
                <w:szCs w:val="13"/>
                <w:color w:val="003082"/>
                <w:w w:val="82"/>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(603)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398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1,660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(1,079)</w:t>
            </w:r>
          </w:p>
        </w:tc>
        <w:tc>
          <w:tcPr>
            <w:tcW w:w="600" w:type="dxa"/>
            <w:vAlign w:val="bottom"/>
            <w:gridSpan w:val="3"/>
            <w:shd w:val="clear" w:color="auto" w:fill="CCEEFF"/>
          </w:tcPr>
          <w:p>
            <w:pPr>
              <w:jc w:val="right"/>
              <w:ind w:right="306"/>
              <w:spacing w:after="0"/>
              <w:rPr>
                <w:sz w:val="20"/>
                <w:szCs w:val="20"/>
                <w:color w:val="auto"/>
              </w:rPr>
            </w:pPr>
            <w:r>
              <w:rPr>
                <w:rFonts w:ascii="Arial" w:cs="Arial" w:eastAsia="Arial" w:hAnsi="Arial"/>
                <w:sz w:val="13"/>
                <w:szCs w:val="13"/>
                <w:color w:val="003082"/>
              </w:rPr>
              <w:t>$</w:t>
            </w: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(718)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0030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(2,004)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(1,113)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003082"/>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(2,342)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0030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2,987</w:t>
            </w:r>
          </w:p>
        </w:tc>
      </w:tr>
      <w:tr>
        <w:trPr>
          <w:trHeight w:val="262"/>
        </w:trPr>
        <w:tc>
          <w:tcPr>
            <w:tcW w:w="1820" w:type="dxa"/>
            <w:vAlign w:val="bottom"/>
          </w:tcPr>
          <w:p>
            <w:pPr>
              <w:ind w:left="20"/>
              <w:spacing w:after="0"/>
              <w:rPr>
                <w:sz w:val="20"/>
                <w:szCs w:val="20"/>
                <w:color w:val="auto"/>
              </w:rPr>
            </w:pPr>
            <w:r>
              <w:rPr>
                <w:rFonts w:ascii="Arial" w:cs="Arial" w:eastAsia="Arial" w:hAnsi="Arial"/>
                <w:sz w:val="13"/>
                <w:szCs w:val="13"/>
                <w:color w:val="003082"/>
              </w:rPr>
              <w:t>Excluding:</w:t>
            </w: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003082"/>
              </w:rPr>
              <w:t>Exchange gain (loss)</w:t>
            </w: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003082"/>
              </w:rPr>
              <w:t>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003082"/>
              </w:rPr>
              <w:t>—</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003082"/>
              </w:rPr>
              <w:t>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003082"/>
              </w:rPr>
              <w:t>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(7)</w:t>
            </w: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003082"/>
              </w:rPr>
              <w:t>Interest income</w:t>
            </w:r>
          </w:p>
        </w:tc>
        <w:tc>
          <w:tcPr>
            <w:tcW w:w="28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003082"/>
              </w:rPr>
              <w:t>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003082"/>
              </w:rPr>
              <w:t>92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003082"/>
              </w:rPr>
              <w:t>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3082"/>
              </w:rPr>
              <w:t>23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Arial" w:cs="Arial" w:eastAsia="Arial" w:hAnsi="Arial"/>
                <w:sz w:val="13"/>
                <w:szCs w:val="13"/>
                <w:color w:val="003082"/>
              </w:rPr>
              <w:t>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003082"/>
              </w:rPr>
              <w:t>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003082"/>
              </w:rPr>
              <w:t>262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003082"/>
              </w:rPr>
              <w:t>240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003082"/>
              </w:rPr>
              <w:t>97</w:t>
            </w:r>
          </w:p>
        </w:tc>
      </w:tr>
      <w:tr>
        <w:trPr>
          <w:trHeight w:val="278"/>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003082"/>
              </w:rPr>
              <w:t>Income taxes</w:t>
            </w:r>
          </w:p>
        </w:tc>
        <w:tc>
          <w:tcPr>
            <w:tcW w:w="28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(13)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003082"/>
              </w:rPr>
              <w:t>(190)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003082"/>
              </w:rPr>
              <w:t>(136)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(212)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(369)</w:t>
            </w:r>
          </w:p>
        </w:tc>
      </w:tr>
      <w:tr>
        <w:trPr>
          <w:trHeight w:val="262"/>
        </w:trPr>
        <w:tc>
          <w:tcPr>
            <w:tcW w:w="1820" w:type="dxa"/>
            <w:vAlign w:val="bottom"/>
          </w:tcPr>
          <w:p>
            <w:pPr>
              <w:ind w:left="160"/>
              <w:spacing w:after="0"/>
              <w:rPr>
                <w:sz w:val="20"/>
                <w:szCs w:val="20"/>
                <w:color w:val="auto"/>
              </w:rPr>
            </w:pPr>
            <w:r>
              <w:rPr>
                <w:rFonts w:ascii="Arial" w:cs="Arial" w:eastAsia="Arial" w:hAnsi="Arial"/>
                <w:sz w:val="13"/>
                <w:szCs w:val="13"/>
                <w:color w:val="003082"/>
                <w:w w:val="94"/>
              </w:rPr>
              <w:t>Depreciation and amortization</w:t>
            </w:r>
          </w:p>
        </w:tc>
        <w:tc>
          <w:tcPr>
            <w:tcW w:w="280" w:type="dxa"/>
            <w:vAlign w:val="bottom"/>
          </w:tcPr>
          <w:p>
            <w:pPr>
              <w:spacing w:after="0"/>
              <w:rPr>
                <w:sz w:val="22"/>
                <w:szCs w:val="22"/>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003082"/>
              </w:rPr>
              <w:t>160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003082"/>
              </w:rPr>
              <w:t>190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58"/>
              <w:spacing w:after="0"/>
              <w:rPr>
                <w:sz w:val="20"/>
                <w:szCs w:val="20"/>
                <w:color w:val="auto"/>
              </w:rPr>
            </w:pPr>
            <w:r>
              <w:rPr>
                <w:rFonts w:ascii="Arial" w:cs="Arial" w:eastAsia="Arial" w:hAnsi="Arial"/>
                <w:sz w:val="13"/>
                <w:szCs w:val="13"/>
                <w:color w:val="003082"/>
              </w:rPr>
              <w:t>254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3082"/>
              </w:rPr>
              <w:t>318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jc w:val="right"/>
              <w:ind w:right="58"/>
              <w:spacing w:after="0"/>
              <w:rPr>
                <w:sz w:val="20"/>
                <w:szCs w:val="20"/>
                <w:color w:val="auto"/>
              </w:rPr>
            </w:pPr>
            <w:r>
              <w:rPr>
                <w:rFonts w:ascii="Arial" w:cs="Arial" w:eastAsia="Arial" w:hAnsi="Arial"/>
                <w:sz w:val="13"/>
                <w:szCs w:val="13"/>
                <w:color w:val="003082"/>
              </w:rPr>
              <w:t>342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003082"/>
              </w:rPr>
              <w:t>429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003082"/>
              </w:rPr>
              <w:t>520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ind w:right="38"/>
              <w:spacing w:after="0"/>
              <w:rPr>
                <w:sz w:val="20"/>
                <w:szCs w:val="20"/>
                <w:color w:val="auto"/>
              </w:rPr>
            </w:pPr>
            <w:r>
              <w:rPr>
                <w:rFonts w:ascii="Arial" w:cs="Arial" w:eastAsia="Arial" w:hAnsi="Arial"/>
                <w:sz w:val="13"/>
                <w:szCs w:val="13"/>
                <w:color w:val="003082"/>
              </w:rPr>
              <w:t>577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003082"/>
              </w:rPr>
              <w:t>745</w:t>
            </w:r>
          </w:p>
        </w:tc>
      </w:tr>
      <w:tr>
        <w:trPr>
          <w:trHeight w:val="156"/>
        </w:trPr>
        <w:tc>
          <w:tcPr>
            <w:tcW w:w="1820" w:type="dxa"/>
            <w:vAlign w:val="bottom"/>
            <w:shd w:val="clear" w:color="auto" w:fill="CCEEFF"/>
          </w:tcPr>
          <w:p>
            <w:pPr>
              <w:ind w:left="160"/>
              <w:spacing w:after="0"/>
              <w:rPr>
                <w:sz w:val="20"/>
                <w:szCs w:val="20"/>
                <w:color w:val="auto"/>
              </w:rPr>
            </w:pPr>
            <w:r>
              <w:rPr>
                <w:rFonts w:ascii="Arial" w:cs="Arial" w:eastAsia="Arial" w:hAnsi="Arial"/>
                <w:sz w:val="13"/>
                <w:szCs w:val="13"/>
                <w:color w:val="003082"/>
              </w:rPr>
              <w:t>Share-based compensation</w:t>
            </w: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1820" w:type="dxa"/>
            <w:vAlign w:val="bottom"/>
            <w:shd w:val="clear" w:color="auto" w:fill="CCEEFF"/>
          </w:tcPr>
          <w:p>
            <w:pPr>
              <w:ind w:left="360"/>
              <w:spacing w:after="0"/>
              <w:rPr>
                <w:sz w:val="20"/>
                <w:szCs w:val="20"/>
                <w:color w:val="auto"/>
              </w:rPr>
            </w:pPr>
            <w:r>
              <w:rPr>
                <w:rFonts w:ascii="Arial" w:cs="Arial" w:eastAsia="Arial" w:hAnsi="Arial"/>
                <w:sz w:val="13"/>
                <w:szCs w:val="13"/>
                <w:color w:val="003082"/>
              </w:rPr>
              <w:t>expense</w:t>
            </w:r>
          </w:p>
        </w:tc>
        <w:tc>
          <w:tcPr>
            <w:tcW w:w="280" w:type="dxa"/>
            <w:vAlign w:val="bottom"/>
            <w:tcBorders>
              <w:bottom w:val="single" w:sz="8" w:color="3D5588"/>
            </w:tcBorders>
            <w:shd w:val="clear" w:color="auto" w:fill="CCEEFF"/>
          </w:tcPr>
          <w:p>
            <w:pPr>
              <w:spacing w:after="0"/>
              <w:rPr>
                <w:sz w:val="14"/>
                <w:szCs w:val="14"/>
                <w:color w:val="auto"/>
              </w:rPr>
            </w:pPr>
          </w:p>
        </w:tc>
        <w:tc>
          <w:tcPr>
            <w:tcW w:w="520" w:type="dxa"/>
            <w:vAlign w:val="bottom"/>
            <w:tcBorders>
              <w:bottom w:val="single" w:sz="8" w:color="3D5588"/>
            </w:tcBorders>
            <w:shd w:val="clear" w:color="auto" w:fill="CCEEFF"/>
          </w:tcPr>
          <w:p>
            <w:pPr>
              <w:jc w:val="right"/>
              <w:ind w:right="57"/>
              <w:spacing w:after="0"/>
              <w:rPr>
                <w:sz w:val="20"/>
                <w:szCs w:val="20"/>
                <w:color w:val="auto"/>
              </w:rPr>
            </w:pPr>
            <w:r>
              <w:rPr>
                <w:rFonts w:ascii="Arial" w:cs="Arial" w:eastAsia="Arial" w:hAnsi="Arial"/>
                <w:sz w:val="13"/>
                <w:szCs w:val="13"/>
                <w:color w:val="003082"/>
              </w:rPr>
              <w:t>447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720" w:type="dxa"/>
            <w:vAlign w:val="bottom"/>
            <w:tcBorders>
              <w:bottom w:val="single" w:sz="8" w:color="3D5588"/>
            </w:tcBorders>
            <w:shd w:val="clear" w:color="auto" w:fill="CCEEFF"/>
          </w:tcPr>
          <w:p>
            <w:pPr>
              <w:jc w:val="right"/>
              <w:ind w:right="58"/>
              <w:spacing w:after="0"/>
              <w:rPr>
                <w:sz w:val="20"/>
                <w:szCs w:val="20"/>
                <w:color w:val="auto"/>
              </w:rPr>
            </w:pPr>
            <w:r>
              <w:rPr>
                <w:rFonts w:ascii="Arial" w:cs="Arial" w:eastAsia="Arial" w:hAnsi="Arial"/>
                <w:sz w:val="13"/>
                <w:szCs w:val="13"/>
                <w:color w:val="003082"/>
              </w:rPr>
              <w:t>667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1040" w:type="dxa"/>
            <w:vAlign w:val="bottom"/>
            <w:tcBorders>
              <w:bottom w:val="single" w:sz="8" w:color="3D5588"/>
            </w:tcBorders>
            <w:shd w:val="clear" w:color="auto" w:fill="CCEEFF"/>
          </w:tcPr>
          <w:p>
            <w:pPr>
              <w:jc w:val="right"/>
              <w:ind w:right="58"/>
              <w:spacing w:after="0"/>
              <w:rPr>
                <w:sz w:val="20"/>
                <w:szCs w:val="20"/>
                <w:color w:val="auto"/>
              </w:rPr>
            </w:pPr>
            <w:r>
              <w:rPr>
                <w:rFonts w:ascii="Arial" w:cs="Arial" w:eastAsia="Arial" w:hAnsi="Arial"/>
                <w:sz w:val="13"/>
                <w:szCs w:val="13"/>
                <w:color w:val="003082"/>
              </w:rPr>
              <w:t>914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3D5588"/>
            </w:tcBorders>
            <w:shd w:val="clear" w:color="auto" w:fill="CCEEFF"/>
          </w:tcPr>
          <w:p>
            <w:pPr>
              <w:spacing w:after="0"/>
              <w:rPr>
                <w:sz w:val="14"/>
                <w:szCs w:val="14"/>
                <w:color w:val="auto"/>
              </w:rPr>
            </w:pPr>
          </w:p>
        </w:tc>
        <w:tc>
          <w:tcPr>
            <w:tcW w:w="96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3"/>
                <w:szCs w:val="13"/>
                <w:color w:val="003082"/>
              </w:rPr>
              <w:t>822</w:t>
            </w:r>
          </w:p>
        </w:tc>
        <w:tc>
          <w:tcPr>
            <w:tcW w:w="40" w:type="dxa"/>
            <w:vAlign w:val="bottom"/>
            <w:tcBorders>
              <w:bottom w:val="single" w:sz="8" w:color="3D5588"/>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tcBorders>
              <w:bottom w:val="single" w:sz="8" w:color="3D5588"/>
            </w:tcBorders>
            <w:shd w:val="clear" w:color="auto" w:fill="CCEEFF"/>
          </w:tcPr>
          <w:p>
            <w:pPr>
              <w:spacing w:after="0"/>
              <w:rPr>
                <w:sz w:val="14"/>
                <w:szCs w:val="14"/>
                <w:color w:val="auto"/>
              </w:rPr>
            </w:pPr>
          </w:p>
        </w:tc>
        <w:tc>
          <w:tcPr>
            <w:tcW w:w="440" w:type="dxa"/>
            <w:vAlign w:val="bottom"/>
            <w:tcBorders>
              <w:bottom w:val="single" w:sz="8" w:color="3D5588"/>
            </w:tcBorders>
            <w:shd w:val="clear" w:color="auto" w:fill="CCEEFF"/>
          </w:tcPr>
          <w:p>
            <w:pPr>
              <w:jc w:val="right"/>
              <w:ind w:right="58"/>
              <w:spacing w:after="0"/>
              <w:rPr>
                <w:sz w:val="20"/>
                <w:szCs w:val="20"/>
                <w:color w:val="auto"/>
              </w:rPr>
            </w:pPr>
            <w:r>
              <w:rPr>
                <w:rFonts w:ascii="Arial" w:cs="Arial" w:eastAsia="Arial" w:hAnsi="Arial"/>
                <w:sz w:val="13"/>
                <w:szCs w:val="13"/>
                <w:color w:val="003082"/>
              </w:rPr>
              <w:t>930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3D5588"/>
            </w:tcBorders>
            <w:shd w:val="clear" w:color="auto" w:fill="CCEEFF"/>
          </w:tcPr>
          <w:p>
            <w:pPr>
              <w:spacing w:after="0"/>
              <w:rPr>
                <w:sz w:val="14"/>
                <w:szCs w:val="14"/>
                <w:color w:val="auto"/>
              </w:rPr>
            </w:pPr>
          </w:p>
        </w:tc>
        <w:tc>
          <w:tcPr>
            <w:tcW w:w="560" w:type="dxa"/>
            <w:vAlign w:val="bottom"/>
            <w:tcBorders>
              <w:bottom w:val="single" w:sz="8" w:color="3D5588"/>
            </w:tcBorders>
            <w:shd w:val="clear" w:color="auto" w:fill="CCEEFF"/>
          </w:tcPr>
          <w:p>
            <w:pPr>
              <w:jc w:val="right"/>
              <w:ind w:right="57"/>
              <w:spacing w:after="0"/>
              <w:rPr>
                <w:sz w:val="20"/>
                <w:szCs w:val="20"/>
                <w:color w:val="auto"/>
              </w:rPr>
            </w:pPr>
            <w:r>
              <w:rPr>
                <w:rFonts w:ascii="Arial" w:cs="Arial" w:eastAsia="Arial" w:hAnsi="Arial"/>
                <w:sz w:val="13"/>
                <w:szCs w:val="13"/>
                <w:color w:val="003082"/>
              </w:rPr>
              <w:t>1,656</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1000" w:type="dxa"/>
            <w:vAlign w:val="bottom"/>
            <w:tcBorders>
              <w:bottom w:val="single" w:sz="8" w:color="3D5588"/>
            </w:tcBorders>
            <w:shd w:val="clear" w:color="auto" w:fill="CCEEFF"/>
          </w:tcPr>
          <w:p>
            <w:pPr>
              <w:jc w:val="right"/>
              <w:ind w:right="38"/>
              <w:spacing w:after="0"/>
              <w:rPr>
                <w:sz w:val="20"/>
                <w:szCs w:val="20"/>
                <w:color w:val="auto"/>
              </w:rPr>
            </w:pPr>
            <w:r>
              <w:rPr>
                <w:rFonts w:ascii="Arial" w:cs="Arial" w:eastAsia="Arial" w:hAnsi="Arial"/>
                <w:sz w:val="13"/>
                <w:szCs w:val="13"/>
                <w:color w:val="003082"/>
              </w:rPr>
              <w:t>820</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3D5588"/>
            </w:tcBorders>
            <w:shd w:val="clear" w:color="auto" w:fill="CCEEFF"/>
          </w:tcPr>
          <w:p>
            <w:pPr>
              <w:spacing w:after="0"/>
              <w:rPr>
                <w:sz w:val="14"/>
                <w:szCs w:val="14"/>
                <w:color w:val="auto"/>
              </w:rPr>
            </w:pPr>
          </w:p>
        </w:tc>
        <w:tc>
          <w:tcPr>
            <w:tcW w:w="1000" w:type="dxa"/>
            <w:vAlign w:val="bottom"/>
            <w:tcBorders>
              <w:bottom w:val="single" w:sz="8" w:color="3D5588"/>
            </w:tcBorders>
            <w:shd w:val="clear" w:color="auto" w:fill="CCEEFF"/>
          </w:tcPr>
          <w:p>
            <w:pPr>
              <w:jc w:val="right"/>
              <w:ind w:right="38"/>
              <w:spacing w:after="0"/>
              <w:rPr>
                <w:sz w:val="20"/>
                <w:szCs w:val="20"/>
                <w:color w:val="auto"/>
              </w:rPr>
            </w:pPr>
            <w:r>
              <w:rPr>
                <w:rFonts w:ascii="Arial" w:cs="Arial" w:eastAsia="Arial" w:hAnsi="Arial"/>
                <w:sz w:val="13"/>
                <w:szCs w:val="13"/>
                <w:color w:val="003082"/>
              </w:rPr>
              <w:t>847</w:t>
            </w:r>
          </w:p>
        </w:tc>
        <w:tc>
          <w:tcPr>
            <w:tcW w:w="120" w:type="dxa"/>
            <w:vAlign w:val="bottom"/>
            <w:shd w:val="clear" w:color="auto" w:fill="CCEEFF"/>
          </w:tcPr>
          <w:p>
            <w:pPr>
              <w:spacing w:after="0"/>
              <w:rPr>
                <w:sz w:val="14"/>
                <w:szCs w:val="14"/>
                <w:color w:val="auto"/>
              </w:rPr>
            </w:pPr>
          </w:p>
        </w:tc>
        <w:tc>
          <w:tcPr>
            <w:tcW w:w="220" w:type="dxa"/>
            <w:vAlign w:val="bottom"/>
            <w:tcBorders>
              <w:bottom w:val="single" w:sz="8" w:color="3D5588"/>
            </w:tcBorders>
            <w:shd w:val="clear" w:color="auto" w:fill="CCEEFF"/>
          </w:tcPr>
          <w:p>
            <w:pPr>
              <w:spacing w:after="0"/>
              <w:rPr>
                <w:sz w:val="14"/>
                <w:szCs w:val="14"/>
                <w:color w:val="auto"/>
              </w:rPr>
            </w:pPr>
          </w:p>
        </w:tc>
        <w:tc>
          <w:tcPr>
            <w:tcW w:w="540" w:type="dxa"/>
            <w:vAlign w:val="bottom"/>
            <w:tcBorders>
              <w:bottom w:val="single" w:sz="8" w:color="3D5588"/>
            </w:tcBorders>
            <w:shd w:val="clear" w:color="auto" w:fill="CCEEFF"/>
          </w:tcPr>
          <w:p>
            <w:pPr>
              <w:jc w:val="right"/>
              <w:ind w:right="37"/>
              <w:spacing w:after="0"/>
              <w:rPr>
                <w:sz w:val="20"/>
                <w:szCs w:val="20"/>
                <w:color w:val="auto"/>
              </w:rPr>
            </w:pPr>
            <w:r>
              <w:rPr>
                <w:rFonts w:ascii="Arial" w:cs="Arial" w:eastAsia="Arial" w:hAnsi="Arial"/>
                <w:sz w:val="13"/>
                <w:szCs w:val="13"/>
                <w:color w:val="003082"/>
              </w:rPr>
              <w:t>1,447</w:t>
            </w:r>
          </w:p>
        </w:tc>
      </w:tr>
      <w:tr>
        <w:trPr>
          <w:trHeight w:val="242"/>
        </w:trPr>
        <w:tc>
          <w:tcPr>
            <w:tcW w:w="1820" w:type="dxa"/>
            <w:vAlign w:val="bottom"/>
          </w:tcPr>
          <w:p>
            <w:pPr>
              <w:ind w:left="40"/>
              <w:spacing w:after="0"/>
              <w:rPr>
                <w:sz w:val="20"/>
                <w:szCs w:val="20"/>
                <w:color w:val="auto"/>
              </w:rPr>
            </w:pPr>
            <w:r>
              <w:rPr>
                <w:rFonts w:ascii="Arial" w:cs="Arial" w:eastAsia="Arial" w:hAnsi="Arial"/>
                <w:sz w:val="13"/>
                <w:szCs w:val="13"/>
                <w:color w:val="003082"/>
              </w:rPr>
              <w:t>Adjusted EBITDA</w:t>
            </w:r>
          </w:p>
        </w:tc>
        <w:tc>
          <w:tcPr>
            <w:tcW w:w="280" w:type="dxa"/>
            <w:vAlign w:val="bottom"/>
          </w:tcPr>
          <w:p>
            <w:pPr>
              <w:jc w:val="right"/>
              <w:ind w:right="140"/>
              <w:spacing w:after="0"/>
              <w:rPr>
                <w:sz w:val="20"/>
                <w:szCs w:val="20"/>
                <w:color w:val="auto"/>
              </w:rPr>
            </w:pPr>
            <w:r>
              <w:rPr>
                <w:rFonts w:ascii="Arial" w:cs="Arial" w:eastAsia="Arial" w:hAnsi="Arial"/>
                <w:sz w:val="13"/>
                <w:szCs w:val="13"/>
                <w:color w:val="003082"/>
                <w:w w:val="82"/>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003082"/>
              </w:rPr>
              <w:t>(45)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003082"/>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003082"/>
              </w:rPr>
              <w:t>1,177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003082"/>
              </w:rPr>
              <w:t>$</w:t>
            </w:r>
          </w:p>
        </w:tc>
        <w:tc>
          <w:tcPr>
            <w:tcW w:w="1040" w:type="dxa"/>
            <w:vAlign w:val="bottom"/>
          </w:tcPr>
          <w:p>
            <w:pPr>
              <w:jc w:val="right"/>
              <w:ind w:right="58"/>
              <w:spacing w:after="0"/>
              <w:rPr>
                <w:sz w:val="20"/>
                <w:szCs w:val="20"/>
                <w:color w:val="auto"/>
              </w:rPr>
            </w:pPr>
            <w:r>
              <w:rPr>
                <w:rFonts w:ascii="Arial" w:cs="Arial" w:eastAsia="Arial" w:hAnsi="Arial"/>
                <w:sz w:val="13"/>
                <w:szCs w:val="13"/>
                <w:color w:val="003082"/>
              </w:rPr>
              <w:t>2,815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003082"/>
              </w:rPr>
              <w:t>$</w:t>
            </w:r>
          </w:p>
        </w:tc>
        <w:tc>
          <w:tcPr>
            <w:tcW w:w="960" w:type="dxa"/>
            <w:vAlign w:val="bottom"/>
          </w:tcPr>
          <w:p>
            <w:pPr>
              <w:jc w:val="right"/>
              <w:spacing w:after="0"/>
              <w:rPr>
                <w:sz w:val="20"/>
                <w:szCs w:val="20"/>
                <w:color w:val="auto"/>
              </w:rPr>
            </w:pPr>
            <w:r>
              <w:rPr>
                <w:rFonts w:ascii="Arial" w:cs="Arial" w:eastAsia="Arial" w:hAnsi="Arial"/>
                <w:sz w:val="13"/>
                <w:szCs w:val="13"/>
                <w:color w:val="003082"/>
              </w:rPr>
              <w:t>88</w:t>
            </w:r>
          </w:p>
        </w:tc>
        <w:tc>
          <w:tcPr>
            <w:tcW w:w="600" w:type="dxa"/>
            <w:vAlign w:val="bottom"/>
            <w:gridSpan w:val="3"/>
          </w:tcPr>
          <w:p>
            <w:pPr>
              <w:jc w:val="right"/>
              <w:ind w:right="306"/>
              <w:spacing w:after="0"/>
              <w:rPr>
                <w:sz w:val="20"/>
                <w:szCs w:val="20"/>
                <w:color w:val="auto"/>
              </w:rPr>
            </w:pPr>
            <w:r>
              <w:rPr>
                <w:rFonts w:ascii="Arial" w:cs="Arial" w:eastAsia="Arial" w:hAnsi="Arial"/>
                <w:sz w:val="13"/>
                <w:szCs w:val="13"/>
                <w:color w:val="003082"/>
              </w:rPr>
              <w:t>$</w:t>
            </w:r>
          </w:p>
        </w:tc>
        <w:tc>
          <w:tcPr>
            <w:tcW w:w="440" w:type="dxa"/>
            <w:vAlign w:val="bottom"/>
          </w:tcPr>
          <w:p>
            <w:pPr>
              <w:jc w:val="right"/>
              <w:ind w:right="58"/>
              <w:spacing w:after="0"/>
              <w:rPr>
                <w:sz w:val="20"/>
                <w:szCs w:val="20"/>
                <w:color w:val="auto"/>
              </w:rPr>
            </w:pPr>
            <w:r>
              <w:rPr>
                <w:rFonts w:ascii="Arial" w:cs="Arial" w:eastAsia="Arial" w:hAnsi="Arial"/>
                <w:sz w:val="13"/>
                <w:szCs w:val="13"/>
                <w:color w:val="003082"/>
              </w:rPr>
              <w:t>720</w:t>
            </w:r>
          </w:p>
        </w:tc>
        <w:tc>
          <w:tcPr>
            <w:tcW w:w="100" w:type="dxa"/>
            <w:vAlign w:val="bottom"/>
          </w:tcPr>
          <w:p>
            <w:pPr>
              <w:spacing w:after="0"/>
              <w:rPr>
                <w:sz w:val="21"/>
                <w:szCs w:val="21"/>
                <w:color w:val="auto"/>
              </w:rPr>
            </w:pPr>
          </w:p>
        </w:tc>
        <w:tc>
          <w:tcPr>
            <w:tcW w:w="220" w:type="dxa"/>
            <w:vAlign w:val="bottom"/>
          </w:tcPr>
          <w:p>
            <w:pPr>
              <w:jc w:val="right"/>
              <w:ind w:right="60"/>
              <w:spacing w:after="0"/>
              <w:rPr>
                <w:sz w:val="20"/>
                <w:szCs w:val="20"/>
                <w:color w:val="auto"/>
              </w:rPr>
            </w:pPr>
            <w:r>
              <w:rPr>
                <w:rFonts w:ascii="Arial" w:cs="Arial" w:eastAsia="Arial" w:hAnsi="Arial"/>
                <w:sz w:val="13"/>
                <w:szCs w:val="13"/>
                <w:color w:val="0030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003082"/>
              </w:rPr>
              <w:t>105</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003082"/>
              </w:rPr>
              <w:t>$</w:t>
            </w:r>
          </w:p>
        </w:tc>
        <w:tc>
          <w:tcPr>
            <w:tcW w:w="1000" w:type="dxa"/>
            <w:vAlign w:val="bottom"/>
          </w:tcPr>
          <w:p>
            <w:pPr>
              <w:jc w:val="right"/>
              <w:ind w:right="38"/>
              <w:spacing w:after="0"/>
              <w:rPr>
                <w:sz w:val="20"/>
                <w:szCs w:val="20"/>
                <w:color w:val="auto"/>
              </w:rPr>
            </w:pPr>
            <w:r>
              <w:rPr>
                <w:rFonts w:ascii="Arial" w:cs="Arial" w:eastAsia="Arial" w:hAnsi="Arial"/>
                <w:sz w:val="13"/>
                <w:szCs w:val="13"/>
                <w:color w:val="003082"/>
              </w:rPr>
              <w:t>187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003082"/>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003082"/>
              </w:rPr>
              <w:t>(981)</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0030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003082"/>
              </w:rPr>
              <w:t>5,458</w:t>
            </w:r>
          </w:p>
        </w:tc>
      </w:tr>
      <w:tr>
        <w:trPr>
          <w:trHeight w:val="20"/>
        </w:trPr>
        <w:tc>
          <w:tcPr>
            <w:tcW w:w="1820" w:type="dxa"/>
            <w:vAlign w:val="bottom"/>
          </w:tcPr>
          <w:p>
            <w:pPr>
              <w:spacing w:after="0" w:line="20" w:lineRule="exact"/>
              <w:rPr>
                <w:sz w:val="1"/>
                <w:szCs w:val="1"/>
                <w:color w:val="auto"/>
              </w:rPr>
            </w:pPr>
          </w:p>
        </w:tc>
        <w:tc>
          <w:tcPr>
            <w:tcW w:w="280" w:type="dxa"/>
            <w:vAlign w:val="bottom"/>
            <w:tcBorders>
              <w:top w:val="single" w:sz="8" w:color="3D5588"/>
              <w:bottom w:val="single" w:sz="8" w:color="3D5588"/>
            </w:tcBorders>
          </w:tcPr>
          <w:p>
            <w:pPr>
              <w:spacing w:after="0" w:line="20" w:lineRule="exact"/>
              <w:rPr>
                <w:sz w:val="1"/>
                <w:szCs w:val="1"/>
                <w:color w:val="auto"/>
              </w:rPr>
            </w:pPr>
          </w:p>
        </w:tc>
        <w:tc>
          <w:tcPr>
            <w:tcW w:w="5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7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10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960" w:type="dxa"/>
            <w:vAlign w:val="bottom"/>
            <w:tcBorders>
              <w:top w:val="single" w:sz="8" w:color="3D5588"/>
              <w:bottom w:val="single" w:sz="8" w:color="3D5588"/>
            </w:tcBorders>
          </w:tcPr>
          <w:p>
            <w:pPr>
              <w:spacing w:after="0" w:line="20" w:lineRule="exact"/>
              <w:rPr>
                <w:sz w:val="1"/>
                <w:szCs w:val="1"/>
                <w:color w:val="auto"/>
              </w:rPr>
            </w:pPr>
          </w:p>
        </w:tc>
        <w:tc>
          <w:tcPr>
            <w:tcW w:w="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3D5588"/>
              <w:bottom w:val="single" w:sz="8" w:color="3D5588"/>
            </w:tcBorders>
          </w:tcPr>
          <w:p>
            <w:pPr>
              <w:spacing w:after="0" w:line="20" w:lineRule="exact"/>
              <w:rPr>
                <w:sz w:val="1"/>
                <w:szCs w:val="1"/>
                <w:color w:val="auto"/>
              </w:rPr>
            </w:pPr>
          </w:p>
        </w:tc>
        <w:tc>
          <w:tcPr>
            <w:tcW w:w="4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56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10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3D5588"/>
              <w:bottom w:val="single" w:sz="8" w:color="3D5588"/>
            </w:tcBorders>
          </w:tcPr>
          <w:p>
            <w:pPr>
              <w:spacing w:after="0" w:line="20" w:lineRule="exact"/>
              <w:rPr>
                <w:sz w:val="1"/>
                <w:szCs w:val="1"/>
                <w:color w:val="auto"/>
              </w:rPr>
            </w:pPr>
          </w:p>
        </w:tc>
        <w:tc>
          <w:tcPr>
            <w:tcW w:w="10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540" w:type="dxa"/>
            <w:vAlign w:val="bottom"/>
            <w:tcBorders>
              <w:top w:val="single" w:sz="8" w:color="3D5588"/>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The following table presents a reconciliation of free cash flow to net cash generated from (used in) operating activities, as well as information regarding net cash generated from (used in) investing activities and net cash provided by (used in) financing activities, for each of the periods indicated: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gridSpan w:val="2"/>
          </w:tcPr>
          <w:p>
            <w:pPr>
              <w:jc w:val="right"/>
              <w:ind w:right="17"/>
              <w:spacing w:after="0"/>
              <w:rPr>
                <w:sz w:val="20"/>
                <w:szCs w:val="20"/>
                <w:color w:val="auto"/>
              </w:rPr>
            </w:pPr>
            <w:r>
              <w:rPr>
                <w:rFonts w:ascii="Arial" w:cs="Arial" w:eastAsia="Arial" w:hAnsi="Arial"/>
                <w:sz w:val="11"/>
                <w:szCs w:val="11"/>
                <w:b w:val="1"/>
                <w:bCs w:val="1"/>
                <w:color w:val="003082"/>
                <w:w w:val="91"/>
              </w:rPr>
              <w:t>Three Months Ended</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2"/>
        </w:trPr>
        <w:tc>
          <w:tcPr>
            <w:tcW w:w="1820" w:type="dxa"/>
            <w:vAlign w:val="bottom"/>
          </w:tcPr>
          <w:p>
            <w:pPr>
              <w:spacing w:after="0" w:line="20" w:lineRule="exact"/>
              <w:rPr>
                <w:sz w:val="1"/>
                <w:szCs w:val="1"/>
                <w:color w:val="auto"/>
              </w:rPr>
            </w:pPr>
          </w:p>
        </w:tc>
        <w:tc>
          <w:tcPr>
            <w:tcW w:w="860" w:type="dxa"/>
            <w:vAlign w:val="bottom"/>
            <w:tcBorders>
              <w:bottom w:val="single" w:sz="8" w:color="3D5588"/>
            </w:tcBorders>
            <w:gridSpan w:val="2"/>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1100" w:type="dxa"/>
            <w:vAlign w:val="bottom"/>
            <w:tcBorders>
              <w:bottom w:val="single" w:sz="8" w:color="3D5588"/>
            </w:tcBorders>
            <w:gridSpan w:val="2"/>
          </w:tcPr>
          <w:p>
            <w:pPr>
              <w:spacing w:after="0" w:line="20" w:lineRule="exact"/>
              <w:rPr>
                <w:sz w:val="1"/>
                <w:szCs w:val="1"/>
                <w:color w:val="auto"/>
              </w:rPr>
            </w:pPr>
          </w:p>
        </w:tc>
        <w:tc>
          <w:tcPr>
            <w:tcW w:w="840" w:type="dxa"/>
            <w:vAlign w:val="bottom"/>
            <w:tcBorders>
              <w:bottom w:val="single" w:sz="8" w:color="3D5588"/>
            </w:tcBorders>
            <w:gridSpan w:val="2"/>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840" w:type="dxa"/>
            <w:vAlign w:val="bottom"/>
            <w:tcBorders>
              <w:bottom w:val="single" w:sz="8" w:color="3D5588"/>
            </w:tcBorders>
            <w:gridSpan w:val="2"/>
          </w:tcPr>
          <w:p>
            <w:pPr>
              <w:spacing w:after="0" w:line="20" w:lineRule="exact"/>
              <w:rPr>
                <w:sz w:val="1"/>
                <w:szCs w:val="1"/>
                <w:color w:val="auto"/>
              </w:rPr>
            </w:pPr>
          </w:p>
        </w:tc>
      </w:tr>
      <w:tr>
        <w:trPr>
          <w:trHeight w:val="242"/>
        </w:trPr>
        <w:tc>
          <w:tcPr>
            <w:tcW w:w="1820" w:type="dxa"/>
            <w:vAlign w:val="bottom"/>
          </w:tcPr>
          <w:p>
            <w:pPr>
              <w:spacing w:after="0"/>
              <w:rPr>
                <w:sz w:val="21"/>
                <w:szCs w:val="21"/>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1"/>
                <w:szCs w:val="11"/>
                <w:b w:val="1"/>
                <w:bCs w:val="1"/>
                <w:color w:val="003082"/>
                <w:w w:val="94"/>
              </w:rPr>
              <w:t>March 31, 2018</w:t>
            </w:r>
          </w:p>
        </w:tc>
        <w:tc>
          <w:tcPr>
            <w:tcW w:w="160" w:type="dxa"/>
            <w:vAlign w:val="bottom"/>
          </w:tcPr>
          <w:p>
            <w:pPr>
              <w:spacing w:after="0"/>
              <w:rPr>
                <w:sz w:val="21"/>
                <w:szCs w:val="21"/>
                <w:color w:val="auto"/>
              </w:rPr>
            </w:pPr>
          </w:p>
        </w:tc>
        <w:tc>
          <w:tcPr>
            <w:tcW w:w="760" w:type="dxa"/>
            <w:vAlign w:val="bottom"/>
          </w:tcPr>
          <w:p>
            <w:pPr>
              <w:jc w:val="right"/>
              <w:ind w:right="79"/>
              <w:spacing w:after="0"/>
              <w:rPr>
                <w:sz w:val="20"/>
                <w:szCs w:val="20"/>
                <w:color w:val="auto"/>
              </w:rPr>
            </w:pPr>
            <w:r>
              <w:rPr>
                <w:rFonts w:ascii="Arial" w:cs="Arial" w:eastAsia="Arial" w:hAnsi="Arial"/>
                <w:sz w:val="11"/>
                <w:szCs w:val="11"/>
                <w:b w:val="1"/>
                <w:bCs w:val="1"/>
                <w:color w:val="003082"/>
                <w:w w:val="83"/>
              </w:rPr>
              <w:t>June 30, 2018</w:t>
            </w:r>
          </w:p>
        </w:tc>
        <w:tc>
          <w:tcPr>
            <w:tcW w:w="180" w:type="dxa"/>
            <w:vAlign w:val="bottom"/>
          </w:tcPr>
          <w:p>
            <w:pPr>
              <w:spacing w:after="0"/>
              <w:rPr>
                <w:sz w:val="21"/>
                <w:szCs w:val="21"/>
                <w:color w:val="auto"/>
              </w:rPr>
            </w:pPr>
          </w:p>
        </w:tc>
        <w:tc>
          <w:tcPr>
            <w:tcW w:w="1080" w:type="dxa"/>
            <w:vAlign w:val="bottom"/>
          </w:tcPr>
          <w:p>
            <w:pPr>
              <w:jc w:val="right"/>
              <w:ind w:right="99"/>
              <w:spacing w:after="0"/>
              <w:rPr>
                <w:sz w:val="20"/>
                <w:szCs w:val="20"/>
                <w:color w:val="auto"/>
              </w:rPr>
            </w:pPr>
            <w:r>
              <w:rPr>
                <w:rFonts w:ascii="Arial" w:cs="Arial" w:eastAsia="Arial" w:hAnsi="Arial"/>
                <w:sz w:val="11"/>
                <w:szCs w:val="11"/>
                <w:b w:val="1"/>
                <w:bCs w:val="1"/>
                <w:color w:val="003082"/>
                <w:w w:val="87"/>
              </w:rPr>
              <w:t>September 30, 2018</w:t>
            </w:r>
          </w:p>
        </w:tc>
        <w:tc>
          <w:tcPr>
            <w:tcW w:w="2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1"/>
                <w:szCs w:val="11"/>
                <w:b w:val="1"/>
                <w:bCs w:val="1"/>
                <w:color w:val="003082"/>
                <w:w w:val="86"/>
              </w:rPr>
              <w:t>December 31, 2018</w:t>
            </w:r>
          </w:p>
        </w:tc>
        <w:tc>
          <w:tcPr>
            <w:tcW w:w="1100" w:type="dxa"/>
            <w:vAlign w:val="bottom"/>
            <w:gridSpan w:val="2"/>
          </w:tcPr>
          <w:p>
            <w:pPr>
              <w:jc w:val="right"/>
              <w:ind w:right="77"/>
              <w:spacing w:after="0"/>
              <w:rPr>
                <w:sz w:val="20"/>
                <w:szCs w:val="20"/>
                <w:color w:val="auto"/>
              </w:rPr>
            </w:pPr>
            <w:r>
              <w:rPr>
                <w:rFonts w:ascii="Arial" w:cs="Arial" w:eastAsia="Arial" w:hAnsi="Arial"/>
                <w:sz w:val="11"/>
                <w:szCs w:val="11"/>
                <w:b w:val="1"/>
                <w:bCs w:val="1"/>
                <w:color w:val="003082"/>
              </w:rPr>
              <w:t>March 31, 2019</w:t>
            </w:r>
          </w:p>
        </w:tc>
        <w:tc>
          <w:tcPr>
            <w:tcW w:w="840" w:type="dxa"/>
            <w:vAlign w:val="bottom"/>
            <w:gridSpan w:val="2"/>
          </w:tcPr>
          <w:p>
            <w:pPr>
              <w:jc w:val="right"/>
              <w:ind w:right="37"/>
              <w:spacing w:after="0"/>
              <w:rPr>
                <w:sz w:val="20"/>
                <w:szCs w:val="20"/>
                <w:color w:val="auto"/>
              </w:rPr>
            </w:pPr>
            <w:r>
              <w:rPr>
                <w:rFonts w:ascii="Arial" w:cs="Arial" w:eastAsia="Arial" w:hAnsi="Arial"/>
                <w:sz w:val="11"/>
                <w:szCs w:val="11"/>
                <w:b w:val="1"/>
                <w:bCs w:val="1"/>
                <w:color w:val="003082"/>
              </w:rPr>
              <w:t>June 30, 2019</w:t>
            </w:r>
          </w:p>
        </w:tc>
        <w:tc>
          <w:tcPr>
            <w:tcW w:w="18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1"/>
                <w:szCs w:val="11"/>
                <w:b w:val="1"/>
                <w:bCs w:val="1"/>
                <w:color w:val="003082"/>
                <w:w w:val="85"/>
              </w:rPr>
              <w:t>September 30, 2019</w:t>
            </w:r>
          </w:p>
        </w:tc>
        <w:tc>
          <w:tcPr>
            <w:tcW w:w="18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1"/>
                <w:szCs w:val="11"/>
                <w:b w:val="1"/>
                <w:bCs w:val="1"/>
                <w:color w:val="003082"/>
                <w:w w:val="86"/>
              </w:rPr>
              <w:t>December 31, 2019</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003082"/>
                <w:w w:val="91"/>
              </w:rPr>
              <w:t>March 31, 2020</w:t>
            </w:r>
          </w:p>
        </w:tc>
      </w:tr>
      <w:tr>
        <w:trPr>
          <w:trHeight w:val="22"/>
        </w:trPr>
        <w:tc>
          <w:tcPr>
            <w:tcW w:w="1820" w:type="dxa"/>
            <w:vAlign w:val="bottom"/>
          </w:tcPr>
          <w:p>
            <w:pPr>
              <w:spacing w:after="0" w:line="20" w:lineRule="exact"/>
              <w:rPr>
                <w:sz w:val="1"/>
                <w:szCs w:val="1"/>
                <w:color w:val="auto"/>
              </w:rPr>
            </w:pPr>
          </w:p>
        </w:tc>
        <w:tc>
          <w:tcPr>
            <w:tcW w:w="220" w:type="dxa"/>
            <w:vAlign w:val="bottom"/>
            <w:tcBorders>
              <w:bottom w:val="single" w:sz="8" w:color="3D5588"/>
            </w:tcBorders>
          </w:tcPr>
          <w:p>
            <w:pPr>
              <w:spacing w:after="0" w:line="20" w:lineRule="exact"/>
              <w:rPr>
                <w:sz w:val="1"/>
                <w:szCs w:val="1"/>
                <w:color w:val="auto"/>
              </w:rPr>
            </w:pPr>
          </w:p>
        </w:tc>
        <w:tc>
          <w:tcPr>
            <w:tcW w:w="640" w:type="dxa"/>
            <w:vAlign w:val="bottom"/>
            <w:tcBorders>
              <w:bottom w:val="single" w:sz="8" w:color="3D5588"/>
            </w:tcBorders>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2320" w:type="dxa"/>
            <w:vAlign w:val="bottom"/>
            <w:tcBorders>
              <w:bottom w:val="single" w:sz="8" w:color="3D5588"/>
            </w:tcBorders>
            <w:gridSpan w:val="4"/>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040" w:type="dxa"/>
            <w:vAlign w:val="bottom"/>
            <w:tcBorders>
              <w:bottom w:val="single" w:sz="8" w:color="3D5588"/>
            </w:tcBorders>
          </w:tcPr>
          <w:p>
            <w:pPr>
              <w:spacing w:after="0" w:line="20" w:lineRule="exact"/>
              <w:rPr>
                <w:sz w:val="1"/>
                <w:szCs w:val="1"/>
                <w:color w:val="auto"/>
              </w:rPr>
            </w:pPr>
          </w:p>
        </w:tc>
        <w:tc>
          <w:tcPr>
            <w:tcW w:w="280" w:type="dxa"/>
            <w:vAlign w:val="bottom"/>
            <w:tcBorders>
              <w:bottom w:val="single" w:sz="8" w:color="3D5588"/>
            </w:tcBorders>
          </w:tcPr>
          <w:p>
            <w:pPr>
              <w:spacing w:after="0" w:line="20" w:lineRule="exact"/>
              <w:rPr>
                <w:sz w:val="1"/>
                <w:szCs w:val="1"/>
                <w:color w:val="auto"/>
              </w:rPr>
            </w:pPr>
          </w:p>
        </w:tc>
        <w:tc>
          <w:tcPr>
            <w:tcW w:w="560" w:type="dxa"/>
            <w:vAlign w:val="bottom"/>
            <w:tcBorders>
              <w:bottom w:val="single" w:sz="8" w:color="3D5588"/>
            </w:tcBorders>
          </w:tcPr>
          <w:p>
            <w:pPr>
              <w:spacing w:after="0" w:line="20" w:lineRule="exact"/>
              <w:rPr>
                <w:sz w:val="1"/>
                <w:szCs w:val="1"/>
                <w:color w:val="auto"/>
              </w:rPr>
            </w:pPr>
          </w:p>
        </w:tc>
      </w:tr>
      <w:tr>
        <w:trPr>
          <w:trHeight w:val="228"/>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4"/>
          </w:tcPr>
          <w:p>
            <w:pPr>
              <w:jc w:val="right"/>
              <w:ind w:right="62"/>
              <w:spacing w:after="0"/>
              <w:rPr>
                <w:sz w:val="20"/>
                <w:szCs w:val="20"/>
                <w:color w:val="auto"/>
              </w:rPr>
            </w:pPr>
            <w:r>
              <w:rPr>
                <w:rFonts w:ascii="Arial" w:cs="Arial" w:eastAsia="Arial" w:hAnsi="Arial"/>
                <w:sz w:val="11"/>
                <w:szCs w:val="11"/>
                <w:b w:val="1"/>
                <w:bCs w:val="1"/>
                <w:color w:val="003082"/>
              </w:rPr>
              <w:t>(Unaudited, US$ in thousands)</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8"/>
        </w:trPr>
        <w:tc>
          <w:tcPr>
            <w:tcW w:w="18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003082"/>
                <w:w w:val="89"/>
              </w:rPr>
              <w:t>Net cash generated from (used in)</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76"/>
        </w:trPr>
        <w:tc>
          <w:tcPr>
            <w:tcW w:w="1820" w:type="dxa"/>
            <w:vAlign w:val="bottom"/>
            <w:shd w:val="clear" w:color="auto" w:fill="CCEEFF"/>
          </w:tcPr>
          <w:p>
            <w:pPr>
              <w:ind w:left="200"/>
              <w:spacing w:after="0"/>
              <w:rPr>
                <w:sz w:val="20"/>
                <w:szCs w:val="20"/>
                <w:color w:val="auto"/>
              </w:rPr>
            </w:pPr>
            <w:r>
              <w:rPr>
                <w:rFonts w:ascii="Arial" w:cs="Arial" w:eastAsia="Arial" w:hAnsi="Arial"/>
                <w:sz w:val="13"/>
                <w:szCs w:val="13"/>
                <w:color w:val="003082"/>
              </w:rPr>
              <w:t>operating activities</w:t>
            </w: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003082"/>
                <w:w w:val="82"/>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(1,091)</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003082"/>
              </w:rPr>
              <w:t>(2,404)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003082"/>
              </w:rPr>
              <w:t>1,300</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2,731</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3"/>
                <w:szCs w:val="13"/>
                <w:color w:val="003082"/>
              </w:rPr>
              <w:t>$</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003082"/>
              </w:rPr>
              <w:t>3,619</w:t>
            </w:r>
          </w:p>
        </w:tc>
        <w:tc>
          <w:tcPr>
            <w:tcW w:w="26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003082"/>
              </w:rPr>
              <w:t>$</w:t>
            </w: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(4,935)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003082"/>
              </w:rPr>
              <w:t>(54)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003082"/>
              </w:rPr>
              <w:t>2,077</w:t>
            </w:r>
          </w:p>
        </w:tc>
        <w:tc>
          <w:tcPr>
            <w:tcW w:w="280" w:type="dxa"/>
            <w:vAlign w:val="bottom"/>
            <w:shd w:val="clear" w:color="auto" w:fill="CCEEFF"/>
          </w:tcPr>
          <w:p>
            <w:pPr>
              <w:ind w:left="100"/>
              <w:spacing w:after="0"/>
              <w:rPr>
                <w:sz w:val="20"/>
                <w:szCs w:val="20"/>
                <w:color w:val="auto"/>
              </w:rPr>
            </w:pPr>
            <w:r>
              <w:rPr>
                <w:rFonts w:ascii="Arial" w:cs="Arial" w:eastAsia="Arial" w:hAnsi="Arial"/>
                <w:sz w:val="13"/>
                <w:szCs w:val="13"/>
                <w:color w:val="0030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(919)</w:t>
            </w:r>
          </w:p>
        </w:tc>
      </w:tr>
      <w:tr>
        <w:trPr>
          <w:trHeight w:val="148"/>
        </w:trPr>
        <w:tc>
          <w:tcPr>
            <w:tcW w:w="1820" w:type="dxa"/>
            <w:vAlign w:val="bottom"/>
          </w:tcPr>
          <w:p>
            <w:pPr>
              <w:ind w:left="40"/>
              <w:spacing w:after="0" w:line="148" w:lineRule="exact"/>
              <w:rPr>
                <w:sz w:val="20"/>
                <w:szCs w:val="20"/>
                <w:color w:val="auto"/>
              </w:rPr>
            </w:pPr>
            <w:r>
              <w:rPr>
                <w:rFonts w:ascii="Arial" w:cs="Arial" w:eastAsia="Arial" w:hAnsi="Arial"/>
                <w:sz w:val="13"/>
                <w:szCs w:val="13"/>
                <w:color w:val="003082"/>
              </w:rPr>
              <w:t>Purchases of property and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820" w:type="dxa"/>
            <w:vAlign w:val="bottom"/>
          </w:tcPr>
          <w:p>
            <w:pPr>
              <w:ind w:left="200"/>
              <w:spacing w:after="0"/>
              <w:rPr>
                <w:sz w:val="20"/>
                <w:szCs w:val="20"/>
                <w:color w:val="auto"/>
              </w:rPr>
            </w:pPr>
            <w:r>
              <w:rPr>
                <w:rFonts w:ascii="Arial" w:cs="Arial" w:eastAsia="Arial" w:hAnsi="Arial"/>
                <w:sz w:val="13"/>
                <w:szCs w:val="13"/>
                <w:color w:val="003082"/>
              </w:rPr>
              <w:t>equipment</w:t>
            </w:r>
          </w:p>
        </w:tc>
        <w:tc>
          <w:tcPr>
            <w:tcW w:w="22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003082"/>
              </w:rPr>
              <w:t>(129)</w:t>
            </w:r>
          </w:p>
        </w:tc>
        <w:tc>
          <w:tcPr>
            <w:tcW w:w="16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003082"/>
              </w:rPr>
              <w:t>(629)</w:t>
            </w:r>
          </w:p>
        </w:tc>
        <w:tc>
          <w:tcPr>
            <w:tcW w:w="18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003082"/>
              </w:rPr>
              <w:t>(1,075)</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3082"/>
              </w:rPr>
              <w:t>(429)</w:t>
            </w:r>
          </w:p>
        </w:tc>
        <w:tc>
          <w:tcPr>
            <w:tcW w:w="4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003082"/>
              </w:rPr>
              <w:t>(764)</w:t>
            </w:r>
          </w:p>
        </w:tc>
        <w:tc>
          <w:tcPr>
            <w:tcW w:w="26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003082"/>
              </w:rPr>
              <w:t>(1,645)</w:t>
            </w:r>
          </w:p>
        </w:tc>
        <w:tc>
          <w:tcPr>
            <w:tcW w:w="18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003082"/>
              </w:rPr>
              <w:t>(1,213)</w:t>
            </w:r>
          </w:p>
        </w:tc>
        <w:tc>
          <w:tcPr>
            <w:tcW w:w="18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003082"/>
              </w:rPr>
              <w:t>(1,180)</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003082"/>
              </w:rPr>
              <w:t>(2,496)</w:t>
            </w:r>
          </w:p>
        </w:tc>
      </w:tr>
      <w:tr>
        <w:trPr>
          <w:trHeight w:val="278"/>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003082"/>
              </w:rPr>
              <w:t>Free cash flow</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(1,220)</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003082"/>
              </w:rPr>
              <w:t>(3,033)</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003082"/>
              </w:rPr>
              <w:t>225</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2,303</w:t>
            </w:r>
          </w:p>
        </w:tc>
        <w:tc>
          <w:tcPr>
            <w:tcW w:w="4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003082"/>
              </w:rPr>
              <w:t>2,855</w:t>
            </w: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(6,581)</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003082"/>
              </w:rPr>
              <w:t>(1,267)</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003082"/>
              </w:rPr>
              <w:t>897</w:t>
            </w:r>
          </w:p>
        </w:tc>
        <w:tc>
          <w:tcPr>
            <w:tcW w:w="2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(3,416)</w:t>
            </w:r>
          </w:p>
        </w:tc>
      </w:tr>
      <w:tr>
        <w:trPr>
          <w:trHeight w:val="148"/>
        </w:trPr>
        <w:tc>
          <w:tcPr>
            <w:tcW w:w="1820" w:type="dxa"/>
            <w:vAlign w:val="bottom"/>
          </w:tcPr>
          <w:p>
            <w:pPr>
              <w:ind w:left="40"/>
              <w:spacing w:after="0" w:line="148" w:lineRule="exact"/>
              <w:rPr>
                <w:sz w:val="20"/>
                <w:szCs w:val="20"/>
                <w:color w:val="auto"/>
              </w:rPr>
            </w:pPr>
            <w:r>
              <w:rPr>
                <w:rFonts w:ascii="Arial" w:cs="Arial" w:eastAsia="Arial" w:hAnsi="Arial"/>
                <w:sz w:val="13"/>
                <w:szCs w:val="13"/>
                <w:color w:val="003082"/>
                <w:w w:val="89"/>
              </w:rPr>
              <w:t>Net cash generated from (used in)</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820" w:type="dxa"/>
            <w:vAlign w:val="bottom"/>
          </w:tcPr>
          <w:p>
            <w:pPr>
              <w:ind w:left="200"/>
              <w:spacing w:after="0"/>
              <w:rPr>
                <w:sz w:val="20"/>
                <w:szCs w:val="20"/>
                <w:color w:val="auto"/>
              </w:rPr>
            </w:pPr>
            <w:r>
              <w:rPr>
                <w:rFonts w:ascii="Arial" w:cs="Arial" w:eastAsia="Arial" w:hAnsi="Arial"/>
                <w:sz w:val="13"/>
                <w:szCs w:val="13"/>
                <w:color w:val="003082"/>
              </w:rPr>
              <w:t>investing activities</w:t>
            </w:r>
            <w:r>
              <w:rPr>
                <w:rFonts w:ascii="Arial" w:cs="Arial" w:eastAsia="Arial" w:hAnsi="Arial"/>
                <w:sz w:val="8"/>
                <w:szCs w:val="8"/>
                <w:color w:val="003082"/>
              </w:rPr>
              <w:t>(1)</w:t>
            </w:r>
          </w:p>
        </w:tc>
        <w:tc>
          <w:tcPr>
            <w:tcW w:w="22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color w:val="003082"/>
              </w:rPr>
              <w:t>(129)</w:t>
            </w:r>
          </w:p>
        </w:tc>
        <w:tc>
          <w:tcPr>
            <w:tcW w:w="160" w:type="dxa"/>
            <w:vAlign w:val="bottom"/>
          </w:tcPr>
          <w:p>
            <w:pPr>
              <w:spacing w:after="0"/>
              <w:rPr>
                <w:sz w:val="14"/>
                <w:szCs w:val="14"/>
                <w:color w:val="auto"/>
              </w:rPr>
            </w:pPr>
          </w:p>
        </w:tc>
        <w:tc>
          <w:tcPr>
            <w:tcW w:w="760" w:type="dxa"/>
            <w:vAlign w:val="bottom"/>
          </w:tcPr>
          <w:p>
            <w:pPr>
              <w:jc w:val="right"/>
              <w:ind w:right="59"/>
              <w:spacing w:after="0"/>
              <w:rPr>
                <w:sz w:val="20"/>
                <w:szCs w:val="20"/>
                <w:color w:val="auto"/>
              </w:rPr>
            </w:pPr>
            <w:r>
              <w:rPr>
                <w:rFonts w:ascii="Arial" w:cs="Arial" w:eastAsia="Arial" w:hAnsi="Arial"/>
                <w:sz w:val="13"/>
                <w:szCs w:val="13"/>
                <w:color w:val="003082"/>
              </w:rPr>
              <w:t>(629)</w:t>
            </w:r>
          </w:p>
        </w:tc>
        <w:tc>
          <w:tcPr>
            <w:tcW w:w="18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Arial" w:cs="Arial" w:eastAsia="Arial" w:hAnsi="Arial"/>
                <w:sz w:val="13"/>
                <w:szCs w:val="13"/>
                <w:color w:val="003082"/>
              </w:rPr>
              <w:t>(1,075)</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003082"/>
              </w:rPr>
              <w:t>(1,941)</w:t>
            </w:r>
          </w:p>
        </w:tc>
        <w:tc>
          <w:tcPr>
            <w:tcW w:w="4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003082"/>
              </w:rPr>
              <w:t>(5,951)</w:t>
            </w:r>
          </w:p>
        </w:tc>
        <w:tc>
          <w:tcPr>
            <w:tcW w:w="26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3"/>
                <w:szCs w:val="13"/>
                <w:color w:val="003082"/>
              </w:rPr>
              <w:t>2,024</w:t>
            </w:r>
          </w:p>
        </w:tc>
        <w:tc>
          <w:tcPr>
            <w:tcW w:w="18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003082"/>
              </w:rPr>
              <w:t>(2,644)</w:t>
            </w:r>
          </w:p>
        </w:tc>
        <w:tc>
          <w:tcPr>
            <w:tcW w:w="180" w:type="dxa"/>
            <w:vAlign w:val="bottom"/>
          </w:tcPr>
          <w:p>
            <w:pPr>
              <w:spacing w:after="0"/>
              <w:rPr>
                <w:sz w:val="14"/>
                <w:szCs w:val="14"/>
                <w:color w:val="auto"/>
              </w:rPr>
            </w:pPr>
          </w:p>
        </w:tc>
        <w:tc>
          <w:tcPr>
            <w:tcW w:w="1040" w:type="dxa"/>
            <w:vAlign w:val="bottom"/>
          </w:tcPr>
          <w:p>
            <w:pPr>
              <w:jc w:val="right"/>
              <w:ind w:right="79"/>
              <w:spacing w:after="0"/>
              <w:rPr>
                <w:sz w:val="20"/>
                <w:szCs w:val="20"/>
                <w:color w:val="auto"/>
              </w:rPr>
            </w:pPr>
            <w:r>
              <w:rPr>
                <w:rFonts w:ascii="Arial" w:cs="Arial" w:eastAsia="Arial" w:hAnsi="Arial"/>
                <w:sz w:val="13"/>
                <w:szCs w:val="13"/>
                <w:color w:val="003082"/>
              </w:rPr>
              <w:t>3,219</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003082"/>
              </w:rPr>
              <w:t>(2,496)</w:t>
            </w:r>
          </w:p>
        </w:tc>
      </w:tr>
      <w:tr>
        <w:trPr>
          <w:trHeight w:val="156"/>
        </w:trPr>
        <w:tc>
          <w:tcPr>
            <w:tcW w:w="1820" w:type="dxa"/>
            <w:vAlign w:val="bottom"/>
            <w:shd w:val="clear" w:color="auto" w:fill="CCEEFF"/>
          </w:tcPr>
          <w:p>
            <w:pPr>
              <w:ind w:left="40"/>
              <w:spacing w:after="0"/>
              <w:rPr>
                <w:sz w:val="20"/>
                <w:szCs w:val="20"/>
                <w:color w:val="auto"/>
              </w:rPr>
            </w:pPr>
            <w:r>
              <w:rPr>
                <w:rFonts w:ascii="Arial" w:cs="Arial" w:eastAsia="Arial" w:hAnsi="Arial"/>
                <w:sz w:val="13"/>
                <w:szCs w:val="13"/>
                <w:color w:val="003082"/>
                <w:w w:val="99"/>
              </w:rPr>
              <w:t>Net cash provided by (used in)</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r>
      <w:tr>
        <w:trPr>
          <w:trHeight w:val="176"/>
        </w:trPr>
        <w:tc>
          <w:tcPr>
            <w:tcW w:w="1820" w:type="dxa"/>
            <w:vAlign w:val="bottom"/>
            <w:shd w:val="clear" w:color="auto" w:fill="CCEEFF"/>
          </w:tcPr>
          <w:p>
            <w:pPr>
              <w:ind w:left="200"/>
              <w:spacing w:after="0"/>
              <w:rPr>
                <w:sz w:val="20"/>
                <w:szCs w:val="20"/>
                <w:color w:val="auto"/>
              </w:rPr>
            </w:pPr>
            <w:r>
              <w:rPr>
                <w:rFonts w:ascii="Arial" w:cs="Arial" w:eastAsia="Arial" w:hAnsi="Arial"/>
                <w:sz w:val="13"/>
                <w:szCs w:val="13"/>
                <w:color w:val="003082"/>
              </w:rPr>
              <w:t>financing activities</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(785)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003082"/>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3"/>
                <w:szCs w:val="13"/>
                <w:color w:val="003082"/>
              </w:rPr>
              <w:t>—</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003082"/>
              </w:rPr>
              <w:t>66,557</w:t>
            </w: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003082"/>
              </w:rPr>
              <w:t>—</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003082"/>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003082"/>
              </w:rPr>
              <w:t>—</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003082"/>
              </w:rPr>
              <w:t>—</w:t>
            </w: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003082"/>
              </w:rPr>
              <w:t>49,769</w:t>
            </w:r>
          </w:p>
        </w:tc>
      </w:tr>
    </w:tbl>
    <w:p>
      <w:pPr>
        <w:spacing w:after="0"/>
        <w:rPr>
          <w:sz w:val="20"/>
          <w:szCs w:val="20"/>
          <w:color w:val="auto"/>
        </w:rPr>
      </w:pPr>
      <w:r>
        <w:rPr>
          <w:rFonts w:ascii="Arial" w:cs="Arial" w:eastAsia="Arial" w:hAnsi="Arial"/>
          <w:sz w:val="16"/>
          <w:szCs w:val="16"/>
          <w:color w:val="003082"/>
        </w:rPr>
        <w:t>________________</w:t>
      </w:r>
    </w:p>
    <w:p>
      <w:pPr>
        <w:spacing w:after="0" w:line="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5"/>
          <w:szCs w:val="15"/>
          <w:color w:val="003082"/>
        </w:rPr>
      </w:pPr>
      <w:r>
        <w:rPr>
          <w:rFonts w:ascii="Arial" w:cs="Arial" w:eastAsia="Arial" w:hAnsi="Arial"/>
          <w:sz w:val="15"/>
          <w:szCs w:val="15"/>
          <w:color w:val="003082"/>
        </w:rPr>
        <w:t>Net cash used in investing activities includes payments for purchases of property and equipment, which is also included in our calculation of free cash flow.</w:t>
      </w:r>
    </w:p>
    <w:p>
      <w:pPr>
        <w:spacing w:after="0" w:line="268" w:lineRule="exact"/>
        <w:rPr>
          <w:rFonts w:ascii="Arial" w:cs="Arial" w:eastAsia="Arial" w:hAnsi="Arial"/>
          <w:sz w:val="15"/>
          <w:szCs w:val="15"/>
          <w:color w:val="003082"/>
        </w:rPr>
      </w:pPr>
    </w:p>
    <w:p>
      <w:pPr>
        <w:ind w:left="340"/>
        <w:spacing w:after="0"/>
        <w:rPr>
          <w:rFonts w:ascii="Arial" w:cs="Arial" w:eastAsia="Arial" w:hAnsi="Arial"/>
          <w:sz w:val="15"/>
          <w:szCs w:val="15"/>
          <w:color w:val="003082"/>
        </w:rPr>
      </w:pPr>
      <w:r>
        <w:rPr>
          <w:rFonts w:ascii="Arial" w:cs="Arial" w:eastAsia="Arial" w:hAnsi="Arial"/>
          <w:sz w:val="18"/>
          <w:szCs w:val="18"/>
          <w:b w:val="1"/>
          <w:bCs w:val="1"/>
          <w:i w:val="1"/>
          <w:iCs w:val="1"/>
          <w:color w:val="003082"/>
        </w:rPr>
        <w:t>Seasonality and Quarterly Trends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particularly in the first quarter of 2020 due to the impact of COVID-19, but its impact on revenue may be more pronounced in future periods.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During the first quarter of 2020 we experienced significant usage and revenue growth, as people spent more time learning, gaming and otherwise interacting online due to work, school, travel and other restrictions as a result of the COVID-19 pandemic. This dynamic was particularly pronounced in China, our largest market and one that was impacted by government-imposed restrictions designed to slow the outbreak for a significant portion of the quarter. In the second quarter of 2020, we have continued to observe higher usage than the same period in the prior year; however, the pace of usage growth has moderated sequentially, as restrictions in China have been eased. We also observed increases in numbers of developers and active applications. While we may continue to observe increases in usage and developer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100</w:t>
      </w:r>
    </w:p>
    <w:p>
      <w:pPr>
        <w:sectPr>
          <w:pgSz w:w="11900" w:h="16838" w:orient="portrait"/>
          <w:cols w:equalWidth="0" w:num="1">
            <w:col w:w="11240"/>
          </w:cols>
          <w:pgMar w:left="320" w:top="341" w:right="339" w:bottom="1440" w:gutter="0" w:footer="0" w:header="0"/>
        </w:sectPr>
      </w:pPr>
    </w:p>
    <w:bookmarkStart w:id="105" w:name="page106"/>
    <w:bookmarkEnd w:id="105"/>
    <w:p>
      <w:pPr>
        <w:jc w:val="both"/>
        <w:spacing w:after="0" w:line="277" w:lineRule="auto"/>
        <w:rPr>
          <w:sz w:val="20"/>
          <w:szCs w:val="20"/>
          <w:color w:val="auto"/>
        </w:rPr>
      </w:pPr>
      <w:r>
        <w:rPr>
          <w:rFonts w:ascii="Arial" w:cs="Arial" w:eastAsia="Arial" w:hAnsi="Arial"/>
          <w:sz w:val="18"/>
          <w:szCs w:val="18"/>
          <w:color w:val="003082"/>
        </w:rPr>
        <w:t>adoption of our products to meet end-user demand for RTE, we do not anticipate that we will experience the same level of revenue growth we did in the first quarter of 2020.</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During the fourth quarter of 2019 gross margin declined 3.0 percentage points on a sequential basis because of the increase in depreciation as we purchased servers and other hardware ahead of expected customer demand, and because we offered attractive pricing to drive greater adoption and usage of our products. In the first quarter of 2020, our gross margin benefited from a trend of shifting towards higher resolution video products. On the other hand, the increased online activity generated higher demand for bandwidth and servers in general, which led to increases in their prices, which offset the shift towards higher priced products and resulted in gross margin that was more in line with the recent historical trends.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Operating expenses have increased in absolute dollars as we have grown our business, while varying as a percentage of total revenue. We intend to continue to make investments to support future growth, particularly in research and development; however, over the longer term we expect operating expenses to decline as a percentage of revenue as we benefit from scale.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Our research and development expenses increased sequentially in each quarter in absolute dollars, as we continued to build our team and invest in technology.</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In the first quarter of 2020, sales and marketing expenses as a percentage of total revenue decreased as our revenue increased significantly due to the higher demand for online engagement resulting from the COVID-19 outbreak and, to a lesser degree, as a result of reduced expenses for offline marketing.</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the fourth quarter of 2019, general and administrative expenses increased as a percentage of total revenue as we prepared to become a public company. In the first quarter of 2020, general and administrative expenses decreased as a percentage of revenue as the benefit of scale more than offset increased costs related to becoming a public company.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tables show our cash and short-term investments, accounts receivable and working capital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4"/>
          </w:tcPr>
          <w:p>
            <w:pPr>
              <w:ind w:left="680"/>
              <w:spacing w:after="0"/>
              <w:rPr>
                <w:sz w:val="20"/>
                <w:szCs w:val="20"/>
                <w:color w:val="auto"/>
              </w:rPr>
            </w:pPr>
            <w:r>
              <w:rPr>
                <w:rFonts w:ascii="Arial" w:cs="Arial" w:eastAsia="Arial" w:hAnsi="Arial"/>
                <w:sz w:val="14"/>
                <w:szCs w:val="14"/>
                <w:b w:val="1"/>
                <w:bCs w:val="1"/>
                <w:color w:val="003082"/>
              </w:rPr>
              <w:t>As of December 31,</w:t>
            </w:r>
          </w:p>
        </w:tc>
        <w:tc>
          <w:tcPr>
            <w:tcW w:w="200" w:type="dxa"/>
            <w:vAlign w:val="bottom"/>
          </w:tcPr>
          <w:p>
            <w:pPr>
              <w:spacing w:after="0"/>
              <w:rPr>
                <w:sz w:val="16"/>
                <w:szCs w:val="16"/>
                <w:color w:val="auto"/>
              </w:rPr>
            </w:pPr>
          </w:p>
        </w:tc>
        <w:tc>
          <w:tcPr>
            <w:tcW w:w="1360" w:type="dxa"/>
            <w:vAlign w:val="bottom"/>
          </w:tcPr>
          <w:p>
            <w:pPr>
              <w:jc w:val="right"/>
              <w:ind w:right="216"/>
              <w:spacing w:after="0"/>
              <w:rPr>
                <w:sz w:val="20"/>
                <w:szCs w:val="20"/>
                <w:color w:val="auto"/>
              </w:rPr>
            </w:pPr>
            <w:r>
              <w:rPr>
                <w:rFonts w:ascii="Arial" w:cs="Arial" w:eastAsia="Arial" w:hAnsi="Arial"/>
                <w:sz w:val="14"/>
                <w:szCs w:val="14"/>
                <w:b w:val="1"/>
                <w:bCs w:val="1"/>
                <w:color w:val="003082"/>
              </w:rPr>
              <w:t>As of March 31,</w:t>
            </w:r>
          </w:p>
        </w:tc>
      </w:tr>
      <w:tr>
        <w:trPr>
          <w:trHeight w:val="264"/>
        </w:trPr>
        <w:tc>
          <w:tcPr>
            <w:tcW w:w="6300" w:type="dxa"/>
            <w:vAlign w:val="bottom"/>
          </w:tcPr>
          <w:p>
            <w:pPr>
              <w:spacing w:after="0"/>
              <w:rPr>
                <w:sz w:val="22"/>
                <w:szCs w:val="22"/>
                <w:color w:val="auto"/>
              </w:rPr>
            </w:pPr>
          </w:p>
        </w:tc>
        <w:tc>
          <w:tcPr>
            <w:tcW w:w="380" w:type="dxa"/>
            <w:vAlign w:val="bottom"/>
            <w:tcBorders>
              <w:top w:val="single" w:sz="8" w:color="3D5588"/>
              <w:bottom w:val="single" w:sz="8" w:color="3D5588"/>
            </w:tcBorders>
          </w:tcPr>
          <w:p>
            <w:pPr>
              <w:spacing w:after="0"/>
              <w:rPr>
                <w:sz w:val="22"/>
                <w:szCs w:val="22"/>
                <w:color w:val="auto"/>
              </w:rPr>
            </w:pPr>
          </w:p>
        </w:tc>
        <w:tc>
          <w:tcPr>
            <w:tcW w:w="1220" w:type="dxa"/>
            <w:vAlign w:val="bottom"/>
            <w:tcBorders>
              <w:top w:val="single" w:sz="8" w:color="3D5588"/>
              <w:bottom w:val="single" w:sz="8" w:color="3D5588"/>
            </w:tcBorders>
          </w:tcPr>
          <w:p>
            <w:pPr>
              <w:jc w:val="right"/>
              <w:ind w:right="576"/>
              <w:spacing w:after="0"/>
              <w:rPr>
                <w:sz w:val="20"/>
                <w:szCs w:val="20"/>
                <w:color w:val="auto"/>
              </w:rPr>
            </w:pPr>
            <w:r>
              <w:rPr>
                <w:rFonts w:ascii="Arial" w:cs="Arial" w:eastAsia="Arial" w:hAnsi="Arial"/>
                <w:sz w:val="14"/>
                <w:szCs w:val="14"/>
                <w:b w:val="1"/>
                <w:bCs w:val="1"/>
                <w:color w:val="003082"/>
              </w:rPr>
              <w:t>2018</w:t>
            </w:r>
          </w:p>
        </w:tc>
        <w:tc>
          <w:tcPr>
            <w:tcW w:w="620" w:type="dxa"/>
            <w:vAlign w:val="bottom"/>
            <w:tcBorders>
              <w:top w:val="single" w:sz="8" w:color="3D5588"/>
              <w:bottom w:val="single" w:sz="8" w:color="3D5588"/>
            </w:tcBorders>
          </w:tcPr>
          <w:p>
            <w:pPr>
              <w:spacing w:after="0"/>
              <w:rPr>
                <w:sz w:val="22"/>
                <w:szCs w:val="22"/>
                <w:color w:val="auto"/>
              </w:rPr>
            </w:pPr>
          </w:p>
        </w:tc>
        <w:tc>
          <w:tcPr>
            <w:tcW w:w="1040" w:type="dxa"/>
            <w:vAlign w:val="bottom"/>
            <w:tcBorders>
              <w:top w:val="single" w:sz="8" w:color="3D5588"/>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200" w:type="dxa"/>
            <w:vAlign w:val="bottom"/>
            <w:tcBorders>
              <w:top w:val="single" w:sz="8" w:color="3D5588"/>
              <w:bottom w:val="single" w:sz="8" w:color="3D5588"/>
            </w:tcBorders>
          </w:tcPr>
          <w:p>
            <w:pPr>
              <w:spacing w:after="0"/>
              <w:rPr>
                <w:sz w:val="22"/>
                <w:szCs w:val="22"/>
                <w:color w:val="auto"/>
              </w:rPr>
            </w:pPr>
          </w:p>
        </w:tc>
        <w:tc>
          <w:tcPr>
            <w:tcW w:w="1360" w:type="dxa"/>
            <w:vAlign w:val="bottom"/>
            <w:tcBorders>
              <w:top w:val="single" w:sz="8" w:color="3D5588"/>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rPr>
              <w:t>2020</w:t>
            </w:r>
          </w:p>
        </w:tc>
      </w:tr>
      <w:tr>
        <w:trPr>
          <w:trHeight w:val="190"/>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003082"/>
              </w:rPr>
              <w:t>(US$</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003082"/>
              </w:rPr>
              <w:t>in thousands)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6"/>
        </w:trPr>
        <w:tc>
          <w:tcPr>
            <w:tcW w:w="6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60" w:type="dxa"/>
            <w:vAlign w:val="bottom"/>
          </w:tcPr>
          <w:p>
            <w:pPr>
              <w:spacing w:after="0"/>
              <w:rPr>
                <w:sz w:val="5"/>
                <w:szCs w:val="5"/>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003082"/>
              </w:rPr>
              <w:t>108,518</w:t>
            </w:r>
          </w:p>
        </w:tc>
        <w:tc>
          <w:tcPr>
            <w:tcW w:w="62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color w:val="003082"/>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105,603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151,653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Short-term investments</w:t>
            </w:r>
          </w:p>
        </w:tc>
        <w:tc>
          <w:tcPr>
            <w:tcW w:w="380" w:type="dxa"/>
            <w:vAlign w:val="bottom"/>
          </w:tcPr>
          <w:p>
            <w:pPr>
              <w:spacing w:after="0"/>
              <w:rPr>
                <w:sz w:val="21"/>
                <w:szCs w:val="21"/>
                <w:color w:val="auto"/>
              </w:rPr>
            </w:pPr>
          </w:p>
        </w:tc>
        <w:tc>
          <w:tcPr>
            <w:tcW w:w="1220" w:type="dxa"/>
            <w:vAlign w:val="bottom"/>
          </w:tcPr>
          <w:p>
            <w:pPr>
              <w:jc w:val="right"/>
              <w:ind w:right="36"/>
              <w:spacing w:after="0"/>
              <w:rPr>
                <w:sz w:val="20"/>
                <w:szCs w:val="20"/>
                <w:color w:val="auto"/>
              </w:rPr>
            </w:pPr>
            <w:r>
              <w:rPr>
                <w:rFonts w:ascii="Arial" w:cs="Arial" w:eastAsia="Arial" w:hAnsi="Arial"/>
                <w:sz w:val="18"/>
                <w:szCs w:val="18"/>
                <w:color w:val="003082"/>
              </w:rPr>
              <w:t>1,457</w:t>
            </w:r>
          </w:p>
        </w:tc>
        <w:tc>
          <w:tcPr>
            <w:tcW w:w="6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003082"/>
              </w:rPr>
              <w:t>—</w:t>
            </w: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003082"/>
              </w:rPr>
              <w:t>11,659</w:t>
            </w:r>
          </w:p>
        </w:tc>
        <w:tc>
          <w:tcPr>
            <w:tcW w:w="6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16,248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31,240</w:t>
            </w:r>
          </w:p>
        </w:tc>
      </w:tr>
      <w:tr>
        <w:trPr>
          <w:trHeight w:val="260"/>
        </w:trPr>
        <w:tc>
          <w:tcPr>
            <w:tcW w:w="6300" w:type="dxa"/>
            <w:vAlign w:val="bottom"/>
          </w:tcPr>
          <w:p>
            <w:pPr>
              <w:ind w:left="40"/>
              <w:spacing w:after="0" w:line="260" w:lineRule="exact"/>
              <w:rPr>
                <w:sz w:val="20"/>
                <w:szCs w:val="20"/>
                <w:color w:val="auto"/>
              </w:rPr>
            </w:pPr>
            <w:r>
              <w:rPr>
                <w:rFonts w:ascii="Arial" w:cs="Arial" w:eastAsia="Arial" w:hAnsi="Arial"/>
                <w:sz w:val="18"/>
                <w:szCs w:val="18"/>
                <w:color w:val="003082"/>
              </w:rPr>
              <w:t>Working capital</w:t>
            </w:r>
            <w:r>
              <w:rPr>
                <w:rFonts w:ascii="Arial" w:cs="Arial" w:eastAsia="Arial" w:hAnsi="Arial"/>
                <w:sz w:val="25"/>
                <w:szCs w:val="25"/>
                <w:color w:val="003082"/>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ind w:right="36"/>
              <w:spacing w:after="0"/>
              <w:rPr>
                <w:sz w:val="20"/>
                <w:szCs w:val="20"/>
                <w:color w:val="auto"/>
              </w:rPr>
            </w:pPr>
            <w:r>
              <w:rPr>
                <w:rFonts w:ascii="Arial" w:cs="Arial" w:eastAsia="Arial" w:hAnsi="Arial"/>
                <w:sz w:val="18"/>
                <w:szCs w:val="18"/>
                <w:color w:val="003082"/>
              </w:rPr>
              <w:t>111,948</w:t>
            </w:r>
          </w:p>
        </w:tc>
        <w:tc>
          <w:tcPr>
            <w:tcW w:w="620" w:type="dxa"/>
            <w:vAlign w:val="bottom"/>
          </w:tcPr>
          <w:p>
            <w:pPr>
              <w:jc w:val="right"/>
              <w:ind w:right="316"/>
              <w:spacing w:after="0"/>
              <w:rPr>
                <w:sz w:val="20"/>
                <w:szCs w:val="20"/>
                <w:color w:val="auto"/>
              </w:rPr>
            </w:pPr>
            <w:r>
              <w:rPr>
                <w:rFonts w:ascii="Arial" w:cs="Arial" w:eastAsia="Arial" w:hAnsi="Arial"/>
                <w:sz w:val="18"/>
                <w:szCs w:val="18"/>
                <w:color w:val="003082"/>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003082"/>
              </w:rPr>
              <w:t>104,750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003082"/>
              </w:rPr>
              <w:t>155,851</w:t>
            </w: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003082"/>
              </w:rPr>
              <w:t>________________</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6"/>
        </w:trPr>
        <w:tc>
          <w:tcPr>
            <w:tcW w:w="6300" w:type="dxa"/>
            <w:vAlign w:val="bottom"/>
          </w:tcPr>
          <w:p>
            <w:pPr>
              <w:spacing w:after="0"/>
              <w:rPr>
                <w:sz w:val="20"/>
                <w:szCs w:val="20"/>
                <w:color w:val="auto"/>
              </w:rPr>
            </w:pPr>
            <w:r>
              <w:rPr>
                <w:rFonts w:ascii="Arial" w:cs="Arial" w:eastAsia="Arial" w:hAnsi="Arial"/>
                <w:sz w:val="16"/>
                <w:szCs w:val="16"/>
                <w:color w:val="003082"/>
              </w:rPr>
              <w:t>(1)  Working capital is defined as current assets less current liabilities.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r>
    </w:tbl>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As of March 31, 2020, our cash include cash and time deposits which have original maturities of three months or less at the time of purchase and which were held for working capital purposes. We intend to increase our capital expenditures to support the growth in our business and operations. We believe that our existing cash and cash equivalents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of this prospectus captioned “Risk Factors.” We may not be able to secure additional financing to meet our operating requirements on acceptable terms, or at all.</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101</w:t>
      </w:r>
    </w:p>
    <w:p>
      <w:pPr>
        <w:sectPr>
          <w:pgSz w:w="11900" w:h="16838" w:orient="portrait"/>
          <w:cols w:equalWidth="0" w:num="1">
            <w:col w:w="11240"/>
          </w:cols>
          <w:pgMar w:left="320" w:top="341" w:right="339" w:bottom="1440" w:gutter="0" w:footer="0" w:header="0"/>
        </w:sectPr>
      </w:pPr>
    </w:p>
    <w:bookmarkStart w:id="106" w:name="page107"/>
    <w:bookmarkEnd w:id="106"/>
    <w:p>
      <w:pPr>
        <w:ind w:left="340"/>
        <w:spacing w:after="0"/>
        <w:rPr>
          <w:sz w:val="20"/>
          <w:szCs w:val="20"/>
          <w:color w:val="auto"/>
        </w:rPr>
      </w:pPr>
      <w:r>
        <w:rPr>
          <w:rFonts w:ascii="Arial" w:cs="Arial" w:eastAsia="Arial" w:hAnsi="Arial"/>
          <w:sz w:val="18"/>
          <w:szCs w:val="18"/>
          <w:b w:val="1"/>
          <w:bCs w:val="1"/>
          <w:i w:val="1"/>
          <w:iCs w:val="1"/>
          <w:color w:val="003082"/>
        </w:rPr>
        <w:t>Sources of Liquidity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Since our inception, we have financed our operations and capital expenditures primarily through cash flows generated by operations and private sales of equity securities. From our inception in 2013 through March 31, 2020, we have raised US$170.4 million of equity capital, net of share and option repurchases, in connection with such financings.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Historical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2100" w:type="dxa"/>
            <w:vAlign w:val="bottom"/>
            <w:tcBorders>
              <w:bottom w:val="single" w:sz="8" w:color="3D5588"/>
            </w:tcBorders>
            <w:gridSpan w:val="2"/>
          </w:tcPr>
          <w:p>
            <w:pPr>
              <w:jc w:val="right"/>
              <w:ind w:right="36"/>
              <w:spacing w:after="0"/>
              <w:rPr>
                <w:sz w:val="20"/>
                <w:szCs w:val="20"/>
                <w:color w:val="auto"/>
              </w:rPr>
            </w:pPr>
            <w:r>
              <w:rPr>
                <w:rFonts w:ascii="Arial" w:cs="Arial" w:eastAsia="Arial" w:hAnsi="Arial"/>
                <w:sz w:val="14"/>
                <w:szCs w:val="14"/>
                <w:b w:val="1"/>
                <w:bCs w:val="1"/>
                <w:color w:val="003082"/>
              </w:rPr>
              <w:t>Year Ended December 31,</w:t>
            </w:r>
          </w:p>
        </w:tc>
        <w:tc>
          <w:tcPr>
            <w:tcW w:w="580" w:type="dxa"/>
            <w:vAlign w:val="bottom"/>
            <w:tcBorders>
              <w:bottom w:val="single" w:sz="8" w:color="3D5588"/>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3D5588"/>
            </w:tcBorders>
          </w:tcPr>
          <w:p>
            <w:pPr>
              <w:spacing w:after="0"/>
              <w:rPr>
                <w:sz w:val="16"/>
                <w:szCs w:val="16"/>
                <w:color w:val="auto"/>
              </w:rPr>
            </w:pPr>
          </w:p>
        </w:tc>
        <w:tc>
          <w:tcPr>
            <w:tcW w:w="2480" w:type="dxa"/>
            <w:vAlign w:val="bottom"/>
            <w:tcBorders>
              <w:bottom w:val="single" w:sz="8" w:color="3D5588"/>
            </w:tcBorders>
            <w:gridSpan w:val="3"/>
          </w:tcPr>
          <w:p>
            <w:pPr>
              <w:jc w:val="right"/>
              <w:ind w:right="434"/>
              <w:spacing w:after="0"/>
              <w:rPr>
                <w:sz w:val="20"/>
                <w:szCs w:val="20"/>
                <w:color w:val="auto"/>
              </w:rPr>
            </w:pPr>
            <w:r>
              <w:rPr>
                <w:rFonts w:ascii="Arial" w:cs="Arial" w:eastAsia="Arial" w:hAnsi="Arial"/>
                <w:sz w:val="14"/>
                <w:szCs w:val="14"/>
                <w:b w:val="1"/>
                <w:bCs w:val="1"/>
                <w:color w:val="003082"/>
                <w:w w:val="93"/>
              </w:rPr>
              <w:t>Three Months Ended March 31,</w:t>
            </w:r>
          </w:p>
        </w:tc>
      </w:tr>
      <w:tr>
        <w:trPr>
          <w:trHeight w:val="264"/>
        </w:trPr>
        <w:tc>
          <w:tcPr>
            <w:tcW w:w="5080" w:type="dxa"/>
            <w:vAlign w:val="bottom"/>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160" w:type="dxa"/>
            <w:vAlign w:val="bottom"/>
            <w:tcBorders>
              <w:bottom w:val="single" w:sz="8" w:color="3D5588"/>
            </w:tcBorders>
          </w:tcPr>
          <w:p>
            <w:pPr>
              <w:jc w:val="right"/>
              <w:ind w:right="536"/>
              <w:spacing w:after="0"/>
              <w:rPr>
                <w:sz w:val="20"/>
                <w:szCs w:val="20"/>
                <w:color w:val="auto"/>
              </w:rPr>
            </w:pPr>
            <w:r>
              <w:rPr>
                <w:rFonts w:ascii="Arial" w:cs="Arial" w:eastAsia="Arial" w:hAnsi="Arial"/>
                <w:sz w:val="14"/>
                <w:szCs w:val="14"/>
                <w:b w:val="1"/>
                <w:bCs w:val="1"/>
                <w:color w:val="003082"/>
              </w:rPr>
              <w:t>2018</w:t>
            </w:r>
          </w:p>
        </w:tc>
        <w:tc>
          <w:tcPr>
            <w:tcW w:w="94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2019</w:t>
            </w:r>
          </w:p>
        </w:tc>
        <w:tc>
          <w:tcPr>
            <w:tcW w:w="580" w:type="dxa"/>
            <w:vAlign w:val="bottom"/>
            <w:tcBorders>
              <w:bottom w:val="single" w:sz="8" w:color="3D5588"/>
            </w:tcBorders>
          </w:tcPr>
          <w:p>
            <w:pPr>
              <w:spacing w:after="0"/>
              <w:rPr>
                <w:sz w:val="22"/>
                <w:szCs w:val="22"/>
                <w:color w:val="auto"/>
              </w:rPr>
            </w:pPr>
          </w:p>
        </w:tc>
        <w:tc>
          <w:tcPr>
            <w:tcW w:w="120" w:type="dxa"/>
            <w:vAlign w:val="bottom"/>
            <w:tcBorders>
              <w:bottom w:val="single" w:sz="8" w:color="3D5588"/>
            </w:tcBorders>
          </w:tcPr>
          <w:p>
            <w:pPr>
              <w:spacing w:after="0"/>
              <w:rPr>
                <w:sz w:val="22"/>
                <w:szCs w:val="22"/>
                <w:color w:val="auto"/>
              </w:rPr>
            </w:pPr>
          </w:p>
        </w:tc>
        <w:tc>
          <w:tcPr>
            <w:tcW w:w="540" w:type="dxa"/>
            <w:vAlign w:val="bottom"/>
            <w:tcBorders>
              <w:bottom w:val="single" w:sz="8" w:color="3D5588"/>
            </w:tcBorders>
          </w:tcPr>
          <w:p>
            <w:pPr>
              <w:spacing w:after="0"/>
              <w:rPr>
                <w:sz w:val="22"/>
                <w:szCs w:val="22"/>
                <w:color w:val="auto"/>
              </w:rPr>
            </w:pPr>
          </w:p>
        </w:tc>
        <w:tc>
          <w:tcPr>
            <w:tcW w:w="960" w:type="dxa"/>
            <w:vAlign w:val="bottom"/>
            <w:tcBorders>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w w:val="96"/>
              </w:rPr>
              <w:t>2019</w:t>
            </w:r>
          </w:p>
        </w:tc>
        <w:tc>
          <w:tcPr>
            <w:tcW w:w="420" w:type="dxa"/>
            <w:vAlign w:val="bottom"/>
            <w:tcBorders>
              <w:bottom w:val="single" w:sz="8" w:color="3D5588"/>
            </w:tcBorders>
          </w:tcPr>
          <w:p>
            <w:pPr>
              <w:spacing w:after="0"/>
              <w:rPr>
                <w:sz w:val="22"/>
                <w:szCs w:val="22"/>
                <w:color w:val="auto"/>
              </w:rPr>
            </w:pPr>
          </w:p>
        </w:tc>
        <w:tc>
          <w:tcPr>
            <w:tcW w:w="1100" w:type="dxa"/>
            <w:vAlign w:val="bottom"/>
            <w:tcBorders>
              <w:bottom w:val="single" w:sz="8" w:color="3D5588"/>
            </w:tcBorders>
          </w:tcPr>
          <w:p>
            <w:pPr>
              <w:jc w:val="right"/>
              <w:ind w:right="494"/>
              <w:spacing w:after="0"/>
              <w:rPr>
                <w:sz w:val="20"/>
                <w:szCs w:val="20"/>
                <w:color w:val="auto"/>
              </w:rPr>
            </w:pPr>
            <w:r>
              <w:rPr>
                <w:rFonts w:ascii="Arial" w:cs="Arial" w:eastAsia="Arial" w:hAnsi="Arial"/>
                <w:sz w:val="14"/>
                <w:szCs w:val="14"/>
                <w:b w:val="1"/>
                <w:bCs w:val="1"/>
                <w:color w:val="003082"/>
              </w:rPr>
              <w:t>2020</w:t>
            </w:r>
          </w:p>
        </w:tc>
      </w:t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003082"/>
                <w:w w:val="95"/>
              </w:rPr>
              <w:t>(US$ in thousands)</w:t>
            </w: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66"/>
        </w:trPr>
        <w:tc>
          <w:tcPr>
            <w:tcW w:w="50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generated from (used in)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79"/>
              </w:rPr>
              <w:t>$</w:t>
            </w: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003082"/>
              </w:rPr>
              <w:t>536</w:t>
            </w:r>
          </w:p>
        </w:tc>
        <w:tc>
          <w:tcPr>
            <w:tcW w:w="94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003082"/>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003082"/>
                <w:w w:val="99"/>
              </w:rPr>
              <w:t>$</w:t>
            </w: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003082"/>
              </w:rPr>
              <w:t>3,619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(919)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003082"/>
              </w:rPr>
              <w:t>Net cash used in investing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03082"/>
              </w:rPr>
              <w:t>(3,773)</w:t>
            </w: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03082"/>
                <w:w w:val="91"/>
              </w:rPr>
              <w:t>(3,353)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003082"/>
              </w:rPr>
              <w:t>(5,951)</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003082"/>
              </w:rPr>
              <w:t>(2,496)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003082"/>
              </w:rPr>
              <w:t>65,772</w:t>
            </w:r>
          </w:p>
        </w:tc>
        <w:tc>
          <w:tcPr>
            <w:tcW w:w="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003082"/>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49,769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003082"/>
                <w:w w:val="90"/>
              </w:rPr>
              <w:t>Net increase (decrease) in cash, cash equivalents and restricted cash</w:t>
            </w:r>
          </w:p>
        </w:tc>
        <w:tc>
          <w:tcPr>
            <w:tcW w:w="340" w:type="dxa"/>
            <w:vAlign w:val="bottom"/>
          </w:tcPr>
          <w:p>
            <w:pPr>
              <w:jc w:val="right"/>
              <w:ind w:right="150"/>
              <w:spacing w:after="0"/>
              <w:rPr>
                <w:sz w:val="20"/>
                <w:szCs w:val="20"/>
                <w:color w:val="auto"/>
              </w:rPr>
            </w:pPr>
            <w:r>
              <w:rPr>
                <w:rFonts w:ascii="Arial" w:cs="Arial" w:eastAsia="Arial" w:hAnsi="Arial"/>
                <w:sz w:val="18"/>
                <w:szCs w:val="18"/>
                <w:color w:val="003082"/>
                <w:w w:val="79"/>
              </w:rPr>
              <w:t>$</w:t>
            </w:r>
          </w:p>
        </w:tc>
        <w:tc>
          <w:tcPr>
            <w:tcW w:w="1160" w:type="dxa"/>
            <w:vAlign w:val="bottom"/>
          </w:tcPr>
          <w:p>
            <w:pPr>
              <w:jc w:val="right"/>
              <w:ind w:right="56"/>
              <w:spacing w:after="0"/>
              <w:rPr>
                <w:sz w:val="20"/>
                <w:szCs w:val="20"/>
                <w:color w:val="auto"/>
              </w:rPr>
            </w:pPr>
            <w:r>
              <w:rPr>
                <w:rFonts w:ascii="Arial" w:cs="Arial" w:eastAsia="Arial" w:hAnsi="Arial"/>
                <w:sz w:val="18"/>
                <w:szCs w:val="18"/>
                <w:color w:val="003082"/>
              </w:rPr>
              <w:t>61,979</w:t>
            </w:r>
          </w:p>
        </w:tc>
        <w:tc>
          <w:tcPr>
            <w:tcW w:w="940" w:type="dxa"/>
            <w:vAlign w:val="bottom"/>
          </w:tcPr>
          <w:p>
            <w:pPr>
              <w:jc w:val="right"/>
              <w:ind w:right="676"/>
              <w:spacing w:after="0"/>
              <w:rPr>
                <w:sz w:val="20"/>
                <w:szCs w:val="20"/>
                <w:color w:val="auto"/>
              </w:rPr>
            </w:pPr>
            <w:r>
              <w:rPr>
                <w:rFonts w:ascii="Arial" w:cs="Arial" w:eastAsia="Arial" w:hAnsi="Arial"/>
                <w:sz w:val="18"/>
                <w:szCs w:val="18"/>
                <w:color w:val="003082"/>
              </w:rPr>
              <w:t>$</w:t>
            </w:r>
          </w:p>
        </w:tc>
        <w:tc>
          <w:tcPr>
            <w:tcW w:w="580" w:type="dxa"/>
            <w:vAlign w:val="bottom"/>
          </w:tcPr>
          <w:p>
            <w:pPr>
              <w:jc w:val="right"/>
              <w:spacing w:after="0"/>
              <w:rPr>
                <w:sz w:val="20"/>
                <w:szCs w:val="20"/>
                <w:color w:val="auto"/>
              </w:rPr>
            </w:pPr>
            <w:r>
              <w:rPr>
                <w:rFonts w:ascii="Arial" w:cs="Arial" w:eastAsia="Arial" w:hAnsi="Arial"/>
                <w:sz w:val="18"/>
                <w:szCs w:val="18"/>
                <w:color w:val="003082"/>
                <w:w w:val="91"/>
              </w:rPr>
              <w:t>(2,915)</w:t>
            </w:r>
          </w:p>
        </w:tc>
        <w:tc>
          <w:tcPr>
            <w:tcW w:w="12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003082"/>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003082"/>
              </w:rPr>
              <w:t>(2,139)</w:t>
            </w:r>
          </w:p>
        </w:tc>
        <w:tc>
          <w:tcPr>
            <w:tcW w:w="420" w:type="dxa"/>
            <w:vAlign w:val="bottom"/>
          </w:tcPr>
          <w:p>
            <w:pPr>
              <w:jc w:val="right"/>
              <w:ind w:right="150"/>
              <w:spacing w:after="0"/>
              <w:rPr>
                <w:sz w:val="20"/>
                <w:szCs w:val="20"/>
                <w:color w:val="auto"/>
              </w:rPr>
            </w:pPr>
            <w:r>
              <w:rPr>
                <w:rFonts w:ascii="Arial" w:cs="Arial" w:eastAsia="Arial" w:hAnsi="Arial"/>
                <w:sz w:val="18"/>
                <w:szCs w:val="18"/>
                <w:color w:val="003082"/>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003082"/>
              </w:rPr>
              <w:t>46,050</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Net Cash Generated from (Used in) Operating Activities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Net cash used in operating activities was US$0.9 million in the three months ended March 31, 2020, as a result of net income of US$3.0 million, US$6.6 million increase in accrued expenses and other current liabilities, mainly due to an increase in accrued employee wages and benefits expense, a US$4.8 million increase in accounts payable, US$1.4 million in share-based compensation expense, and US$0.7 million in depreciation and amortization, which was more than offset by a US$15.4 million increase in accounts receivable that primarily resulted from the significant increase in total revenues in February and March 2020 due to the impact of the COVID-19 outbreak, and per our standard credit policy the majority of such revenues were not due for payment as of March 31, 2020. Net cash used in operating activities was also impacted by a US$2.2 million increase in prepayments and other current assets.</w:t>
      </w:r>
    </w:p>
    <w:p>
      <w:pPr>
        <w:spacing w:after="0" w:line="1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Net cash generated from operating activities was US$3.7 million in the three months ended March 31, 2019, as a result of net loss of US$0.7 million, which was offset by a US$1.2 million increase in accounts payable, a US$1.1 million decrease in accounts receivable, US$0.9 million in share-based compensation expense, a US$0.5 million increase in accrued expenses and other current liabilities and US$0.3 million in depreciation and amortization.</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Net cash generated from operating activities was US$0.7 million in 2019, as a result of net loss of US$6.2 million and a US$4.8 million increase in accounts receivable, which primarily resulted from the growth of our business and the timing of cash receipts from customers. This was partially offset by a US$4.0 million increase in accrued expenses and other current liabilities, mainly due to an increase in accrued employee wages and benefits expense, US$3.4 million in share-based compensation expense, US$1.9 million in depreciation and amortization, a US$1.2 million increase in taxes payable and a US$1.1 million increase in accounts payable.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Net cash generated from operating activities was US$0.5 million in 2018, as a result of net income of US$0.4 million, a US$5.6 million increase in accounts receivable, which primarily resulted from the growth of our business and the timing of cash receipts from customers, and a US$1.1 million decrease in taxes payable. This was partially offset by a US$2.7 million increase in accrued expenses and other current liabilities, mainly due to an increase in accrued employee wages and benefits expense, US$2.9 million in share-based compensation expense, US$0.9 million in depreciation and amortization and a US$0.8 million increase in accounts payable.</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Net Cash Used in 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Our primary investing activities have consisted of purchases of property and equipment to support our overall business growth. Purchases of servers, network equipment and other hardware may vary from period-to-period due to timing of our expansion of our operations.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102</w:t>
      </w:r>
    </w:p>
    <w:p>
      <w:pPr>
        <w:sectPr>
          <w:pgSz w:w="11900" w:h="16838" w:orient="portrait"/>
          <w:cols w:equalWidth="0" w:num="1">
            <w:col w:w="11240"/>
          </w:cols>
          <w:pgMar w:left="320" w:top="449" w:right="339" w:bottom="1440" w:gutter="0" w:footer="0" w:header="0"/>
        </w:sectPr>
      </w:pPr>
    </w:p>
    <w:bookmarkStart w:id="107" w:name="page108"/>
    <w:bookmarkEnd w:id="107"/>
    <w:p>
      <w:pPr>
        <w:jc w:val="both"/>
        <w:ind w:firstLine="324"/>
        <w:spacing w:after="0" w:line="277" w:lineRule="auto"/>
        <w:rPr>
          <w:sz w:val="20"/>
          <w:szCs w:val="20"/>
          <w:color w:val="auto"/>
        </w:rPr>
      </w:pPr>
      <w:r>
        <w:rPr>
          <w:rFonts w:ascii="Arial" w:cs="Arial" w:eastAsia="Arial" w:hAnsi="Arial"/>
          <w:sz w:val="18"/>
          <w:szCs w:val="18"/>
          <w:color w:val="003082"/>
        </w:rPr>
        <w:t>Net cash used in investing activities was US$2.5 million in the three months ended March 31, 2020, due to capital expenditures relating to purchase of servers, network equipment and other hardware.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Net cash used in investing activities was US$6.0 million in the three months ended March 31, 2019. This was attributable to US$5.2 million used to purchase short-term investments net of sales and US$0.8 million of capital expenditures relating to purchase of servers, network equipment and other hardware.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Net cash used in investing activities was US$3.4 million in 2019. This was attributable to US$4.8 million capital expenditures relating to purchase of servers, network equipment and other hardware, offset in part by US$1.4 million in proceeds from the sale and maturity from short-term investments net of purchases.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Net cash used in investing activities was US$3.8 million in 2018, primarily attributable to US$2.3 million in capital expenditures relating to purchases of servers, network equipment and other hardware and the remainder from purchases of short-term investments.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Net Cash Provided by Financing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Net cash provided by financing activities was US$49.8 million in the three months ended March 31, 2020, primarily due to the issuance of Series C+ preferred shares.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did not have any cash flows from financing activities in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Net cash provided by financing activities was US$65.8 million in 2018, mainly due to the sale of Series C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Off-Balance Sheet Arrangements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Our future minimum payments under non-cancelable contracts were as follows as of March 31, 2020: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020" w:type="dxa"/>
            <w:vAlign w:val="bottom"/>
            <w:tcBorders>
              <w:bottom w:val="single" w:sz="8" w:color="3D5588"/>
            </w:tcBorders>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24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spacing w:after="0"/>
              <w:rPr>
                <w:sz w:val="16"/>
                <w:szCs w:val="16"/>
                <w:color w:val="auto"/>
              </w:rPr>
            </w:pPr>
          </w:p>
        </w:tc>
        <w:tc>
          <w:tcPr>
            <w:tcW w:w="1580" w:type="dxa"/>
            <w:vAlign w:val="bottom"/>
            <w:tcBorders>
              <w:bottom w:val="single" w:sz="8" w:color="3D5588"/>
            </w:tcBorders>
            <w:gridSpan w:val="4"/>
          </w:tcPr>
          <w:p>
            <w:pPr>
              <w:jc w:val="center"/>
              <w:spacing w:after="0"/>
              <w:rPr>
                <w:sz w:val="20"/>
                <w:szCs w:val="20"/>
                <w:color w:val="auto"/>
              </w:rPr>
            </w:pPr>
            <w:r>
              <w:rPr>
                <w:rFonts w:ascii="Arial" w:cs="Arial" w:eastAsia="Arial" w:hAnsi="Arial"/>
                <w:sz w:val="14"/>
                <w:szCs w:val="14"/>
                <w:b w:val="1"/>
                <w:bCs w:val="1"/>
                <w:color w:val="003082"/>
                <w:w w:val="92"/>
              </w:rPr>
              <w:t>Payments Due by Period</w:t>
            </w:r>
          </w:p>
        </w:tc>
        <w:tc>
          <w:tcPr>
            <w:tcW w:w="220" w:type="dxa"/>
            <w:vAlign w:val="bottom"/>
            <w:tcBorders>
              <w:bottom w:val="single" w:sz="8" w:color="3D5588"/>
            </w:tcBorders>
          </w:tcPr>
          <w:p>
            <w:pPr>
              <w:spacing w:after="0"/>
              <w:rPr>
                <w:sz w:val="16"/>
                <w:szCs w:val="16"/>
                <w:color w:val="auto"/>
              </w:rPr>
            </w:pPr>
          </w:p>
        </w:tc>
        <w:tc>
          <w:tcPr>
            <w:tcW w:w="1120" w:type="dxa"/>
            <w:vAlign w:val="bottom"/>
            <w:tcBorders>
              <w:bottom w:val="single" w:sz="8" w:color="3D5588"/>
            </w:tcBorders>
          </w:tcPr>
          <w:p>
            <w:pPr>
              <w:spacing w:after="0"/>
              <w:rPr>
                <w:sz w:val="16"/>
                <w:szCs w:val="16"/>
                <w:color w:val="auto"/>
              </w:rPr>
            </w:pPr>
          </w:p>
        </w:tc>
        <w:tc>
          <w:tcPr>
            <w:tcW w:w="100" w:type="dxa"/>
            <w:vAlign w:val="bottom"/>
            <w:tcBorders>
              <w:bottom w:val="single" w:sz="8" w:color="3D5588"/>
            </w:tcBorders>
          </w:tcPr>
          <w:p>
            <w:pPr>
              <w:spacing w:after="0"/>
              <w:rPr>
                <w:sz w:val="16"/>
                <w:szCs w:val="16"/>
                <w:color w:val="auto"/>
              </w:rPr>
            </w:pPr>
          </w:p>
        </w:tc>
        <w:tc>
          <w:tcPr>
            <w:tcW w:w="240" w:type="dxa"/>
            <w:vAlign w:val="bottom"/>
            <w:tcBorders>
              <w:bottom w:val="single" w:sz="8" w:color="3D5588"/>
            </w:tcBorders>
          </w:tcPr>
          <w:p>
            <w:pPr>
              <w:spacing w:after="0"/>
              <w:rPr>
                <w:sz w:val="16"/>
                <w:szCs w:val="16"/>
                <w:color w:val="auto"/>
              </w:rPr>
            </w:pPr>
          </w:p>
        </w:tc>
        <w:tc>
          <w:tcPr>
            <w:tcW w:w="112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003082"/>
              </w:rPr>
              <w:t>Total</w:t>
            </w:r>
          </w:p>
        </w:tc>
        <w:tc>
          <w:tcPr>
            <w:tcW w:w="240" w:type="dxa"/>
            <w:vAlign w:val="bottom"/>
          </w:tcPr>
          <w:p>
            <w:pPr>
              <w:spacing w:after="0"/>
              <w:rPr>
                <w:sz w:val="13"/>
                <w:szCs w:val="13"/>
                <w:color w:val="auto"/>
              </w:rPr>
            </w:pPr>
          </w:p>
        </w:tc>
        <w:tc>
          <w:tcPr>
            <w:tcW w:w="110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003082"/>
              </w:rPr>
              <w:t>Less Than</w:t>
            </w:r>
          </w:p>
        </w:tc>
        <w:tc>
          <w:tcPr>
            <w:tcW w:w="120" w:type="dxa"/>
            <w:vAlign w:val="bottom"/>
          </w:tcPr>
          <w:p>
            <w:pPr>
              <w:spacing w:after="0"/>
              <w:rPr>
                <w:sz w:val="13"/>
                <w:szCs w:val="13"/>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003082"/>
                <w:w w:val="94"/>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003082"/>
              </w:rPr>
              <w:t>3 - 5 Years</w:t>
            </w:r>
          </w:p>
        </w:tc>
        <w:tc>
          <w:tcPr>
            <w:tcW w:w="240" w:type="dxa"/>
            <w:vAlign w:val="bottom"/>
          </w:tcPr>
          <w:p>
            <w:pPr>
              <w:spacing w:after="0"/>
              <w:rPr>
                <w:sz w:val="13"/>
                <w:szCs w:val="13"/>
                <w:color w:val="auto"/>
              </w:rPr>
            </w:pPr>
          </w:p>
        </w:tc>
        <w:tc>
          <w:tcPr>
            <w:tcW w:w="112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003082"/>
                <w:w w:val="98"/>
              </w:rPr>
              <w:t>More Than</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320" w:type="dxa"/>
            <w:vAlign w:val="bottom"/>
            <w:tcBorders>
              <w:bottom w:val="single" w:sz="8" w:color="3D5588"/>
            </w:tcBorders>
          </w:tcPr>
          <w:p>
            <w:pPr>
              <w:spacing w:after="0"/>
              <w:rPr>
                <w:sz w:val="16"/>
                <w:szCs w:val="16"/>
                <w:color w:val="auto"/>
              </w:rPr>
            </w:pPr>
          </w:p>
        </w:tc>
        <w:tc>
          <w:tcPr>
            <w:tcW w:w="1140" w:type="dxa"/>
            <w:vAlign w:val="bottom"/>
            <w:tcBorders>
              <w:bottom w:val="single" w:sz="8" w:color="3D5588"/>
            </w:tcBorders>
            <w:gridSpan w:val="2"/>
            <w:vMerge w:val="continue"/>
          </w:tcPr>
          <w:p>
            <w:pPr>
              <w:spacing w:after="0"/>
              <w:rPr>
                <w:sz w:val="16"/>
                <w:szCs w:val="16"/>
                <w:color w:val="auto"/>
              </w:rPr>
            </w:pPr>
          </w:p>
        </w:tc>
        <w:tc>
          <w:tcPr>
            <w:tcW w:w="240" w:type="dxa"/>
            <w:vAlign w:val="bottom"/>
            <w:tcBorders>
              <w:bottom w:val="single" w:sz="8" w:color="3D5588"/>
            </w:tcBorders>
          </w:tcPr>
          <w:p>
            <w:pPr>
              <w:spacing w:after="0"/>
              <w:rPr>
                <w:sz w:val="16"/>
                <w:szCs w:val="16"/>
                <w:color w:val="auto"/>
              </w:rPr>
            </w:pPr>
          </w:p>
        </w:tc>
        <w:tc>
          <w:tcPr>
            <w:tcW w:w="1100" w:type="dxa"/>
            <w:vAlign w:val="bottom"/>
            <w:tcBorders>
              <w:bottom w:val="single" w:sz="8" w:color="3D5588"/>
            </w:tcBorders>
          </w:tcPr>
          <w:p>
            <w:pPr>
              <w:jc w:val="right"/>
              <w:ind w:right="397"/>
              <w:spacing w:after="0"/>
              <w:rPr>
                <w:sz w:val="20"/>
                <w:szCs w:val="20"/>
                <w:color w:val="auto"/>
              </w:rPr>
            </w:pPr>
            <w:r>
              <w:rPr>
                <w:rFonts w:ascii="Arial" w:cs="Arial" w:eastAsia="Arial" w:hAnsi="Arial"/>
                <w:sz w:val="14"/>
                <w:szCs w:val="14"/>
                <w:b w:val="1"/>
                <w:bCs w:val="1"/>
                <w:color w:val="003082"/>
              </w:rPr>
              <w:t>1 Year</w:t>
            </w:r>
          </w:p>
        </w:tc>
        <w:tc>
          <w:tcPr>
            <w:tcW w:w="120" w:type="dxa"/>
            <w:vAlign w:val="bottom"/>
            <w:tcBorders>
              <w:bottom w:val="single" w:sz="8" w:color="3D5588"/>
            </w:tcBorders>
          </w:tcPr>
          <w:p>
            <w:pPr>
              <w:spacing w:after="0"/>
              <w:rPr>
                <w:sz w:val="16"/>
                <w:szCs w:val="16"/>
                <w:color w:val="auto"/>
              </w:rPr>
            </w:pPr>
          </w:p>
        </w:tc>
        <w:tc>
          <w:tcPr>
            <w:tcW w:w="1460" w:type="dxa"/>
            <w:vAlign w:val="bottom"/>
            <w:tcBorders>
              <w:bottom w:val="single" w:sz="8" w:color="3D5588"/>
            </w:tcBorders>
            <w:gridSpan w:val="3"/>
            <w:vMerge w:val="continue"/>
          </w:tcPr>
          <w:p>
            <w:pPr>
              <w:spacing w:after="0"/>
              <w:rPr>
                <w:sz w:val="16"/>
                <w:szCs w:val="16"/>
                <w:color w:val="auto"/>
              </w:rPr>
            </w:pPr>
          </w:p>
        </w:tc>
        <w:tc>
          <w:tcPr>
            <w:tcW w:w="220" w:type="dxa"/>
            <w:vAlign w:val="bottom"/>
            <w:tcBorders>
              <w:bottom w:val="single" w:sz="8" w:color="3D5588"/>
            </w:tcBorders>
          </w:tcPr>
          <w:p>
            <w:pPr>
              <w:spacing w:after="0"/>
              <w:rPr>
                <w:sz w:val="16"/>
                <w:szCs w:val="16"/>
                <w:color w:val="auto"/>
              </w:rPr>
            </w:pPr>
          </w:p>
        </w:tc>
        <w:tc>
          <w:tcPr>
            <w:tcW w:w="1220" w:type="dxa"/>
            <w:vAlign w:val="bottom"/>
            <w:tcBorders>
              <w:bottom w:val="single" w:sz="8" w:color="3D5588"/>
            </w:tcBorders>
            <w:gridSpan w:val="2"/>
            <w:vMerge w:val="continue"/>
          </w:tcPr>
          <w:p>
            <w:pPr>
              <w:spacing w:after="0"/>
              <w:rPr>
                <w:sz w:val="16"/>
                <w:szCs w:val="16"/>
                <w:color w:val="auto"/>
              </w:rPr>
            </w:pPr>
          </w:p>
        </w:tc>
        <w:tc>
          <w:tcPr>
            <w:tcW w:w="240" w:type="dxa"/>
            <w:vAlign w:val="bottom"/>
            <w:tcBorders>
              <w:bottom w:val="single" w:sz="8" w:color="3D5588"/>
            </w:tcBorders>
          </w:tcPr>
          <w:p>
            <w:pPr>
              <w:spacing w:after="0"/>
              <w:rPr>
                <w:sz w:val="16"/>
                <w:szCs w:val="16"/>
                <w:color w:val="auto"/>
              </w:rPr>
            </w:pPr>
          </w:p>
        </w:tc>
        <w:tc>
          <w:tcPr>
            <w:tcW w:w="1120" w:type="dxa"/>
            <w:vAlign w:val="bottom"/>
            <w:tcBorders>
              <w:bottom w:val="single" w:sz="8" w:color="3D5588"/>
            </w:tcBorders>
          </w:tcPr>
          <w:p>
            <w:pPr>
              <w:jc w:val="center"/>
              <w:ind w:right="137"/>
              <w:spacing w:after="0"/>
              <w:rPr>
                <w:sz w:val="20"/>
                <w:szCs w:val="20"/>
                <w:color w:val="auto"/>
              </w:rPr>
            </w:pPr>
            <w:r>
              <w:rPr>
                <w:rFonts w:ascii="Arial" w:cs="Arial" w:eastAsia="Arial" w:hAnsi="Arial"/>
                <w:sz w:val="14"/>
                <w:szCs w:val="14"/>
                <w:b w:val="1"/>
                <w:bCs w:val="1"/>
                <w:color w:val="003082"/>
                <w:w w:val="92"/>
              </w:rPr>
              <w:t>5 Years</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003082"/>
              </w:rPr>
              <w:t>(US$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003082"/>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Operating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3,834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3082"/>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1,746</w:t>
            </w:r>
          </w:p>
        </w:tc>
        <w:tc>
          <w:tcPr>
            <w:tcW w:w="5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003082"/>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1,990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3082"/>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98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3082"/>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003082"/>
              </w:rPr>
              <w:t>Purchase obligations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003082"/>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003082"/>
              </w:rPr>
              <w:t>4,239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003082"/>
              </w:rPr>
              <w:t>4,239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2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3D5588"/>
            </w:tcBorders>
          </w:tcPr>
          <w:p>
            <w:pPr>
              <w:spacing w:after="0"/>
              <w:rPr>
                <w:sz w:val="2"/>
                <w:szCs w:val="2"/>
                <w:color w:val="auto"/>
              </w:rPr>
            </w:pPr>
          </w:p>
        </w:tc>
        <w:tc>
          <w:tcPr>
            <w:tcW w:w="10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3D5588"/>
            </w:tcBorders>
          </w:tcPr>
          <w:p>
            <w:pPr>
              <w:spacing w:after="0"/>
              <w:rPr>
                <w:sz w:val="2"/>
                <w:szCs w:val="2"/>
                <w:color w:val="auto"/>
              </w:rPr>
            </w:pPr>
          </w:p>
        </w:tc>
        <w:tc>
          <w:tcPr>
            <w:tcW w:w="9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3D5588"/>
            </w:tcBorders>
          </w:tcPr>
          <w:p>
            <w:pPr>
              <w:spacing w:after="0"/>
              <w:rPr>
                <w:sz w:val="2"/>
                <w:szCs w:val="2"/>
                <w:color w:val="auto"/>
              </w:rPr>
            </w:pPr>
          </w:p>
        </w:tc>
        <w:tc>
          <w:tcPr>
            <w:tcW w:w="112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1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003082"/>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8,073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3082"/>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003082"/>
              </w:rPr>
              <w:t>5,985</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003082"/>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1,990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3082"/>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98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003082"/>
                <w:w w:val="9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jc w:val="right"/>
              <w:ind w:right="2672"/>
              <w:spacing w:after="0"/>
              <w:rPr>
                <w:sz w:val="20"/>
                <w:szCs w:val="20"/>
                <w:color w:val="auto"/>
              </w:rPr>
            </w:pPr>
            <w:r>
              <w:rPr>
                <w:rFonts w:ascii="Arial" w:cs="Arial" w:eastAsia="Arial" w:hAnsi="Arial"/>
                <w:sz w:val="16"/>
                <w:szCs w:val="16"/>
                <w:color w:val="003082"/>
                <w:w w:val="89"/>
              </w:rPr>
              <w:t>________________</w:t>
            </w:r>
          </w:p>
        </w:tc>
        <w:tc>
          <w:tcPr>
            <w:tcW w:w="320" w:type="dxa"/>
            <w:vAlign w:val="bottom"/>
            <w:tcBorders>
              <w:top w:val="single" w:sz="8" w:color="3D5588"/>
              <w:bottom w:val="single" w:sz="8" w:color="3D5588"/>
            </w:tcBorders>
          </w:tcPr>
          <w:p>
            <w:pPr>
              <w:spacing w:after="0" w:line="20" w:lineRule="exact"/>
              <w:rPr>
                <w:sz w:val="1"/>
                <w:szCs w:val="1"/>
                <w:color w:val="auto"/>
              </w:rPr>
            </w:pPr>
          </w:p>
        </w:tc>
        <w:tc>
          <w:tcPr>
            <w:tcW w:w="10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3D5588"/>
              <w:bottom w:val="single" w:sz="8" w:color="3D5588"/>
            </w:tcBorders>
          </w:tcPr>
          <w:p>
            <w:pPr>
              <w:spacing w:after="0" w:line="20" w:lineRule="exact"/>
              <w:rPr>
                <w:sz w:val="1"/>
                <w:szCs w:val="1"/>
                <w:color w:val="auto"/>
              </w:rPr>
            </w:pPr>
          </w:p>
        </w:tc>
        <w:tc>
          <w:tcPr>
            <w:tcW w:w="11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3D5588"/>
              <w:bottom w:val="single" w:sz="8" w:color="3D5588"/>
            </w:tcBorders>
          </w:tcPr>
          <w:p>
            <w:pPr>
              <w:spacing w:after="0" w:line="20" w:lineRule="exact"/>
              <w:rPr>
                <w:sz w:val="1"/>
                <w:szCs w:val="1"/>
                <w:color w:val="auto"/>
              </w:rPr>
            </w:pPr>
          </w:p>
        </w:tc>
        <w:tc>
          <w:tcPr>
            <w:tcW w:w="9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3D5588"/>
              <w:bottom w:val="single" w:sz="8" w:color="3D5588"/>
            </w:tcBorders>
          </w:tcPr>
          <w:p>
            <w:pPr>
              <w:spacing w:after="0" w:line="20" w:lineRule="exact"/>
              <w:rPr>
                <w:sz w:val="1"/>
                <w:szCs w:val="1"/>
                <w:color w:val="auto"/>
              </w:rPr>
            </w:pPr>
          </w:p>
        </w:tc>
        <w:tc>
          <w:tcPr>
            <w:tcW w:w="112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3D5588"/>
              <w:bottom w:val="single" w:sz="8" w:color="3D5588"/>
            </w:tcBorders>
          </w:tcPr>
          <w:p>
            <w:pPr>
              <w:spacing w:after="0" w:line="20" w:lineRule="exact"/>
              <w:rPr>
                <w:sz w:val="1"/>
                <w:szCs w:val="1"/>
                <w:color w:val="auto"/>
              </w:rPr>
            </w:pPr>
          </w:p>
        </w:tc>
        <w:tc>
          <w:tcPr>
            <w:tcW w:w="112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2"/>
        </w:numPr>
        <w:rPr>
          <w:rFonts w:ascii="Arial" w:cs="Arial" w:eastAsia="Arial" w:hAnsi="Arial"/>
          <w:sz w:val="16"/>
          <w:szCs w:val="16"/>
          <w:color w:val="003082"/>
        </w:rPr>
      </w:pPr>
      <w:r>
        <w:rPr>
          <w:rFonts w:ascii="Arial" w:cs="Arial" w:eastAsia="Arial" w:hAnsi="Arial"/>
          <w:sz w:val="16"/>
          <w:szCs w:val="16"/>
          <w:color w:val="003082"/>
        </w:rPr>
        <w:t>Operating leases represent total future minimum rent payments under non-cancelable operating lease agreements.</w:t>
      </w:r>
    </w:p>
    <w:p>
      <w:pPr>
        <w:spacing w:after="0" w:line="5" w:lineRule="exact"/>
        <w:rPr>
          <w:rFonts w:ascii="Arial" w:cs="Arial" w:eastAsia="Arial" w:hAnsi="Arial"/>
          <w:sz w:val="16"/>
          <w:szCs w:val="16"/>
          <w:color w:val="003082"/>
        </w:rPr>
      </w:pPr>
    </w:p>
    <w:p>
      <w:pPr>
        <w:ind w:left="340" w:hanging="332"/>
        <w:spacing w:after="0"/>
        <w:tabs>
          <w:tab w:leader="none" w:pos="340" w:val="left"/>
        </w:tabs>
        <w:numPr>
          <w:ilvl w:val="0"/>
          <w:numId w:val="52"/>
        </w:numPr>
        <w:rPr>
          <w:rFonts w:ascii="Arial" w:cs="Arial" w:eastAsia="Arial" w:hAnsi="Arial"/>
          <w:sz w:val="15"/>
          <w:szCs w:val="15"/>
          <w:color w:val="003082"/>
        </w:rPr>
      </w:pPr>
      <w:r>
        <w:rPr>
          <w:rFonts w:ascii="Arial" w:cs="Arial" w:eastAsia="Arial" w:hAnsi="Arial"/>
          <w:sz w:val="15"/>
          <w:szCs w:val="15"/>
          <w:color w:val="003082"/>
        </w:rPr>
        <w:t>Purchase obligations represent total future minimum payments under contracts with our cloud infrastructure provider, network service providers and other vendors.</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lease various offices, including our dual corporate headquarters in Shanghai, China and Santa Clara, California, under operating lease agreements that expire from July 31, 2021 to June 16, 2024. The terms of the lease agreements provide for rental payments on a graduated basis. We recognize rent expense on a straight-line basis over the lease periods. We do not have any debt or material capital lease obligations and all of our property, equipment and software have been purchased with cash.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103</w:t>
      </w:r>
    </w:p>
    <w:p>
      <w:pPr>
        <w:sectPr>
          <w:pgSz w:w="11900" w:h="16838" w:orient="portrait"/>
          <w:cols w:equalWidth="0" w:num="1">
            <w:col w:w="11240"/>
          </w:cols>
          <w:pgMar w:left="320" w:top="341" w:right="339" w:bottom="1440" w:gutter="0" w:footer="0" w:header="0"/>
        </w:sectPr>
      </w:pPr>
    </w:p>
    <w:bookmarkStart w:id="108" w:name="page109"/>
    <w:bookmarkEnd w:id="108"/>
    <w:p>
      <w:pPr>
        <w:jc w:val="both"/>
        <w:ind w:right="20" w:firstLine="324"/>
        <w:spacing w:after="0" w:line="277" w:lineRule="auto"/>
        <w:rPr>
          <w:sz w:val="20"/>
          <w:szCs w:val="20"/>
          <w:color w:val="auto"/>
        </w:rPr>
      </w:pPr>
      <w:r>
        <w:rPr>
          <w:rFonts w:ascii="Arial" w:cs="Arial" w:eastAsia="Arial" w:hAnsi="Arial"/>
          <w:sz w:val="18"/>
          <w:szCs w:val="18"/>
          <w:color w:val="003082"/>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Holding Company Structure</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Agora, Inc. is a holding company with no material operations of its own. We conduct our operations through our WFOE and our VIE in China and our other international subsidiaries. As a result, our ability to pay dividends depends on dividends paid by our WFOE and our international subsidiaries. If our WFOE or any newly formed subsidiaries incur debt on their own behalf in the future, the instruments governing their debt may restrict their ability to pay dividends to us. In addition, our WFOE in China is permitted to pay dividends to us only out of its retained earnings, if any, as determined in accordance with PRC accounting standards and regulations. Under PRC law, our VIE and our WFOE are required to set aside at least 10% of their respective after-tax profits each year, if any, to fund certain statutory reserve funds until such reserve funds reach 50% of their respective registered capital. In addition, each of our WFOE and our VIE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WFOE has not paid dividends and will not be able to pay dividends until they generate accumulated profits and meet the requirements for statutory reserve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Internal Control Over Financial Reporting</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003082"/>
        </w:rPr>
        <w:t>Prior to this offering, we have been a private company with limited accounting personnel and other resources with which to address our internal control and procedures and we were never required to evaluate our internal control within a specified period, and, as a result, we may experience difficulty in meeting these reporting requirements in a timely manner. Our management has not completed an assessment of the effectiveness of our internal control over financial reporting, and our independent registered public accounting firm has not conducted an audit of our internal control over financial reporting. However, in the course of preparing and auditing our consolidated financial statements for the years ended December 31, 2018 and 2019, we and our independent registered public accounting firm identified a material weakness and a significant deficiency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The significant deficiency identified relates to the sufficiency of our overall information technology control environment and related policies and procedures. The material weakness, if not remediated timely, may lead to material misstatements in our consolidated financial statements in the future. Neither we nor our independent registered public accounting firm undertook a comprehensive assessment of our internal control under the Sarbanes-Oxley Act for purposes of identifying and reporting any weaknesses and other control deficiencies in our internal control over financial reporting. We and they are required to do so only after we became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3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To remedy our identified material weakness subsequent to December 31, 2019, we plan to undertake steps to strengthen our internal control over financial reporting, including: (1) hiring more qualified resources including financial controller,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104</w:t>
      </w:r>
    </w:p>
    <w:p>
      <w:pPr>
        <w:sectPr>
          <w:pgSz w:w="11900" w:h="16838" w:orient="portrait"/>
          <w:cols w:equalWidth="0" w:num="1">
            <w:col w:w="11240"/>
          </w:cols>
          <w:pgMar w:left="320" w:top="341" w:right="339" w:bottom="1440" w:gutter="0" w:footer="0" w:header="0"/>
        </w:sectPr>
      </w:pPr>
    </w:p>
    <w:bookmarkStart w:id="109" w:name="page110"/>
    <w:bookmarkEnd w:id="109"/>
    <w:p>
      <w:pPr>
        <w:jc w:val="both"/>
        <w:spacing w:after="0" w:line="254" w:lineRule="auto"/>
        <w:rPr>
          <w:sz w:val="20"/>
          <w:szCs w:val="20"/>
          <w:color w:val="auto"/>
        </w:rPr>
      </w:pPr>
      <w:r>
        <w:rPr>
          <w:rFonts w:ascii="Arial" w:cs="Arial" w:eastAsia="Arial" w:hAnsi="Arial"/>
          <w:sz w:val="18"/>
          <w:szCs w:val="18"/>
          <w:color w:val="003082"/>
        </w:rPr>
        <w:t>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See the section of this prospectus captioned “Risk Factors—Risks Related to Our Business and Industry—If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related to the assessment of the effectiveness of the emerging growth company’s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Critical Accounting Policies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believe that the assumptions and estimates associated with revenue recognition, income taxes and share-based compensation have the greatest potential impact on our consolidated financial statements. Therefore, we consider these to be our critical accounting policies and estimates. For further information on all of our significant accounting policies, please see Note 2 to our audited consolidated financial statements and Note 2 to our unaudited interim condensed consolidated financial statements included elsewhere in this prospectus.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We early adopted ASC Topic 606, </w:t>
      </w:r>
      <w:r>
        <w:rPr>
          <w:rFonts w:ascii="Arial" w:cs="Arial" w:eastAsia="Arial" w:hAnsi="Arial"/>
          <w:sz w:val="17"/>
          <w:szCs w:val="17"/>
          <w:i w:val="1"/>
          <w:iCs w:val="1"/>
          <w:color w:val="003082"/>
        </w:rPr>
        <w:t>Revenue from Contracts with Customers</w:t>
      </w:r>
      <w:r>
        <w:rPr>
          <w:rFonts w:ascii="Arial" w:cs="Arial" w:eastAsia="Arial" w:hAnsi="Arial"/>
          <w:sz w:val="17"/>
          <w:szCs w:val="17"/>
          <w:color w:val="003082"/>
        </w:rPr>
        <w:t xml:space="preserve"> for all periods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revenue is primarily derived from real-time engagement services, which are usage-based fees earned from customers accessing our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3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Our other revenues are comprised primarily of project revenues, which are arrangements with specific customers where we will customize a software development kit to be integrated with our customer’s system based on the customer’s specific requirements. The progress of the project is defined by the readiness of the system integration as specified in the contract. To date, our projects are considered a single performance obligation, as the individual components of the project are not sold on a standalone basis and does not provide benefit to the customer on its own. Revenue is recognized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105</w:t>
      </w:r>
    </w:p>
    <w:p>
      <w:pPr>
        <w:sectPr>
          <w:pgSz w:w="11900" w:h="16838" w:orient="portrait"/>
          <w:cols w:equalWidth="0" w:num="1">
            <w:col w:w="11240"/>
          </w:cols>
          <w:pgMar w:left="320" w:top="341" w:right="339" w:bottom="1440" w:gutter="0" w:footer="0" w:header="0"/>
        </w:sectPr>
      </w:pPr>
    </w:p>
    <w:bookmarkStart w:id="110" w:name="page111"/>
    <w:bookmarkEnd w:id="110"/>
    <w:p>
      <w:pPr>
        <w:jc w:val="both"/>
        <w:spacing w:after="0" w:line="277" w:lineRule="auto"/>
        <w:rPr>
          <w:sz w:val="20"/>
          <w:szCs w:val="20"/>
          <w:color w:val="auto"/>
        </w:rPr>
      </w:pPr>
      <w:r>
        <w:rPr>
          <w:rFonts w:ascii="Arial" w:cs="Arial" w:eastAsia="Arial" w:hAnsi="Arial"/>
          <w:sz w:val="18"/>
          <w:szCs w:val="18"/>
          <w:color w:val="003082"/>
        </w:rPr>
        <w:t>over time as our performance enhances an asset controlled by our customer. Revenue is recognized based on the measurement of progress toward complete satisfaction of the performance obligation, for which we utilize the output method.</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Timing of revenue recognition may differ from the timing of invoicing to customers. We record a contract asset when we have a right to consideration in exchange for goods or services that we have transferred to a customer and when that right is conditioned on something other than the passage of time (for example, the entity’s future performance). Accounts receivables represent amounts invoiced and revenue recognized prior to invoicing, when we have satisfied our performance obligations and have the unconditional right to payment. As of December 31, 2018 and 2019, contract assets recorded in our consolidated balance sheets were immaterial.</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If a customer pays consideration, or we have a right to an amount of consideration that is unconditional (that is, a receivable), before we transfer a good or service to the customer, we present the contract as a contract liability when the payment is made or the payment is due (whichever is earlier). A contract liability is our obligation to transfer goods or services to a customer for which we have received consideration (or an amount of consideration is due) from the customer. Due to the generally short-term duration of the contracts, the majority of the performance obligations are satisfied in the following reporting period. As of December 31, 2018 and 2019 and March 31, 2020, contract liabilities recorded as advances from customers are US$0.6 million, US$0.9 million and US$0.8 million as of December 31, 2018 and 2019 and March 31, 2020, respectively, in our consolidated balance sheets. Revenue recognized for the three months ended March 31, 2019 and 2020 that was included in the contract liabilities balance at the beginning of the period was US$0.3 million and US$0.4 million, respectively, and revenue recognized for the years ended December 31, 2018 and 2019 that was included in the contract liabilities balance at the beginning of the period was US$0.4 million and US$0.6 million, respectively.</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2018 and 2019, no incremental contract obtaining cost was capitalized as assets due to short term of the amortization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Redeemable Preferred Shares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003082"/>
        </w:rPr>
        <w:t>We record all redeemable convertible preferred shares at their respective fair values on the dates of issuance, net of issuance costs. In the event of the voluntary or involuntary liquidation, dissolution or winding up of our company, or a liquidation event such as a merger, acquisition and sale of all or substantially all of our assets, each of which we refer to as a deemed liquidation event, proceeds will be distributed in accordance with the liquidation preferences set forth in the articles and memorandum of association unless the holders of redeemable convertible preferred shares have converted their redeemable convertible preferred shares into ordinary shares. Therefore, the redeemable convertible preferred shares are recorded in mezzanine equity on the consolidated balance sheet as events triggering the liquidation preferences are not solely within our control. For each reporting period, we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Share-based Compensation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Share-based awards are measured at the grant date fair value of the awards. We granted various types of share-based awards including share options and restricted shares to eligible employees.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We granted service-condition only options to employees without a repurchase feature. The compensation expense is recognized using the straight-line method over the requisite service period. We early adopted Accounting Standards Update (“ASU”) 2016-09, </w:t>
      </w:r>
      <w:r>
        <w:rPr>
          <w:rFonts w:ascii="Arial" w:cs="Arial" w:eastAsia="Arial" w:hAnsi="Arial"/>
          <w:sz w:val="18"/>
          <w:szCs w:val="18"/>
          <w:i w:val="1"/>
          <w:iCs w:val="1"/>
          <w:color w:val="003082"/>
        </w:rPr>
        <w:t>Compensation—Stock Compensation (Topic</w:t>
      </w:r>
      <w:r>
        <w:rPr>
          <w:rFonts w:ascii="Arial" w:cs="Arial" w:eastAsia="Arial" w:hAnsi="Arial"/>
          <w:sz w:val="18"/>
          <w:szCs w:val="18"/>
          <w:color w:val="003082"/>
        </w:rPr>
        <w:t xml:space="preserve"> </w:t>
      </w:r>
      <w:r>
        <w:rPr>
          <w:rFonts w:ascii="Arial" w:cs="Arial" w:eastAsia="Arial" w:hAnsi="Arial"/>
          <w:sz w:val="18"/>
          <w:szCs w:val="18"/>
          <w:i w:val="1"/>
          <w:iCs w:val="1"/>
          <w:color w:val="003082"/>
        </w:rPr>
        <w:t xml:space="preserve">718): Improvements to Employee Share-Based Payment Accounting </w:t>
      </w:r>
      <w:r>
        <w:rPr>
          <w:rFonts w:ascii="Arial" w:cs="Arial" w:eastAsia="Arial" w:hAnsi="Arial"/>
          <w:sz w:val="18"/>
          <w:szCs w:val="18"/>
          <w:color w:val="003082"/>
        </w:rPr>
        <w:t>from the earliest period presented to recognize the effect of forfeiture in compensation</w:t>
      </w:r>
      <w:r>
        <w:rPr>
          <w:rFonts w:ascii="Arial" w:cs="Arial" w:eastAsia="Arial" w:hAnsi="Arial"/>
          <w:sz w:val="18"/>
          <w:szCs w:val="18"/>
          <w:i w:val="1"/>
          <w:iCs w:val="1"/>
          <w:color w:val="003082"/>
        </w:rPr>
        <w:t xml:space="preserve"> </w:t>
      </w:r>
      <w:r>
        <w:rPr>
          <w:rFonts w:ascii="Arial" w:cs="Arial" w:eastAsia="Arial" w:hAnsi="Arial"/>
          <w:sz w:val="18"/>
          <w:szCs w:val="18"/>
          <w:color w:val="003082"/>
        </w:rPr>
        <w:t>cost when they occur. In determining the fair value of our share options, the binomial option pricing model has been applied with the assistance from an independent appraiser.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106</w:t>
      </w:r>
    </w:p>
    <w:p>
      <w:pPr>
        <w:sectPr>
          <w:pgSz w:w="11900" w:h="16838" w:orient="portrait"/>
          <w:cols w:equalWidth="0" w:num="1">
            <w:col w:w="11240"/>
          </w:cols>
          <w:pgMar w:left="320" w:top="341" w:right="339" w:bottom="1440" w:gutter="0" w:footer="0" w:header="0"/>
        </w:sectPr>
      </w:pPr>
    </w:p>
    <w:bookmarkStart w:id="111" w:name="page112"/>
    <w:bookmarkEnd w:id="111"/>
    <w:p>
      <w:pPr>
        <w:jc w:val="both"/>
        <w:ind w:firstLine="324"/>
        <w:spacing w:after="0" w:line="275" w:lineRule="auto"/>
        <w:rPr>
          <w:sz w:val="20"/>
          <w:szCs w:val="20"/>
          <w:color w:val="auto"/>
        </w:rPr>
      </w:pPr>
      <w:r>
        <w:rPr>
          <w:rFonts w:ascii="Arial" w:cs="Arial" w:eastAsia="Arial" w:hAnsi="Arial"/>
          <w:sz w:val="17"/>
          <w:szCs w:val="17"/>
          <w:color w:val="003082"/>
        </w:rPr>
        <w:t>We also granted service-condition only awards with the repurchase feature that are liability classified. The compensation cost for those awards is recognized using straight-line method over the requisite service period, using the grant date fair value of the award and begin to recognize compensation expense. The fair value of the award will be remeasured each reporting period until the award is settled, and we will true-up the compensation cost each reporting period for changes in fair value prorated for the portion of the requisite service period rendered. Once vested (that is, the requisite-service period is complete), we will immediately recognize compensation cost for any changes in fair value until settlement.</w:t>
      </w:r>
    </w:p>
    <w:p>
      <w:pPr>
        <w:spacing w:after="0" w:line="12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In addition, we granted restricted shares with service conditions. These awards are measured at fair value on the grant date. Share-based compensation expense is recognized using the straight-line method over the requisite service period. The fair value of the restricted shares was assessed using the income approaches, with a discount for lack of marketability given that the shares underlying the awards were not publicly traded at the time of grant. This assessment required complex and subjective judgments regarding our projected financial and operating results, our unique business risks, the liquidity of our ordinary shares and our operating history and prospects at the time the grants were made. Similar to options above, we recognize the effect of forfeitures in compensation costs when they occur. For the restricted shares that we are obligated to repurchase at grantee’s election, they are classified as liability awards and are applied the accounting policy of liability classified awards as above mentioned. For the restricted shares granted by Mr. Zhao to our employees, the compensation expense of these awards is pushed down to us and recorded by us based on grant-date fair value with total compensation expense recognized over the grantee’s own requisite service period.</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binomial option pricing model is used to determine the fair value of the share options granted to employees. The determination of the fair value is affected by the share price as well as assumptions regarding a number of complex and subjective variables, including the expected volatility, risk-free interest rates, exercise multiple, expected dividend yield and expected term. The fair values of share options granted during the years ended December 31, 2018 and 2019 and the three months ended March 31, 2019 and 2020 were estimated using the following assumptions: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920" w:type="dxa"/>
            <w:vAlign w:val="bottom"/>
            <w:gridSpan w:val="4"/>
          </w:tcPr>
          <w:p>
            <w:pPr>
              <w:ind w:left="1120"/>
              <w:spacing w:after="0"/>
              <w:rPr>
                <w:sz w:val="20"/>
                <w:szCs w:val="20"/>
                <w:color w:val="auto"/>
              </w:rPr>
            </w:pPr>
            <w:r>
              <w:rPr>
                <w:rFonts w:ascii="Arial" w:cs="Arial" w:eastAsia="Arial" w:hAnsi="Arial"/>
                <w:sz w:val="14"/>
                <w:szCs w:val="14"/>
                <w:b w:val="1"/>
                <w:bCs w:val="1"/>
                <w:color w:val="003082"/>
              </w:rPr>
              <w:t>Year Ended December 31,</w:t>
            </w:r>
          </w:p>
        </w:tc>
        <w:tc>
          <w:tcPr>
            <w:tcW w:w="3780" w:type="dxa"/>
            <w:vAlign w:val="bottom"/>
            <w:gridSpan w:val="3"/>
          </w:tcPr>
          <w:p>
            <w:pPr>
              <w:jc w:val="right"/>
              <w:ind w:right="792"/>
              <w:spacing w:after="0"/>
              <w:rPr>
                <w:sz w:val="20"/>
                <w:szCs w:val="20"/>
                <w:color w:val="auto"/>
              </w:rPr>
            </w:pPr>
            <w:r>
              <w:rPr>
                <w:rFonts w:ascii="Arial" w:cs="Arial" w:eastAsia="Arial" w:hAnsi="Arial"/>
                <w:sz w:val="14"/>
                <w:szCs w:val="14"/>
                <w:b w:val="1"/>
                <w:bCs w:val="1"/>
                <w:color w:val="003082"/>
              </w:rPr>
              <w:t>Three Months Ended March 31,</w:t>
            </w:r>
          </w:p>
        </w:tc>
      </w:tr>
      <w:tr>
        <w:trPr>
          <w:trHeight w:val="263"/>
        </w:trPr>
        <w:tc>
          <w:tcPr>
            <w:tcW w:w="3540" w:type="dxa"/>
            <w:vAlign w:val="bottom"/>
            <w:tcBorders>
              <w:bottom w:val="single" w:sz="8" w:color="CCEEFF"/>
            </w:tcBorders>
          </w:tcPr>
          <w:p>
            <w:pPr>
              <w:spacing w:after="0"/>
              <w:rPr>
                <w:sz w:val="22"/>
                <w:szCs w:val="22"/>
                <w:color w:val="auto"/>
              </w:rPr>
            </w:pPr>
          </w:p>
        </w:tc>
        <w:tc>
          <w:tcPr>
            <w:tcW w:w="1860" w:type="dxa"/>
            <w:vAlign w:val="bottom"/>
            <w:tcBorders>
              <w:top w:val="single" w:sz="8" w:color="3D5588"/>
              <w:bottom w:val="single" w:sz="8" w:color="3D5588"/>
            </w:tcBorders>
          </w:tcPr>
          <w:p>
            <w:pPr>
              <w:jc w:val="right"/>
              <w:ind w:right="694"/>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top w:val="single" w:sz="8" w:color="3D5588"/>
              <w:bottom w:val="single" w:sz="8" w:color="CCEEFF"/>
            </w:tcBorders>
          </w:tcPr>
          <w:p>
            <w:pPr>
              <w:spacing w:after="0"/>
              <w:rPr>
                <w:sz w:val="22"/>
                <w:szCs w:val="22"/>
                <w:color w:val="auto"/>
              </w:rPr>
            </w:pPr>
          </w:p>
        </w:tc>
        <w:tc>
          <w:tcPr>
            <w:tcW w:w="1860" w:type="dxa"/>
            <w:vAlign w:val="bottom"/>
            <w:tcBorders>
              <w:top w:val="single" w:sz="8" w:color="3D5588"/>
              <w:bottom w:val="single" w:sz="8" w:color="3D5588"/>
            </w:tcBorders>
          </w:tcPr>
          <w:p>
            <w:pPr>
              <w:jc w:val="right"/>
              <w:ind w:right="692"/>
              <w:spacing w:after="0"/>
              <w:rPr>
                <w:sz w:val="20"/>
                <w:szCs w:val="20"/>
                <w:color w:val="auto"/>
              </w:rPr>
            </w:pPr>
            <w:r>
              <w:rPr>
                <w:rFonts w:ascii="Arial" w:cs="Arial" w:eastAsia="Arial" w:hAnsi="Arial"/>
                <w:sz w:val="14"/>
                <w:szCs w:val="14"/>
                <w:b w:val="1"/>
                <w:bCs w:val="1"/>
                <w:color w:val="003082"/>
              </w:rPr>
              <w:t>2019</w:t>
            </w:r>
          </w:p>
        </w:tc>
        <w:tc>
          <w:tcPr>
            <w:tcW w:w="100" w:type="dxa"/>
            <w:vAlign w:val="bottom"/>
            <w:tcBorders>
              <w:bottom w:val="single" w:sz="8" w:color="CCEEFF"/>
            </w:tcBorders>
          </w:tcPr>
          <w:p>
            <w:pPr>
              <w:spacing w:after="0"/>
              <w:rPr>
                <w:sz w:val="22"/>
                <w:szCs w:val="22"/>
                <w:color w:val="auto"/>
              </w:rPr>
            </w:pPr>
          </w:p>
        </w:tc>
        <w:tc>
          <w:tcPr>
            <w:tcW w:w="1840" w:type="dxa"/>
            <w:vAlign w:val="bottom"/>
            <w:tcBorders>
              <w:top w:val="single" w:sz="8" w:color="3D5588"/>
              <w:bottom w:val="single" w:sz="8" w:color="3D5588"/>
            </w:tcBorders>
          </w:tcPr>
          <w:p>
            <w:pPr>
              <w:jc w:val="right"/>
              <w:ind w:right="694"/>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top w:val="single" w:sz="8" w:color="3D5588"/>
              <w:bottom w:val="single" w:sz="8" w:color="CCEEFF"/>
            </w:tcBorders>
          </w:tcPr>
          <w:p>
            <w:pPr>
              <w:spacing w:after="0"/>
              <w:rPr>
                <w:sz w:val="22"/>
                <w:szCs w:val="22"/>
                <w:color w:val="auto"/>
              </w:rPr>
            </w:pPr>
          </w:p>
        </w:tc>
        <w:tc>
          <w:tcPr>
            <w:tcW w:w="1820" w:type="dxa"/>
            <w:vAlign w:val="bottom"/>
            <w:tcBorders>
              <w:top w:val="single" w:sz="8" w:color="3D5588"/>
              <w:bottom w:val="single" w:sz="8" w:color="3D5588"/>
            </w:tcBorders>
          </w:tcPr>
          <w:p>
            <w:pPr>
              <w:jc w:val="right"/>
              <w:ind w:right="672"/>
              <w:spacing w:after="0"/>
              <w:rPr>
                <w:sz w:val="20"/>
                <w:szCs w:val="20"/>
                <w:color w:val="auto"/>
              </w:rPr>
            </w:pPr>
            <w:r>
              <w:rPr>
                <w:rFonts w:ascii="Arial" w:cs="Arial" w:eastAsia="Arial" w:hAnsi="Arial"/>
                <w:sz w:val="14"/>
                <w:szCs w:val="14"/>
                <w:b w:val="1"/>
                <w:bCs w:val="1"/>
                <w:color w:val="003082"/>
              </w:rPr>
              <w:t>2020</w:t>
            </w:r>
          </w:p>
        </w:tc>
      </w:tr>
      <w:tr>
        <w:trPr>
          <w:trHeight w:val="24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Exercise price</w:t>
            </w: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003082"/>
              </w:rPr>
              <w:t>US$0.10-US$1.00</w:t>
            </w: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003082"/>
              </w:rPr>
              <w:t>US$0.10-US$0.50</w:t>
            </w:r>
          </w:p>
        </w:tc>
        <w:tc>
          <w:tcPr>
            <w:tcW w:w="1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003082"/>
              </w:rPr>
              <w:t>US$0.1-US$0.37</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US$0.1-US$1.74</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003082"/>
                <w:w w:val="93"/>
              </w:rPr>
              <w:t>Fair value of the ordinary shares on the date of</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003082"/>
              </w:rPr>
              <w:t>US$0.3493-</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003082"/>
              </w:rPr>
              <w:t>US$0.6989-</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003082"/>
              </w:rPr>
              <w:t>US$0.6989-</w:t>
            </w:r>
          </w:p>
        </w:tc>
        <w:tc>
          <w:tcPr>
            <w:tcW w:w="1820" w:type="dxa"/>
            <w:vAlign w:val="bottom"/>
          </w:tcPr>
          <w:p>
            <w:pPr>
              <w:spacing w:after="0"/>
              <w:rPr>
                <w:sz w:val="19"/>
                <w:szCs w:val="19"/>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003082"/>
              </w:rPr>
              <w:t>option grant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003082"/>
              </w:rPr>
              <w:t>US$0.6989</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003082"/>
              </w:rPr>
              <w:t>US$1.4751</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003082"/>
              </w:rPr>
              <w:t>US$0.8444</w:t>
            </w:r>
          </w:p>
        </w:tc>
        <w:tc>
          <w:tcPr>
            <w:tcW w:w="1820" w:type="dxa"/>
            <w:vAlign w:val="bottom"/>
          </w:tcPr>
          <w:p>
            <w:pPr>
              <w:jc w:val="right"/>
              <w:ind w:right="92"/>
              <w:spacing w:after="0"/>
              <w:rPr>
                <w:sz w:val="20"/>
                <w:szCs w:val="20"/>
                <w:color w:val="auto"/>
              </w:rPr>
            </w:pPr>
            <w:r>
              <w:rPr>
                <w:rFonts w:ascii="Arial" w:cs="Arial" w:eastAsia="Arial" w:hAnsi="Arial"/>
                <w:sz w:val="18"/>
                <w:szCs w:val="18"/>
                <w:color w:val="003082"/>
              </w:rPr>
              <w:t>1.7358</w:t>
            </w:r>
          </w:p>
        </w:tc>
      </w:tr>
      <w:tr>
        <w:trPr>
          <w:trHeight w:val="27"/>
        </w:trPr>
        <w:tc>
          <w:tcPr>
            <w:tcW w:w="3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Risk-free interest rate</w:t>
            </w:r>
            <w:r>
              <w:rPr>
                <w:rFonts w:ascii="Arial" w:cs="Arial" w:eastAsia="Arial" w:hAnsi="Arial"/>
                <w:sz w:val="25"/>
                <w:szCs w:val="25"/>
                <w:color w:val="003082"/>
                <w:vertAlign w:val="superscript"/>
              </w:rPr>
              <w:t>(1)</w:t>
            </w:r>
          </w:p>
        </w:tc>
        <w:tc>
          <w:tcPr>
            <w:tcW w:w="18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003082"/>
              </w:rPr>
              <w:t>2.54%-3.18%</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003082"/>
              </w:rPr>
              <w:t>1.80%-2.83%</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003082"/>
              </w:rPr>
              <w:t>2.62%-2.83%</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1.76%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003082"/>
              </w:rPr>
              <w:t>Expected term (in years)</w:t>
            </w:r>
          </w:p>
        </w:tc>
        <w:tc>
          <w:tcPr>
            <w:tcW w:w="1860" w:type="dxa"/>
            <w:vAlign w:val="bottom"/>
          </w:tcPr>
          <w:p>
            <w:pPr>
              <w:jc w:val="right"/>
              <w:ind w:right="114"/>
              <w:spacing w:after="0"/>
              <w:rPr>
                <w:sz w:val="20"/>
                <w:szCs w:val="20"/>
                <w:color w:val="auto"/>
              </w:rPr>
            </w:pPr>
            <w:r>
              <w:rPr>
                <w:rFonts w:ascii="Arial" w:cs="Arial" w:eastAsia="Arial" w:hAnsi="Arial"/>
                <w:sz w:val="18"/>
                <w:szCs w:val="18"/>
                <w:color w:val="003082"/>
              </w:rPr>
              <w:t>10</w:t>
            </w:r>
          </w:p>
        </w:tc>
        <w:tc>
          <w:tcPr>
            <w:tcW w:w="100" w:type="dxa"/>
            <w:vAlign w:val="bottom"/>
          </w:tcPr>
          <w:p>
            <w:pPr>
              <w:spacing w:after="0"/>
              <w:rPr>
                <w:sz w:val="21"/>
                <w:szCs w:val="21"/>
                <w:color w:val="auto"/>
              </w:rPr>
            </w:pPr>
          </w:p>
        </w:tc>
        <w:tc>
          <w:tcPr>
            <w:tcW w:w="1860" w:type="dxa"/>
            <w:vAlign w:val="bottom"/>
          </w:tcPr>
          <w:p>
            <w:pPr>
              <w:jc w:val="right"/>
              <w:ind w:right="112"/>
              <w:spacing w:after="0"/>
              <w:rPr>
                <w:sz w:val="20"/>
                <w:szCs w:val="20"/>
                <w:color w:val="auto"/>
              </w:rPr>
            </w:pPr>
            <w:r>
              <w:rPr>
                <w:rFonts w:ascii="Arial" w:cs="Arial" w:eastAsia="Arial" w:hAnsi="Arial"/>
                <w:sz w:val="18"/>
                <w:szCs w:val="18"/>
                <w:color w:val="003082"/>
              </w:rPr>
              <w:t>10</w:t>
            </w:r>
          </w:p>
        </w:tc>
        <w:tc>
          <w:tcPr>
            <w:tcW w:w="100" w:type="dxa"/>
            <w:vAlign w:val="bottom"/>
          </w:tcPr>
          <w:p>
            <w:pPr>
              <w:spacing w:after="0"/>
              <w:rPr>
                <w:sz w:val="21"/>
                <w:szCs w:val="21"/>
                <w:color w:val="auto"/>
              </w:rPr>
            </w:pPr>
          </w:p>
        </w:tc>
        <w:tc>
          <w:tcPr>
            <w:tcW w:w="1840" w:type="dxa"/>
            <w:vAlign w:val="bottom"/>
          </w:tcPr>
          <w:p>
            <w:pPr>
              <w:jc w:val="right"/>
              <w:ind w:right="94"/>
              <w:spacing w:after="0"/>
              <w:rPr>
                <w:sz w:val="20"/>
                <w:szCs w:val="20"/>
                <w:color w:val="auto"/>
              </w:rPr>
            </w:pPr>
            <w:r>
              <w:rPr>
                <w:rFonts w:ascii="Arial" w:cs="Arial" w:eastAsia="Arial" w:hAnsi="Arial"/>
                <w:sz w:val="18"/>
                <w:szCs w:val="18"/>
                <w:color w:val="003082"/>
              </w:rPr>
              <w:t>10</w:t>
            </w:r>
          </w:p>
        </w:tc>
        <w:tc>
          <w:tcPr>
            <w:tcW w:w="120" w:type="dxa"/>
            <w:vAlign w:val="bottom"/>
          </w:tcPr>
          <w:p>
            <w:pPr>
              <w:spacing w:after="0"/>
              <w:rPr>
                <w:sz w:val="21"/>
                <w:szCs w:val="21"/>
                <w:color w:val="auto"/>
              </w:rPr>
            </w:pPr>
          </w:p>
        </w:tc>
        <w:tc>
          <w:tcPr>
            <w:tcW w:w="1820" w:type="dxa"/>
            <w:vAlign w:val="bottom"/>
          </w:tcPr>
          <w:p>
            <w:pPr>
              <w:jc w:val="right"/>
              <w:ind w:right="92"/>
              <w:spacing w:after="0"/>
              <w:rPr>
                <w:sz w:val="20"/>
                <w:szCs w:val="20"/>
                <w:color w:val="auto"/>
              </w:rPr>
            </w:pPr>
            <w:r>
              <w:rPr>
                <w:rFonts w:ascii="Arial" w:cs="Arial" w:eastAsia="Arial" w:hAnsi="Arial"/>
                <w:sz w:val="18"/>
                <w:szCs w:val="18"/>
                <w:color w:val="003082"/>
              </w:rPr>
              <w:t>10</w:t>
            </w:r>
          </w:p>
        </w:tc>
      </w:tr>
      <w:tr>
        <w:trPr>
          <w:trHeight w:val="27"/>
        </w:trPr>
        <w:tc>
          <w:tcPr>
            <w:tcW w:w="35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Expected dividend yield</w:t>
            </w:r>
            <w:r>
              <w:rPr>
                <w:rFonts w:ascii="Arial" w:cs="Arial" w:eastAsia="Arial" w:hAnsi="Arial"/>
                <w:sz w:val="25"/>
                <w:szCs w:val="25"/>
                <w:color w:val="003082"/>
                <w:vertAlign w:val="superscript"/>
              </w:rPr>
              <w:t>(2)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003082"/>
              </w:rPr>
              <w:t>Expected volatility</w:t>
            </w:r>
            <w:r>
              <w:rPr>
                <w:rFonts w:ascii="Arial" w:cs="Arial" w:eastAsia="Arial" w:hAnsi="Arial"/>
                <w:sz w:val="25"/>
                <w:szCs w:val="25"/>
                <w:color w:val="003082"/>
                <w:vertAlign w:val="superscript"/>
              </w:rPr>
              <w:t>(3)</w:t>
            </w:r>
          </w:p>
        </w:tc>
        <w:tc>
          <w:tcPr>
            <w:tcW w:w="1860" w:type="dxa"/>
            <w:vAlign w:val="bottom"/>
          </w:tcPr>
          <w:p>
            <w:pPr>
              <w:jc w:val="right"/>
              <w:ind w:right="114"/>
              <w:spacing w:after="0"/>
              <w:rPr>
                <w:sz w:val="20"/>
                <w:szCs w:val="20"/>
                <w:color w:val="auto"/>
              </w:rPr>
            </w:pPr>
            <w:r>
              <w:rPr>
                <w:rFonts w:ascii="Arial" w:cs="Arial" w:eastAsia="Arial" w:hAnsi="Arial"/>
                <w:sz w:val="18"/>
                <w:szCs w:val="18"/>
                <w:color w:val="003082"/>
              </w:rPr>
              <w:t>49.18%-50.36%</w:t>
            </w:r>
          </w:p>
        </w:tc>
        <w:tc>
          <w:tcPr>
            <w:tcW w:w="100" w:type="dxa"/>
            <w:vAlign w:val="bottom"/>
          </w:tcPr>
          <w:p>
            <w:pPr>
              <w:spacing w:after="0"/>
              <w:rPr>
                <w:sz w:val="23"/>
                <w:szCs w:val="23"/>
                <w:color w:val="auto"/>
              </w:rPr>
            </w:pPr>
          </w:p>
        </w:tc>
        <w:tc>
          <w:tcPr>
            <w:tcW w:w="1860" w:type="dxa"/>
            <w:vAlign w:val="bottom"/>
          </w:tcPr>
          <w:p>
            <w:pPr>
              <w:jc w:val="right"/>
              <w:ind w:right="112"/>
              <w:spacing w:after="0"/>
              <w:rPr>
                <w:sz w:val="20"/>
                <w:szCs w:val="20"/>
                <w:color w:val="auto"/>
              </w:rPr>
            </w:pPr>
            <w:r>
              <w:rPr>
                <w:rFonts w:ascii="Arial" w:cs="Arial" w:eastAsia="Arial" w:hAnsi="Arial"/>
                <w:sz w:val="18"/>
                <w:szCs w:val="18"/>
                <w:color w:val="003082"/>
              </w:rPr>
              <w:t>47.54%-50.01%</w:t>
            </w:r>
          </w:p>
        </w:tc>
        <w:tc>
          <w:tcPr>
            <w:tcW w:w="100" w:type="dxa"/>
            <w:vAlign w:val="bottom"/>
          </w:tcPr>
          <w:p>
            <w:pPr>
              <w:spacing w:after="0"/>
              <w:rPr>
                <w:sz w:val="23"/>
                <w:szCs w:val="23"/>
                <w:color w:val="auto"/>
              </w:rPr>
            </w:pPr>
          </w:p>
        </w:tc>
        <w:tc>
          <w:tcPr>
            <w:tcW w:w="1840" w:type="dxa"/>
            <w:vAlign w:val="bottom"/>
          </w:tcPr>
          <w:p>
            <w:pPr>
              <w:jc w:val="right"/>
              <w:ind w:right="94"/>
              <w:spacing w:after="0"/>
              <w:rPr>
                <w:sz w:val="20"/>
                <w:szCs w:val="20"/>
                <w:color w:val="auto"/>
              </w:rPr>
            </w:pPr>
            <w:r>
              <w:rPr>
                <w:rFonts w:ascii="Arial" w:cs="Arial" w:eastAsia="Arial" w:hAnsi="Arial"/>
                <w:sz w:val="18"/>
                <w:szCs w:val="18"/>
                <w:color w:val="003082"/>
              </w:rPr>
              <w:t>49.31%-50.01%</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003082"/>
              </w:rPr>
              <w:t>47.29%</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Expected forfeiture rate (post-vesting)</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0%-3%</w:t>
            </w: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003082"/>
              </w:rPr>
              <w:t>________________</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53"/>
        </w:numPr>
        <w:rPr>
          <w:rFonts w:ascii="Arial" w:cs="Arial" w:eastAsia="Arial" w:hAnsi="Arial"/>
          <w:sz w:val="16"/>
          <w:szCs w:val="16"/>
          <w:color w:val="003082"/>
        </w:rPr>
      </w:pPr>
      <w:r>
        <w:rPr>
          <w:rFonts w:ascii="Arial" w:cs="Arial" w:eastAsia="Arial" w:hAnsi="Arial"/>
          <w:sz w:val="16"/>
          <w:szCs w:val="16"/>
          <w:color w:val="003082"/>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53"/>
        </w:numPr>
        <w:rPr>
          <w:rFonts w:ascii="Arial" w:cs="Arial" w:eastAsia="Arial" w:hAnsi="Arial"/>
          <w:sz w:val="16"/>
          <w:szCs w:val="16"/>
          <w:color w:val="003082"/>
        </w:rPr>
      </w:pPr>
      <w:r>
        <w:rPr>
          <w:rFonts w:ascii="Arial" w:cs="Arial" w:eastAsia="Arial" w:hAnsi="Arial"/>
          <w:sz w:val="16"/>
          <w:szCs w:val="16"/>
          <w:color w:val="003082"/>
        </w:rPr>
        <w:t>We have no history or expectation of paying dividends on our ordinary shares.</w:t>
      </w:r>
    </w:p>
    <w:p>
      <w:pPr>
        <w:spacing w:after="0" w:line="5" w:lineRule="exact"/>
        <w:rPr>
          <w:rFonts w:ascii="Arial" w:cs="Arial" w:eastAsia="Arial" w:hAnsi="Arial"/>
          <w:sz w:val="16"/>
          <w:szCs w:val="16"/>
          <w:color w:val="003082"/>
        </w:rPr>
      </w:pPr>
    </w:p>
    <w:p>
      <w:pPr>
        <w:ind w:left="340" w:hanging="332"/>
        <w:spacing w:after="0"/>
        <w:tabs>
          <w:tab w:leader="none" w:pos="340" w:val="left"/>
        </w:tabs>
        <w:numPr>
          <w:ilvl w:val="0"/>
          <w:numId w:val="53"/>
        </w:numPr>
        <w:rPr>
          <w:rFonts w:ascii="Arial" w:cs="Arial" w:eastAsia="Arial" w:hAnsi="Arial"/>
          <w:sz w:val="16"/>
          <w:szCs w:val="16"/>
          <w:color w:val="003082"/>
        </w:rPr>
      </w:pPr>
      <w:r>
        <w:rPr>
          <w:rFonts w:ascii="Arial" w:cs="Arial" w:eastAsia="Arial" w:hAnsi="Arial"/>
          <w:sz w:val="16"/>
          <w:szCs w:val="16"/>
          <w:color w:val="003082"/>
        </w:rPr>
        <w:t>Expected volatility is estimated based on the average of historical volatilities of the comparable companies in the same industry as at the valuation dates.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Substantially all of our operations are within the PRC and the United States,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107</w:t>
      </w:r>
    </w:p>
    <w:p>
      <w:pPr>
        <w:sectPr>
          <w:pgSz w:w="11900" w:h="16838" w:orient="portrait"/>
          <w:cols w:equalWidth="0" w:num="1">
            <w:col w:w="11240"/>
          </w:cols>
          <w:pgMar w:left="320" w:top="341" w:right="339" w:bottom="1440" w:gutter="0" w:footer="0" w:header="0"/>
        </w:sectPr>
      </w:pPr>
    </w:p>
    <w:bookmarkStart w:id="112" w:name="page113"/>
    <w:bookmarkEnd w:id="112"/>
    <w:p>
      <w:pPr>
        <w:ind w:left="340"/>
        <w:spacing w:after="0"/>
        <w:rPr>
          <w:sz w:val="20"/>
          <w:szCs w:val="20"/>
          <w:color w:val="auto"/>
        </w:rPr>
      </w:pPr>
      <w:r>
        <w:rPr>
          <w:rFonts w:ascii="Arial" w:cs="Arial" w:eastAsia="Arial" w:hAnsi="Arial"/>
          <w:sz w:val="18"/>
          <w:szCs w:val="18"/>
          <w:b w:val="1"/>
          <w:bCs w:val="1"/>
          <w:i w:val="1"/>
          <w:iCs w:val="1"/>
          <w:color w:val="003082"/>
        </w:rPr>
        <w:t>Foreign Exchange Risk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Foreign currency risk arises from future commercial transactions and recognized assets and liabilities. A substantial majority of our revenue-generating transactions and expense-related transactions are denominated in Renminbi, which is the functional currency of our WFOE and VIE in the PRC. Our commercial transactions outside the PRC are primarily denominated in U.S. dollars. We do not hedge against currency risk.</w:t>
      </w:r>
    </w:p>
    <w:p>
      <w:pPr>
        <w:spacing w:after="0" w:line="1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or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As of March 31, 2020, we had Renminbi-denominated cash and cash equivalents of RMB 136.9 million. We estimate that a 10% depreciation of Renminbi against the U.S. dollar based on the foreign exchange rate on March 31, 2020 would result in a change of our holding U.S. dollar equivalents of US$ 1.8 million for cash and cash equivalents.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Interest Rate Sensitivity</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Cash and short-term investments were held primarily in bank and time deposits. The fair value of our cash and short-term investments would not be significantly affected by either an increase or decrease in interest rates due mainly to the short-term nature of these instruments.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Inflation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Emerging Growth Company Status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avail ourselves of this exemption. Section 107 of the JOBS Act provides that our decision to opt out of the extended transition period for complying with new or revised accounting standards is irrevocable.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108</w:t>
      </w:r>
    </w:p>
    <w:p>
      <w:pPr>
        <w:sectPr>
          <w:pgSz w:w="11900" w:h="16838" w:orient="portrait"/>
          <w:cols w:equalWidth="0" w:num="1">
            <w:col w:w="11240"/>
          </w:cols>
          <w:pgMar w:left="320" w:top="449"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003082"/>
        </w:rPr>
        <w:t>Recent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See Note 2(ee) to our audited consolidated financial statements and Note 2(q) to our unaudited interim condensed consolidated financial statements included elsewhere in this prospectus for additional information regarding recent accounting pronouncements.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109</w:t>
      </w:r>
    </w:p>
    <w:p>
      <w:pPr>
        <w:sectPr>
          <w:pgSz w:w="11900" w:h="16838" w:orient="portrait"/>
          <w:cols w:equalWidth="0" w:num="1">
            <w:col w:w="11240"/>
          </w:cols>
          <w:pgMar w:left="320" w:top="445"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003082"/>
        </w:rPr>
        <w:t>A LETTER FROM OUR FOUNDER, CHAIRMAN AND CEO</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003082"/>
        </w:rPr>
        <w:t>Dear Investors,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Thank you for reading this letter and considering an investment in Agora. My name is Tony Zhao and I’m the founder, chairman and CEO of Agora. It is my privilege to share with you where we come from, who we are and the future we’re striving for.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Complex Problem, Simple Solution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 have been a software developer for more than 30 years. I was a founding engineer at Webex and later CTO of YY Inc, and I helped both companies build technology that enables real-time video and voice engagement.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Enabling real-time video engagement via the internet presents complex technical challenges. I still remember how frustrated I was when my video sessions ran into problems due to network or device issues despite my seemingly perfect code.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In late 2013, when I saw more and more people holding a smartphone, which is an ideal device for video engagement, I knew that many developers would want to build video-engagement features into their mobile apps. I thought they shouldn’t have to go through the same suffering I did. If we could pack all the sophisticated technology and hard-learned lessons into a cloud service accessible through simple APIs, we would make future developers’ lives easier.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Agora was born with this simple idea.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Video Engagement is Moving Contextual</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Since we released our first APIs in 2014, developers around the world have used our APIs to create use cases and experiences that far exceed our imagination: thousands of people watching a live concert and interacting with the performer through video; people playing a poker or werewolf game while seeing each other; students solving a puzzle together through video and animation … the list just goes on and on.</w:t>
      </w:r>
    </w:p>
    <w:p>
      <w:pPr>
        <w:spacing w:after="0" w:line="13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003082"/>
        </w:rPr>
        <w:t>Experiences like these can hardly be called communication in the traditional sense. Communication is about exchanging information. In the examples above, the video link happens in a context, such as a concert, game or classroom, and then it is less about exchanging information, and more about creating a shared environment and living the “now” moment together. Essentially, contextual video engagement is moving people’s lives online.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Engagement Anytime, Anywhere, in Any App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But the world is still in the early stages of embracing contextual video engagement.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People are social creatures. Almost everything we do involves interacting and engaging with others. We see a future where most things we do offline today through face-to-face engagement, we will be able to do online through contextual video engagement, with near real-life or even better-than-real-life experiences.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So where will Agora be in this future?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word “Agora” is Greek for an open gathering space. It also means “now” in Portuguese. These meanings perfectly represent who we are. The future of real-time engagement will be built by app developers, and we want to empower them with our technology and community to ultimately allow everyone to engage with anyone, anytime, anywhere and in any app.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A Company Built for Innovation</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At Agora, we create value for customers and generate revenue and profit through innovation. We win on the quality of experience we deliver for our customers. It is therefore crucial for us to create and maintain a culture that fosters innovation. Without it, we simply can’t survive.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110</w:t>
      </w:r>
    </w:p>
    <w:p>
      <w:pPr>
        <w:sectPr>
          <w:pgSz w:w="11900" w:h="16838" w:orient="portrait"/>
          <w:cols w:equalWidth="0" w:num="1">
            <w:col w:w="11240"/>
          </w:cols>
          <w:pgMar w:left="320" w:top="445" w:right="339" w:bottom="1440" w:gutter="0" w:footer="0" w:header="0"/>
        </w:sectPr>
      </w:pPr>
    </w:p>
    <w:bookmarkStart w:id="115" w:name="page116"/>
    <w:bookmarkEnd w:id="115"/>
    <w:p>
      <w:pPr>
        <w:jc w:val="both"/>
        <w:ind w:firstLine="324"/>
        <w:spacing w:after="0" w:line="286" w:lineRule="auto"/>
        <w:rPr>
          <w:sz w:val="20"/>
          <w:szCs w:val="20"/>
          <w:color w:val="auto"/>
        </w:rPr>
      </w:pPr>
      <w:r>
        <w:rPr>
          <w:rFonts w:ascii="Arial" w:cs="Arial" w:eastAsia="Arial" w:hAnsi="Arial"/>
          <w:sz w:val="17"/>
          <w:szCs w:val="17"/>
          <w:color w:val="003082"/>
        </w:rPr>
        <w:t>We want Agora to be like a university: open, transparent, equal and free. We provide everyone on our team with as much information and context as possible. We encourage everyone to raise questions and offer a different perspective. Decisions are not made by rank, but through collective thinking and weighing of options based on fact. Everyone gets the same desk and shares the same open office space, including the CEO.</w:t>
      </w:r>
    </w:p>
    <w:p>
      <w:pPr>
        <w:spacing w:after="0" w:line="1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We hire people who are ambitious yet humble, curious, have a point of view, love a challenge, and seek perfection. We love geeks. We expect everyone to uphold our values: Customer Centric, Results Driven, Teamwork, Mindful Communication, Excellence and Create with Joy.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This is our secret sauce.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We invite you to join our journey. We can’t promise you the road won’t be bumpy. But we know this is a future worth striving for and we will give it our very best.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186055</wp:posOffset>
            </wp:positionV>
            <wp:extent cx="101155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11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Tony Zhao</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Founder, Chairman and CEO of Agora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111</w:t>
      </w:r>
    </w:p>
    <w:p>
      <w:pPr>
        <w:sectPr>
          <w:pgSz w:w="11900" w:h="16838" w:orient="portrait"/>
          <w:cols w:equalWidth="0" w:num="1">
            <w:col w:w="11240"/>
          </w:cols>
          <w:pgMar w:left="320" w:top="34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003082"/>
        </w:rPr>
        <w:t>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Rise of Platform-as-a-Service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Cloud computing services broadly fall under three categories, Software-as-a-Service, or SaaS, Infrastructure-as-a-Service, or IaaS, and Platform-as-a-Service, or PaaS.</w:t>
      </w:r>
    </w:p>
    <w:p>
      <w:pPr>
        <w:spacing w:after="0" w:line="11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003082"/>
        </w:rPr>
        <w:t>SaaS provides software applications that are hosted remotely and delivered as a subscription service, thereby minimizing the expense of maintaining and upgrading software over its life span. Some of the earliest examples of SaaS applications include customer relationship management software from salesforce.com and human capital management software from Workday. Zoom and Slack are more recent examples of SaaS applications.</w:t>
      </w:r>
    </w:p>
    <w:p>
      <w:pPr>
        <w:spacing w:after="0" w:line="9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003082"/>
        </w:rPr>
        <w:t>The inherent benefits of the ‘as-a-Service’ model have over time extended to how compute, storage and networking resources were made available to organizations as a metered, on-demand and scalable service so companies can adjust their usage of these resources according to their needs. This gave birth to the market for IaaS, with providers such as Amazon Web Services, Microsoft Azure, Google Compute Platform, Alibaba Cloud and Tencent Cloud.</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With the proliferation of SaaS and IaaS, companies of all sizes are utilizing the cloud to increase their cost efficiency, flexibility and competitiveness. The role of software has evolved from traditional back office functions to become a strategic driver of how digital enterprises deliver competitive differentiation. As a result, there is a heightened focus on organizations to reduce their software development cycles and release new features at a faster pace. PaaS has emerged as a powerful way to improve the efficiencies of software development, where developers can assemble ready-made software components connected to a cloud-based service instead of developing everything from scratch.</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Over the past decade, many innovative categories of PaaS solutions such as payments platforms like Square and Stripe and communication platforms like Twilio have emerged. Software development kits, or SDKs, supplied by PaaS vendors provide developers with software modules, documentation, development tools and various application programming interfaces, or APIs. These APIs allow developers to easily access and integrate various services from PaaS providers. Organizations continue to leverage the simplicity, modularity, flexibility and cost effectiveness of PaaS solutions to embed differentiated features into their software applications and accelerate their time to market.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Users Demand Real-Time and Immersive Experiences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Online experiences used to be largely asynchronous. Content was first created and later consumed. Colleagues would wait minutes if not hours for the reply to an email, or buyers would wait for the reply to a question regarding merchandise from a seller. With the proliferation of smartphones and the ubiquity of the internet, users increasingly demand real-time and interactive experiences. Content is now created, consumed and interacted with at the same time. Colleagues can collaborate by maintaining a constant voice or chat connection, or buyers are able to receive instant responses from sellers through chat or calls inside the application before placing an order. Moreover, users expect such real-time experiences to happen within the applications instead of switching applications or devices.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Video is increasingly the preferred medium for real-time and interactive experiences. According to SensorTower, in the fourth quarter of 2019, the top five most downloaded applications worldwide were WhatsApp, TikTok, Facebook, Facebook Messenger and Instagram-all of which have built-in video capabilities that allow users to create, share, watch and engage with one another. Social network applications such as WeChat and WhatsApp have also popularized real-time video engagement between friends and family. Video engagement allows users to see facial expressions, emotions, body language and the surrounding environment, resulting in a natural and immersive experience.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112</w:t>
      </w:r>
    </w:p>
    <w:p>
      <w:pPr>
        <w:sectPr>
          <w:pgSz w:w="11900" w:h="16838" w:orient="portrait"/>
          <w:cols w:equalWidth="0" w:num="1">
            <w:col w:w="11240"/>
          </w:cols>
          <w:pgMar w:left="320" w:top="44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003082"/>
        </w:rPr>
        <w:t>Emergence of Real-Time Engagement PaaS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Users’ demand for real-time and immersive experiences, coupled with developers’ growing acceptance of PaaS solutions, have led to the emergence of real-time engagement PaaS, or RTE-PaaS. RTE-PaaS provides the software and infrastructure needed to enable real-time engagement through video, voice or messaging over the internet within applications.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demand for RTE-PaaS is primarily driven by the following types of use cases: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003082"/>
        </w:rPr>
      </w:pPr>
      <w:r>
        <w:rPr>
          <w:rFonts w:ascii="Arial" w:cs="Arial" w:eastAsia="Arial" w:hAnsi="Arial"/>
          <w:sz w:val="18"/>
          <w:szCs w:val="18"/>
          <w:b w:val="1"/>
          <w:bCs w:val="1"/>
          <w:i w:val="1"/>
          <w:iCs w:val="1"/>
          <w:color w:val="003082"/>
        </w:rPr>
        <w:t>Social, Education, Entertainment and Gaming</w:t>
      </w:r>
      <w:r>
        <w:rPr>
          <w:rFonts w:ascii="Arial" w:cs="Arial" w:eastAsia="Arial" w:hAnsi="Arial"/>
          <w:sz w:val="18"/>
          <w:szCs w:val="18"/>
          <w:color w:val="003082"/>
        </w:rPr>
        <w:t>. Real-time and immersive experiences promote application usage which leads to higher user</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retention and increased willingness to pay. Common use cases include one-to-one and group video and voice chat, remote classroom, live interactive streaming and video or voice interactions in multi-player games.</w:t>
      </w:r>
    </w:p>
    <w:p>
      <w:pPr>
        <w:spacing w:after="0" w:line="129" w:lineRule="exact"/>
        <w:rPr>
          <w:rFonts w:ascii="Arial" w:cs="Arial" w:eastAsia="Arial" w:hAnsi="Arial"/>
          <w:sz w:val="18"/>
          <w:szCs w:val="18"/>
          <w:color w:val="003082"/>
        </w:rPr>
      </w:pPr>
    </w:p>
    <w:p>
      <w:pPr>
        <w:jc w:val="both"/>
        <w:ind w:left="660" w:hanging="328"/>
        <w:spacing w:after="0" w:line="311" w:lineRule="auto"/>
        <w:tabs>
          <w:tab w:leader="none" w:pos="660" w:val="left"/>
        </w:tabs>
        <w:numPr>
          <w:ilvl w:val="0"/>
          <w:numId w:val="54"/>
        </w:numPr>
        <w:rPr>
          <w:rFonts w:ascii="Arial" w:cs="Arial" w:eastAsia="Arial" w:hAnsi="Arial"/>
          <w:sz w:val="16"/>
          <w:szCs w:val="16"/>
          <w:color w:val="003082"/>
        </w:rPr>
      </w:pPr>
      <w:r>
        <w:rPr>
          <w:rFonts w:ascii="Arial" w:cs="Arial" w:eastAsia="Arial" w:hAnsi="Arial"/>
          <w:sz w:val="16"/>
          <w:szCs w:val="16"/>
          <w:b w:val="1"/>
          <w:bCs w:val="1"/>
          <w:i w:val="1"/>
          <w:iCs w:val="1"/>
          <w:color w:val="003082"/>
        </w:rPr>
        <w:t>Enterprise Solutions</w:t>
      </w:r>
      <w:r>
        <w:rPr>
          <w:rFonts w:ascii="Arial" w:cs="Arial" w:eastAsia="Arial" w:hAnsi="Arial"/>
          <w:sz w:val="16"/>
          <w:szCs w:val="16"/>
          <w:i w:val="1"/>
          <w:iCs w:val="1"/>
          <w:color w:val="003082"/>
        </w:rPr>
        <w:t>.</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Increased user engagement and closer collaboration is catalyzing innovation and driving agility across enterprises. Common</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use cases include video conferencing and engagement-oriented workflows such as sales, customer support and consultation. These workflows span a diversified mix of industries including healthcare, financial services, e-commerce, professional services, field services and utilities.</w:t>
      </w:r>
    </w:p>
    <w:p>
      <w:pPr>
        <w:spacing w:after="0" w:line="94" w:lineRule="exact"/>
        <w:rPr>
          <w:rFonts w:ascii="Arial" w:cs="Arial" w:eastAsia="Arial" w:hAnsi="Arial"/>
          <w:sz w:val="16"/>
          <w:szCs w:val="16"/>
          <w:color w:val="003082"/>
        </w:rPr>
      </w:pPr>
    </w:p>
    <w:p>
      <w:pPr>
        <w:jc w:val="both"/>
        <w:ind w:left="660" w:hanging="328"/>
        <w:spacing w:after="0" w:line="263" w:lineRule="auto"/>
        <w:tabs>
          <w:tab w:leader="none" w:pos="660" w:val="left"/>
        </w:tabs>
        <w:numPr>
          <w:ilvl w:val="0"/>
          <w:numId w:val="54"/>
        </w:numPr>
        <w:rPr>
          <w:rFonts w:ascii="Arial" w:cs="Arial" w:eastAsia="Arial" w:hAnsi="Arial"/>
          <w:sz w:val="18"/>
          <w:szCs w:val="18"/>
          <w:color w:val="003082"/>
        </w:rPr>
      </w:pPr>
      <w:r>
        <w:rPr>
          <w:rFonts w:ascii="Arial" w:cs="Arial" w:eastAsia="Arial" w:hAnsi="Arial"/>
          <w:sz w:val="18"/>
          <w:szCs w:val="18"/>
          <w:b w:val="1"/>
          <w:bCs w:val="1"/>
          <w:i w:val="1"/>
          <w:iCs w:val="1"/>
          <w:color w:val="003082"/>
        </w:rPr>
        <w:t>Internet of Things (IoT)</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Real-time video and voice engagement across IoT devices is driving operational optimization, enhancing public safety</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and increasing employee productivity. As 5G deployment accelerates and the commercial and consumer usage of the network expands, real-time video is expected to become mainstream across several emerging IoT use cases.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RTE-PaaS primarily addresses a growing number of use cases within the broader Communications PaaS, or CPaaS, industry. CPaaS enables developers to integrate communications capabilities into applications, such as programmable voice calls, application-to-peer, or A2P, SMS and programmable video, among others. Unlike traditional programmable voice and A2P SMS, which are application to phone, RTE technologies are purely application-to-application. This has resulted in compelling advantages for RTE solutions:</w:t>
      </w:r>
    </w:p>
    <w:p>
      <w:pPr>
        <w:spacing w:after="0" w:line="133" w:lineRule="exact"/>
        <w:rPr>
          <w:sz w:val="20"/>
          <w:szCs w:val="20"/>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003082"/>
        </w:rPr>
      </w:pPr>
      <w:r>
        <w:rPr>
          <w:rFonts w:ascii="Arial" w:cs="Arial" w:eastAsia="Arial" w:hAnsi="Arial"/>
          <w:sz w:val="18"/>
          <w:szCs w:val="18"/>
          <w:b w:val="1"/>
          <w:bCs w:val="1"/>
          <w:i w:val="1"/>
          <w:iCs w:val="1"/>
          <w:color w:val="003082"/>
        </w:rPr>
        <w:t>Video Offerings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Unlike legacy A2P offerings that are unable to provide video solutions, RTE is well positioned to deliver real-time video</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engagement.</w:t>
      </w:r>
    </w:p>
    <w:p>
      <w:pPr>
        <w:spacing w:after="0" w:line="116" w:lineRule="exact"/>
        <w:rPr>
          <w:rFonts w:ascii="Arial" w:cs="Arial" w:eastAsia="Arial" w:hAnsi="Arial"/>
          <w:sz w:val="18"/>
          <w:szCs w:val="18"/>
          <w:color w:val="003082"/>
        </w:rPr>
      </w:pPr>
    </w:p>
    <w:p>
      <w:pPr>
        <w:ind w:left="660" w:right="20" w:hanging="328"/>
        <w:spacing w:after="0" w:line="277" w:lineRule="auto"/>
        <w:tabs>
          <w:tab w:leader="none" w:pos="660" w:val="left"/>
        </w:tabs>
        <w:numPr>
          <w:ilvl w:val="0"/>
          <w:numId w:val="55"/>
        </w:numPr>
        <w:rPr>
          <w:rFonts w:ascii="Arial" w:cs="Arial" w:eastAsia="Arial" w:hAnsi="Arial"/>
          <w:sz w:val="18"/>
          <w:szCs w:val="18"/>
          <w:color w:val="003082"/>
        </w:rPr>
      </w:pPr>
      <w:r>
        <w:rPr>
          <w:rFonts w:ascii="Arial" w:cs="Arial" w:eastAsia="Arial" w:hAnsi="Arial"/>
          <w:sz w:val="18"/>
          <w:szCs w:val="18"/>
          <w:b w:val="1"/>
          <w:bCs w:val="1"/>
          <w:i w:val="1"/>
          <w:iCs w:val="1"/>
          <w:color w:val="003082"/>
        </w:rPr>
        <w:t>Cost Efficiency</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RTE technologies consume bandwidth which is much cheaper than voice minutes and SMS messages purchased from telecom</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operators.</w:t>
      </w:r>
    </w:p>
    <w:p>
      <w:pPr>
        <w:spacing w:after="0" w:line="116" w:lineRule="exact"/>
        <w:rPr>
          <w:rFonts w:ascii="Arial" w:cs="Arial" w:eastAsia="Arial" w:hAnsi="Arial"/>
          <w:sz w:val="18"/>
          <w:szCs w:val="18"/>
          <w:color w:val="003082"/>
        </w:rPr>
      </w:pPr>
    </w:p>
    <w:p>
      <w:pPr>
        <w:ind w:left="660" w:right="20" w:hanging="328"/>
        <w:spacing w:after="0" w:line="277" w:lineRule="auto"/>
        <w:tabs>
          <w:tab w:leader="none" w:pos="660" w:val="left"/>
        </w:tabs>
        <w:numPr>
          <w:ilvl w:val="0"/>
          <w:numId w:val="55"/>
        </w:numPr>
        <w:rPr>
          <w:rFonts w:ascii="Arial" w:cs="Arial" w:eastAsia="Arial" w:hAnsi="Arial"/>
          <w:sz w:val="18"/>
          <w:szCs w:val="18"/>
          <w:color w:val="003082"/>
        </w:rPr>
      </w:pPr>
      <w:r>
        <w:rPr>
          <w:rFonts w:ascii="Arial" w:cs="Arial" w:eastAsia="Arial" w:hAnsi="Arial"/>
          <w:sz w:val="18"/>
          <w:szCs w:val="18"/>
          <w:b w:val="1"/>
          <w:bCs w:val="1"/>
          <w:i w:val="1"/>
          <w:iCs w:val="1"/>
          <w:color w:val="003082"/>
        </w:rPr>
        <w:t>Immersive and Convenient Application Experiences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Since RTE technologies enable video, voice and chat engagement to occur natively within</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applications, end users are able to enjoy smoother, more immersive and more convenient experiences.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55"/>
        </w:numPr>
        <w:rPr>
          <w:rFonts w:ascii="Arial" w:cs="Arial" w:eastAsia="Arial" w:hAnsi="Arial"/>
          <w:sz w:val="16"/>
          <w:szCs w:val="16"/>
          <w:color w:val="003082"/>
        </w:rPr>
      </w:pPr>
      <w:r>
        <w:rPr>
          <w:rFonts w:ascii="Arial" w:cs="Arial" w:eastAsia="Arial" w:hAnsi="Arial"/>
          <w:sz w:val="16"/>
          <w:szCs w:val="16"/>
          <w:b w:val="1"/>
          <w:bCs w:val="1"/>
          <w:i w:val="1"/>
          <w:iCs w:val="1"/>
          <w:color w:val="003082"/>
        </w:rPr>
        <w:t>Privacy</w:t>
      </w:r>
      <w:r>
        <w:rPr>
          <w:rFonts w:ascii="Arial" w:cs="Arial" w:eastAsia="Arial" w:hAnsi="Arial"/>
          <w:sz w:val="16"/>
          <w:szCs w:val="16"/>
          <w:i w:val="1"/>
          <w:iCs w:val="1"/>
          <w:color w:val="003082"/>
        </w:rPr>
        <w:t>.</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With RTE technologies, end users are able to prevent disclosing their phone numbers through the use of proper in-application masking.</w:t>
      </w:r>
    </w:p>
    <w:p>
      <w:pPr>
        <w:spacing w:after="0" w:line="1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These technological advantages have allowed CPaaS vendors that have RTE capabilities to grow faster than the overall CPaaS market, as they continue to enable new use cases while also converting use cases that leaned on traditional programmable voice and A2P SMS solutions.</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RTE-PaaS also addresses use cases in Content Delivery Networks, or CDNs, and Collaborative Applications market adjacencies. CDNs suffer from a number of technical limitations that make them particularly ill-equipped in addressing changing end user, developer and enterprise requirements, including multi-way interactive engagement. For instance, while CDNs can be effective in streaming an online class to students, its architecture optimized for one-way content distribution is unable to handle real-time multi-way engagement between students and teacher through video. As online experiences become more interactive, the technology backbone of many applications is expected to transition from one-way distribution enabled by traditional CDNs to multi-way engagement powered by RTE-PaaS. RTE-PaaS can also be used as the backbone for building Collaborative Applications, including web, audio and video conferencing solutions.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113</w:t>
      </w:r>
    </w:p>
    <w:p>
      <w:pPr>
        <w:sectPr>
          <w:pgSz w:w="11900" w:h="16838" w:orient="portrait"/>
          <w:cols w:equalWidth="0" w:num="1">
            <w:col w:w="11240"/>
          </w:cols>
          <w:pgMar w:left="320" w:top="44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003082"/>
        </w:rPr>
        <w:t>Technological Challenges to Delivering Real-Time Engagement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represent significant technological challenges in developing solutions that deliver real-time engagement capabilities: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56"/>
        </w:numPr>
        <w:rPr>
          <w:rFonts w:ascii="Arial" w:cs="Arial" w:eastAsia="Arial" w:hAnsi="Arial"/>
          <w:sz w:val="18"/>
          <w:szCs w:val="18"/>
          <w:color w:val="003082"/>
        </w:rPr>
      </w:pPr>
      <w:r>
        <w:rPr>
          <w:rFonts w:ascii="Arial" w:cs="Arial" w:eastAsia="Arial" w:hAnsi="Arial"/>
          <w:sz w:val="18"/>
          <w:szCs w:val="18"/>
          <w:b w:val="1"/>
          <w:bCs w:val="1"/>
          <w:i w:val="1"/>
          <w:iCs w:val="1"/>
          <w:color w:val="003082"/>
        </w:rPr>
        <w:t>The Public Internet is not Ideal for RTE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The public internet as it stands is an open and best efforts network with no assurance of service quality,</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which is not ideal for RTE. Network conditions vary across time of day, geographies and network operators, often causing significant data packet loss and high latency. Real-time video engagement is particularly challenging as it requires much higher data volume, bandwidth and computing power than other forms of engagement.</w:t>
      </w:r>
    </w:p>
    <w:p>
      <w:pPr>
        <w:spacing w:after="0" w:line="132" w:lineRule="exact"/>
        <w:rPr>
          <w:rFonts w:ascii="Arial" w:cs="Arial" w:eastAsia="Arial" w:hAnsi="Arial"/>
          <w:sz w:val="18"/>
          <w:szCs w:val="18"/>
          <w:color w:val="003082"/>
        </w:rPr>
      </w:pPr>
    </w:p>
    <w:p>
      <w:pPr>
        <w:jc w:val="both"/>
        <w:ind w:left="660" w:hanging="328"/>
        <w:spacing w:after="0" w:line="272" w:lineRule="auto"/>
        <w:tabs>
          <w:tab w:leader="none" w:pos="660" w:val="left"/>
        </w:tabs>
        <w:numPr>
          <w:ilvl w:val="0"/>
          <w:numId w:val="56"/>
        </w:numPr>
        <w:rPr>
          <w:rFonts w:ascii="Arial" w:cs="Arial" w:eastAsia="Arial" w:hAnsi="Arial"/>
          <w:sz w:val="17"/>
          <w:szCs w:val="17"/>
          <w:color w:val="003082"/>
        </w:rPr>
      </w:pPr>
      <w:r>
        <w:rPr>
          <w:rFonts w:ascii="Arial" w:cs="Arial" w:eastAsia="Arial" w:hAnsi="Arial"/>
          <w:sz w:val="17"/>
          <w:szCs w:val="17"/>
          <w:b w:val="1"/>
          <w:bCs w:val="1"/>
          <w:i w:val="1"/>
          <w:iCs w:val="1"/>
          <w:color w:val="003082"/>
        </w:rPr>
        <w:t>Multi-way RTE is Significantly more Complex than One-way Content Delivery</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The majority of public internet traffic flows downstream from</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content providers to users. One-way content delivery can be addressed by building widely distributed data warehouses and caching data near end users. However, real-time engagement is by definition at least two-way and involves transmission of data back and forth between users under varying network conditions, sometimes across distant geographies. As more users join an engagement, the amount of data transmitted and the associated technical complexity increase significantly. Even more challenging is the low latency requirement. To deliver effective real-time video or voice engagement, multiple data streams need to be created, transmitted, synchronized and consumed simultaneously with millisecond end-to-end latency. A problem at any step would be immediately noticed by end users.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Growth Drivers for the RTE-PaaS Industry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trends are expected to be the key growth drivers of the RTE-PaaS industry:</w:t>
      </w:r>
    </w:p>
    <w:p>
      <w:pPr>
        <w:spacing w:after="0" w:line="171" w:lineRule="exact"/>
        <w:rPr>
          <w:sz w:val="20"/>
          <w:szCs w:val="20"/>
          <w:color w:val="auto"/>
        </w:rPr>
      </w:pPr>
    </w:p>
    <w:p>
      <w:pPr>
        <w:jc w:val="both"/>
        <w:ind w:left="660" w:hanging="328"/>
        <w:spacing w:after="0" w:line="301" w:lineRule="auto"/>
        <w:tabs>
          <w:tab w:leader="none" w:pos="660" w:val="left"/>
        </w:tabs>
        <w:numPr>
          <w:ilvl w:val="0"/>
          <w:numId w:val="57"/>
        </w:numPr>
        <w:rPr>
          <w:rFonts w:ascii="Arial" w:cs="Arial" w:eastAsia="Arial" w:hAnsi="Arial"/>
          <w:sz w:val="16"/>
          <w:szCs w:val="16"/>
          <w:color w:val="003082"/>
        </w:rPr>
      </w:pPr>
      <w:r>
        <w:rPr>
          <w:rFonts w:ascii="Arial" w:cs="Arial" w:eastAsia="Arial" w:hAnsi="Arial"/>
          <w:sz w:val="16"/>
          <w:szCs w:val="16"/>
          <w:b w:val="1"/>
          <w:bCs w:val="1"/>
          <w:i w:val="1"/>
          <w:iCs w:val="1"/>
          <w:color w:val="003082"/>
        </w:rPr>
        <w:t>Convergence of Adoption Trends</w:t>
      </w:r>
      <w:r>
        <w:rPr>
          <w:rFonts w:ascii="Arial" w:cs="Arial" w:eastAsia="Arial" w:hAnsi="Arial"/>
          <w:sz w:val="16"/>
          <w:szCs w:val="16"/>
          <w:i w:val="1"/>
          <w:iCs w:val="1"/>
          <w:color w:val="003082"/>
        </w:rPr>
        <w:t>.</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The pace of RTE-PaaS adoption varies across regions. In the United States, enterprise applications drive the</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market, with digital transformation, omni-channel customer interactions and integrated platform tools being the key technology growth drivers. In China and other countries in the Asia Pacific region, consumer applications in social, education, entertainment and gaming drive adoption of RTE-PaaS solutions. Over time, it is expected that adoption across enterprise and consumer use cases will converge globally.</w:t>
      </w:r>
    </w:p>
    <w:p>
      <w:pPr>
        <w:spacing w:after="0" w:line="103" w:lineRule="exact"/>
        <w:rPr>
          <w:rFonts w:ascii="Arial" w:cs="Arial" w:eastAsia="Arial" w:hAnsi="Arial"/>
          <w:sz w:val="16"/>
          <w:szCs w:val="16"/>
          <w:color w:val="003082"/>
        </w:rPr>
      </w:pPr>
    </w:p>
    <w:p>
      <w:pPr>
        <w:jc w:val="both"/>
        <w:ind w:left="660" w:hanging="328"/>
        <w:spacing w:after="0" w:line="259" w:lineRule="auto"/>
        <w:tabs>
          <w:tab w:leader="none" w:pos="660" w:val="left"/>
        </w:tabs>
        <w:numPr>
          <w:ilvl w:val="0"/>
          <w:numId w:val="57"/>
        </w:numPr>
        <w:rPr>
          <w:rFonts w:ascii="Arial" w:cs="Arial" w:eastAsia="Arial" w:hAnsi="Arial"/>
          <w:sz w:val="18"/>
          <w:szCs w:val="18"/>
          <w:color w:val="003082"/>
        </w:rPr>
      </w:pPr>
      <w:r>
        <w:rPr>
          <w:rFonts w:ascii="Arial" w:cs="Arial" w:eastAsia="Arial" w:hAnsi="Arial"/>
          <w:sz w:val="18"/>
          <w:szCs w:val="18"/>
          <w:b w:val="1"/>
          <w:bCs w:val="1"/>
          <w:i w:val="1"/>
          <w:iCs w:val="1"/>
          <w:color w:val="003082"/>
        </w:rPr>
        <w:t>Organic Growth from Applications Built upon RTE-PaaS solutions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Applications that RTE-PaaS solutions enable have benefited from strong</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organic growth as end users demand a more immersive and high-quality video and voice engagement experience. As the number of applications built upon RTE proliferates and the end-user base and usage of these applications continue to increase, the demand for RTE-PaaS should continue to expand.</w:t>
      </w:r>
    </w:p>
    <w:p>
      <w:pPr>
        <w:spacing w:after="0" w:line="132" w:lineRule="exact"/>
        <w:rPr>
          <w:rFonts w:ascii="Arial" w:cs="Arial" w:eastAsia="Arial" w:hAnsi="Arial"/>
          <w:sz w:val="18"/>
          <w:szCs w:val="18"/>
          <w:color w:val="003082"/>
        </w:rPr>
      </w:pPr>
    </w:p>
    <w:p>
      <w:pPr>
        <w:jc w:val="both"/>
        <w:ind w:left="660" w:hanging="328"/>
        <w:spacing w:after="0" w:line="259" w:lineRule="auto"/>
        <w:tabs>
          <w:tab w:leader="none" w:pos="660" w:val="left"/>
        </w:tabs>
        <w:numPr>
          <w:ilvl w:val="0"/>
          <w:numId w:val="57"/>
        </w:numPr>
        <w:rPr>
          <w:rFonts w:ascii="Arial" w:cs="Arial" w:eastAsia="Arial" w:hAnsi="Arial"/>
          <w:sz w:val="18"/>
          <w:szCs w:val="18"/>
          <w:color w:val="003082"/>
        </w:rPr>
      </w:pPr>
      <w:r>
        <w:rPr>
          <w:rFonts w:ascii="Arial" w:cs="Arial" w:eastAsia="Arial" w:hAnsi="Arial"/>
          <w:sz w:val="18"/>
          <w:szCs w:val="18"/>
          <w:b w:val="1"/>
          <w:bCs w:val="1"/>
          <w:i w:val="1"/>
          <w:iCs w:val="1"/>
          <w:color w:val="003082"/>
        </w:rPr>
        <w:t>Rollout of 5G Will Likely Accelerate Innovation and Proliferation of RTE Use Cases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As 5G networks continue to be deployed, internet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infrastructure will improve generally and, in particular, end users will benefit from a better connection between their devices and the internet backbone. This will allow RTE-PaaS providers to significantly improve the quality of the end-user experience, which could drive popularity and usage of existing use cases and enable new ones, particularly centered on real-time video engagement.</w:t>
      </w:r>
    </w:p>
    <w:p>
      <w:pPr>
        <w:spacing w:after="0" w:line="132" w:lineRule="exact"/>
        <w:rPr>
          <w:rFonts w:ascii="Arial" w:cs="Arial" w:eastAsia="Arial" w:hAnsi="Arial"/>
          <w:sz w:val="18"/>
          <w:szCs w:val="18"/>
          <w:color w:val="003082"/>
        </w:rPr>
      </w:pPr>
    </w:p>
    <w:p>
      <w:pPr>
        <w:jc w:val="both"/>
        <w:ind w:left="660" w:hanging="328"/>
        <w:spacing w:after="0" w:line="273" w:lineRule="auto"/>
        <w:tabs>
          <w:tab w:leader="none" w:pos="660" w:val="left"/>
        </w:tabs>
        <w:numPr>
          <w:ilvl w:val="0"/>
          <w:numId w:val="57"/>
        </w:numPr>
        <w:rPr>
          <w:rFonts w:ascii="Arial" w:cs="Arial" w:eastAsia="Arial" w:hAnsi="Arial"/>
          <w:sz w:val="17"/>
          <w:szCs w:val="17"/>
          <w:color w:val="003082"/>
        </w:rPr>
      </w:pPr>
      <w:r>
        <w:rPr>
          <w:rFonts w:ascii="Arial" w:cs="Arial" w:eastAsia="Arial" w:hAnsi="Arial"/>
          <w:sz w:val="17"/>
          <w:szCs w:val="17"/>
          <w:b w:val="1"/>
          <w:bCs w:val="1"/>
          <w:i w:val="1"/>
          <w:iCs w:val="1"/>
          <w:color w:val="003082"/>
        </w:rPr>
        <w:t>Further Conversion from In-house</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In-house developers often lack the requisite expertise to develop RTE solutions, especially real-time video</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engagement. Even where the expertise exists, building and maintaining the underlying infrastructure is time-consuming and expensive. In addition, developers must continually customize their applications to address the continuous evolution and innovation of phones, PCs and other connected devices with a myriad of combinations of microphones, speakers, cameras and other components. With the rapid pace at which organizations are required to enhance their software applications to stay competitive and meet the evolving needs of their end users, RTE-PaaS solutions are expected to continue to displace in-house developed technologies.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114</w:t>
      </w:r>
    </w:p>
    <w:p>
      <w:pPr>
        <w:sectPr>
          <w:pgSz w:w="11900" w:h="16838" w:orient="portrait"/>
          <w:cols w:equalWidth="0" w:num="1">
            <w:col w:w="11240"/>
          </w:cols>
          <w:pgMar w:left="320" w:top="445"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003082"/>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Our Mission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To make real-time engagement ubiquitous, allowing everyone to interact with anyone, anytime and anywhere.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Overview</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People increasingly use real-time video or voice to interact and engage with others online. Traditionally, such engagement happens as standalone experiences in dedicated communication applications. However, in more and more cases users are looking for contextual real-time video or voice engagement embedded in the application they are already using, rather than having to use another application for that functionality. For example, students in an education application want to see their classmates and work on a group assignment together; players in a poker application want to see each other’s faces to pick up on visual tells; users in a dating application want to see their potential partners as they get to know one another; and buyers in a shopping application want to talk to sellers. The potential opportunities for such contextual real-time video or voice engagement are only limited by one’s imagination.</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However, for many application developers, real-time video and voice engagement functionalities are too difficult and expensive to build. Real-time video or voice engagement requires reliable multi-way transmission of large amounts of data between users at millisecond latency. The public internet, however, is an open and best effort network with no assurance of service quality. Network conditions vary across time of day, geographies and network operators, often causing significant data packet loss and high latency. Furthermore, hardware and software proliferation and fragmentation has exacerbated the challenge developers face in providing broadly compatible solutions.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founded Agora to solve these problems.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We want to empower every developer—whether working as a solo entrepreneur or part of a larger organization—to leverage real-time engagement to create innovative products, elevate user experiences and differentiate themselves from competition.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We pioneered Real-Time Engagement Platform-as-a-Service, or RTE-PaaS, and we are the global leader by market share in this rapidly growing industry. Our platform provides developers simple-to-use, highly customizable and widely compatible application programming interfaces, or APIs, to embed real-time video and voice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4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the month of March 2020 alone, we powered more than 40 billion minutes of real-time engagement for end users in more than 100 countries through more than 10,000 active applications. We define an active application as an application that uses one of our video or voice products for at least one minute in a given month. These applications cover a wide range of industries, including social, education, entertainment, gaming, e-commerce, financial services and healthcare. As of March 31, 2020, we had 1,176 active customers, which we define as customers who generate more than US$100 of revenue during the preceding 12 months. As our customers succeed, we share in their success through our usage-based revenue model. We believe a useful indicator of the increased activity from our customers is our Constant Currency Dollar-Based Net Expansion Rate, which was 133% and 131% for 2018 and 2019, respectively. See the section of this prospectus captioned “Management’s Discussion and Analysis of Financial Condition and Results of Operations—Key Operating and Financial Metrics—Constant Currency Dollar-Based Net Expansion Rate.”</w:t>
      </w:r>
    </w:p>
    <w:p>
      <w:pPr>
        <w:spacing w:after="0" w:line="1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business has experienced rapid growth and is capital efficient. From our inception in 2013 through March 31, 2020, we have raised US$170.4 million of equity capital, net of share and option repurchases, and we had US$151.7 million in cash and cash equivalents as of March 31, 2020. For the three months ended March 31, 2019 and 2020, our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115</w:t>
      </w:r>
    </w:p>
    <w:p>
      <w:pPr>
        <w:sectPr>
          <w:pgSz w:w="11900" w:h="16838" w:orient="portrait"/>
          <w:cols w:equalWidth="0" w:num="1">
            <w:col w:w="11240"/>
          </w:cols>
          <w:pgMar w:left="320" w:top="445" w:right="339" w:bottom="1440" w:gutter="0" w:footer="0" w:header="0"/>
        </w:sectPr>
      </w:pPr>
    </w:p>
    <w:bookmarkStart w:id="120" w:name="page121"/>
    <w:bookmarkEnd w:id="120"/>
    <w:p>
      <w:pPr>
        <w:jc w:val="both"/>
        <w:spacing w:after="0" w:line="272" w:lineRule="auto"/>
        <w:rPr>
          <w:sz w:val="20"/>
          <w:szCs w:val="20"/>
          <w:color w:val="auto"/>
        </w:rPr>
      </w:pPr>
      <w:r>
        <w:rPr>
          <w:rFonts w:ascii="Arial" w:cs="Arial" w:eastAsia="Arial" w:hAnsi="Arial"/>
          <w:sz w:val="17"/>
          <w:szCs w:val="17"/>
          <w:color w:val="003082"/>
        </w:rPr>
        <w:t>total revenue was US$13.4 million and US$35.6 million, respectively, an increase of 165.7%. For the three months ended March 31, 2019 and 2020, our net income (loss) was US$(0.7) million and US$3.0 million, respectively, and our Adjusted EBITDA was US$0.7 million and US$5.5 million, respectively. For 2018 and 2019, our total revenue was US$43.7 million and US$64.4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The Agora Platform</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 These products can be accessed through simple APIs and are fully programmable.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80010</wp:posOffset>
            </wp:positionV>
            <wp:extent cx="5349240" cy="2289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228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003082"/>
        </w:rPr>
        <w:t>The Agora SDK contains all the software modules a developer needs to embed real-time engagement capabilities into an application, such as video and audio capturing, rendering, pre- and post-processing, encoding and decoding, packet loss compensation, as well as first- and last-mile transmission. The Agora SDK is customizable based on the functionalities needed by the developer and runs on end users’ devices as part of the developer’s application.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116</w:t>
      </w:r>
    </w:p>
    <w:p>
      <w:pPr>
        <w:sectPr>
          <w:pgSz w:w="11900" w:h="16838" w:orient="portrait"/>
          <w:cols w:equalWidth="0" w:num="1">
            <w:col w:w="11240"/>
          </w:cols>
          <w:pgMar w:left="320" w:top="341" w:right="339" w:bottom="1440" w:gutter="0" w:footer="0" w:header="0"/>
        </w:sectPr>
      </w:pPr>
    </w:p>
    <w:bookmarkStart w:id="121" w:name="page122"/>
    <w:bookmarkEnd w:id="121"/>
    <w:p>
      <w:pPr>
        <w:jc w:val="both"/>
        <w:ind w:firstLine="324"/>
        <w:spacing w:after="0" w:line="254" w:lineRule="auto"/>
        <w:rPr>
          <w:sz w:val="20"/>
          <w:szCs w:val="20"/>
          <w:color w:val="auto"/>
        </w:rPr>
      </w:pPr>
      <w:r>
        <w:rPr>
          <w:rFonts w:ascii="Arial" w:cs="Arial" w:eastAsia="Arial" w:hAnsi="Arial"/>
          <w:sz w:val="18"/>
          <w:szCs w:val="18"/>
          <w:color w:val="003082"/>
        </w:rPr>
        <w:t>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98425</wp:posOffset>
            </wp:positionV>
            <wp:extent cx="4568825" cy="2245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688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Benefits of Our Platform</w:t>
      </w:r>
    </w:p>
    <w:p>
      <w:pPr>
        <w:spacing w:after="0" w:line="175" w:lineRule="exact"/>
        <w:rPr>
          <w:sz w:val="20"/>
          <w:szCs w:val="20"/>
          <w:color w:val="auto"/>
        </w:rPr>
      </w:pPr>
    </w:p>
    <w:p>
      <w:pPr>
        <w:jc w:val="both"/>
        <w:ind w:left="620" w:hanging="315"/>
        <w:spacing w:after="0" w:line="259" w:lineRule="auto"/>
        <w:tabs>
          <w:tab w:leader="none" w:pos="620" w:val="left"/>
        </w:tabs>
        <w:numPr>
          <w:ilvl w:val="0"/>
          <w:numId w:val="58"/>
        </w:numPr>
        <w:rPr>
          <w:rFonts w:ascii="Arial" w:cs="Arial" w:eastAsia="Arial" w:hAnsi="Arial"/>
          <w:sz w:val="18"/>
          <w:szCs w:val="18"/>
          <w:color w:val="003082"/>
        </w:rPr>
      </w:pPr>
      <w:r>
        <w:rPr>
          <w:rFonts w:ascii="Arial" w:cs="Arial" w:eastAsia="Arial" w:hAnsi="Arial"/>
          <w:sz w:val="18"/>
          <w:szCs w:val="18"/>
          <w:b w:val="1"/>
          <w:bCs w:val="1"/>
          <w:i w:val="1"/>
          <w:iCs w:val="1"/>
          <w:color w:val="003082"/>
        </w:rPr>
        <w:t>Quality and Reliability</w:t>
      </w:r>
      <w:r>
        <w:rPr>
          <w:rFonts w:ascii="Arial" w:cs="Arial" w:eastAsia="Arial" w:hAnsi="Arial"/>
          <w:sz w:val="18"/>
          <w:szCs w:val="18"/>
          <w:color w:val="003082"/>
        </w:rPr>
        <w:t>. The most important reason why developers choose the Agora platform is the quality and reliability of real-time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engagement we power. Our platform delivers industry-leading performance around latency and media quality, and works under challenging network conditions with up to 70% packet loss. Our customers can take comfort from our service level agreements that provide assurances on availability (uptime) levels and, increasingly, experience levels such as latency.</w:t>
      </w:r>
    </w:p>
    <w:p>
      <w:pPr>
        <w:spacing w:after="0" w:line="132" w:lineRule="exact"/>
        <w:rPr>
          <w:rFonts w:ascii="Arial" w:cs="Arial" w:eastAsia="Arial" w:hAnsi="Arial"/>
          <w:sz w:val="18"/>
          <w:szCs w:val="18"/>
          <w:color w:val="003082"/>
        </w:rPr>
      </w:pPr>
    </w:p>
    <w:p>
      <w:pPr>
        <w:jc w:val="both"/>
        <w:ind w:left="620" w:hanging="315"/>
        <w:spacing w:after="0" w:line="257" w:lineRule="auto"/>
        <w:tabs>
          <w:tab w:leader="none" w:pos="620" w:val="left"/>
        </w:tabs>
        <w:numPr>
          <w:ilvl w:val="0"/>
          <w:numId w:val="58"/>
        </w:numPr>
        <w:rPr>
          <w:rFonts w:ascii="Arial" w:cs="Arial" w:eastAsia="Arial" w:hAnsi="Arial"/>
          <w:sz w:val="18"/>
          <w:szCs w:val="18"/>
          <w:color w:val="003082"/>
        </w:rPr>
      </w:pPr>
      <w:r>
        <w:rPr>
          <w:rFonts w:ascii="Arial" w:cs="Arial" w:eastAsia="Arial" w:hAnsi="Arial"/>
          <w:sz w:val="18"/>
          <w:szCs w:val="18"/>
          <w:b w:val="1"/>
          <w:bCs w:val="1"/>
          <w:i w:val="1"/>
          <w:iCs w:val="1"/>
          <w:color w:val="003082"/>
        </w:rPr>
        <w:t>Comprehensive Features</w:t>
      </w:r>
      <w:r>
        <w:rPr>
          <w:rFonts w:ascii="Arial" w:cs="Arial" w:eastAsia="Arial" w:hAnsi="Arial"/>
          <w:sz w:val="18"/>
          <w:szCs w:val="18"/>
          <w:color w:val="003082"/>
        </w:rPr>
        <w:t>. We offer a breadth of product features that go beyond just enabling the video and voice aspects of real-time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engagement. We provide a spectrum of building blocks through hundreds of APIs, use case products and third-party plug-ins that improve our customers’ offerings and enhance end-user experience, such as content moderation in social applications, interactive whiteboard in education and voice masking in gaming. Developers often find that they can build a significant portion of their applications with our software modules and services.</w:t>
      </w:r>
    </w:p>
    <w:p>
      <w:pPr>
        <w:spacing w:after="0" w:line="133" w:lineRule="exact"/>
        <w:rPr>
          <w:rFonts w:ascii="Arial" w:cs="Arial" w:eastAsia="Arial" w:hAnsi="Arial"/>
          <w:sz w:val="18"/>
          <w:szCs w:val="18"/>
          <w:color w:val="003082"/>
        </w:rPr>
      </w:pPr>
    </w:p>
    <w:p>
      <w:pPr>
        <w:jc w:val="both"/>
        <w:ind w:left="620" w:hanging="315"/>
        <w:spacing w:after="0" w:line="263" w:lineRule="auto"/>
        <w:tabs>
          <w:tab w:leader="none" w:pos="620" w:val="left"/>
        </w:tabs>
        <w:numPr>
          <w:ilvl w:val="0"/>
          <w:numId w:val="58"/>
        </w:numPr>
        <w:rPr>
          <w:rFonts w:ascii="Arial" w:cs="Arial" w:eastAsia="Arial" w:hAnsi="Arial"/>
          <w:sz w:val="18"/>
          <w:szCs w:val="18"/>
          <w:color w:val="003082"/>
        </w:rPr>
      </w:pPr>
      <w:r>
        <w:rPr>
          <w:rFonts w:ascii="Arial" w:cs="Arial" w:eastAsia="Arial" w:hAnsi="Arial"/>
          <w:sz w:val="18"/>
          <w:szCs w:val="18"/>
          <w:b w:val="1"/>
          <w:bCs w:val="1"/>
          <w:i w:val="1"/>
          <w:iCs w:val="1"/>
          <w:color w:val="003082"/>
        </w:rPr>
        <w:t>Easy to Integrate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Our SDK is designed to be easy to learn, simple to embed and highly customizable. We also provide detailed documentation,</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programming tools and a wide range of code samples. Compared with developing real-time engagement solutions in-house, adopting the Agora platform can significantly simplify software development and shorten time to market.</w:t>
      </w:r>
    </w:p>
    <w:p>
      <w:pPr>
        <w:spacing w:after="0" w:line="129" w:lineRule="exact"/>
        <w:rPr>
          <w:rFonts w:ascii="Arial" w:cs="Arial" w:eastAsia="Arial" w:hAnsi="Arial"/>
          <w:sz w:val="18"/>
          <w:szCs w:val="18"/>
          <w:color w:val="003082"/>
        </w:rPr>
      </w:pPr>
    </w:p>
    <w:p>
      <w:pPr>
        <w:ind w:left="620" w:hanging="315"/>
        <w:spacing w:after="0" w:line="277" w:lineRule="auto"/>
        <w:tabs>
          <w:tab w:leader="none" w:pos="620" w:val="left"/>
        </w:tabs>
        <w:numPr>
          <w:ilvl w:val="0"/>
          <w:numId w:val="58"/>
        </w:numPr>
        <w:rPr>
          <w:rFonts w:ascii="Arial" w:cs="Arial" w:eastAsia="Arial" w:hAnsi="Arial"/>
          <w:sz w:val="18"/>
          <w:szCs w:val="18"/>
          <w:color w:val="003082"/>
        </w:rPr>
      </w:pPr>
      <w:r>
        <w:rPr>
          <w:rFonts w:ascii="Arial" w:cs="Arial" w:eastAsia="Arial" w:hAnsi="Arial"/>
          <w:sz w:val="18"/>
          <w:szCs w:val="18"/>
          <w:b w:val="1"/>
          <w:bCs w:val="1"/>
          <w:i w:val="1"/>
          <w:iCs w:val="1"/>
          <w:color w:val="003082"/>
        </w:rPr>
        <w:t>Scalability</w:t>
      </w:r>
      <w:r>
        <w:rPr>
          <w:rFonts w:ascii="Arial" w:cs="Arial" w:eastAsia="Arial" w:hAnsi="Arial"/>
          <w:sz w:val="18"/>
          <w:szCs w:val="18"/>
          <w:color w:val="003082"/>
        </w:rPr>
        <w:t>. Our advanced architecture and global infrastructure allow applications to scale rapidly to serve millions of end users across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geographies while maintaining the quality of the user experience.</w:t>
      </w:r>
    </w:p>
    <w:p>
      <w:pPr>
        <w:spacing w:after="0" w:line="116" w:lineRule="exact"/>
        <w:rPr>
          <w:rFonts w:ascii="Arial" w:cs="Arial" w:eastAsia="Arial" w:hAnsi="Arial"/>
          <w:sz w:val="18"/>
          <w:szCs w:val="18"/>
          <w:color w:val="003082"/>
        </w:rPr>
      </w:pPr>
    </w:p>
    <w:p>
      <w:pPr>
        <w:jc w:val="both"/>
        <w:ind w:left="620" w:hanging="315"/>
        <w:spacing w:after="0" w:line="259" w:lineRule="auto"/>
        <w:tabs>
          <w:tab w:leader="none" w:pos="620" w:val="left"/>
        </w:tabs>
        <w:numPr>
          <w:ilvl w:val="0"/>
          <w:numId w:val="58"/>
        </w:numPr>
        <w:rPr>
          <w:rFonts w:ascii="Arial" w:cs="Arial" w:eastAsia="Arial" w:hAnsi="Arial"/>
          <w:sz w:val="18"/>
          <w:szCs w:val="18"/>
          <w:color w:val="003082"/>
        </w:rPr>
      </w:pPr>
      <w:r>
        <w:rPr>
          <w:rFonts w:ascii="Arial" w:cs="Arial" w:eastAsia="Arial" w:hAnsi="Arial"/>
          <w:sz w:val="18"/>
          <w:szCs w:val="18"/>
          <w:b w:val="1"/>
          <w:bCs w:val="1"/>
          <w:i w:val="1"/>
          <w:iCs w:val="1"/>
          <w:color w:val="003082"/>
        </w:rPr>
        <w:t>Cost Efficiency</w:t>
      </w:r>
      <w:r>
        <w:rPr>
          <w:rFonts w:ascii="Arial" w:cs="Arial" w:eastAsia="Arial" w:hAnsi="Arial"/>
          <w:sz w:val="18"/>
          <w:szCs w:val="18"/>
          <w:color w:val="003082"/>
        </w:rPr>
        <w:t>. Our usage-based pricing model with no upfront fee allows customers to minimize initial investment and efficiently manage costs.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Given our scale and the fact that peak usage of applications that use our platform usually occur at different times, we can support more usage with the same bandwidth, enabling us to offer our customers attractive pricing. We believe our ability to offer this benefit will be enhanced as we continue to scale.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117</w:t>
      </w:r>
    </w:p>
    <w:p>
      <w:pPr>
        <w:sectPr>
          <w:pgSz w:w="11900" w:h="16838" w:orient="portrait"/>
          <w:cols w:equalWidth="0" w:num="1">
            <w:col w:w="11240"/>
          </w:cols>
          <w:pgMar w:left="320" w:top="341" w:right="339" w:bottom="1440" w:gutter="0" w:footer="0" w:header="0"/>
        </w:sectPr>
      </w:pPr>
    </w:p>
    <w:bookmarkStart w:id="122" w:name="page123"/>
    <w:bookmarkEnd w:id="122"/>
    <w:p>
      <w:pPr>
        <w:jc w:val="both"/>
        <w:ind w:left="620" w:hanging="315"/>
        <w:spacing w:after="0" w:line="263" w:lineRule="auto"/>
        <w:tabs>
          <w:tab w:leader="none" w:pos="620" w:val="left"/>
        </w:tabs>
        <w:numPr>
          <w:ilvl w:val="0"/>
          <w:numId w:val="59"/>
        </w:numPr>
        <w:rPr>
          <w:rFonts w:ascii="Arial" w:cs="Arial" w:eastAsia="Arial" w:hAnsi="Arial"/>
          <w:sz w:val="18"/>
          <w:szCs w:val="18"/>
          <w:color w:val="003082"/>
        </w:rPr>
      </w:pPr>
      <w:r>
        <w:rPr>
          <w:rFonts w:ascii="Arial" w:cs="Arial" w:eastAsia="Arial" w:hAnsi="Arial"/>
          <w:sz w:val="18"/>
          <w:szCs w:val="18"/>
          <w:b w:val="1"/>
          <w:bCs w:val="1"/>
          <w:i w:val="1"/>
          <w:iCs w:val="1"/>
          <w:color w:val="003082"/>
        </w:rPr>
        <w:t>Compatibility</w:t>
      </w:r>
      <w:r>
        <w:rPr>
          <w:rFonts w:ascii="Arial" w:cs="Arial" w:eastAsia="Arial" w:hAnsi="Arial"/>
          <w:sz w:val="18"/>
          <w:szCs w:val="18"/>
          <w:color w:val="003082"/>
        </w:rPr>
        <w:t>. Our SDK is broadly compatible with major operating systems, development frameworks and programming languages, and a wide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variety of phones, PCs and other connected devices, including older and less sophisticated models. Our SDK is also designed to be compact in size and efficient in CPU usage and power consumption.</w:t>
      </w:r>
    </w:p>
    <w:p>
      <w:pPr>
        <w:spacing w:after="0" w:line="129" w:lineRule="exact"/>
        <w:rPr>
          <w:rFonts w:ascii="Arial" w:cs="Arial" w:eastAsia="Arial" w:hAnsi="Arial"/>
          <w:sz w:val="18"/>
          <w:szCs w:val="18"/>
          <w:color w:val="003082"/>
        </w:rPr>
      </w:pPr>
    </w:p>
    <w:p>
      <w:pPr>
        <w:ind w:left="620" w:hanging="315"/>
        <w:spacing w:after="0" w:line="277" w:lineRule="auto"/>
        <w:tabs>
          <w:tab w:leader="none" w:pos="620" w:val="left"/>
        </w:tabs>
        <w:numPr>
          <w:ilvl w:val="0"/>
          <w:numId w:val="59"/>
        </w:numPr>
        <w:rPr>
          <w:rFonts w:ascii="Arial" w:cs="Arial" w:eastAsia="Arial" w:hAnsi="Arial"/>
          <w:sz w:val="18"/>
          <w:szCs w:val="18"/>
          <w:color w:val="003082"/>
        </w:rPr>
      </w:pPr>
      <w:r>
        <w:rPr>
          <w:rFonts w:ascii="Arial" w:cs="Arial" w:eastAsia="Arial" w:hAnsi="Arial"/>
          <w:sz w:val="18"/>
          <w:szCs w:val="18"/>
          <w:b w:val="1"/>
          <w:bCs w:val="1"/>
          <w:i w:val="1"/>
          <w:iCs w:val="1"/>
          <w:color w:val="003082"/>
        </w:rPr>
        <w:t>Transparency</w:t>
      </w:r>
      <w:r>
        <w:rPr>
          <w:rFonts w:ascii="Arial" w:cs="Arial" w:eastAsia="Arial" w:hAnsi="Arial"/>
          <w:sz w:val="18"/>
          <w:szCs w:val="18"/>
          <w:color w:val="003082"/>
        </w:rPr>
        <w:t>. Our platform is built with real-time analytics at the core, which allow customers to easily monitor and analyze the quality of each</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video and voice engagement session, manage billings and usage, and gain clear insights on user experience.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Competitive Strengths</w:t>
      </w:r>
    </w:p>
    <w:p>
      <w:pPr>
        <w:spacing w:after="0" w:line="175" w:lineRule="exact"/>
        <w:rPr>
          <w:sz w:val="20"/>
          <w:szCs w:val="20"/>
          <w:color w:val="auto"/>
        </w:rPr>
      </w:pPr>
    </w:p>
    <w:p>
      <w:pPr>
        <w:jc w:val="both"/>
        <w:ind w:left="660" w:hanging="328"/>
        <w:spacing w:after="0" w:line="275" w:lineRule="auto"/>
        <w:tabs>
          <w:tab w:leader="none" w:pos="660" w:val="left"/>
        </w:tabs>
        <w:numPr>
          <w:ilvl w:val="0"/>
          <w:numId w:val="60"/>
        </w:numPr>
        <w:rPr>
          <w:rFonts w:ascii="Arial" w:cs="Arial" w:eastAsia="Arial" w:hAnsi="Arial"/>
          <w:sz w:val="17"/>
          <w:szCs w:val="17"/>
          <w:color w:val="003082"/>
        </w:rPr>
      </w:pPr>
      <w:r>
        <w:rPr>
          <w:rFonts w:ascii="Arial" w:cs="Arial" w:eastAsia="Arial" w:hAnsi="Arial"/>
          <w:sz w:val="17"/>
          <w:szCs w:val="17"/>
          <w:b w:val="1"/>
          <w:bCs w:val="1"/>
          <w:i w:val="1"/>
          <w:iCs w:val="1"/>
          <w:color w:val="003082"/>
        </w:rPr>
        <w:t>RTE-PaaS Pioneer and Global Leader</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We pioneered RTE-PaaS and we are the global leader in this rapidly growing industry. Our platform is</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developed by a talented engineering team led by our founder and chief executive officer with extensive expertise in real-time engagement technology. As the industry leader we power more and more minutes for a growing number of customers and end users, which enables us to further improve the quality of experience of our products and in turn attract even more customers and end users. We believe the time and resources required to replicate our level of quality will only increase as we continue to scale our business.</w:t>
      </w:r>
    </w:p>
    <w:p>
      <w:pPr>
        <w:spacing w:after="0" w:line="122" w:lineRule="exact"/>
        <w:rPr>
          <w:rFonts w:ascii="Arial" w:cs="Arial" w:eastAsia="Arial" w:hAnsi="Arial"/>
          <w:sz w:val="17"/>
          <w:szCs w:val="17"/>
          <w:color w:val="003082"/>
        </w:rPr>
      </w:pPr>
    </w:p>
    <w:p>
      <w:pPr>
        <w:jc w:val="both"/>
        <w:ind w:left="660" w:hanging="328"/>
        <w:spacing w:after="0" w:line="259" w:lineRule="auto"/>
        <w:tabs>
          <w:tab w:leader="none" w:pos="660" w:val="left"/>
        </w:tabs>
        <w:numPr>
          <w:ilvl w:val="0"/>
          <w:numId w:val="60"/>
        </w:numPr>
        <w:rPr>
          <w:rFonts w:ascii="Arial" w:cs="Arial" w:eastAsia="Arial" w:hAnsi="Arial"/>
          <w:sz w:val="18"/>
          <w:szCs w:val="18"/>
          <w:color w:val="003082"/>
        </w:rPr>
      </w:pPr>
      <w:r>
        <w:rPr>
          <w:rFonts w:ascii="Arial" w:cs="Arial" w:eastAsia="Arial" w:hAnsi="Arial"/>
          <w:sz w:val="18"/>
          <w:szCs w:val="18"/>
          <w:b w:val="1"/>
          <w:bCs w:val="1"/>
          <w:i w:val="1"/>
          <w:iCs w:val="1"/>
          <w:color w:val="003082"/>
        </w:rPr>
        <w:t>Advanced Network Architecture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The SD-RTN is designed to handle the most demanding task in real-time engagement: real-time video. It runs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on commodity hardware and adopts a globally distributed and all-software architecture, instead of relying on a few physical or private transmission lines. We believe our architecture is cost-effective, scalable, resilient and allows for highly flexible routing optimization, making it particularly suitable for enabling real-time video and voice engagement at massive scale.</w:t>
      </w:r>
    </w:p>
    <w:p>
      <w:pPr>
        <w:spacing w:after="0" w:line="132" w:lineRule="exact"/>
        <w:rPr>
          <w:rFonts w:ascii="Arial" w:cs="Arial" w:eastAsia="Arial" w:hAnsi="Arial"/>
          <w:sz w:val="18"/>
          <w:szCs w:val="18"/>
          <w:color w:val="003082"/>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003082"/>
        </w:rPr>
      </w:pPr>
      <w:r>
        <w:rPr>
          <w:rFonts w:ascii="Arial" w:cs="Arial" w:eastAsia="Arial" w:hAnsi="Arial"/>
          <w:sz w:val="18"/>
          <w:szCs w:val="18"/>
          <w:b w:val="1"/>
          <w:bCs w:val="1"/>
          <w:i w:val="1"/>
          <w:iCs w:val="1"/>
          <w:color w:val="003082"/>
        </w:rPr>
        <w:t>Pure-Play and Independent Platform</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Our singular focus on real-time engagement means we prioritize our entire platform for minimizing</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latency, which is challenging for a full-service cloud provider given the competing needs of its non-real-time products. By being focused we are able to “go deeper” and offer more comprehensive features, more control and more visibility, thereby making us more developer-friendly. Our positioning as an independent platform is also attractive to developers and partners who want to avoid conflicts of interest or reliance on a single cloud provider.</w:t>
      </w:r>
    </w:p>
    <w:p>
      <w:pPr>
        <w:spacing w:after="0" w:line="133" w:lineRule="exact"/>
        <w:rPr>
          <w:rFonts w:ascii="Arial" w:cs="Arial" w:eastAsia="Arial" w:hAnsi="Arial"/>
          <w:sz w:val="18"/>
          <w:szCs w:val="18"/>
          <w:color w:val="003082"/>
        </w:rPr>
      </w:pPr>
    </w:p>
    <w:p>
      <w:pPr>
        <w:jc w:val="both"/>
        <w:ind w:left="660" w:hanging="328"/>
        <w:spacing w:after="0" w:line="259" w:lineRule="auto"/>
        <w:tabs>
          <w:tab w:leader="none" w:pos="660" w:val="left"/>
        </w:tabs>
        <w:numPr>
          <w:ilvl w:val="0"/>
          <w:numId w:val="60"/>
        </w:numPr>
        <w:rPr>
          <w:rFonts w:ascii="Arial" w:cs="Arial" w:eastAsia="Arial" w:hAnsi="Arial"/>
          <w:sz w:val="18"/>
          <w:szCs w:val="18"/>
          <w:color w:val="003082"/>
        </w:rPr>
      </w:pPr>
      <w:r>
        <w:rPr>
          <w:rFonts w:ascii="Arial" w:cs="Arial" w:eastAsia="Arial" w:hAnsi="Arial"/>
          <w:sz w:val="18"/>
          <w:szCs w:val="18"/>
          <w:b w:val="1"/>
          <w:bCs w:val="1"/>
          <w:i w:val="1"/>
          <w:iCs w:val="1"/>
          <w:color w:val="003082"/>
        </w:rPr>
        <w:t>Developer Mind Share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have cultivated a large and engaged developer community, with more than 180,000 applications that have registered</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on our platform from our inception through March 31, 2020. We believe we are recognized by developers as the leading platform for real-time engagement. We set the standard for integrating and operating real-time engagement within software applications in China, and increasingly in other markets.</w:t>
      </w:r>
    </w:p>
    <w:p>
      <w:pPr>
        <w:spacing w:after="0" w:line="132" w:lineRule="exact"/>
        <w:rPr>
          <w:rFonts w:ascii="Arial" w:cs="Arial" w:eastAsia="Arial" w:hAnsi="Arial"/>
          <w:sz w:val="18"/>
          <w:szCs w:val="18"/>
          <w:color w:val="003082"/>
        </w:rPr>
      </w:pPr>
    </w:p>
    <w:p>
      <w:pPr>
        <w:jc w:val="both"/>
        <w:ind w:left="660" w:hanging="328"/>
        <w:spacing w:after="0" w:line="257" w:lineRule="auto"/>
        <w:tabs>
          <w:tab w:leader="none" w:pos="660" w:val="left"/>
        </w:tabs>
        <w:numPr>
          <w:ilvl w:val="0"/>
          <w:numId w:val="60"/>
        </w:numPr>
        <w:rPr>
          <w:rFonts w:ascii="Arial" w:cs="Arial" w:eastAsia="Arial" w:hAnsi="Arial"/>
          <w:sz w:val="18"/>
          <w:szCs w:val="18"/>
          <w:color w:val="003082"/>
        </w:rPr>
      </w:pPr>
      <w:r>
        <w:rPr>
          <w:rFonts w:ascii="Arial" w:cs="Arial" w:eastAsia="Arial" w:hAnsi="Arial"/>
          <w:sz w:val="18"/>
          <w:szCs w:val="18"/>
          <w:b w:val="1"/>
          <w:bCs w:val="1"/>
          <w:i w:val="1"/>
          <w:iCs w:val="1"/>
          <w:color w:val="003082"/>
        </w:rPr>
        <w:t>Loyal Customer Base</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Once developers have integrated our SDK and experienced the quality and reliability of our platform, we believe they are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less inclined to try alternatives and incur potentially high switching cost. We rarely lose customers to competitors and their loyalty is reflected in our Constant Currency Dollar-Based Net Expansion Rate, which was 133% and 131% for 2018 and 2019, respectively. Our Net Promoter Score, or NPS, was 64 in our most recent measurement period ended May 31, 2020, which likewise demonstrates a high level of customer satisfaction with our platform.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Our Market Opportunity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Our market opportunity is large and growing. The real-time engagement powered by our platform today represents a fraction of the global opportunity for real-time engagement. In the month of March 2020, we powered more than 40 billion minutes of real-time engagement for end users in more than 100 countries through more than 10,000 active applications. Although this appears to be a large number of minutes in the aggregate, it represents approximately 0.2 minutes of real-time engagement per person per day if spread across the global population of 7.7 billion. By comparison, the average adult in the United States and in China currently spends approximately 400 minutes and 230 minutes a day online, respectively, according to eMarketer. As video becomes an increasingly important part of the online experience, either as a medium for content consumption or a method of engagement, the opportunity for us is significant. If the entire global population were to spend just 10 minutes a day on in-application video or voice to engage with others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118</w:t>
      </w:r>
    </w:p>
    <w:p>
      <w:pPr>
        <w:sectPr>
          <w:pgSz w:w="11900" w:h="16838" w:orient="portrait"/>
          <w:cols w:equalWidth="0" w:num="1">
            <w:col w:w="11240"/>
          </w:cols>
          <w:pgMar w:left="320" w:top="341" w:right="339" w:bottom="1440" w:gutter="0" w:footer="0" w:header="0"/>
        </w:sectPr>
      </w:pPr>
    </w:p>
    <w:bookmarkStart w:id="123" w:name="page124"/>
    <w:bookmarkEnd w:id="123"/>
    <w:p>
      <w:pPr>
        <w:jc w:val="both"/>
        <w:spacing w:after="0" w:line="277" w:lineRule="auto"/>
        <w:rPr>
          <w:sz w:val="20"/>
          <w:szCs w:val="20"/>
          <w:color w:val="auto"/>
        </w:rPr>
      </w:pPr>
      <w:r>
        <w:rPr>
          <w:rFonts w:ascii="Arial" w:cs="Arial" w:eastAsia="Arial" w:hAnsi="Arial"/>
          <w:sz w:val="18"/>
          <w:szCs w:val="18"/>
          <w:color w:val="003082"/>
        </w:rPr>
        <w:t>online, this would represent approximately 2.4 trillion minutes of real-time engagement per month, which is more than 50 times the real-time engagement we powered in March 2020.</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Our technology and products address use cases in multiple large software markets, namely the Communications Platform-as-a-Service, or CPaaS, Content Delivery Networks, or CDN, and Collaboration Applications markets.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According to International Data Corporation, or IDC, the worldwide CPaaS market is forecasted to grow from US$3.3 billion in 2018 to US$17.2 billion in 2023, at a compound annual growth rate, or CAGR, of 39.3%. Within the CPaaS market, video is forecasted to grow from US$0.6 billion in 2018 to US$3.5 billion in 2023, at a CAGR of 43.6%. Voice is forecasted to grow from US$1.5 billion in 2018 to US$8.0 billion in 2023, at a CAGR of 40.8% and data (messaging) is forecasted to grow from US$1.0 billion in 2018 to US$4.5 billion in 2023, at a CAGR of 35.4%. RTE products address the fastest growing, video portion of the CPaaS market, and voice and messaging stand to benefit from the adoption of RTE solutions as well.</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Furthermore, as online experiences become more interactive, the technology backbone of many applications is expected to transition from one-way distribution enabled by traditional CDNs to multi-way engagement powered by RTE technologies. The CDN market is expected to grow from US$5.9 billion in 2018 to US$13.0 billion in 2023, at a CAGR of 17.3%, and CPaaS providers with RTE capabilities stand to capture a portion of the total CDN market as a growing number of software applications integrate RTE technologies.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Additionally, RTE technologies can be used as the backbone for building Collaborative Applications, including web, audio and video conferencing solutions. According to IDC, this Collaborative Applications market is expected to grow from US$9.7 billion in 2018 to US$17.7 billion in 2023, at a CAGR of 12.8%.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Growth Strategies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Our mission is to make real-time engagement ubiquitous, allowing everyone to interact with anyone, anytime and anywhere. We intend to pursue this goal primarily through the following strategies:</w:t>
      </w:r>
    </w:p>
    <w:p>
      <w:pPr>
        <w:spacing w:after="0" w:line="116" w:lineRule="exact"/>
        <w:rPr>
          <w:sz w:val="20"/>
          <w:szCs w:val="20"/>
          <w:color w:val="auto"/>
        </w:rPr>
      </w:pPr>
    </w:p>
    <w:p>
      <w:pPr>
        <w:jc w:val="both"/>
        <w:ind w:left="660" w:hanging="328"/>
        <w:spacing w:after="0" w:line="255" w:lineRule="auto"/>
        <w:tabs>
          <w:tab w:leader="none" w:pos="660" w:val="left"/>
        </w:tabs>
        <w:numPr>
          <w:ilvl w:val="0"/>
          <w:numId w:val="61"/>
        </w:numPr>
        <w:rPr>
          <w:rFonts w:ascii="Arial" w:cs="Arial" w:eastAsia="Arial" w:hAnsi="Arial"/>
          <w:sz w:val="18"/>
          <w:szCs w:val="18"/>
          <w:color w:val="003082"/>
        </w:rPr>
      </w:pPr>
      <w:r>
        <w:rPr>
          <w:rFonts w:ascii="Arial" w:cs="Arial" w:eastAsia="Arial" w:hAnsi="Arial"/>
          <w:sz w:val="18"/>
          <w:szCs w:val="18"/>
          <w:b w:val="1"/>
          <w:bCs w:val="1"/>
          <w:i w:val="1"/>
          <w:iCs w:val="1"/>
          <w:color w:val="003082"/>
        </w:rPr>
        <w:t>Invest in Technology</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will continue to focus on improving the quality of the end-user experience to drive overall demand for real-time</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engagement. We also plan to introduce products that complement our current offerings, and in particular, use-case products that support key customer industries such as education and entertainment as well as emerging technologies such as IoT and AR/VR. We have a substantial research and development team, comprising 57% of our headcount as of March 31, 2020. In 2018 and 2019 and the first three months of 2020, we invested US$13.5 million, US$22.2 million and US$11.4 million in research and development, excluding share-based compensation, representing 30.9%, 34.5% and 32.0% of our revenue, respectively.</w:t>
      </w:r>
    </w:p>
    <w:p>
      <w:pPr>
        <w:spacing w:after="0" w:line="138" w:lineRule="exact"/>
        <w:rPr>
          <w:rFonts w:ascii="Arial" w:cs="Arial" w:eastAsia="Arial" w:hAnsi="Arial"/>
          <w:sz w:val="18"/>
          <w:szCs w:val="18"/>
          <w:color w:val="003082"/>
        </w:rPr>
      </w:pPr>
    </w:p>
    <w:p>
      <w:pPr>
        <w:jc w:val="both"/>
        <w:ind w:left="660" w:hanging="328"/>
        <w:spacing w:after="0" w:line="279" w:lineRule="auto"/>
        <w:tabs>
          <w:tab w:leader="none" w:pos="660" w:val="left"/>
        </w:tabs>
        <w:numPr>
          <w:ilvl w:val="0"/>
          <w:numId w:val="61"/>
        </w:numPr>
        <w:rPr>
          <w:rFonts w:ascii="Arial" w:cs="Arial" w:eastAsia="Arial" w:hAnsi="Arial"/>
          <w:sz w:val="17"/>
          <w:szCs w:val="17"/>
          <w:color w:val="003082"/>
        </w:rPr>
      </w:pPr>
      <w:r>
        <w:rPr>
          <w:rFonts w:ascii="Arial" w:cs="Arial" w:eastAsia="Arial" w:hAnsi="Arial"/>
          <w:sz w:val="17"/>
          <w:szCs w:val="17"/>
          <w:b w:val="1"/>
          <w:bCs w:val="1"/>
          <w:i w:val="1"/>
          <w:iCs w:val="1"/>
          <w:color w:val="003082"/>
        </w:rPr>
        <w:t>Grow our Developer Community</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We actively work with developers to brainstorm and test innovative ideas. For example, we worked with the</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developers of Werewolf, a mafia-type party game that requires constant dialogue among players, to develop an online version that was not possible in the absence of our Real-Time Voice product. We will continue to invest our resources to help developers innovate. We will also invest in brand marketing and developer relationships to drive awareness of our platform and attract more developers to our platform.</w:t>
      </w:r>
    </w:p>
    <w:p>
      <w:pPr>
        <w:spacing w:after="0" w:line="117" w:lineRule="exact"/>
        <w:rPr>
          <w:rFonts w:ascii="Arial" w:cs="Arial" w:eastAsia="Arial" w:hAnsi="Arial"/>
          <w:sz w:val="17"/>
          <w:szCs w:val="17"/>
          <w:color w:val="003082"/>
        </w:rPr>
      </w:pPr>
    </w:p>
    <w:p>
      <w:pPr>
        <w:jc w:val="both"/>
        <w:ind w:left="660" w:hanging="328"/>
        <w:spacing w:after="0" w:line="257" w:lineRule="auto"/>
        <w:tabs>
          <w:tab w:leader="none" w:pos="660" w:val="left"/>
        </w:tabs>
        <w:numPr>
          <w:ilvl w:val="0"/>
          <w:numId w:val="61"/>
        </w:numPr>
        <w:rPr>
          <w:rFonts w:ascii="Arial" w:cs="Arial" w:eastAsia="Arial" w:hAnsi="Arial"/>
          <w:sz w:val="18"/>
          <w:szCs w:val="18"/>
          <w:color w:val="003082"/>
        </w:rPr>
      </w:pPr>
      <w:r>
        <w:rPr>
          <w:rFonts w:ascii="Arial" w:cs="Arial" w:eastAsia="Arial" w:hAnsi="Arial"/>
          <w:sz w:val="18"/>
          <w:szCs w:val="18"/>
          <w:b w:val="1"/>
          <w:bCs w:val="1"/>
          <w:i w:val="1"/>
          <w:iCs w:val="1"/>
          <w:color w:val="003082"/>
        </w:rPr>
        <w:t>Invest in Partnership Ecosystem</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believe that in today’s technology landscape, it is imperative that we work with partners to extend our</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platform’s capabilities. In 2019, we introduced the Agora Partner Gallery, our marketplace for third-party solutions and services, to allow partners to develop specific use case functionalities that work as plugins on our core products. We have relationships with a variety of technology vendors, channel partners, independent software vendors and service integrators, and intend to grow and broaden these relationships. We will continue to invest in this ecosystem to drive adoption of our platform.</w:t>
      </w:r>
    </w:p>
    <w:p>
      <w:pPr>
        <w:spacing w:after="0" w:line="133"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61"/>
        </w:numPr>
        <w:rPr>
          <w:rFonts w:ascii="Arial" w:cs="Arial" w:eastAsia="Arial" w:hAnsi="Arial"/>
          <w:sz w:val="18"/>
          <w:szCs w:val="18"/>
          <w:color w:val="003082"/>
        </w:rPr>
      </w:pPr>
      <w:r>
        <w:rPr>
          <w:rFonts w:ascii="Arial" w:cs="Arial" w:eastAsia="Arial" w:hAnsi="Arial"/>
          <w:sz w:val="18"/>
          <w:szCs w:val="18"/>
          <w:b w:val="1"/>
          <w:bCs w:val="1"/>
          <w:i w:val="1"/>
          <w:iCs w:val="1"/>
          <w:color w:val="003082"/>
        </w:rPr>
        <w:t>Expand Focus on Enterprises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Currently, our customers mainly come from social, education, entertainment and gaming sectors and there is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significant room for increased customer penetration in e-commerce, financial services, healthcare, professional services and IoT. We plan to increase our sales effort into these industries and use cases to drive greater adoption.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119</w:t>
      </w:r>
    </w:p>
    <w:p>
      <w:pPr>
        <w:sectPr>
          <w:pgSz w:w="11900" w:h="16838" w:orient="portrait"/>
          <w:cols w:equalWidth="0" w:num="1">
            <w:col w:w="11240"/>
          </w:cols>
          <w:pgMar w:left="320" w:top="341" w:right="339" w:bottom="1440" w:gutter="0" w:footer="0" w:header="0"/>
        </w:sectPr>
      </w:pPr>
    </w:p>
    <w:bookmarkStart w:id="124" w:name="page125"/>
    <w:bookmarkEnd w:id="124"/>
    <w:p>
      <w:pPr>
        <w:jc w:val="both"/>
        <w:ind w:left="660" w:hanging="328"/>
        <w:spacing w:after="0" w:line="311" w:lineRule="auto"/>
        <w:tabs>
          <w:tab w:leader="none" w:pos="660" w:val="left"/>
        </w:tabs>
        <w:numPr>
          <w:ilvl w:val="0"/>
          <w:numId w:val="62"/>
        </w:numPr>
        <w:rPr>
          <w:rFonts w:ascii="Arial" w:cs="Arial" w:eastAsia="Arial" w:hAnsi="Arial"/>
          <w:sz w:val="16"/>
          <w:szCs w:val="16"/>
          <w:b w:val="1"/>
          <w:bCs w:val="1"/>
          <w:i w:val="1"/>
          <w:iCs w:val="1"/>
          <w:color w:val="003082"/>
        </w:rPr>
      </w:pPr>
      <w:r>
        <w:rPr>
          <w:rFonts w:ascii="Arial" w:cs="Arial" w:eastAsia="Arial" w:hAnsi="Arial"/>
          <w:sz w:val="16"/>
          <w:szCs w:val="16"/>
          <w:b w:val="1"/>
          <w:bCs w:val="1"/>
          <w:i w:val="1"/>
          <w:iCs w:val="1"/>
          <w:color w:val="003082"/>
        </w:rPr>
        <w:t>Accelerate International Expansion</w:t>
      </w:r>
      <w:r>
        <w:rPr>
          <w:rFonts w:ascii="Arial" w:cs="Arial" w:eastAsia="Arial" w:hAnsi="Arial"/>
          <w:sz w:val="16"/>
          <w:szCs w:val="16"/>
          <w:i w:val="1"/>
          <w:iCs w:val="1"/>
          <w:color w:val="003082"/>
        </w:rPr>
        <w:t>.</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Although we believe that adoption of real-time engagement in China is still in the early stages, it is further</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advanced there than in other countries, especially for consumer-oriented applications. By expanding our developer engagement efforts and direct sales force in the United States and other markets and collaborating with ecosystem partners, we plan to grow our revenue globally.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Our Products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enterprise-grade products include Real-Time Video, Real-Time Voice, Live Interactive Video and Audio Streaming, Real-Time Messaging, Real-Time Recording, Real-Time Streaming Acceleration and various use case products, which serve as building blocks for developers to embed the respective functions in their applications.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Video Products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63"/>
        </w:numPr>
        <w:rPr>
          <w:rFonts w:ascii="Arial" w:cs="Arial" w:eastAsia="Arial" w:hAnsi="Arial"/>
          <w:sz w:val="18"/>
          <w:szCs w:val="18"/>
          <w:color w:val="003082"/>
        </w:rPr>
      </w:pPr>
      <w:r>
        <w:rPr>
          <w:rFonts w:ascii="Arial" w:cs="Arial" w:eastAsia="Arial" w:hAnsi="Arial"/>
          <w:sz w:val="18"/>
          <w:szCs w:val="18"/>
          <w:i w:val="1"/>
          <w:iCs w:val="1"/>
          <w:color w:val="003082"/>
        </w:rPr>
        <w:t xml:space="preserve">Real-Time Video. </w:t>
      </w:r>
      <w:r>
        <w:rPr>
          <w:rFonts w:ascii="Arial" w:cs="Arial" w:eastAsia="Arial" w:hAnsi="Arial"/>
          <w:sz w:val="18"/>
          <w:szCs w:val="18"/>
          <w:color w:val="003082"/>
        </w:rPr>
        <w:t>Our Real-Time Video product enables real-time video interactions at up to full high-definition resolution among multiple users.</w:t>
      </w:r>
      <w:r>
        <w:rPr>
          <w:rFonts w:ascii="Arial" w:cs="Arial" w:eastAsia="Arial" w:hAnsi="Arial"/>
          <w:sz w:val="18"/>
          <w:szCs w:val="18"/>
          <w:i w:val="1"/>
          <w:iCs w:val="1"/>
          <w:color w:val="003082"/>
        </w:rPr>
        <w:t xml:space="preserve"> </w:t>
      </w:r>
      <w:r>
        <w:rPr>
          <w:rFonts w:ascii="Arial" w:cs="Arial" w:eastAsia="Arial" w:hAnsi="Arial"/>
          <w:sz w:val="18"/>
          <w:szCs w:val="18"/>
          <w:color w:val="003082"/>
        </w:rPr>
        <w:t>Our Real-Time Video product offers features such as adaptive compression according to network conditions, perceptual video coding and resolution enhancement. The SDK allows for seamless integration with third-party plugins and functions as well as deep customization of video resolution and layout.</w:t>
      </w:r>
    </w:p>
    <w:p>
      <w:pPr>
        <w:spacing w:after="0" w:line="132"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63"/>
        </w:numPr>
        <w:rPr>
          <w:rFonts w:ascii="Arial" w:cs="Arial" w:eastAsia="Arial" w:hAnsi="Arial"/>
          <w:sz w:val="18"/>
          <w:szCs w:val="18"/>
          <w:color w:val="003082"/>
        </w:rPr>
      </w:pPr>
      <w:r>
        <w:rPr>
          <w:rFonts w:ascii="Arial" w:cs="Arial" w:eastAsia="Arial" w:hAnsi="Arial"/>
          <w:sz w:val="18"/>
          <w:szCs w:val="18"/>
          <w:i w:val="1"/>
          <w:iCs w:val="1"/>
          <w:color w:val="003082"/>
        </w:rPr>
        <w:t xml:space="preserve">Live Interactive Video Streaming. </w:t>
      </w:r>
      <w:r>
        <w:rPr>
          <w:rFonts w:ascii="Arial" w:cs="Arial" w:eastAsia="Arial" w:hAnsi="Arial"/>
          <w:sz w:val="18"/>
          <w:szCs w:val="18"/>
          <w:color w:val="003082"/>
        </w:rPr>
        <w:t>Our Live Interactive Video Streaming product enables real-time video interactions that are simultaneously</w:t>
      </w:r>
      <w:r>
        <w:rPr>
          <w:rFonts w:ascii="Arial" w:cs="Arial" w:eastAsia="Arial" w:hAnsi="Arial"/>
          <w:sz w:val="18"/>
          <w:szCs w:val="18"/>
          <w:i w:val="1"/>
          <w:iCs w:val="1"/>
          <w:color w:val="003082"/>
        </w:rPr>
        <w:t xml:space="preserve"> </w:t>
      </w:r>
      <w:r>
        <w:rPr>
          <w:rFonts w:ascii="Arial" w:cs="Arial" w:eastAsia="Arial" w:hAnsi="Arial"/>
          <w:sz w:val="18"/>
          <w:szCs w:val="18"/>
          <w:color w:val="003082"/>
        </w:rPr>
        <w:t>streamed to up to millions of users, offering immersive video streaming experiences.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Audio Products</w:t>
      </w:r>
    </w:p>
    <w:p>
      <w:pPr>
        <w:spacing w:after="0" w:line="171" w:lineRule="exact"/>
        <w:rPr>
          <w:sz w:val="20"/>
          <w:szCs w:val="20"/>
          <w:color w:val="auto"/>
        </w:rPr>
      </w:pPr>
    </w:p>
    <w:p>
      <w:pPr>
        <w:ind w:left="660" w:right="20" w:hanging="328"/>
        <w:spacing w:after="0" w:line="342" w:lineRule="auto"/>
        <w:tabs>
          <w:tab w:leader="none" w:pos="660" w:val="left"/>
        </w:tabs>
        <w:numPr>
          <w:ilvl w:val="0"/>
          <w:numId w:val="64"/>
        </w:numPr>
        <w:rPr>
          <w:rFonts w:ascii="Arial" w:cs="Arial" w:eastAsia="Arial" w:hAnsi="Arial"/>
          <w:sz w:val="16"/>
          <w:szCs w:val="16"/>
          <w:color w:val="003082"/>
        </w:rPr>
      </w:pPr>
      <w:r>
        <w:rPr>
          <w:rFonts w:ascii="Arial" w:cs="Arial" w:eastAsia="Arial" w:hAnsi="Arial"/>
          <w:sz w:val="16"/>
          <w:szCs w:val="16"/>
          <w:i w:val="1"/>
          <w:iCs w:val="1"/>
          <w:color w:val="003082"/>
        </w:rPr>
        <w:t xml:space="preserve">Real-Time Voice. </w:t>
      </w:r>
      <w:r>
        <w:rPr>
          <w:rFonts w:ascii="Arial" w:cs="Arial" w:eastAsia="Arial" w:hAnsi="Arial"/>
          <w:sz w:val="16"/>
          <w:szCs w:val="16"/>
          <w:color w:val="003082"/>
        </w:rPr>
        <w:t>Our Real-Time Voice product enables real-time voice interactions among multiple users. Our Real-Time Voice product offers</w:t>
      </w:r>
      <w:r>
        <w:rPr>
          <w:rFonts w:ascii="Arial" w:cs="Arial" w:eastAsia="Arial" w:hAnsi="Arial"/>
          <w:sz w:val="16"/>
          <w:szCs w:val="16"/>
          <w:i w:val="1"/>
          <w:iCs w:val="1"/>
          <w:color w:val="003082"/>
        </w:rPr>
        <w:t xml:space="preserve"> </w:t>
      </w:r>
      <w:r>
        <w:rPr>
          <w:rFonts w:ascii="Arial" w:cs="Arial" w:eastAsia="Arial" w:hAnsi="Arial"/>
          <w:sz w:val="16"/>
          <w:szCs w:val="16"/>
          <w:color w:val="003082"/>
        </w:rPr>
        <w:t>features such as 3D spatial audio, active speaker detection, audio mixing, noise reduction, echo cancellation, surge control and voice effects.</w:t>
      </w:r>
    </w:p>
    <w:p>
      <w:pPr>
        <w:spacing w:after="0" w:line="69" w:lineRule="exact"/>
        <w:rPr>
          <w:rFonts w:ascii="Arial" w:cs="Arial" w:eastAsia="Arial" w:hAnsi="Arial"/>
          <w:sz w:val="16"/>
          <w:szCs w:val="16"/>
          <w:color w:val="003082"/>
        </w:rPr>
      </w:pPr>
    </w:p>
    <w:p>
      <w:pPr>
        <w:ind w:left="660" w:hanging="328"/>
        <w:spacing w:after="0" w:line="277" w:lineRule="auto"/>
        <w:tabs>
          <w:tab w:leader="none" w:pos="660" w:val="left"/>
        </w:tabs>
        <w:numPr>
          <w:ilvl w:val="0"/>
          <w:numId w:val="64"/>
        </w:numPr>
        <w:rPr>
          <w:rFonts w:ascii="Arial" w:cs="Arial" w:eastAsia="Arial" w:hAnsi="Arial"/>
          <w:sz w:val="18"/>
          <w:szCs w:val="18"/>
          <w:color w:val="003082"/>
        </w:rPr>
      </w:pPr>
      <w:r>
        <w:rPr>
          <w:rFonts w:ascii="Arial" w:cs="Arial" w:eastAsia="Arial" w:hAnsi="Arial"/>
          <w:sz w:val="18"/>
          <w:szCs w:val="18"/>
          <w:i w:val="1"/>
          <w:iCs w:val="1"/>
          <w:color w:val="003082"/>
        </w:rPr>
        <w:t xml:space="preserve">Live Interactive Audio Streaming. </w:t>
      </w:r>
      <w:r>
        <w:rPr>
          <w:rFonts w:ascii="Arial" w:cs="Arial" w:eastAsia="Arial" w:hAnsi="Arial"/>
          <w:sz w:val="18"/>
          <w:szCs w:val="18"/>
          <w:color w:val="003082"/>
        </w:rPr>
        <w:t>Our Live Interactive Audio Streaming product enables real-time audio interactions that are streamed to up to</w:t>
      </w:r>
      <w:r>
        <w:rPr>
          <w:rFonts w:ascii="Arial" w:cs="Arial" w:eastAsia="Arial" w:hAnsi="Arial"/>
          <w:sz w:val="18"/>
          <w:szCs w:val="18"/>
          <w:i w:val="1"/>
          <w:iCs w:val="1"/>
          <w:color w:val="003082"/>
        </w:rPr>
        <w:t xml:space="preserve"> </w:t>
      </w:r>
      <w:r>
        <w:rPr>
          <w:rFonts w:ascii="Arial" w:cs="Arial" w:eastAsia="Arial" w:hAnsi="Arial"/>
          <w:sz w:val="18"/>
          <w:szCs w:val="18"/>
          <w:color w:val="003082"/>
        </w:rPr>
        <w:t>millions of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Other Products</w:t>
      </w:r>
    </w:p>
    <w:p>
      <w:pPr>
        <w:spacing w:after="0" w:line="171" w:lineRule="exact"/>
        <w:rPr>
          <w:sz w:val="20"/>
          <w:szCs w:val="20"/>
          <w:color w:val="auto"/>
        </w:rPr>
      </w:pPr>
    </w:p>
    <w:p>
      <w:pPr>
        <w:ind w:left="660" w:right="20" w:hanging="328"/>
        <w:spacing w:after="0" w:line="308" w:lineRule="auto"/>
        <w:tabs>
          <w:tab w:leader="none" w:pos="660" w:val="left"/>
        </w:tabs>
        <w:numPr>
          <w:ilvl w:val="0"/>
          <w:numId w:val="65"/>
        </w:numPr>
        <w:rPr>
          <w:rFonts w:ascii="Arial" w:cs="Arial" w:eastAsia="Arial" w:hAnsi="Arial"/>
          <w:sz w:val="17"/>
          <w:szCs w:val="17"/>
          <w:color w:val="003082"/>
        </w:rPr>
      </w:pPr>
      <w:r>
        <w:rPr>
          <w:rFonts w:ascii="Arial" w:cs="Arial" w:eastAsia="Arial" w:hAnsi="Arial"/>
          <w:sz w:val="17"/>
          <w:szCs w:val="17"/>
          <w:i w:val="1"/>
          <w:iCs w:val="1"/>
          <w:color w:val="003082"/>
        </w:rPr>
        <w:t xml:space="preserve">Real-Time Messaging. </w:t>
      </w:r>
      <w:r>
        <w:rPr>
          <w:rFonts w:ascii="Arial" w:cs="Arial" w:eastAsia="Arial" w:hAnsi="Arial"/>
          <w:sz w:val="17"/>
          <w:szCs w:val="17"/>
          <w:color w:val="003082"/>
        </w:rPr>
        <w:t>Our Real-Time Messaging product provides a highly reliable and low latency messaging service through the SD-RTN,</w:t>
      </w:r>
      <w:r>
        <w:rPr>
          <w:rFonts w:ascii="Arial" w:cs="Arial" w:eastAsia="Arial" w:hAnsi="Arial"/>
          <w:sz w:val="17"/>
          <w:szCs w:val="17"/>
          <w:i w:val="1"/>
          <w:iCs w:val="1"/>
          <w:color w:val="003082"/>
        </w:rPr>
        <w:t xml:space="preserve"> </w:t>
      </w:r>
      <w:r>
        <w:rPr>
          <w:rFonts w:ascii="Arial" w:cs="Arial" w:eastAsia="Arial" w:hAnsi="Arial"/>
          <w:sz w:val="17"/>
          <w:szCs w:val="17"/>
          <w:color w:val="003082"/>
        </w:rPr>
        <w:t>including peer-to-peer messaging as well as channel messaging that can send messages to millions of recipients simultaneously.</w:t>
      </w:r>
    </w:p>
    <w:p>
      <w:pPr>
        <w:spacing w:after="0" w:line="92" w:lineRule="exact"/>
        <w:rPr>
          <w:rFonts w:ascii="Arial" w:cs="Arial" w:eastAsia="Arial" w:hAnsi="Arial"/>
          <w:sz w:val="17"/>
          <w:szCs w:val="17"/>
          <w:color w:val="003082"/>
        </w:rPr>
      </w:pPr>
    </w:p>
    <w:p>
      <w:pPr>
        <w:jc w:val="both"/>
        <w:ind w:left="660" w:hanging="328"/>
        <w:spacing w:after="0" w:line="311" w:lineRule="auto"/>
        <w:tabs>
          <w:tab w:leader="none" w:pos="660" w:val="left"/>
        </w:tabs>
        <w:numPr>
          <w:ilvl w:val="0"/>
          <w:numId w:val="65"/>
        </w:numPr>
        <w:rPr>
          <w:rFonts w:ascii="Arial" w:cs="Arial" w:eastAsia="Arial" w:hAnsi="Arial"/>
          <w:sz w:val="16"/>
          <w:szCs w:val="16"/>
          <w:color w:val="003082"/>
        </w:rPr>
      </w:pPr>
      <w:r>
        <w:rPr>
          <w:rFonts w:ascii="Arial" w:cs="Arial" w:eastAsia="Arial" w:hAnsi="Arial"/>
          <w:sz w:val="16"/>
          <w:szCs w:val="16"/>
          <w:i w:val="1"/>
          <w:iCs w:val="1"/>
          <w:color w:val="003082"/>
        </w:rPr>
        <w:t xml:space="preserve">Real-Time Recording. </w:t>
      </w:r>
      <w:r>
        <w:rPr>
          <w:rFonts w:ascii="Arial" w:cs="Arial" w:eastAsia="Arial" w:hAnsi="Arial"/>
          <w:sz w:val="16"/>
          <w:szCs w:val="16"/>
          <w:color w:val="003082"/>
        </w:rPr>
        <w:t>Real-Time Recording is an add-on service to our Video and Audio products to record and save video and voice interactions</w:t>
      </w:r>
      <w:r>
        <w:rPr>
          <w:rFonts w:ascii="Arial" w:cs="Arial" w:eastAsia="Arial" w:hAnsi="Arial"/>
          <w:sz w:val="16"/>
          <w:szCs w:val="16"/>
          <w:i w:val="1"/>
          <w:iCs w:val="1"/>
          <w:color w:val="003082"/>
        </w:rPr>
        <w:t xml:space="preserve"> </w:t>
      </w:r>
      <w:r>
        <w:rPr>
          <w:rFonts w:ascii="Arial" w:cs="Arial" w:eastAsia="Arial" w:hAnsi="Arial"/>
          <w:sz w:val="16"/>
          <w:szCs w:val="16"/>
          <w:color w:val="003082"/>
        </w:rPr>
        <w:t>and live interactive streaming, either on our platform or on servers designated by our customers. Our Real-Time Recording product enables a wide range of use cases such as course recording, regulatory compliance, record keeping and customer service quality evaluations.</w:t>
      </w:r>
    </w:p>
    <w:p>
      <w:pPr>
        <w:spacing w:after="0" w:line="94" w:lineRule="exact"/>
        <w:rPr>
          <w:rFonts w:ascii="Arial" w:cs="Arial" w:eastAsia="Arial" w:hAnsi="Arial"/>
          <w:sz w:val="16"/>
          <w:szCs w:val="16"/>
          <w:color w:val="003082"/>
        </w:rPr>
      </w:pPr>
    </w:p>
    <w:p>
      <w:pPr>
        <w:jc w:val="both"/>
        <w:ind w:left="660" w:hanging="328"/>
        <w:spacing w:after="0" w:line="286" w:lineRule="auto"/>
        <w:tabs>
          <w:tab w:leader="none" w:pos="660" w:val="left"/>
        </w:tabs>
        <w:numPr>
          <w:ilvl w:val="0"/>
          <w:numId w:val="65"/>
        </w:numPr>
        <w:rPr>
          <w:rFonts w:ascii="Arial" w:cs="Arial" w:eastAsia="Arial" w:hAnsi="Arial"/>
          <w:sz w:val="17"/>
          <w:szCs w:val="17"/>
          <w:color w:val="003082"/>
        </w:rPr>
      </w:pPr>
      <w:r>
        <w:rPr>
          <w:rFonts w:ascii="Arial" w:cs="Arial" w:eastAsia="Arial" w:hAnsi="Arial"/>
          <w:sz w:val="17"/>
          <w:szCs w:val="17"/>
          <w:i w:val="1"/>
          <w:iCs w:val="1"/>
          <w:color w:val="003082"/>
        </w:rPr>
        <w:t xml:space="preserve">Real-Time Streaming Acceleration. </w:t>
      </w:r>
      <w:r>
        <w:rPr>
          <w:rFonts w:ascii="Arial" w:cs="Arial" w:eastAsia="Arial" w:hAnsi="Arial"/>
          <w:sz w:val="17"/>
          <w:szCs w:val="17"/>
          <w:color w:val="003082"/>
        </w:rPr>
        <w:t>Our Real-Time Streaming Acceleration product facilitates ultra-low latency transmission of streaming content</w:t>
      </w:r>
      <w:r>
        <w:rPr>
          <w:rFonts w:ascii="Arial" w:cs="Arial" w:eastAsia="Arial" w:hAnsi="Arial"/>
          <w:sz w:val="17"/>
          <w:szCs w:val="17"/>
          <w:i w:val="1"/>
          <w:iCs w:val="1"/>
          <w:color w:val="003082"/>
        </w:rPr>
        <w:t xml:space="preserve"> </w:t>
      </w:r>
      <w:r>
        <w:rPr>
          <w:rFonts w:ascii="Arial" w:cs="Arial" w:eastAsia="Arial" w:hAnsi="Arial"/>
          <w:sz w:val="17"/>
          <w:szCs w:val="17"/>
          <w:color w:val="003082"/>
        </w:rPr>
        <w:t>over the internet. It is intended to be used by developers who have developed their own media processing modules that can otherwise be provided by our SDK but would benefit from access to the SD-RTN to accelerate their streaming transmissions.</w:t>
      </w:r>
    </w:p>
    <w:p>
      <w:pPr>
        <w:spacing w:after="0" w:line="111" w:lineRule="exact"/>
        <w:rPr>
          <w:rFonts w:ascii="Arial" w:cs="Arial" w:eastAsia="Arial" w:hAnsi="Arial"/>
          <w:sz w:val="17"/>
          <w:szCs w:val="17"/>
          <w:color w:val="003082"/>
        </w:rPr>
      </w:pPr>
    </w:p>
    <w:p>
      <w:pPr>
        <w:jc w:val="both"/>
        <w:ind w:left="660" w:hanging="328"/>
        <w:spacing w:after="0" w:line="279" w:lineRule="auto"/>
        <w:tabs>
          <w:tab w:leader="none" w:pos="660" w:val="left"/>
        </w:tabs>
        <w:numPr>
          <w:ilvl w:val="0"/>
          <w:numId w:val="65"/>
        </w:numPr>
        <w:rPr>
          <w:rFonts w:ascii="Arial" w:cs="Arial" w:eastAsia="Arial" w:hAnsi="Arial"/>
          <w:sz w:val="17"/>
          <w:szCs w:val="17"/>
          <w:color w:val="003082"/>
        </w:rPr>
      </w:pPr>
      <w:r>
        <w:rPr>
          <w:rFonts w:ascii="Arial" w:cs="Arial" w:eastAsia="Arial" w:hAnsi="Arial"/>
          <w:sz w:val="17"/>
          <w:szCs w:val="17"/>
          <w:i w:val="1"/>
          <w:iCs w:val="1"/>
          <w:color w:val="003082"/>
        </w:rPr>
        <w:t xml:space="preserve">Use Case Products. </w:t>
      </w:r>
      <w:r>
        <w:rPr>
          <w:rFonts w:ascii="Arial" w:cs="Arial" w:eastAsia="Arial" w:hAnsi="Arial"/>
          <w:sz w:val="17"/>
          <w:szCs w:val="17"/>
          <w:color w:val="003082"/>
        </w:rPr>
        <w:t>Our use case products provide value-added functionalities for common use cases, such as content moderation to remove</w:t>
      </w:r>
      <w:r>
        <w:rPr>
          <w:rFonts w:ascii="Arial" w:cs="Arial" w:eastAsia="Arial" w:hAnsi="Arial"/>
          <w:sz w:val="17"/>
          <w:szCs w:val="17"/>
          <w:i w:val="1"/>
          <w:iCs w:val="1"/>
          <w:color w:val="003082"/>
        </w:rPr>
        <w:t xml:space="preserve"> </w:t>
      </w:r>
      <w:r>
        <w:rPr>
          <w:rFonts w:ascii="Arial" w:cs="Arial" w:eastAsia="Arial" w:hAnsi="Arial"/>
          <w:sz w:val="17"/>
          <w:szCs w:val="17"/>
          <w:color w:val="003082"/>
        </w:rPr>
        <w:t>inappropriate content in a video stream, interactive whiteboard for education applications and transcription services. In 2019, we introduced the Agora Partner Gallery, our marketplace for third-party solutions and services, to allow partners to develop specific use case functionalities that work as plugins on our core products, which we believe will extend the value and adoption of our platform.</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do not record or store any of the real-time interactions that are facilitated by our platform other than transmission quality data that enables us to continue to improve our platform and in select cases where developers choose to integrate our Real-Time Recording product, for example to enable content replay or ensure customer service levels.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120</w:t>
      </w:r>
    </w:p>
    <w:p>
      <w:pPr>
        <w:sectPr>
          <w:pgSz w:w="11900" w:h="16838" w:orient="portrait"/>
          <w:cols w:equalWidth="0" w:num="1">
            <w:col w:w="11240"/>
          </w:cols>
          <w:pgMar w:left="320" w:top="34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003082"/>
        </w:rPr>
        <w:t>Use Cases We Empower</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are amazed by what developers have been able to achieve with the help of our platform. In some cases, they have built entirely new products around real-time engagement and in others they have elevated end-user experience by incorporating real-time engagement features. Some of the use cases we empower include the following:</w:t>
      </w:r>
    </w:p>
    <w:p>
      <w:pPr>
        <w:spacing w:after="0" w:line="13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003082"/>
        </w:rPr>
      </w:pPr>
      <w:r>
        <w:rPr>
          <w:rFonts w:ascii="Arial" w:cs="Arial" w:eastAsia="Arial" w:hAnsi="Arial"/>
          <w:sz w:val="18"/>
          <w:szCs w:val="18"/>
          <w:b w:val="1"/>
          <w:bCs w:val="1"/>
          <w:i w:val="1"/>
          <w:iCs w:val="1"/>
          <w:color w:val="003082"/>
        </w:rPr>
        <w:t>Social</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enable a variety of real-time social interactions online, such as:</w:t>
      </w:r>
    </w:p>
    <w:p>
      <w:pPr>
        <w:spacing w:after="0" w:line="171" w:lineRule="exact"/>
        <w:rPr>
          <w:rFonts w:ascii="Arial" w:cs="Arial" w:eastAsia="Arial" w:hAnsi="Arial"/>
          <w:sz w:val="18"/>
          <w:szCs w:val="18"/>
          <w:color w:val="003082"/>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003082"/>
        </w:rPr>
      </w:pPr>
      <w:r>
        <w:rPr>
          <w:rFonts w:ascii="Arial" w:cs="Arial" w:eastAsia="Arial" w:hAnsi="Arial"/>
          <w:sz w:val="18"/>
          <w:szCs w:val="18"/>
          <w:i w:val="1"/>
          <w:iCs w:val="1"/>
          <w:color w:val="003082"/>
        </w:rPr>
        <w:t>Group Engagements</w:t>
      </w:r>
      <w:r>
        <w:rPr>
          <w:rFonts w:ascii="Arial" w:cs="Arial" w:eastAsia="Arial" w:hAnsi="Arial"/>
          <w:sz w:val="18"/>
          <w:szCs w:val="18"/>
          <w:color w:val="003082"/>
        </w:rPr>
        <w:t>. We enable real-time group video and voice chats that allow users to meet new people, connect with likeminded</w:t>
      </w:r>
      <w:r>
        <w:rPr>
          <w:rFonts w:ascii="Arial" w:cs="Arial" w:eastAsia="Arial" w:hAnsi="Arial"/>
          <w:sz w:val="18"/>
          <w:szCs w:val="18"/>
          <w:i w:val="1"/>
          <w:iCs w:val="1"/>
          <w:color w:val="003082"/>
        </w:rPr>
        <w:t xml:space="preserve"> </w:t>
      </w:r>
      <w:r>
        <w:rPr>
          <w:rFonts w:ascii="Arial" w:cs="Arial" w:eastAsia="Arial" w:hAnsi="Arial"/>
          <w:sz w:val="18"/>
          <w:szCs w:val="18"/>
          <w:color w:val="003082"/>
        </w:rPr>
        <w:t>individuals and build intimate personal relationships. Users can see and talk to each other with low latency and high clarity while picking up non-verbal clues normally absent in online interactions.</w:t>
      </w:r>
    </w:p>
    <w:p>
      <w:pPr>
        <w:spacing w:after="0" w:line="129" w:lineRule="exact"/>
        <w:rPr>
          <w:rFonts w:ascii="Arial" w:cs="Arial" w:eastAsia="Arial" w:hAnsi="Arial"/>
          <w:sz w:val="18"/>
          <w:szCs w:val="18"/>
          <w:color w:val="003082"/>
        </w:rPr>
      </w:pPr>
    </w:p>
    <w:p>
      <w:pPr>
        <w:jc w:val="both"/>
        <w:ind w:left="980" w:hanging="324"/>
        <w:spacing w:after="0" w:line="279" w:lineRule="auto"/>
        <w:tabs>
          <w:tab w:leader="none" w:pos="980" w:val="left"/>
        </w:tabs>
        <w:numPr>
          <w:ilvl w:val="1"/>
          <w:numId w:val="66"/>
        </w:numPr>
        <w:rPr>
          <w:rFonts w:ascii="Arial" w:cs="Arial" w:eastAsia="Arial" w:hAnsi="Arial"/>
          <w:sz w:val="17"/>
          <w:szCs w:val="17"/>
          <w:color w:val="003082"/>
        </w:rPr>
      </w:pPr>
      <w:r>
        <w:rPr>
          <w:rFonts w:ascii="Arial" w:cs="Arial" w:eastAsia="Arial" w:hAnsi="Arial"/>
          <w:sz w:val="17"/>
          <w:szCs w:val="17"/>
          <w:i w:val="1"/>
          <w:iCs w:val="1"/>
          <w:color w:val="003082"/>
        </w:rPr>
        <w:t>Matchmaking and Dating</w:t>
      </w:r>
      <w:r>
        <w:rPr>
          <w:rFonts w:ascii="Arial" w:cs="Arial" w:eastAsia="Arial" w:hAnsi="Arial"/>
          <w:sz w:val="17"/>
          <w:szCs w:val="17"/>
          <w:color w:val="003082"/>
        </w:rPr>
        <w:t>. For one customer, we enable online sessions in which a matchmaker introduces two potential partners to each other</w:t>
      </w:r>
      <w:r>
        <w:rPr>
          <w:rFonts w:ascii="Arial" w:cs="Arial" w:eastAsia="Arial" w:hAnsi="Arial"/>
          <w:sz w:val="17"/>
          <w:szCs w:val="17"/>
          <w:i w:val="1"/>
          <w:iCs w:val="1"/>
          <w:color w:val="003082"/>
        </w:rPr>
        <w:t xml:space="preserve"> </w:t>
      </w:r>
      <w:r>
        <w:rPr>
          <w:rFonts w:ascii="Arial" w:cs="Arial" w:eastAsia="Arial" w:hAnsi="Arial"/>
          <w:sz w:val="17"/>
          <w:szCs w:val="17"/>
          <w:color w:val="003082"/>
        </w:rPr>
        <w:t>through three-way real-time video engagement. The matchmaker helps make introductions, breaks the ice and guides the conversation, facilitating deeper interactions between the potential partners and an overall more natural dating experience that is similar to traditional offline matchmaking. In other cases, we enable social exploration and dating via 1-on-1 real-time video engagement.</w:t>
      </w:r>
    </w:p>
    <w:p>
      <w:pPr>
        <w:spacing w:after="0" w:line="117" w:lineRule="exact"/>
        <w:rPr>
          <w:rFonts w:ascii="Arial" w:cs="Arial" w:eastAsia="Arial" w:hAnsi="Arial"/>
          <w:sz w:val="17"/>
          <w:szCs w:val="17"/>
          <w:color w:val="003082"/>
        </w:rPr>
      </w:pPr>
    </w:p>
    <w:p>
      <w:pPr>
        <w:jc w:val="both"/>
        <w:ind w:left="980" w:right="20" w:hanging="324"/>
        <w:spacing w:after="0" w:line="342" w:lineRule="auto"/>
        <w:tabs>
          <w:tab w:leader="none" w:pos="980" w:val="left"/>
        </w:tabs>
        <w:numPr>
          <w:ilvl w:val="1"/>
          <w:numId w:val="66"/>
        </w:numPr>
        <w:rPr>
          <w:rFonts w:ascii="Arial" w:cs="Arial" w:eastAsia="Arial" w:hAnsi="Arial"/>
          <w:sz w:val="16"/>
          <w:szCs w:val="16"/>
          <w:color w:val="003082"/>
        </w:rPr>
      </w:pPr>
      <w:r>
        <w:rPr>
          <w:rFonts w:ascii="Arial" w:cs="Arial" w:eastAsia="Arial" w:hAnsi="Arial"/>
          <w:sz w:val="16"/>
          <w:szCs w:val="16"/>
          <w:i w:val="1"/>
          <w:iCs w:val="1"/>
          <w:color w:val="003082"/>
        </w:rPr>
        <w:t xml:space="preserve">Online Karaoke. </w:t>
      </w:r>
      <w:r>
        <w:rPr>
          <w:rFonts w:ascii="Arial" w:cs="Arial" w:eastAsia="Arial" w:hAnsi="Arial"/>
          <w:sz w:val="16"/>
          <w:szCs w:val="16"/>
          <w:color w:val="003082"/>
        </w:rPr>
        <w:t>Our technology enables individuals from different locations to sing songs together in a virtual karaoke room. The musical</w:t>
      </w:r>
      <w:r>
        <w:rPr>
          <w:rFonts w:ascii="Arial" w:cs="Arial" w:eastAsia="Arial" w:hAnsi="Arial"/>
          <w:sz w:val="16"/>
          <w:szCs w:val="16"/>
          <w:i w:val="1"/>
          <w:iCs w:val="1"/>
          <w:color w:val="003082"/>
        </w:rPr>
        <w:t xml:space="preserve"> </w:t>
      </w:r>
      <w:r>
        <w:rPr>
          <w:rFonts w:ascii="Arial" w:cs="Arial" w:eastAsia="Arial" w:hAnsi="Arial"/>
          <w:sz w:val="16"/>
          <w:szCs w:val="16"/>
          <w:color w:val="003082"/>
        </w:rPr>
        <w:t>accompaniment, vocal tracks and physical cues of the singers are all important components of the experience and must be in sync throughout.</w:t>
      </w:r>
    </w:p>
    <w:p>
      <w:pPr>
        <w:spacing w:after="0" w:line="69" w:lineRule="exact"/>
        <w:rPr>
          <w:rFonts w:ascii="Arial" w:cs="Arial" w:eastAsia="Arial" w:hAnsi="Arial"/>
          <w:sz w:val="16"/>
          <w:szCs w:val="16"/>
          <w:color w:val="003082"/>
        </w:rPr>
      </w:pPr>
    </w:p>
    <w:p>
      <w:pPr>
        <w:ind w:left="980" w:hanging="324"/>
        <w:spacing w:after="0"/>
        <w:tabs>
          <w:tab w:leader="none" w:pos="980" w:val="left"/>
        </w:tabs>
        <w:numPr>
          <w:ilvl w:val="1"/>
          <w:numId w:val="66"/>
        </w:numPr>
        <w:rPr>
          <w:rFonts w:ascii="Arial" w:cs="Arial" w:eastAsia="Arial" w:hAnsi="Arial"/>
          <w:sz w:val="18"/>
          <w:szCs w:val="18"/>
          <w:color w:val="003082"/>
        </w:rPr>
      </w:pPr>
      <w:r>
        <w:rPr>
          <w:rFonts w:ascii="Arial" w:cs="Arial" w:eastAsia="Arial" w:hAnsi="Arial"/>
          <w:sz w:val="18"/>
          <w:szCs w:val="18"/>
          <w:color w:val="003082"/>
        </w:rPr>
        <w:t>The Meet Group, a leading provider of dating applications, is a representative customer in social use cases.</w:t>
      </w:r>
    </w:p>
    <w:p>
      <w:pPr>
        <w:spacing w:after="0" w:line="171" w:lineRule="exact"/>
        <w:rPr>
          <w:rFonts w:ascii="Arial" w:cs="Arial" w:eastAsia="Arial" w:hAnsi="Arial"/>
          <w:sz w:val="18"/>
          <w:szCs w:val="18"/>
          <w:color w:val="003082"/>
        </w:rPr>
      </w:pPr>
    </w:p>
    <w:p>
      <w:pPr>
        <w:jc w:val="both"/>
        <w:ind w:left="660" w:hanging="328"/>
        <w:spacing w:after="0" w:line="259" w:lineRule="auto"/>
        <w:tabs>
          <w:tab w:leader="none" w:pos="660" w:val="left"/>
        </w:tabs>
        <w:numPr>
          <w:ilvl w:val="0"/>
          <w:numId w:val="66"/>
        </w:numPr>
        <w:rPr>
          <w:rFonts w:ascii="Arial" w:cs="Arial" w:eastAsia="Arial" w:hAnsi="Arial"/>
          <w:sz w:val="18"/>
          <w:szCs w:val="18"/>
          <w:color w:val="003082"/>
        </w:rPr>
      </w:pPr>
      <w:r>
        <w:rPr>
          <w:rFonts w:ascii="Arial" w:cs="Arial" w:eastAsia="Arial" w:hAnsi="Arial"/>
          <w:sz w:val="18"/>
          <w:szCs w:val="18"/>
          <w:b w:val="1"/>
          <w:bCs w:val="1"/>
          <w:i w:val="1"/>
          <w:iCs w:val="1"/>
          <w:color w:val="003082"/>
        </w:rPr>
        <w:t>Education</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enable interactive online classes where students and teacher can interact via real-time video or voice, thereby promoting student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engagement and enriching learning experiences. For educational service providers, latency and media quality are mission critical to their success, as any noticeable issues with the video or voice can be distracting to the students and negatively impact their ability to interact with teacher and other students. Below are some of the use cases we enable:</w:t>
      </w:r>
    </w:p>
    <w:p>
      <w:pPr>
        <w:spacing w:after="0" w:line="132" w:lineRule="exact"/>
        <w:rPr>
          <w:rFonts w:ascii="Arial" w:cs="Arial" w:eastAsia="Arial" w:hAnsi="Arial"/>
          <w:sz w:val="18"/>
          <w:szCs w:val="18"/>
          <w:color w:val="003082"/>
        </w:rPr>
      </w:pPr>
    </w:p>
    <w:p>
      <w:pPr>
        <w:jc w:val="both"/>
        <w:ind w:left="980" w:hanging="324"/>
        <w:spacing w:after="0" w:line="286" w:lineRule="auto"/>
        <w:tabs>
          <w:tab w:leader="none" w:pos="980" w:val="left"/>
        </w:tabs>
        <w:numPr>
          <w:ilvl w:val="1"/>
          <w:numId w:val="66"/>
        </w:numPr>
        <w:rPr>
          <w:rFonts w:ascii="Arial" w:cs="Arial" w:eastAsia="Arial" w:hAnsi="Arial"/>
          <w:sz w:val="17"/>
          <w:szCs w:val="17"/>
          <w:color w:val="003082"/>
        </w:rPr>
      </w:pPr>
      <w:r>
        <w:rPr>
          <w:rFonts w:ascii="Arial" w:cs="Arial" w:eastAsia="Arial" w:hAnsi="Arial"/>
          <w:sz w:val="17"/>
          <w:szCs w:val="17"/>
          <w:i w:val="1"/>
          <w:iCs w:val="1"/>
          <w:color w:val="003082"/>
        </w:rPr>
        <w:t>1-on-1 Classes</w:t>
      </w:r>
      <w:r>
        <w:rPr>
          <w:rFonts w:ascii="Arial" w:cs="Arial" w:eastAsia="Arial" w:hAnsi="Arial"/>
          <w:sz w:val="17"/>
          <w:szCs w:val="17"/>
          <w:color w:val="003082"/>
        </w:rPr>
        <w:t>. We enable 1-on-1 online classes that provide exclusive and immersive learning experiences that closely replicate in-person</w:t>
      </w:r>
      <w:r>
        <w:rPr>
          <w:rFonts w:ascii="Arial" w:cs="Arial" w:eastAsia="Arial" w:hAnsi="Arial"/>
          <w:sz w:val="17"/>
          <w:szCs w:val="17"/>
          <w:i w:val="1"/>
          <w:iCs w:val="1"/>
          <w:color w:val="003082"/>
        </w:rPr>
        <w:t xml:space="preserve"> </w:t>
      </w:r>
      <w:r>
        <w:rPr>
          <w:rFonts w:ascii="Arial" w:cs="Arial" w:eastAsia="Arial" w:hAnsi="Arial"/>
          <w:sz w:val="17"/>
          <w:szCs w:val="17"/>
          <w:color w:val="003082"/>
        </w:rPr>
        <w:t>tutoring. For one customer, we support 1-on-1 language classes where teacher and student are located in different countries or even continents. For another customer, we use high definition video for art classes to ensure effective observation and teaching.</w:t>
      </w:r>
    </w:p>
    <w:p>
      <w:pPr>
        <w:spacing w:after="0" w:line="111" w:lineRule="exact"/>
        <w:rPr>
          <w:rFonts w:ascii="Arial" w:cs="Arial" w:eastAsia="Arial" w:hAnsi="Arial"/>
          <w:sz w:val="17"/>
          <w:szCs w:val="17"/>
          <w:color w:val="003082"/>
        </w:rPr>
      </w:pPr>
    </w:p>
    <w:p>
      <w:pPr>
        <w:jc w:val="both"/>
        <w:ind w:left="980" w:hanging="324"/>
        <w:spacing w:after="0" w:line="263" w:lineRule="auto"/>
        <w:tabs>
          <w:tab w:leader="none" w:pos="980" w:val="left"/>
        </w:tabs>
        <w:numPr>
          <w:ilvl w:val="1"/>
          <w:numId w:val="66"/>
        </w:numPr>
        <w:rPr>
          <w:rFonts w:ascii="Arial" w:cs="Arial" w:eastAsia="Arial" w:hAnsi="Arial"/>
          <w:sz w:val="18"/>
          <w:szCs w:val="18"/>
          <w:color w:val="003082"/>
        </w:rPr>
      </w:pPr>
      <w:r>
        <w:rPr>
          <w:rFonts w:ascii="Arial" w:cs="Arial" w:eastAsia="Arial" w:hAnsi="Arial"/>
          <w:sz w:val="18"/>
          <w:szCs w:val="18"/>
          <w:i w:val="1"/>
          <w:iCs w:val="1"/>
          <w:color w:val="003082"/>
        </w:rPr>
        <w:t xml:space="preserve">Small Classes. </w:t>
      </w:r>
      <w:r>
        <w:rPr>
          <w:rFonts w:ascii="Arial" w:cs="Arial" w:eastAsia="Arial" w:hAnsi="Arial"/>
          <w:sz w:val="18"/>
          <w:szCs w:val="18"/>
          <w:color w:val="003082"/>
        </w:rPr>
        <w:t>Online education platforms utilize our technology to offer interactive online small classes. Students can see and participate in</w:t>
      </w:r>
      <w:r>
        <w:rPr>
          <w:rFonts w:ascii="Arial" w:cs="Arial" w:eastAsia="Arial" w:hAnsi="Arial"/>
          <w:sz w:val="18"/>
          <w:szCs w:val="18"/>
          <w:i w:val="1"/>
          <w:iCs w:val="1"/>
          <w:color w:val="003082"/>
        </w:rPr>
        <w:t xml:space="preserve"> </w:t>
      </w:r>
      <w:r>
        <w:rPr>
          <w:rFonts w:ascii="Arial" w:cs="Arial" w:eastAsia="Arial" w:hAnsi="Arial"/>
          <w:sz w:val="18"/>
          <w:szCs w:val="18"/>
          <w:color w:val="003082"/>
        </w:rPr>
        <w:t>discussions with other students in the same session in real-time, in addition to the teacher, thus closely replicating an in-person, small-group learning experience.</w:t>
      </w:r>
    </w:p>
    <w:p>
      <w:pPr>
        <w:spacing w:after="0" w:line="129" w:lineRule="exact"/>
        <w:rPr>
          <w:rFonts w:ascii="Arial" w:cs="Arial" w:eastAsia="Arial" w:hAnsi="Arial"/>
          <w:sz w:val="18"/>
          <w:szCs w:val="18"/>
          <w:color w:val="003082"/>
        </w:rPr>
      </w:pPr>
    </w:p>
    <w:p>
      <w:pPr>
        <w:jc w:val="both"/>
        <w:ind w:left="980" w:hanging="324"/>
        <w:spacing w:after="0" w:line="273" w:lineRule="auto"/>
        <w:tabs>
          <w:tab w:leader="none" w:pos="980" w:val="left"/>
        </w:tabs>
        <w:numPr>
          <w:ilvl w:val="1"/>
          <w:numId w:val="66"/>
        </w:numPr>
        <w:rPr>
          <w:rFonts w:ascii="Arial" w:cs="Arial" w:eastAsia="Arial" w:hAnsi="Arial"/>
          <w:sz w:val="17"/>
          <w:szCs w:val="17"/>
          <w:color w:val="003082"/>
        </w:rPr>
      </w:pPr>
      <w:r>
        <w:rPr>
          <w:rFonts w:ascii="Arial" w:cs="Arial" w:eastAsia="Arial" w:hAnsi="Arial"/>
          <w:sz w:val="17"/>
          <w:szCs w:val="17"/>
          <w:i w:val="1"/>
          <w:iCs w:val="1"/>
          <w:color w:val="003082"/>
        </w:rPr>
        <w:t>Interactive large classes</w:t>
      </w:r>
      <w:r>
        <w:rPr>
          <w:rFonts w:ascii="Arial" w:cs="Arial" w:eastAsia="Arial" w:hAnsi="Arial"/>
          <w:sz w:val="17"/>
          <w:szCs w:val="17"/>
          <w:color w:val="003082"/>
        </w:rPr>
        <w:t>. We have enabled large interactive online classes that can support thousands of participants in one session.</w:t>
      </w:r>
      <w:r>
        <w:rPr>
          <w:rFonts w:ascii="Arial" w:cs="Arial" w:eastAsia="Arial" w:hAnsi="Arial"/>
          <w:sz w:val="17"/>
          <w:szCs w:val="17"/>
          <w:i w:val="1"/>
          <w:iCs w:val="1"/>
          <w:color w:val="003082"/>
        </w:rPr>
        <w:t xml:space="preserve"> </w:t>
      </w:r>
      <w:r>
        <w:rPr>
          <w:rFonts w:ascii="Arial" w:cs="Arial" w:eastAsia="Arial" w:hAnsi="Arial"/>
          <w:sz w:val="17"/>
          <w:szCs w:val="17"/>
          <w:color w:val="003082"/>
        </w:rPr>
        <w:t>Traditionally, large classes utilize one-way video streaming technology which has limited ability for students to interact with the teacher given the high latency in the video. Additionally, class material or whiteboard content are often out of sync with the video given the unstable latency of traditional streaming technology. With our real-time engagement technology, students are able to raise their hand and interact with teachers via video or voice in real-time, and teachers can use an interactive virtual whiteboard that is delivered in real-time and highly synchronized with the main video stream, resulting in a rich learning experience.</w:t>
      </w:r>
    </w:p>
    <w:p>
      <w:pPr>
        <w:spacing w:after="0" w:line="123" w:lineRule="exact"/>
        <w:rPr>
          <w:rFonts w:ascii="Arial" w:cs="Arial" w:eastAsia="Arial" w:hAnsi="Arial"/>
          <w:sz w:val="17"/>
          <w:szCs w:val="17"/>
          <w:color w:val="003082"/>
        </w:rPr>
      </w:pPr>
    </w:p>
    <w:p>
      <w:pPr>
        <w:ind w:left="980" w:hanging="324"/>
        <w:spacing w:after="0"/>
        <w:tabs>
          <w:tab w:leader="none" w:pos="980" w:val="left"/>
        </w:tabs>
        <w:numPr>
          <w:ilvl w:val="1"/>
          <w:numId w:val="66"/>
        </w:numPr>
        <w:rPr>
          <w:rFonts w:ascii="Arial" w:cs="Arial" w:eastAsia="Arial" w:hAnsi="Arial"/>
          <w:sz w:val="16"/>
          <w:szCs w:val="16"/>
          <w:color w:val="003082"/>
        </w:rPr>
      </w:pPr>
      <w:r>
        <w:rPr>
          <w:rFonts w:ascii="Arial" w:cs="Arial" w:eastAsia="Arial" w:hAnsi="Arial"/>
          <w:sz w:val="16"/>
          <w:szCs w:val="16"/>
          <w:color w:val="003082"/>
        </w:rPr>
        <w:t>New Oriental Education &amp; Technology Group, a provider of private educational services, is a representative customer in education use cases.</w:t>
      </w:r>
    </w:p>
    <w:p>
      <w:pPr>
        <w:spacing w:after="0" w:line="194" w:lineRule="exact"/>
        <w:rPr>
          <w:rFonts w:ascii="Arial" w:cs="Arial" w:eastAsia="Arial" w:hAnsi="Arial"/>
          <w:sz w:val="16"/>
          <w:szCs w:val="16"/>
          <w:color w:val="003082"/>
        </w:rPr>
      </w:pPr>
    </w:p>
    <w:p>
      <w:pPr>
        <w:jc w:val="both"/>
        <w:ind w:left="660" w:hanging="328"/>
        <w:spacing w:after="0" w:line="263" w:lineRule="auto"/>
        <w:tabs>
          <w:tab w:leader="none" w:pos="660" w:val="left"/>
        </w:tabs>
        <w:numPr>
          <w:ilvl w:val="0"/>
          <w:numId w:val="66"/>
        </w:numPr>
        <w:rPr>
          <w:rFonts w:ascii="Arial" w:cs="Arial" w:eastAsia="Arial" w:hAnsi="Arial"/>
          <w:sz w:val="18"/>
          <w:szCs w:val="18"/>
          <w:color w:val="003082"/>
        </w:rPr>
      </w:pPr>
      <w:r>
        <w:rPr>
          <w:rFonts w:ascii="Arial" w:cs="Arial" w:eastAsia="Arial" w:hAnsi="Arial"/>
          <w:sz w:val="18"/>
          <w:szCs w:val="18"/>
          <w:b w:val="1"/>
          <w:bCs w:val="1"/>
          <w:i w:val="1"/>
          <w:iCs w:val="1"/>
          <w:color w:val="003082"/>
        </w:rPr>
        <w:t>Entertainment (Live Interactive Streaming)</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Traditional live streaming, such as those involving live performances of a host dancing or singing,</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offers limited ability for the audience to engage with the host. With our technology, audiences are able to interact with hosts via real-time video or voice as they are performing.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121</w:t>
      </w:r>
    </w:p>
    <w:p>
      <w:pPr>
        <w:sectPr>
          <w:pgSz w:w="11900" w:h="16838" w:orient="portrait"/>
          <w:cols w:equalWidth="0" w:num="1">
            <w:col w:w="11240"/>
          </w:cols>
          <w:pgMar w:left="320" w:top="445" w:right="339" w:bottom="1440" w:gutter="0" w:footer="0" w:header="0"/>
        </w:sectPr>
      </w:pPr>
    </w:p>
    <w:bookmarkStart w:id="126" w:name="page127"/>
    <w:bookmarkEnd w:id="126"/>
    <w:p>
      <w:pPr>
        <w:jc w:val="both"/>
        <w:ind w:left="328"/>
        <w:spacing w:after="0" w:line="301" w:lineRule="auto"/>
        <w:rPr>
          <w:sz w:val="20"/>
          <w:szCs w:val="20"/>
          <w:color w:val="auto"/>
        </w:rPr>
      </w:pPr>
      <w:r>
        <w:rPr>
          <w:rFonts w:ascii="Arial" w:cs="Arial" w:eastAsia="Arial" w:hAnsi="Arial"/>
          <w:sz w:val="16"/>
          <w:szCs w:val="16"/>
          <w:color w:val="003082"/>
        </w:rPr>
        <w:t>More recently, our technology has been applied to enable “Host PK,” a type of live streaming performance popular in China in which multiple live streams are combined and hosts compete with one another in real-time “battles.” These involve performances where the real-time nature of engagements is critical to the experience, such as in singing competitions or live duets or heated debates between hosts. Our technology allows users to assess and even take part in these battles when noticeable latency would otherwise interrupt user immersion and the broader experience.</w:t>
      </w:r>
    </w:p>
    <w:p>
      <w:pPr>
        <w:spacing w:after="0" w:line="103" w:lineRule="exact"/>
        <w:rPr>
          <w:sz w:val="20"/>
          <w:szCs w:val="20"/>
          <w:color w:val="auto"/>
        </w:rPr>
      </w:pPr>
    </w:p>
    <w:p>
      <w:pPr>
        <w:ind w:left="328" w:hanging="328"/>
        <w:spacing w:after="0" w:line="277" w:lineRule="auto"/>
        <w:tabs>
          <w:tab w:leader="none" w:pos="328" w:val="left"/>
        </w:tabs>
        <w:numPr>
          <w:ilvl w:val="0"/>
          <w:numId w:val="67"/>
        </w:numPr>
        <w:rPr>
          <w:rFonts w:ascii="Arial" w:cs="Arial" w:eastAsia="Arial" w:hAnsi="Arial"/>
          <w:sz w:val="18"/>
          <w:szCs w:val="18"/>
          <w:color w:val="003082"/>
        </w:rPr>
      </w:pPr>
      <w:r>
        <w:rPr>
          <w:rFonts w:ascii="Arial" w:cs="Arial" w:eastAsia="Arial" w:hAnsi="Arial"/>
          <w:sz w:val="18"/>
          <w:szCs w:val="18"/>
          <w:b w:val="1"/>
          <w:bCs w:val="1"/>
          <w:i w:val="1"/>
          <w:iCs w:val="1"/>
          <w:color w:val="003082"/>
        </w:rPr>
        <w:t>Gaming</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Our platform has empowered game developers to enhance multiplayer gaming experiences and create new gaming formats that were not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previously possible.</w:t>
      </w:r>
    </w:p>
    <w:p>
      <w:pPr>
        <w:spacing w:after="0" w:line="116" w:lineRule="exact"/>
        <w:rPr>
          <w:rFonts w:ascii="Arial" w:cs="Arial" w:eastAsia="Arial" w:hAnsi="Arial"/>
          <w:sz w:val="18"/>
          <w:szCs w:val="18"/>
          <w:color w:val="003082"/>
        </w:rPr>
      </w:pPr>
    </w:p>
    <w:p>
      <w:pPr>
        <w:jc w:val="both"/>
        <w:ind w:left="648" w:hanging="324"/>
        <w:spacing w:after="0" w:line="311" w:lineRule="auto"/>
        <w:tabs>
          <w:tab w:leader="none" w:pos="648" w:val="left"/>
        </w:tabs>
        <w:numPr>
          <w:ilvl w:val="1"/>
          <w:numId w:val="67"/>
        </w:numPr>
        <w:rPr>
          <w:rFonts w:ascii="Arial" w:cs="Arial" w:eastAsia="Arial" w:hAnsi="Arial"/>
          <w:sz w:val="16"/>
          <w:szCs w:val="16"/>
          <w:color w:val="003082"/>
        </w:rPr>
      </w:pPr>
      <w:r>
        <w:rPr>
          <w:rFonts w:ascii="Arial" w:cs="Arial" w:eastAsia="Arial" w:hAnsi="Arial"/>
          <w:sz w:val="16"/>
          <w:szCs w:val="16"/>
          <w:i w:val="1"/>
          <w:iCs w:val="1"/>
          <w:color w:val="003082"/>
        </w:rPr>
        <w:t xml:space="preserve">In-game Collaboration. </w:t>
      </w:r>
      <w:r>
        <w:rPr>
          <w:rFonts w:ascii="Arial" w:cs="Arial" w:eastAsia="Arial" w:hAnsi="Arial"/>
          <w:sz w:val="16"/>
          <w:szCs w:val="16"/>
          <w:color w:val="003082"/>
        </w:rPr>
        <w:t>Competitive online multiplayer games, such as multiplayer online battle arenas, or MOBAs, require close, real-time</w:t>
      </w:r>
      <w:r>
        <w:rPr>
          <w:rFonts w:ascii="Arial" w:cs="Arial" w:eastAsia="Arial" w:hAnsi="Arial"/>
          <w:sz w:val="16"/>
          <w:szCs w:val="16"/>
          <w:i w:val="1"/>
          <w:iCs w:val="1"/>
          <w:color w:val="003082"/>
        </w:rPr>
        <w:t xml:space="preserve"> </w:t>
      </w:r>
      <w:r>
        <w:rPr>
          <w:rFonts w:ascii="Arial" w:cs="Arial" w:eastAsia="Arial" w:hAnsi="Arial"/>
          <w:sz w:val="16"/>
          <w:szCs w:val="16"/>
          <w:color w:val="003082"/>
        </w:rPr>
        <w:t>coordination among teams of players as they face off against each other. Our technologies allow players to seamlessly interact with one another during the heat of battle, execute well-timed strategies on the fly, and share moments of excitement with their teammates in real-time.</w:t>
      </w:r>
    </w:p>
    <w:p>
      <w:pPr>
        <w:spacing w:after="0" w:line="94" w:lineRule="exact"/>
        <w:rPr>
          <w:rFonts w:ascii="Arial" w:cs="Arial" w:eastAsia="Arial" w:hAnsi="Arial"/>
          <w:sz w:val="16"/>
          <w:szCs w:val="16"/>
          <w:color w:val="003082"/>
        </w:rPr>
      </w:pPr>
    </w:p>
    <w:p>
      <w:pPr>
        <w:jc w:val="both"/>
        <w:ind w:left="648" w:hanging="324"/>
        <w:spacing w:after="0" w:line="275" w:lineRule="auto"/>
        <w:tabs>
          <w:tab w:leader="none" w:pos="648" w:val="left"/>
        </w:tabs>
        <w:numPr>
          <w:ilvl w:val="1"/>
          <w:numId w:val="67"/>
        </w:numPr>
        <w:rPr>
          <w:rFonts w:ascii="Arial" w:cs="Arial" w:eastAsia="Arial" w:hAnsi="Arial"/>
          <w:sz w:val="17"/>
          <w:szCs w:val="17"/>
          <w:color w:val="003082"/>
        </w:rPr>
      </w:pPr>
      <w:r>
        <w:rPr>
          <w:rFonts w:ascii="Arial" w:cs="Arial" w:eastAsia="Arial" w:hAnsi="Arial"/>
          <w:sz w:val="17"/>
          <w:szCs w:val="17"/>
          <w:i w:val="1"/>
          <w:iCs w:val="1"/>
          <w:color w:val="003082"/>
        </w:rPr>
        <w:t xml:space="preserve">Interaction-dependent Games. </w:t>
      </w:r>
      <w:r>
        <w:rPr>
          <w:rFonts w:ascii="Arial" w:cs="Arial" w:eastAsia="Arial" w:hAnsi="Arial"/>
          <w:sz w:val="17"/>
          <w:szCs w:val="17"/>
          <w:color w:val="003082"/>
        </w:rPr>
        <w:t>Real-time engagement technology allows for online gaming formats that would not have been possible in the</w:t>
      </w:r>
      <w:r>
        <w:rPr>
          <w:rFonts w:ascii="Arial" w:cs="Arial" w:eastAsia="Arial" w:hAnsi="Arial"/>
          <w:sz w:val="17"/>
          <w:szCs w:val="17"/>
          <w:i w:val="1"/>
          <w:iCs w:val="1"/>
          <w:color w:val="003082"/>
        </w:rPr>
        <w:t xml:space="preserve"> </w:t>
      </w:r>
      <w:r>
        <w:rPr>
          <w:rFonts w:ascii="Arial" w:cs="Arial" w:eastAsia="Arial" w:hAnsi="Arial"/>
          <w:sz w:val="17"/>
          <w:szCs w:val="17"/>
          <w:color w:val="003082"/>
        </w:rPr>
        <w:t>past. Players can now view body language and reactions of teammates and competitors in real time to make gameplay decisions. For example, online poker players can now incorporate the critically important aspect of deciphering visual “tells” into their gameplay. Similarly, Werewolf, a popular social deduction game that was previously only playable offline as it requires constant dialogue between players and live deduction based on players’ social and language clues, can now be made playable online through our technology.</w:t>
      </w:r>
    </w:p>
    <w:p>
      <w:pPr>
        <w:spacing w:after="0" w:line="122" w:lineRule="exact"/>
        <w:rPr>
          <w:rFonts w:ascii="Arial" w:cs="Arial" w:eastAsia="Arial" w:hAnsi="Arial"/>
          <w:sz w:val="17"/>
          <w:szCs w:val="17"/>
          <w:color w:val="003082"/>
        </w:rPr>
      </w:pPr>
    </w:p>
    <w:p>
      <w:pPr>
        <w:ind w:left="328" w:hanging="328"/>
        <w:spacing w:after="0"/>
        <w:tabs>
          <w:tab w:leader="none" w:pos="328" w:val="left"/>
        </w:tabs>
        <w:numPr>
          <w:ilvl w:val="0"/>
          <w:numId w:val="67"/>
        </w:numPr>
        <w:rPr>
          <w:rFonts w:ascii="Arial" w:cs="Arial" w:eastAsia="Arial" w:hAnsi="Arial"/>
          <w:sz w:val="18"/>
          <w:szCs w:val="18"/>
          <w:color w:val="003082"/>
        </w:rPr>
      </w:pPr>
      <w:r>
        <w:rPr>
          <w:rFonts w:ascii="Arial" w:cs="Arial" w:eastAsia="Arial" w:hAnsi="Arial"/>
          <w:sz w:val="18"/>
          <w:szCs w:val="18"/>
          <w:b w:val="1"/>
          <w:bCs w:val="1"/>
          <w:i w:val="1"/>
          <w:iCs w:val="1"/>
          <w:color w:val="003082"/>
        </w:rPr>
        <w:t>Enterprise Solutions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We offer the following enterprise solutions that can be used across industries.</w:t>
      </w:r>
    </w:p>
    <w:p>
      <w:pPr>
        <w:spacing w:after="0" w:line="171" w:lineRule="exact"/>
        <w:rPr>
          <w:rFonts w:ascii="Arial" w:cs="Arial" w:eastAsia="Arial" w:hAnsi="Arial"/>
          <w:sz w:val="18"/>
          <w:szCs w:val="18"/>
          <w:color w:val="003082"/>
        </w:rPr>
      </w:pPr>
    </w:p>
    <w:p>
      <w:pPr>
        <w:jc w:val="both"/>
        <w:ind w:left="648" w:hanging="324"/>
        <w:spacing w:after="0" w:line="271" w:lineRule="auto"/>
        <w:tabs>
          <w:tab w:leader="none" w:pos="648" w:val="left"/>
        </w:tabs>
        <w:numPr>
          <w:ilvl w:val="1"/>
          <w:numId w:val="67"/>
        </w:numPr>
        <w:rPr>
          <w:rFonts w:ascii="Arial" w:cs="Arial" w:eastAsia="Arial" w:hAnsi="Arial"/>
          <w:sz w:val="17"/>
          <w:szCs w:val="17"/>
          <w:color w:val="003082"/>
        </w:rPr>
      </w:pPr>
      <w:r>
        <w:rPr>
          <w:rFonts w:ascii="Arial" w:cs="Arial" w:eastAsia="Arial" w:hAnsi="Arial"/>
          <w:sz w:val="17"/>
          <w:szCs w:val="17"/>
          <w:i w:val="1"/>
          <w:iCs w:val="1"/>
          <w:color w:val="003082"/>
        </w:rPr>
        <w:t xml:space="preserve">Customer Service. </w:t>
      </w:r>
      <w:r>
        <w:rPr>
          <w:rFonts w:ascii="Arial" w:cs="Arial" w:eastAsia="Arial" w:hAnsi="Arial"/>
          <w:sz w:val="17"/>
          <w:szCs w:val="17"/>
          <w:color w:val="003082"/>
        </w:rPr>
        <w:t>Businesses rely on our platform to improve the quality and efficiency of their services and increase customer satisfaction.</w:t>
      </w:r>
      <w:r>
        <w:rPr>
          <w:rFonts w:ascii="Arial" w:cs="Arial" w:eastAsia="Arial" w:hAnsi="Arial"/>
          <w:sz w:val="17"/>
          <w:szCs w:val="17"/>
          <w:i w:val="1"/>
          <w:iCs w:val="1"/>
          <w:color w:val="003082"/>
        </w:rPr>
        <w:t xml:space="preserve"> </w:t>
      </w:r>
      <w:r>
        <w:rPr>
          <w:rFonts w:ascii="Arial" w:cs="Arial" w:eastAsia="Arial" w:hAnsi="Arial"/>
          <w:sz w:val="17"/>
          <w:szCs w:val="17"/>
          <w:color w:val="003082"/>
        </w:rPr>
        <w:t>Traditionally, remote customer service has typically been conducted over the phone, which not only lacks video capability but also can be costly and with potential privacy concerns since customers’ actual phone numbers are used. We enable cost effective real-time video and voice solutions that allow companies to provide a differentiated experience for the customers in order to drive sales, answer customer inquiries, and resolve any disputes, among many other uses. For example, an online food delivery customer has their delivery crew use our technology to call their customers through an application-to-application voice call when the delivery arrives, instead of using a traditional phone call. For an online travel agency customer, their customer service representatives use our technology to engage with their customers over application-to-application video or voice instead of traditional phone call.</w:t>
      </w:r>
    </w:p>
    <w:p>
      <w:pPr>
        <w:spacing w:after="0" w:line="124" w:lineRule="exact"/>
        <w:rPr>
          <w:rFonts w:ascii="Arial" w:cs="Arial" w:eastAsia="Arial" w:hAnsi="Arial"/>
          <w:sz w:val="17"/>
          <w:szCs w:val="17"/>
          <w:color w:val="003082"/>
        </w:rPr>
      </w:pPr>
    </w:p>
    <w:p>
      <w:pPr>
        <w:ind w:left="648" w:right="20" w:hanging="324"/>
        <w:spacing w:after="0" w:line="277" w:lineRule="auto"/>
        <w:tabs>
          <w:tab w:leader="none" w:pos="648" w:val="left"/>
        </w:tabs>
        <w:numPr>
          <w:ilvl w:val="1"/>
          <w:numId w:val="67"/>
        </w:numPr>
        <w:rPr>
          <w:rFonts w:ascii="Arial" w:cs="Arial" w:eastAsia="Arial" w:hAnsi="Arial"/>
          <w:sz w:val="18"/>
          <w:szCs w:val="18"/>
          <w:color w:val="003082"/>
        </w:rPr>
      </w:pPr>
      <w:r>
        <w:rPr>
          <w:rFonts w:ascii="Arial" w:cs="Arial" w:eastAsia="Arial" w:hAnsi="Arial"/>
          <w:sz w:val="18"/>
          <w:szCs w:val="18"/>
          <w:i w:val="1"/>
          <w:iCs w:val="1"/>
          <w:color w:val="003082"/>
        </w:rPr>
        <w:t xml:space="preserve">Collaboration. </w:t>
      </w:r>
      <w:r>
        <w:rPr>
          <w:rFonts w:ascii="Arial" w:cs="Arial" w:eastAsia="Arial" w:hAnsi="Arial"/>
          <w:sz w:val="18"/>
          <w:szCs w:val="18"/>
          <w:color w:val="003082"/>
        </w:rPr>
        <w:t>Enterprise customers use our technology to enable video and voice conferencing in their internal collaboration software. SaaS</w:t>
      </w:r>
      <w:r>
        <w:rPr>
          <w:rFonts w:ascii="Arial" w:cs="Arial" w:eastAsia="Arial" w:hAnsi="Arial"/>
          <w:sz w:val="18"/>
          <w:szCs w:val="18"/>
          <w:i w:val="1"/>
          <w:iCs w:val="1"/>
          <w:color w:val="003082"/>
        </w:rPr>
        <w:t xml:space="preserve"> </w:t>
      </w:r>
      <w:r>
        <w:rPr>
          <w:rFonts w:ascii="Arial" w:cs="Arial" w:eastAsia="Arial" w:hAnsi="Arial"/>
          <w:sz w:val="18"/>
          <w:szCs w:val="18"/>
          <w:color w:val="003082"/>
        </w:rPr>
        <w:t>providers also adopt our technology to enable collaboration through real-time video and voice in their products.</w:t>
      </w:r>
    </w:p>
    <w:p>
      <w:pPr>
        <w:spacing w:after="0" w:line="116" w:lineRule="exact"/>
        <w:rPr>
          <w:rFonts w:ascii="Arial" w:cs="Arial" w:eastAsia="Arial" w:hAnsi="Arial"/>
          <w:sz w:val="18"/>
          <w:szCs w:val="18"/>
          <w:color w:val="003082"/>
        </w:rPr>
      </w:pPr>
    </w:p>
    <w:p>
      <w:pPr>
        <w:ind w:left="328" w:hanging="328"/>
        <w:spacing w:after="0"/>
        <w:tabs>
          <w:tab w:leader="none" w:pos="328" w:val="left"/>
        </w:tabs>
        <w:numPr>
          <w:ilvl w:val="0"/>
          <w:numId w:val="67"/>
        </w:numPr>
        <w:rPr>
          <w:rFonts w:ascii="Arial" w:cs="Arial" w:eastAsia="Arial" w:hAnsi="Arial"/>
          <w:sz w:val="18"/>
          <w:szCs w:val="18"/>
          <w:color w:val="003082"/>
        </w:rPr>
      </w:pPr>
      <w:r>
        <w:rPr>
          <w:rFonts w:ascii="Arial" w:cs="Arial" w:eastAsia="Arial" w:hAnsi="Arial"/>
          <w:sz w:val="18"/>
          <w:szCs w:val="18"/>
          <w:b w:val="1"/>
          <w:bCs w:val="1"/>
          <w:i w:val="1"/>
          <w:iCs w:val="1"/>
          <w:color w:val="003082"/>
        </w:rPr>
        <w:t>Financial Services</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Our platform also powers use cases within the financial services industry, such as:</w:t>
      </w:r>
    </w:p>
    <w:p>
      <w:pPr>
        <w:spacing w:after="0" w:line="171" w:lineRule="exact"/>
        <w:rPr>
          <w:rFonts w:ascii="Arial" w:cs="Arial" w:eastAsia="Arial" w:hAnsi="Arial"/>
          <w:sz w:val="18"/>
          <w:szCs w:val="18"/>
          <w:color w:val="003082"/>
        </w:rPr>
      </w:pPr>
    </w:p>
    <w:p>
      <w:pPr>
        <w:jc w:val="both"/>
        <w:ind w:left="648" w:hanging="324"/>
        <w:spacing w:after="0" w:line="259" w:lineRule="auto"/>
        <w:tabs>
          <w:tab w:leader="none" w:pos="648" w:val="left"/>
        </w:tabs>
        <w:numPr>
          <w:ilvl w:val="1"/>
          <w:numId w:val="67"/>
        </w:numPr>
        <w:rPr>
          <w:rFonts w:ascii="Arial" w:cs="Arial" w:eastAsia="Arial" w:hAnsi="Arial"/>
          <w:sz w:val="18"/>
          <w:szCs w:val="18"/>
          <w:color w:val="003082"/>
        </w:rPr>
      </w:pPr>
      <w:r>
        <w:rPr>
          <w:rFonts w:ascii="Arial" w:cs="Arial" w:eastAsia="Arial" w:hAnsi="Arial"/>
          <w:sz w:val="18"/>
          <w:szCs w:val="18"/>
          <w:i w:val="1"/>
          <w:iCs w:val="1"/>
          <w:color w:val="003082"/>
        </w:rPr>
        <w:t xml:space="preserve">Banking. </w:t>
      </w:r>
      <w:r>
        <w:rPr>
          <w:rFonts w:ascii="Arial" w:cs="Arial" w:eastAsia="Arial" w:hAnsi="Arial"/>
          <w:sz w:val="18"/>
          <w:szCs w:val="18"/>
          <w:color w:val="003082"/>
        </w:rPr>
        <w:t>A leading commercial bank in China leverages our technology to enable video banking. Customers can remotely open accounts or</w:t>
      </w:r>
      <w:r>
        <w:rPr>
          <w:rFonts w:ascii="Arial" w:cs="Arial" w:eastAsia="Arial" w:hAnsi="Arial"/>
          <w:sz w:val="18"/>
          <w:szCs w:val="18"/>
          <w:i w:val="1"/>
          <w:iCs w:val="1"/>
          <w:color w:val="003082"/>
        </w:rPr>
        <w:t xml:space="preserve"> </w:t>
      </w:r>
      <w:r>
        <w:rPr>
          <w:rFonts w:ascii="Arial" w:cs="Arial" w:eastAsia="Arial" w:hAnsi="Arial"/>
          <w:sz w:val="18"/>
          <w:szCs w:val="18"/>
          <w:color w:val="003082"/>
        </w:rPr>
        <w:t>complete transactions with a customer service representative, in a way that closely replicates an in-person bank branch visit. Furthermore, video interactions between customers and service representatives are recorded using our Real-Time Recording product to comply with regulatory requirements.</w:t>
      </w:r>
    </w:p>
    <w:p>
      <w:pPr>
        <w:spacing w:after="0" w:line="132" w:lineRule="exact"/>
        <w:rPr>
          <w:rFonts w:ascii="Arial" w:cs="Arial" w:eastAsia="Arial" w:hAnsi="Arial"/>
          <w:sz w:val="18"/>
          <w:szCs w:val="18"/>
          <w:color w:val="003082"/>
        </w:rPr>
      </w:pPr>
    </w:p>
    <w:p>
      <w:pPr>
        <w:jc w:val="both"/>
        <w:ind w:left="648" w:hanging="324"/>
        <w:spacing w:after="0" w:line="263" w:lineRule="auto"/>
        <w:tabs>
          <w:tab w:leader="none" w:pos="648" w:val="left"/>
        </w:tabs>
        <w:numPr>
          <w:ilvl w:val="1"/>
          <w:numId w:val="67"/>
        </w:numPr>
        <w:rPr>
          <w:rFonts w:ascii="Arial" w:cs="Arial" w:eastAsia="Arial" w:hAnsi="Arial"/>
          <w:sz w:val="18"/>
          <w:szCs w:val="18"/>
          <w:color w:val="003082"/>
        </w:rPr>
      </w:pPr>
      <w:r>
        <w:rPr>
          <w:rFonts w:ascii="Arial" w:cs="Arial" w:eastAsia="Arial" w:hAnsi="Arial"/>
          <w:sz w:val="18"/>
          <w:szCs w:val="18"/>
          <w:i w:val="1"/>
          <w:iCs w:val="1"/>
          <w:color w:val="003082"/>
        </w:rPr>
        <w:t xml:space="preserve">Insurance. </w:t>
      </w:r>
      <w:r>
        <w:rPr>
          <w:rFonts w:ascii="Arial" w:cs="Arial" w:eastAsia="Arial" w:hAnsi="Arial"/>
          <w:sz w:val="18"/>
          <w:szCs w:val="18"/>
          <w:color w:val="003082"/>
        </w:rPr>
        <w:t>A leading online-only insurance company in China uses our technology for its automotive insurance claims process. Following a</w:t>
      </w:r>
      <w:r>
        <w:rPr>
          <w:rFonts w:ascii="Arial" w:cs="Arial" w:eastAsia="Arial" w:hAnsi="Arial"/>
          <w:sz w:val="18"/>
          <w:szCs w:val="18"/>
          <w:i w:val="1"/>
          <w:iCs w:val="1"/>
          <w:color w:val="003082"/>
        </w:rPr>
        <w:t xml:space="preserve"> </w:t>
      </w:r>
      <w:r>
        <w:rPr>
          <w:rFonts w:ascii="Arial" w:cs="Arial" w:eastAsia="Arial" w:hAnsi="Arial"/>
          <w:sz w:val="18"/>
          <w:szCs w:val="18"/>
          <w:color w:val="003082"/>
        </w:rPr>
        <w:t>car accident, insurance adjustors can engage with claimants through real-time video without being at the actual accident site, to assess damage and confirm coverage remotely.</w:t>
      </w:r>
    </w:p>
    <w:p>
      <w:pPr>
        <w:spacing w:after="0" w:line="3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003082"/>
        </w:rPr>
        <w:t>122</w:t>
      </w:r>
    </w:p>
    <w:p>
      <w:pPr>
        <w:sectPr>
          <w:pgSz w:w="11900" w:h="16838" w:orient="portrait"/>
          <w:cols w:equalWidth="0" w:num="1">
            <w:col w:w="10908"/>
          </w:cols>
          <w:pgMar w:left="652" w:top="341" w:right="339" w:bottom="1440" w:gutter="0" w:footer="0" w:header="0"/>
        </w:sectPr>
      </w:pPr>
    </w:p>
    <w:bookmarkStart w:id="127" w:name="page128"/>
    <w:bookmarkEnd w:id="127"/>
    <w:p>
      <w:pPr>
        <w:ind w:left="660" w:hanging="328"/>
        <w:spacing w:after="0" w:line="308" w:lineRule="auto"/>
        <w:tabs>
          <w:tab w:leader="none" w:pos="660" w:val="left"/>
        </w:tabs>
        <w:numPr>
          <w:ilvl w:val="0"/>
          <w:numId w:val="68"/>
        </w:numPr>
        <w:rPr>
          <w:rFonts w:ascii="Arial" w:cs="Arial" w:eastAsia="Arial" w:hAnsi="Arial"/>
          <w:sz w:val="17"/>
          <w:szCs w:val="17"/>
          <w:color w:val="003082"/>
        </w:rPr>
      </w:pPr>
      <w:r>
        <w:rPr>
          <w:rFonts w:ascii="Arial" w:cs="Arial" w:eastAsia="Arial" w:hAnsi="Arial"/>
          <w:sz w:val="17"/>
          <w:szCs w:val="17"/>
          <w:b w:val="1"/>
          <w:bCs w:val="1"/>
          <w:i w:val="1"/>
          <w:iCs w:val="1"/>
          <w:color w:val="003082"/>
        </w:rPr>
        <w:t>Healthcare</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Our platform enables medical service providers to offer remote consultation to patients in real-time. Patients benefit from increased</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flexibility and convenience, and in emergency situations the improved access to medical advice could even potentially save lives.</w:t>
      </w:r>
    </w:p>
    <w:p>
      <w:pPr>
        <w:spacing w:after="0" w:line="92" w:lineRule="exact"/>
        <w:rPr>
          <w:rFonts w:ascii="Arial" w:cs="Arial" w:eastAsia="Arial" w:hAnsi="Arial"/>
          <w:sz w:val="17"/>
          <w:szCs w:val="17"/>
          <w:color w:val="003082"/>
        </w:rPr>
      </w:pPr>
    </w:p>
    <w:p>
      <w:pPr>
        <w:jc w:val="both"/>
        <w:ind w:left="980" w:hanging="324"/>
        <w:spacing w:after="0" w:line="263" w:lineRule="auto"/>
        <w:tabs>
          <w:tab w:leader="none" w:pos="980" w:val="left"/>
        </w:tabs>
        <w:numPr>
          <w:ilvl w:val="1"/>
          <w:numId w:val="68"/>
        </w:numPr>
        <w:rPr>
          <w:rFonts w:ascii="Arial" w:cs="Arial" w:eastAsia="Arial" w:hAnsi="Arial"/>
          <w:sz w:val="18"/>
          <w:szCs w:val="18"/>
          <w:color w:val="003082"/>
        </w:rPr>
      </w:pPr>
      <w:r>
        <w:rPr>
          <w:rFonts w:ascii="Arial" w:cs="Arial" w:eastAsia="Arial" w:hAnsi="Arial"/>
          <w:sz w:val="18"/>
          <w:szCs w:val="18"/>
          <w:i w:val="1"/>
          <w:iCs w:val="1"/>
          <w:color w:val="003082"/>
        </w:rPr>
        <w:t xml:space="preserve">Consultation. </w:t>
      </w:r>
      <w:r>
        <w:rPr>
          <w:rFonts w:ascii="Arial" w:cs="Arial" w:eastAsia="Arial" w:hAnsi="Arial"/>
          <w:sz w:val="18"/>
          <w:szCs w:val="18"/>
          <w:color w:val="003082"/>
        </w:rPr>
        <w:t>An online medical aesthetics platform uses our technology to enable real-time video consultation for its patients who might not</w:t>
      </w:r>
      <w:r>
        <w:rPr>
          <w:rFonts w:ascii="Arial" w:cs="Arial" w:eastAsia="Arial" w:hAnsi="Arial"/>
          <w:sz w:val="18"/>
          <w:szCs w:val="18"/>
          <w:i w:val="1"/>
          <w:iCs w:val="1"/>
          <w:color w:val="003082"/>
        </w:rPr>
        <w:t xml:space="preserve"> </w:t>
      </w:r>
      <w:r>
        <w:rPr>
          <w:rFonts w:ascii="Arial" w:cs="Arial" w:eastAsia="Arial" w:hAnsi="Arial"/>
          <w:sz w:val="18"/>
          <w:szCs w:val="18"/>
          <w:color w:val="003082"/>
        </w:rPr>
        <w:t>be able to make in-person appointments. Patients can consult with doctors on their treatment options and conduct follow-up appointments remotely after surgery.</w:t>
      </w:r>
    </w:p>
    <w:p>
      <w:pPr>
        <w:spacing w:after="0" w:line="129" w:lineRule="exact"/>
        <w:rPr>
          <w:rFonts w:ascii="Arial" w:cs="Arial" w:eastAsia="Arial" w:hAnsi="Arial"/>
          <w:sz w:val="18"/>
          <w:szCs w:val="18"/>
          <w:color w:val="003082"/>
        </w:rPr>
      </w:pPr>
    </w:p>
    <w:p>
      <w:pPr>
        <w:jc w:val="both"/>
        <w:ind w:left="980" w:hanging="324"/>
        <w:spacing w:after="0" w:line="259" w:lineRule="auto"/>
        <w:tabs>
          <w:tab w:leader="none" w:pos="980" w:val="left"/>
        </w:tabs>
        <w:numPr>
          <w:ilvl w:val="1"/>
          <w:numId w:val="68"/>
        </w:numPr>
        <w:rPr>
          <w:rFonts w:ascii="Arial" w:cs="Arial" w:eastAsia="Arial" w:hAnsi="Arial"/>
          <w:sz w:val="18"/>
          <w:szCs w:val="18"/>
          <w:color w:val="003082"/>
        </w:rPr>
      </w:pPr>
      <w:r>
        <w:rPr>
          <w:rFonts w:ascii="Arial" w:cs="Arial" w:eastAsia="Arial" w:hAnsi="Arial"/>
          <w:sz w:val="18"/>
          <w:szCs w:val="18"/>
          <w:i w:val="1"/>
          <w:iCs w:val="1"/>
          <w:color w:val="003082"/>
        </w:rPr>
        <w:t xml:space="preserve">Emergency. </w:t>
      </w:r>
      <w:r>
        <w:rPr>
          <w:rFonts w:ascii="Arial" w:cs="Arial" w:eastAsia="Arial" w:hAnsi="Arial"/>
          <w:sz w:val="18"/>
          <w:szCs w:val="18"/>
          <w:color w:val="003082"/>
        </w:rPr>
        <w:t>A medical emergency service uses our technology to allow patients to receive first aid directions from a doctor through real-time</w:t>
      </w:r>
      <w:r>
        <w:rPr>
          <w:rFonts w:ascii="Arial" w:cs="Arial" w:eastAsia="Arial" w:hAnsi="Arial"/>
          <w:sz w:val="18"/>
          <w:szCs w:val="18"/>
          <w:i w:val="1"/>
          <w:iCs w:val="1"/>
          <w:color w:val="003082"/>
        </w:rPr>
        <w:t xml:space="preserve"> </w:t>
      </w:r>
      <w:r>
        <w:rPr>
          <w:rFonts w:ascii="Arial" w:cs="Arial" w:eastAsia="Arial" w:hAnsi="Arial"/>
          <w:sz w:val="18"/>
          <w:szCs w:val="18"/>
          <w:color w:val="003082"/>
        </w:rPr>
        <w:t>video while waiting for an ambulance. Once the patient calls the emergency hotline, the service will send the patient the web link for the video connection and the patient does not need to install additional software. This allows the doctors to make critical assessments and give instructions that could save patient lives.</w:t>
      </w:r>
    </w:p>
    <w:p>
      <w:pPr>
        <w:spacing w:after="0" w:line="132" w:lineRule="exact"/>
        <w:rPr>
          <w:rFonts w:ascii="Arial" w:cs="Arial" w:eastAsia="Arial" w:hAnsi="Arial"/>
          <w:sz w:val="18"/>
          <w:szCs w:val="18"/>
          <w:color w:val="003082"/>
        </w:rPr>
      </w:pPr>
    </w:p>
    <w:p>
      <w:pPr>
        <w:ind w:left="660" w:hanging="328"/>
        <w:spacing w:after="0" w:line="308" w:lineRule="auto"/>
        <w:tabs>
          <w:tab w:leader="none" w:pos="660" w:val="left"/>
        </w:tabs>
        <w:numPr>
          <w:ilvl w:val="0"/>
          <w:numId w:val="68"/>
        </w:numPr>
        <w:rPr>
          <w:rFonts w:ascii="Arial" w:cs="Arial" w:eastAsia="Arial" w:hAnsi="Arial"/>
          <w:sz w:val="17"/>
          <w:szCs w:val="17"/>
          <w:color w:val="003082"/>
        </w:rPr>
      </w:pPr>
      <w:r>
        <w:rPr>
          <w:rFonts w:ascii="Arial" w:cs="Arial" w:eastAsia="Arial" w:hAnsi="Arial"/>
          <w:sz w:val="17"/>
          <w:szCs w:val="17"/>
          <w:b w:val="1"/>
          <w:bCs w:val="1"/>
          <w:i w:val="1"/>
          <w:iCs w:val="1"/>
          <w:color w:val="003082"/>
        </w:rPr>
        <w:t>Internet of Things</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The number of connected devices globally is expected to grow rapidly. Many of them can benefit from our technology. Our</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technology has been integrated into various IoT devices and use cases and we believe there is still enormous potential in the future.</w:t>
      </w:r>
    </w:p>
    <w:p>
      <w:pPr>
        <w:spacing w:after="0" w:line="92" w:lineRule="exact"/>
        <w:rPr>
          <w:rFonts w:ascii="Arial" w:cs="Arial" w:eastAsia="Arial" w:hAnsi="Arial"/>
          <w:sz w:val="17"/>
          <w:szCs w:val="17"/>
          <w:color w:val="003082"/>
        </w:rPr>
      </w:pPr>
    </w:p>
    <w:p>
      <w:pPr>
        <w:jc w:val="both"/>
        <w:ind w:left="980" w:hanging="324"/>
        <w:spacing w:after="0" w:line="286" w:lineRule="auto"/>
        <w:tabs>
          <w:tab w:leader="none" w:pos="980" w:val="left"/>
        </w:tabs>
        <w:numPr>
          <w:ilvl w:val="1"/>
          <w:numId w:val="68"/>
        </w:numPr>
        <w:rPr>
          <w:rFonts w:ascii="Arial" w:cs="Arial" w:eastAsia="Arial" w:hAnsi="Arial"/>
          <w:sz w:val="17"/>
          <w:szCs w:val="17"/>
          <w:color w:val="003082"/>
        </w:rPr>
      </w:pPr>
      <w:r>
        <w:rPr>
          <w:rFonts w:ascii="Arial" w:cs="Arial" w:eastAsia="Arial" w:hAnsi="Arial"/>
          <w:sz w:val="17"/>
          <w:szCs w:val="17"/>
          <w:i w:val="1"/>
          <w:iCs w:val="1"/>
          <w:color w:val="003082"/>
        </w:rPr>
        <w:t xml:space="preserve">Smart Watches. </w:t>
      </w:r>
      <w:r>
        <w:rPr>
          <w:rFonts w:ascii="Arial" w:cs="Arial" w:eastAsia="Arial" w:hAnsi="Arial"/>
          <w:sz w:val="17"/>
          <w:szCs w:val="17"/>
          <w:color w:val="003082"/>
        </w:rPr>
        <w:t>Our technology has been embedded in smart watches to enable users to conduct video calls directly from their wrists. This is</w:t>
      </w:r>
      <w:r>
        <w:rPr>
          <w:rFonts w:ascii="Arial" w:cs="Arial" w:eastAsia="Arial" w:hAnsi="Arial"/>
          <w:sz w:val="17"/>
          <w:szCs w:val="17"/>
          <w:i w:val="1"/>
          <w:iCs w:val="1"/>
          <w:color w:val="003082"/>
        </w:rPr>
        <w:t xml:space="preserve"> </w:t>
      </w:r>
      <w:r>
        <w:rPr>
          <w:rFonts w:ascii="Arial" w:cs="Arial" w:eastAsia="Arial" w:hAnsi="Arial"/>
          <w:sz w:val="17"/>
          <w:szCs w:val="17"/>
          <w:color w:val="003082"/>
        </w:rPr>
        <w:t>often used as an emergency call for children or elderly people. For example, if they get lost in a shopping mall, they can simply press a button on their smart watch to initiate a video call with their parents or guardians and show them the surroundings.</w:t>
      </w:r>
    </w:p>
    <w:p>
      <w:pPr>
        <w:spacing w:after="0" w:line="111" w:lineRule="exact"/>
        <w:rPr>
          <w:rFonts w:ascii="Arial" w:cs="Arial" w:eastAsia="Arial" w:hAnsi="Arial"/>
          <w:sz w:val="17"/>
          <w:szCs w:val="17"/>
          <w:color w:val="003082"/>
        </w:rPr>
      </w:pPr>
    </w:p>
    <w:p>
      <w:pPr>
        <w:jc w:val="both"/>
        <w:ind w:left="980" w:hanging="324"/>
        <w:spacing w:after="0" w:line="259" w:lineRule="auto"/>
        <w:tabs>
          <w:tab w:leader="none" w:pos="980" w:val="left"/>
        </w:tabs>
        <w:numPr>
          <w:ilvl w:val="1"/>
          <w:numId w:val="68"/>
        </w:numPr>
        <w:rPr>
          <w:rFonts w:ascii="Arial" w:cs="Arial" w:eastAsia="Arial" w:hAnsi="Arial"/>
          <w:sz w:val="18"/>
          <w:szCs w:val="18"/>
          <w:color w:val="003082"/>
        </w:rPr>
      </w:pPr>
      <w:r>
        <w:rPr>
          <w:rFonts w:ascii="Arial" w:cs="Arial" w:eastAsia="Arial" w:hAnsi="Arial"/>
          <w:sz w:val="18"/>
          <w:szCs w:val="18"/>
          <w:i w:val="1"/>
          <w:iCs w:val="1"/>
          <w:color w:val="003082"/>
        </w:rPr>
        <w:t xml:space="preserve">Smart Home Appliances. </w:t>
      </w:r>
      <w:r>
        <w:rPr>
          <w:rFonts w:ascii="Arial" w:cs="Arial" w:eastAsia="Arial" w:hAnsi="Arial"/>
          <w:sz w:val="18"/>
          <w:szCs w:val="18"/>
          <w:color w:val="003082"/>
        </w:rPr>
        <w:t>We have partnered with customers to integrate real-time video and voice functionalities into their smart home</w:t>
      </w:r>
      <w:r>
        <w:rPr>
          <w:rFonts w:ascii="Arial" w:cs="Arial" w:eastAsia="Arial" w:hAnsi="Arial"/>
          <w:sz w:val="18"/>
          <w:szCs w:val="18"/>
          <w:i w:val="1"/>
          <w:iCs w:val="1"/>
          <w:color w:val="003082"/>
        </w:rPr>
        <w:t xml:space="preserve"> </w:t>
      </w:r>
      <w:r>
        <w:rPr>
          <w:rFonts w:ascii="Arial" w:cs="Arial" w:eastAsia="Arial" w:hAnsi="Arial"/>
          <w:sz w:val="18"/>
          <w:szCs w:val="18"/>
          <w:color w:val="003082"/>
        </w:rPr>
        <w:t>appliances and devices. For example, smart speakers and smart TVs can use our technology to conduct real-time video and voice calls with family and friends. Home security cameras and smart doorbells can establish real-time video connections with smart TVs, mobile phones and other smart home devices.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Technology and Infrastructure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We built our cloud-native platform to enable worldwide, real-time video and voice engagement and messaging for up to millions of concurrent users.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082"/>
        </w:rPr>
        <w:t>The key components of our platform are the Agora SDK and the SD-RTN.</w:t>
      </w:r>
    </w:p>
    <w:p>
      <w:pPr>
        <w:spacing w:after="0" w:line="157" w:lineRule="exact"/>
        <w:rPr>
          <w:sz w:val="20"/>
          <w:szCs w:val="20"/>
          <w:color w:val="auto"/>
        </w:rPr>
      </w:pPr>
    </w:p>
    <w:p>
      <w:pPr>
        <w:jc w:val="both"/>
        <w:ind w:left="660" w:hanging="328"/>
        <w:spacing w:after="0" w:line="263" w:lineRule="auto"/>
        <w:tabs>
          <w:tab w:leader="none" w:pos="660" w:val="left"/>
        </w:tabs>
        <w:numPr>
          <w:ilvl w:val="0"/>
          <w:numId w:val="69"/>
        </w:numPr>
        <w:rPr>
          <w:rFonts w:ascii="Arial" w:cs="Arial" w:eastAsia="Arial" w:hAnsi="Arial"/>
          <w:sz w:val="18"/>
          <w:szCs w:val="18"/>
          <w:color w:val="003082"/>
        </w:rPr>
      </w:pPr>
      <w:r>
        <w:rPr>
          <w:rFonts w:ascii="Arial" w:cs="Arial" w:eastAsia="Arial" w:hAnsi="Arial"/>
          <w:sz w:val="18"/>
          <w:szCs w:val="18"/>
          <w:b w:val="1"/>
          <w:bCs w:val="1"/>
          <w:i w:val="1"/>
          <w:iCs w:val="1"/>
          <w:color w:val="003082"/>
        </w:rPr>
        <w:t>Agora SDK</w:t>
      </w:r>
      <w:r>
        <w:rPr>
          <w:rFonts w:ascii="Arial" w:cs="Arial" w:eastAsia="Arial" w:hAnsi="Arial"/>
          <w:sz w:val="18"/>
          <w:szCs w:val="18"/>
          <w:i w:val="1"/>
          <w:iCs w:val="1"/>
          <w:color w:val="003082"/>
        </w:rPr>
        <w:t>.</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The Agora SDK contains all the software a developer needs to integrate our real-time engagement products into an application, is</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customizable by the developer and runs on end users’ devices as part of the developer’s application. The main software modules of the Agora SDK include:</w:t>
      </w:r>
    </w:p>
    <w:p>
      <w:pPr>
        <w:spacing w:after="0" w:line="129" w:lineRule="exact"/>
        <w:rPr>
          <w:rFonts w:ascii="Arial" w:cs="Arial" w:eastAsia="Arial" w:hAnsi="Arial"/>
          <w:sz w:val="18"/>
          <w:szCs w:val="18"/>
          <w:color w:val="003082"/>
        </w:rPr>
      </w:pPr>
    </w:p>
    <w:p>
      <w:pPr>
        <w:ind w:left="980" w:hanging="324"/>
        <w:spacing w:after="0" w:line="277" w:lineRule="auto"/>
        <w:tabs>
          <w:tab w:leader="none" w:pos="980" w:val="left"/>
        </w:tabs>
        <w:numPr>
          <w:ilvl w:val="1"/>
          <w:numId w:val="69"/>
        </w:numPr>
        <w:rPr>
          <w:rFonts w:ascii="Arial" w:cs="Arial" w:eastAsia="Arial" w:hAnsi="Arial"/>
          <w:sz w:val="18"/>
          <w:szCs w:val="18"/>
          <w:color w:val="003082"/>
        </w:rPr>
      </w:pPr>
      <w:r>
        <w:rPr>
          <w:rFonts w:ascii="Arial" w:cs="Arial" w:eastAsia="Arial" w:hAnsi="Arial"/>
          <w:sz w:val="18"/>
          <w:szCs w:val="18"/>
          <w:color w:val="003082"/>
        </w:rPr>
        <w:t>Capturing modules that capture audio and video streams, and rendering modules that combine and synchronize multiple video or audio streams.</w:t>
      </w:r>
    </w:p>
    <w:p>
      <w:pPr>
        <w:spacing w:after="0" w:line="116" w:lineRule="exact"/>
        <w:rPr>
          <w:rFonts w:ascii="Arial" w:cs="Arial" w:eastAsia="Arial" w:hAnsi="Arial"/>
          <w:sz w:val="18"/>
          <w:szCs w:val="18"/>
          <w:color w:val="003082"/>
        </w:rPr>
      </w:pPr>
    </w:p>
    <w:p>
      <w:pPr>
        <w:jc w:val="both"/>
        <w:ind w:left="980" w:hanging="324"/>
        <w:spacing w:after="0" w:line="259" w:lineRule="auto"/>
        <w:tabs>
          <w:tab w:leader="none" w:pos="980" w:val="left"/>
        </w:tabs>
        <w:numPr>
          <w:ilvl w:val="1"/>
          <w:numId w:val="69"/>
        </w:numPr>
        <w:rPr>
          <w:rFonts w:ascii="Arial" w:cs="Arial" w:eastAsia="Arial" w:hAnsi="Arial"/>
          <w:sz w:val="18"/>
          <w:szCs w:val="18"/>
          <w:color w:val="003082"/>
        </w:rPr>
      </w:pPr>
      <w:r>
        <w:rPr>
          <w:rFonts w:ascii="Arial" w:cs="Arial" w:eastAsia="Arial" w:hAnsi="Arial"/>
          <w:sz w:val="18"/>
          <w:szCs w:val="18"/>
          <w:color w:val="003082"/>
        </w:rPr>
        <w:t>Pre-processing modules that modify the raw streams to reduce background noise, cancel echo, enable users to “beautify” their video appearance and add a variety of video special effects in real time, among other things, as well as post-processing modules that enhance the received streams, including resolution enhancement, noise reduction, image sharpening, concealment of audio or video defects such as jitter and color blocks, and video frame interpolation.</w:t>
      </w:r>
    </w:p>
    <w:p>
      <w:pPr>
        <w:spacing w:after="0" w:line="132" w:lineRule="exact"/>
        <w:rPr>
          <w:rFonts w:ascii="Arial" w:cs="Arial" w:eastAsia="Arial" w:hAnsi="Arial"/>
          <w:sz w:val="18"/>
          <w:szCs w:val="18"/>
          <w:color w:val="003082"/>
        </w:rPr>
      </w:pPr>
    </w:p>
    <w:p>
      <w:pPr>
        <w:ind w:left="980" w:hanging="324"/>
        <w:spacing w:after="0" w:line="342" w:lineRule="auto"/>
        <w:tabs>
          <w:tab w:leader="none" w:pos="980" w:val="left"/>
        </w:tabs>
        <w:numPr>
          <w:ilvl w:val="1"/>
          <w:numId w:val="69"/>
        </w:numPr>
        <w:rPr>
          <w:rFonts w:ascii="Arial" w:cs="Arial" w:eastAsia="Arial" w:hAnsi="Arial"/>
          <w:sz w:val="16"/>
          <w:szCs w:val="16"/>
          <w:color w:val="003082"/>
        </w:rPr>
      </w:pPr>
      <w:r>
        <w:rPr>
          <w:rFonts w:ascii="Arial" w:cs="Arial" w:eastAsia="Arial" w:hAnsi="Arial"/>
          <w:sz w:val="16"/>
          <w:szCs w:val="16"/>
          <w:color w:val="003082"/>
        </w:rPr>
        <w:t>Encoding and decoding modules that compress and decompress the streams before and after transmission. Our video and audio codecs dynamically adapt the size of video and audio streams based on network transmission environment and end-user device capabilities.</w:t>
      </w:r>
    </w:p>
    <w:p>
      <w:pPr>
        <w:spacing w:after="0" w:line="69" w:lineRule="exact"/>
        <w:rPr>
          <w:rFonts w:ascii="Arial" w:cs="Arial" w:eastAsia="Arial" w:hAnsi="Arial"/>
          <w:sz w:val="16"/>
          <w:szCs w:val="16"/>
          <w:color w:val="003082"/>
        </w:rPr>
      </w:pPr>
    </w:p>
    <w:p>
      <w:pPr>
        <w:jc w:val="both"/>
        <w:ind w:left="980" w:hanging="324"/>
        <w:spacing w:after="0" w:line="259" w:lineRule="auto"/>
        <w:tabs>
          <w:tab w:leader="none" w:pos="980" w:val="left"/>
        </w:tabs>
        <w:numPr>
          <w:ilvl w:val="1"/>
          <w:numId w:val="69"/>
        </w:numPr>
        <w:rPr>
          <w:rFonts w:ascii="Arial" w:cs="Arial" w:eastAsia="Arial" w:hAnsi="Arial"/>
          <w:sz w:val="18"/>
          <w:szCs w:val="18"/>
          <w:color w:val="003082"/>
        </w:rPr>
      </w:pPr>
      <w:r>
        <w:rPr>
          <w:rFonts w:ascii="Arial" w:cs="Arial" w:eastAsia="Arial" w:hAnsi="Arial"/>
          <w:sz w:val="18"/>
          <w:szCs w:val="18"/>
          <w:color w:val="003082"/>
        </w:rPr>
        <w:t>“First-mile” and “last-mile” transmission modules that transmit data between end-user devices and an edge node of the SD-RTN. Our transmission modules dynamically select the optimal edge nodes based on changes in the network environment, for example, when the end-user device switches from a WiFi to a cellular network connection. Our transmission modules also use adaptive channel coding based on predicted packet-loss rate, as well as other strategies, to compensate for packet loss.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123</w:t>
      </w:r>
    </w:p>
    <w:p>
      <w:pPr>
        <w:sectPr>
          <w:pgSz w:w="11900" w:h="16838" w:orient="portrait"/>
          <w:cols w:equalWidth="0" w:num="1">
            <w:col w:w="11240"/>
          </w:cols>
          <w:pgMar w:left="320" w:top="341" w:right="339" w:bottom="1440" w:gutter="0" w:footer="0" w:header="0"/>
        </w:sectPr>
      </w:pPr>
    </w:p>
    <w:bookmarkStart w:id="128" w:name="page129"/>
    <w:bookmarkEnd w:id="128"/>
    <w:p>
      <w:pPr>
        <w:jc w:val="both"/>
        <w:ind w:firstLine="324"/>
        <w:spacing w:after="0" w:line="263" w:lineRule="auto"/>
        <w:rPr>
          <w:sz w:val="20"/>
          <w:szCs w:val="20"/>
          <w:color w:val="auto"/>
        </w:rPr>
      </w:pPr>
      <w:r>
        <w:rPr>
          <w:rFonts w:ascii="Arial" w:cs="Arial" w:eastAsia="Arial" w:hAnsi="Arial"/>
          <w:sz w:val="18"/>
          <w:szCs w:val="18"/>
          <w:color w:val="003082"/>
        </w:rPr>
        <w:t>We have developed our SDK to overcome hardware and software compatibility issues and to be as compact as possible once embedded within an application. Our SDK is widely compatible with major operating systems, development frameworks and programming languages, and a wide variety of phones, PCs and other connected devices, including relatively older and less sophisticated models.</w:t>
      </w:r>
    </w:p>
    <w:p>
      <w:pPr>
        <w:spacing w:after="0" w:line="130" w:lineRule="exact"/>
        <w:rPr>
          <w:sz w:val="20"/>
          <w:szCs w:val="20"/>
          <w:color w:val="auto"/>
        </w:rPr>
      </w:pPr>
    </w:p>
    <w:p>
      <w:pPr>
        <w:jc w:val="both"/>
        <w:ind w:left="660" w:hanging="328"/>
        <w:spacing w:after="0" w:line="279" w:lineRule="auto"/>
        <w:tabs>
          <w:tab w:leader="none" w:pos="660" w:val="left"/>
        </w:tabs>
        <w:numPr>
          <w:ilvl w:val="0"/>
          <w:numId w:val="70"/>
        </w:numPr>
        <w:rPr>
          <w:rFonts w:ascii="Arial" w:cs="Arial" w:eastAsia="Arial" w:hAnsi="Arial"/>
          <w:sz w:val="17"/>
          <w:szCs w:val="17"/>
          <w:color w:val="003082"/>
        </w:rPr>
      </w:pPr>
      <w:r>
        <w:rPr>
          <w:rFonts w:ascii="Arial" w:cs="Arial" w:eastAsia="Arial" w:hAnsi="Arial"/>
          <w:sz w:val="17"/>
          <w:szCs w:val="17"/>
          <w:b w:val="1"/>
          <w:bCs w:val="1"/>
          <w:i w:val="1"/>
          <w:iCs w:val="1"/>
          <w:color w:val="003082"/>
        </w:rPr>
        <w:t>SD-RTN</w:t>
      </w:r>
      <w:r>
        <w:rPr>
          <w:rFonts w:ascii="Arial" w:cs="Arial" w:eastAsia="Arial" w:hAnsi="Arial"/>
          <w:sz w:val="17"/>
          <w:szCs w:val="17"/>
          <w:i w:val="1"/>
          <w:iCs w:val="1"/>
          <w:color w:val="003082"/>
        </w:rPr>
        <w:t>.</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The SD-RTN is a virtual network overlay on top of the public internet that runs on more than 200 co-located data centers worldwide and</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handles real-time data transmission between end-user devices when using our SDK. A key distinguishing feature of the SD-RTN is its all-software architecture; we do not own or lease physical or private data transmission lines. We believe our all-software approach is cost-effective, enables highly flexible routing optimization and will continue to improve through iterative development.</w:t>
      </w:r>
    </w:p>
    <w:p>
      <w:pPr>
        <w:spacing w:after="0" w:line="117" w:lineRule="exact"/>
        <w:rPr>
          <w:rFonts w:ascii="Arial" w:cs="Arial" w:eastAsia="Arial" w:hAnsi="Arial"/>
          <w:sz w:val="17"/>
          <w:szCs w:val="17"/>
          <w:color w:val="003082"/>
        </w:rPr>
      </w:pPr>
    </w:p>
    <w:p>
      <w:pPr>
        <w:jc w:val="both"/>
        <w:ind w:left="660"/>
        <w:spacing w:after="0" w:line="279" w:lineRule="auto"/>
        <w:rPr>
          <w:rFonts w:ascii="Arial" w:cs="Arial" w:eastAsia="Arial" w:hAnsi="Arial"/>
          <w:sz w:val="17"/>
          <w:szCs w:val="17"/>
          <w:color w:val="003082"/>
        </w:rPr>
      </w:pPr>
      <w:r>
        <w:rPr>
          <w:rFonts w:ascii="Arial" w:cs="Arial" w:eastAsia="Arial" w:hAnsi="Arial"/>
          <w:sz w:val="17"/>
          <w:szCs w:val="17"/>
          <w:color w:val="003082"/>
        </w:rPr>
        <w:t>The public internet is an open and best effort network with no assurance of service quality. As data is transmitted, data packets pass through various segments managed by disparate network operators with their own routing protocols that do not always take into account the conditions of the other segments. The SD-RTN compensates for this absence of centralization with its virtual, software overlay. Because we have total control over every data center within the SD-RTN, we are able to optimize routing and plan traffic holistically.</w:t>
      </w:r>
    </w:p>
    <w:p>
      <w:pPr>
        <w:spacing w:after="0" w:line="117" w:lineRule="exact"/>
        <w:rPr>
          <w:rFonts w:ascii="Arial" w:cs="Arial" w:eastAsia="Arial" w:hAnsi="Arial"/>
          <w:sz w:val="17"/>
          <w:szCs w:val="17"/>
          <w:color w:val="003082"/>
        </w:rPr>
      </w:pPr>
    </w:p>
    <w:p>
      <w:pPr>
        <w:jc w:val="both"/>
        <w:ind w:left="660"/>
        <w:spacing w:after="0" w:line="290" w:lineRule="auto"/>
        <w:rPr>
          <w:rFonts w:ascii="Arial" w:cs="Arial" w:eastAsia="Arial" w:hAnsi="Arial"/>
          <w:sz w:val="17"/>
          <w:szCs w:val="17"/>
          <w:color w:val="003082"/>
        </w:rPr>
      </w:pPr>
      <w:r>
        <w:rPr>
          <w:rFonts w:ascii="Arial" w:cs="Arial" w:eastAsia="Arial" w:hAnsi="Arial"/>
          <w:sz w:val="16"/>
          <w:szCs w:val="16"/>
          <w:color w:val="003082"/>
        </w:rPr>
        <w:t>Using sophisticated proprietary algorithms, the SD-RTN constantly probes the transmission quality across the public internet to determine optimal routes between data centers within the SD-RTN in terms of latency, bandwidth and packet loss. The SD-RTN maintains a real-time routing map to direct data transmission, taking into consideration transmission needs from up to several million concurrent end users, available bandwidth at each data center and other potential constraints such as network operator and infrastructure provider restrictions on data outflow from particular data centers and load balancing among edge nodes and between different routes. We also send redundant data packets through multiple optimized paths and the data packet that arrives to the destination first is used while any lost or subsequently received redundant data packets are ignored. The SD-RTN is based on the User Datagram Protocol, or UDP, for sending data packets, rather than the Transmission Control Protocol, or TCP, because UDP prioritizes lower latency and is more suitable for real-time engagement.</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Our platform uses artificial intelligence, or AI, during encoding, transmission, processing and rendering, among other processes. For example, our AI algorithms predict focal points in a video, such as a person speaking compared to a background detail, to encode and render the video using more or less data, and predict packet loss rate to dynamically compensate for packet loss. They also enable a variety of transmission enhancements, such as identifying and eliminating echoes, distinguishing spoken language from other sounds to prioritize transmission of spoken language, filtering and suppressing noises that end users are more likely to be sensitive to, and enhancing video resolution by predicting and filling in details that have been lost or distorted during transmission due to packet loss.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We own and operate a substantial majority of our servers and network equipment that we host at the co-located data centers on which the SD-RTN runs. While we procure and operate our equipment, the premises are maintained by third parties. At each data center in the SD-RTN, the routing and other functions such as recording and data analytics are performed by commodity servers. Because each node and server are independent, self-sufficient and not reliant on other nodes or servers to function, we can quickly expand the SD-RTN’s capacity by adding servers at a local data center, connecting more data centers at the continent level or purchase additional bandwidth to manage customer growth across geographies. If one server goes down, the SD-RTN is able to automatically reroute and re-establish all users in an active session to a different server with little perceptible interruption. In addition, we continually monitor our systems for any signs of problems, and we strive to take preemptive action when necessary. We have not encountered significant service interruptions since our inception and we achieved over 99.995% network availability in 2019. We maintain a formal and comprehensive security program designed to protect against security threats and data breaches.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Sales and Marketing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Our go-to market strategy is focused on building developer community and enthusiasm for our products. We also employ more targeted sales efforts focused on large potential customers with proven use cases that could benefit from our products.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124</w:t>
      </w:r>
    </w:p>
    <w:p>
      <w:pPr>
        <w:sectPr>
          <w:pgSz w:w="11900" w:h="16838" w:orient="portrait"/>
          <w:cols w:equalWidth="0" w:num="1">
            <w:col w:w="11240"/>
          </w:cols>
          <w:pgMar w:left="320" w:top="341" w:right="339" w:bottom="1440" w:gutter="0" w:footer="0" w:header="0"/>
        </w:sectPr>
      </w:pPr>
    </w:p>
    <w:bookmarkStart w:id="129" w:name="page130"/>
    <w:bookmarkEnd w:id="129"/>
    <w:p>
      <w:pPr>
        <w:jc w:val="both"/>
        <w:ind w:firstLine="324"/>
        <w:spacing w:after="0" w:line="271" w:lineRule="auto"/>
        <w:rPr>
          <w:sz w:val="20"/>
          <w:szCs w:val="20"/>
          <w:color w:val="auto"/>
        </w:rPr>
      </w:pPr>
      <w:r>
        <w:rPr>
          <w:rFonts w:ascii="Arial" w:cs="Arial" w:eastAsia="Arial" w:hAnsi="Arial"/>
          <w:sz w:val="17"/>
          <w:szCs w:val="17"/>
          <w:color w:val="003082"/>
        </w:rPr>
        <w:t>We reach developers through brand marketing, developer portals such as GitHub and developer conferences and events including our own RTC Conference in China, one of the largest conferences in the world for real-time engagement technology, and the AllThingsRTC Conference in the United States. Once developers are introduced to our platform, we provide them with a low-friction trial experience consisting of 10,000 free minutes per month per account. Developers whose needs grow beyond the free minutes pay based on usage. Our team works directly with developers to help generate ideas and share best practices to ultimately promote new use cases for our technology. As developers innovate with our platform and share their experience with peers, awareness of our platform spreads in the developer community by word of mouth and attracts additional developers, creating a positive flywheel effect. We have built a large and engaged developer community, as evidenced by the more than 180,000 applications that have registered on our platform from our inception through March 31, 2020.</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When a use case becomes sufficiently well-established, such as online education using our Real-Time Video product, we deploy our sales team to identify and actively approach similarly situated companies that could benefit from our products. For certain large customers 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As of March 31, 2020, we had 92 employees in our global sales and marketing organization.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Customer Support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Our platform is designed to allow developers to self-serve and they typically require minimal individual customer support from us. We provide helper libraries, comprehensive user guides and a wide range of code samples and demos. To supplement our extensive self-help resources, we also engage directly with our developer community in online forums such as Stack Overflow and provide individual customer support by e-mail and phone. We provide developers with a suite of Agora Analytics tools that help them independently monitor and diagnose quality concerns, identify root causes and address issues related to our products to improve their end users’ experience. As customers grow, we assign them to a dedicated service team to ensure their continued satisfaction and for our largest customers we provide ongoing support from our own engineers.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global market for RTE-PaaS is relatively new and rapidly evolving. Currently, our competitors mainly include:</w:t>
      </w:r>
    </w:p>
    <w:p>
      <w:pPr>
        <w:spacing w:after="0" w:line="171" w:lineRule="exact"/>
        <w:rPr>
          <w:sz w:val="20"/>
          <w:szCs w:val="20"/>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003082"/>
        </w:rPr>
      </w:pPr>
      <w:r>
        <w:rPr>
          <w:rFonts w:ascii="Arial" w:cs="Arial" w:eastAsia="Arial" w:hAnsi="Arial"/>
          <w:sz w:val="18"/>
          <w:szCs w:val="18"/>
          <w:color w:val="003082"/>
        </w:rPr>
        <w:t>PaaS providers, such as Tencent in China and TokBox (part of Vonage Holdings Corp.) and Twilio Inc. in the United States, as well as smaller software companies, which compete with all or portions of our platform and products;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71"/>
        </w:numPr>
        <w:rPr>
          <w:rFonts w:ascii="Arial" w:cs="Arial" w:eastAsia="Arial" w:hAnsi="Arial"/>
          <w:sz w:val="18"/>
          <w:szCs w:val="18"/>
          <w:color w:val="003082"/>
        </w:rPr>
      </w:pPr>
      <w:r>
        <w:rPr>
          <w:rFonts w:ascii="Arial" w:cs="Arial" w:eastAsia="Arial" w:hAnsi="Arial"/>
          <w:sz w:val="18"/>
          <w:szCs w:val="18"/>
          <w:color w:val="003082"/>
        </w:rPr>
        <w:t>open-source projects, such as WebRTC, which offer capabilities that compete with some of the functionalities in our SDK;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1"/>
        </w:numPr>
        <w:rPr>
          <w:rFonts w:ascii="Arial" w:cs="Arial" w:eastAsia="Arial" w:hAnsi="Arial"/>
          <w:sz w:val="18"/>
          <w:szCs w:val="18"/>
          <w:color w:val="003082"/>
        </w:rPr>
      </w:pPr>
      <w:r>
        <w:rPr>
          <w:rFonts w:ascii="Arial" w:cs="Arial" w:eastAsia="Arial" w:hAnsi="Arial"/>
          <w:sz w:val="18"/>
          <w:szCs w:val="18"/>
          <w:color w:val="003082"/>
        </w:rPr>
        <w:t>network operators or cloud providers that offer private lines on which similar functionalities to ours can be built.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In many cases, we encounter either custom software developed in-house or by consultants, or legacy solutions repurposed by in-house developers of our potential customers to meet specific use cases.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believe that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003082"/>
        </w:rPr>
      </w:pPr>
      <w:r>
        <w:rPr>
          <w:rFonts w:ascii="Arial" w:cs="Arial" w:eastAsia="Arial" w:hAnsi="Arial"/>
          <w:sz w:val="18"/>
          <w:szCs w:val="18"/>
          <w:color w:val="003082"/>
        </w:rPr>
        <w:t>quality of data transmission and user experience;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2"/>
        </w:numPr>
        <w:rPr>
          <w:rFonts w:ascii="Arial" w:cs="Arial" w:eastAsia="Arial" w:hAnsi="Arial"/>
          <w:sz w:val="18"/>
          <w:szCs w:val="18"/>
          <w:color w:val="003082"/>
        </w:rPr>
      </w:pPr>
      <w:r>
        <w:rPr>
          <w:rFonts w:ascii="Arial" w:cs="Arial" w:eastAsia="Arial" w:hAnsi="Arial"/>
          <w:sz w:val="18"/>
          <w:szCs w:val="18"/>
          <w:color w:val="003082"/>
        </w:rPr>
        <w:t>credibility with developers;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2"/>
        </w:numPr>
        <w:rPr>
          <w:rFonts w:ascii="Arial" w:cs="Arial" w:eastAsia="Arial" w:hAnsi="Arial"/>
          <w:sz w:val="18"/>
          <w:szCs w:val="18"/>
          <w:color w:val="003082"/>
        </w:rPr>
      </w:pPr>
      <w:r>
        <w:rPr>
          <w:rFonts w:ascii="Arial" w:cs="Arial" w:eastAsia="Arial" w:hAnsi="Arial"/>
          <w:sz w:val="18"/>
          <w:szCs w:val="18"/>
          <w:color w:val="003082"/>
        </w:rPr>
        <w:t>global reach;</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2"/>
        </w:numPr>
        <w:rPr>
          <w:rFonts w:ascii="Arial" w:cs="Arial" w:eastAsia="Arial" w:hAnsi="Arial"/>
          <w:sz w:val="18"/>
          <w:szCs w:val="18"/>
          <w:color w:val="003082"/>
        </w:rPr>
      </w:pPr>
      <w:r>
        <w:rPr>
          <w:rFonts w:ascii="Arial" w:cs="Arial" w:eastAsia="Arial" w:hAnsi="Arial"/>
          <w:sz w:val="18"/>
          <w:szCs w:val="18"/>
          <w:color w:val="003082"/>
        </w:rPr>
        <w:t>ease of integration and programmability;</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2"/>
        </w:numPr>
        <w:rPr>
          <w:rFonts w:ascii="Arial" w:cs="Arial" w:eastAsia="Arial" w:hAnsi="Arial"/>
          <w:sz w:val="18"/>
          <w:szCs w:val="18"/>
          <w:color w:val="003082"/>
        </w:rPr>
      </w:pPr>
      <w:r>
        <w:rPr>
          <w:rFonts w:ascii="Arial" w:cs="Arial" w:eastAsia="Arial" w:hAnsi="Arial"/>
          <w:sz w:val="18"/>
          <w:szCs w:val="18"/>
          <w:color w:val="003082"/>
        </w:rPr>
        <w:t>product features;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125</w:t>
      </w:r>
    </w:p>
    <w:p>
      <w:pPr>
        <w:sectPr>
          <w:pgSz w:w="11900" w:h="16838" w:orient="portrait"/>
          <w:cols w:equalWidth="0" w:num="1">
            <w:col w:w="11240"/>
          </w:cols>
          <w:pgMar w:left="320" w:top="341" w:right="339" w:bottom="1440" w:gutter="0" w:footer="0" w:header="0"/>
        </w:sectPr>
      </w:pPr>
    </w:p>
    <w:bookmarkStart w:id="130" w:name="page131"/>
    <w:bookmarkEnd w:id="130"/>
    <w:p>
      <w:pPr>
        <w:ind w:left="660" w:hanging="328"/>
        <w:spacing w:after="0"/>
        <w:tabs>
          <w:tab w:leader="none" w:pos="660" w:val="left"/>
        </w:tabs>
        <w:numPr>
          <w:ilvl w:val="0"/>
          <w:numId w:val="73"/>
        </w:numPr>
        <w:rPr>
          <w:rFonts w:ascii="Arial" w:cs="Arial" w:eastAsia="Arial" w:hAnsi="Arial"/>
          <w:sz w:val="18"/>
          <w:szCs w:val="18"/>
          <w:color w:val="003082"/>
        </w:rPr>
      </w:pPr>
      <w:r>
        <w:rPr>
          <w:rFonts w:ascii="Arial" w:cs="Arial" w:eastAsia="Arial" w:hAnsi="Arial"/>
          <w:sz w:val="18"/>
          <w:szCs w:val="18"/>
          <w:color w:val="003082"/>
        </w:rPr>
        <w:t>platform scalability, reliability, compatibility, security and performance;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3"/>
        </w:numPr>
        <w:rPr>
          <w:rFonts w:ascii="Arial" w:cs="Arial" w:eastAsia="Arial" w:hAnsi="Arial"/>
          <w:sz w:val="18"/>
          <w:szCs w:val="18"/>
          <w:color w:val="003082"/>
        </w:rPr>
      </w:pPr>
      <w:r>
        <w:rPr>
          <w:rFonts w:ascii="Arial" w:cs="Arial" w:eastAsia="Arial" w:hAnsi="Arial"/>
          <w:sz w:val="18"/>
          <w:szCs w:val="18"/>
          <w:color w:val="003082"/>
        </w:rPr>
        <w:t>brand awareness and reputation;</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3"/>
        </w:numPr>
        <w:rPr>
          <w:rFonts w:ascii="Arial" w:cs="Arial" w:eastAsia="Arial" w:hAnsi="Arial"/>
          <w:sz w:val="18"/>
          <w:szCs w:val="18"/>
          <w:color w:val="003082"/>
        </w:rPr>
      </w:pPr>
      <w:r>
        <w:rPr>
          <w:rFonts w:ascii="Arial" w:cs="Arial" w:eastAsia="Arial" w:hAnsi="Arial"/>
          <w:sz w:val="18"/>
          <w:szCs w:val="18"/>
          <w:color w:val="003082"/>
        </w:rPr>
        <w:t>the strength of sales and marketing efforts;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3"/>
        </w:numPr>
        <w:rPr>
          <w:rFonts w:ascii="Arial" w:cs="Arial" w:eastAsia="Arial" w:hAnsi="Arial"/>
          <w:sz w:val="18"/>
          <w:szCs w:val="18"/>
          <w:color w:val="003082"/>
        </w:rPr>
      </w:pPr>
      <w:r>
        <w:rPr>
          <w:rFonts w:ascii="Arial" w:cs="Arial" w:eastAsia="Arial" w:hAnsi="Arial"/>
          <w:sz w:val="18"/>
          <w:szCs w:val="18"/>
          <w:color w:val="003082"/>
        </w:rPr>
        <w:t>customer support;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3"/>
        </w:numPr>
        <w:rPr>
          <w:rFonts w:ascii="Arial" w:cs="Arial" w:eastAsia="Arial" w:hAnsi="Arial"/>
          <w:sz w:val="18"/>
          <w:szCs w:val="18"/>
          <w:color w:val="003082"/>
        </w:rPr>
      </w:pPr>
      <w:r>
        <w:rPr>
          <w:rFonts w:ascii="Arial" w:cs="Arial" w:eastAsia="Arial" w:hAnsi="Arial"/>
          <w:sz w:val="18"/>
          <w:szCs w:val="18"/>
          <w:color w:val="003082"/>
        </w:rPr>
        <w:t>the cost of deploying and using our products.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We believe that we compete effectively on each of the factors listed above; however, 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or with greater depth than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Research and Development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Innovation is the lifeblood of everything we do at Agora and we intend to continue to invest significant resources in our research and development capabilities. Our ability to deliver leading products in our markets depends on our rapid development of new technologies, features and functionality, and ensuring that our platform continues to deliver a high quality of service at all times. We actively respond to developers’ needs to drive positive user experiences and our engineers aim to stay on the cutting edge of real-time engagement technologies. Our value proposition lies in helping developers bring innovative use cases to reality using our products because we ultimately share in their success.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As of March 31, 2020, we had 282 employees in our global research and development organization, representing 57% of our total employee base.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Intellectual Property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Intellectual property is an important aspect of our business and we seek protection for our intellectual property as appropriate. To establish and protect our proprietary rights and our brand, 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the date of this prospectus, we had 17 issued patents, two allowed patent applications and seven pending patent applications in the United States, and one issued patent and 11 pending patent applications in China. We also had six pending patent applications in Europe. We own one and nine trademarks in the United States and China, respectively.</w:t>
      </w:r>
    </w:p>
    <w:p>
      <w:pPr>
        <w:spacing w:after="0" w:line="1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Intellectual property laws, procedures and restrictions provide only limited protection and any of our intellectual property rights may be challenged, invalidated, circumvented, infringed or misappropriated. Moreover, the laws of certain countries do not protect proprietary rights to the same extent as the laws of the United States and we may therefore be unable to protect our proprietary technology in certain jurisdictions. In addition, our products incorporate software components licensed to the general public under open source software licenses, which grant recipients broad permissions to use, copy, modify and redistribute the licensed software components, but which generally do not offer warranties, support, or other similar protections often provided with commercial software. Some open source software licenses include requirements that, under certain circumstances, require the distribution of software based on or derived from the open source software to be made available in source code form under the terms of an open source software license. As a result, inclusion of open source software in our products could limit the value of our intellectual property assets, or expose us to liability. For additional information see the section of this prospectus captioned “Risk Factors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126</w:t>
      </w:r>
    </w:p>
    <w:p>
      <w:pPr>
        <w:sectPr>
          <w:pgSz w:w="11900" w:h="16838" w:orient="portrait"/>
          <w:cols w:equalWidth="0" w:num="1">
            <w:col w:w="11240"/>
          </w:cols>
          <w:pgMar w:left="320" w:top="34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003082"/>
        </w:rPr>
        <w:t>—Our use of open source software could negatively affect our ability to sell our products and subject us to possible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Employees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had 167, 278, 447 and 498 employees as of December 31, 2017, 2018 and 2019 and March 31, 2020, respectively. As of March 31, 2020, 448 of our employees were located in China and 50 were located in other countries, primarily the United States. The following table sets forth the number of our employees categorized by function as of March 31, 2020:</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3D5588"/>
            </w:tcBorders>
          </w:tcPr>
          <w:p>
            <w:pPr>
              <w:ind w:left="40"/>
              <w:spacing w:after="0"/>
              <w:rPr>
                <w:sz w:val="20"/>
                <w:szCs w:val="20"/>
                <w:color w:val="auto"/>
              </w:rPr>
            </w:pPr>
            <w:r>
              <w:rPr>
                <w:rFonts w:ascii="Arial" w:cs="Arial" w:eastAsia="Arial" w:hAnsi="Arial"/>
                <w:sz w:val="14"/>
                <w:szCs w:val="14"/>
                <w:b w:val="1"/>
                <w:bCs w:val="1"/>
                <w:color w:val="003082"/>
              </w:rPr>
              <w:t>Function</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3D5588"/>
            </w:tcBorders>
          </w:tcPr>
          <w:p>
            <w:pPr>
              <w:jc w:val="right"/>
              <w:ind w:right="13"/>
              <w:spacing w:after="0"/>
              <w:rPr>
                <w:sz w:val="20"/>
                <w:szCs w:val="20"/>
                <w:color w:val="auto"/>
              </w:rPr>
            </w:pPr>
            <w:r>
              <w:rPr>
                <w:rFonts w:ascii="Arial" w:cs="Arial" w:eastAsia="Arial" w:hAnsi="Arial"/>
                <w:sz w:val="14"/>
                <w:szCs w:val="14"/>
                <w:b w:val="1"/>
                <w:bCs w:val="1"/>
                <w:color w:val="003082"/>
                <w:w w:val="97"/>
              </w:rPr>
              <w:t>Number of Employees</w:t>
            </w: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Research and development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282</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003082"/>
              </w:rPr>
              <w:t>Sales and marketing</w:t>
            </w:r>
          </w:p>
        </w:tc>
        <w:tc>
          <w:tcPr>
            <w:tcW w:w="1560" w:type="dxa"/>
            <w:vAlign w:val="bottom"/>
          </w:tcPr>
          <w:p>
            <w:pPr>
              <w:jc w:val="right"/>
              <w:spacing w:after="0"/>
              <w:rPr>
                <w:sz w:val="20"/>
                <w:szCs w:val="20"/>
                <w:color w:val="auto"/>
              </w:rPr>
            </w:pPr>
            <w:r>
              <w:rPr>
                <w:rFonts w:ascii="Arial" w:cs="Arial" w:eastAsia="Arial" w:hAnsi="Arial"/>
                <w:sz w:val="18"/>
                <w:szCs w:val="18"/>
                <w:color w:val="003082"/>
              </w:rPr>
              <w:t>92</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Customer solutions and services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79</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003082"/>
              </w:rPr>
              <w:t>General and administrative (including executives)</w:t>
            </w:r>
          </w:p>
        </w:tc>
        <w:tc>
          <w:tcPr>
            <w:tcW w:w="1560" w:type="dxa"/>
            <w:vAlign w:val="bottom"/>
          </w:tcPr>
          <w:p>
            <w:pPr>
              <w:jc w:val="right"/>
              <w:spacing w:after="0"/>
              <w:rPr>
                <w:sz w:val="20"/>
                <w:szCs w:val="20"/>
                <w:color w:val="auto"/>
              </w:rPr>
            </w:pPr>
            <w:r>
              <w:rPr>
                <w:rFonts w:ascii="Arial" w:cs="Arial" w:eastAsia="Arial" w:hAnsi="Arial"/>
                <w:sz w:val="18"/>
                <w:szCs w:val="18"/>
                <w:color w:val="003082"/>
              </w:rPr>
              <w:t>45</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3D5588"/>
            </w:tcBorders>
          </w:tcPr>
          <w:p>
            <w:pPr>
              <w:spacing w:after="0"/>
              <w:rPr>
                <w:sz w:val="2"/>
                <w:szCs w:val="2"/>
                <w:color w:val="auto"/>
              </w:rPr>
            </w:pPr>
          </w:p>
        </w:tc>
      </w:tr>
      <w:tr>
        <w:trPr>
          <w:trHeight w:val="257"/>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003082"/>
              </w:rPr>
              <w:t>Total</w:t>
            </w:r>
          </w:p>
        </w:tc>
        <w:tc>
          <w:tcPr>
            <w:tcW w:w="156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498</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believe we offer our employees competitive compensation packages and a dynamic work environment. We have generally been able to attract and retain qualified employees and maintain a stable core management team. We plan to hire additional experienced and talented employees in areas such as research and development and sales and marketing as we grow our business.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We enter into standard employment, confidentiality and non-compete agreements with our employees. As required by PRC regulations, we participate in various government statutory employee benefit plans, including social insurance funds, a pension contribution plan, a medical insurance plan, an unemployment insurance plan, a work-related injury insurance plan and a maternity insurance plan and a housing provident fund.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believe that we maintain a good working relationship with our employees, and we have not experienced any major labor disputes.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We maintain dual headquarters in Shanghai, China and Santa Clara, California, where we lease office space with an area of approximately 4,100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082"/>
        </w:rPr>
        <w:t>525 square meters, respectively.</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127</w:t>
      </w:r>
    </w:p>
    <w:p>
      <w:pPr>
        <w:sectPr>
          <w:pgSz w:w="11900" w:h="16838" w:orient="portrait"/>
          <w:cols w:equalWidth="0" w:num="1">
            <w:col w:w="11240"/>
          </w:cols>
          <w:pgMar w:left="320" w:top="34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003082"/>
        </w:rPr>
        <w:t>REGULATION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This section sets forth a summary of the principal PRC and U.S. laws and regulations relevant to our business and operations in the PRC and the United States,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PRC Regulation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 In particular, 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Foreign Investment Law</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 xml:space="preserve">On March 15, 2019, the National People’s Congress reviewed the submitted draft and approved the </w:t>
      </w:r>
      <w:r>
        <w:rPr>
          <w:rFonts w:ascii="Arial" w:cs="Arial" w:eastAsia="Arial" w:hAnsi="Arial"/>
          <w:sz w:val="16"/>
          <w:szCs w:val="16"/>
          <w:i w:val="1"/>
          <w:iCs w:val="1"/>
          <w:color w:val="003082"/>
        </w:rPr>
        <w:t>Foreign Investment Law</w:t>
      </w:r>
      <w:r>
        <w:rPr>
          <w:rFonts w:ascii="Arial" w:cs="Arial" w:eastAsia="Arial" w:hAnsi="Arial"/>
          <w:sz w:val="16"/>
          <w:szCs w:val="16"/>
          <w:color w:val="003082"/>
        </w:rPr>
        <w:t xml:space="preserve">, which came into effect on January 1, 2020. The newly promulgated </w:t>
      </w:r>
      <w:r>
        <w:rPr>
          <w:rFonts w:ascii="Arial" w:cs="Arial" w:eastAsia="Arial" w:hAnsi="Arial"/>
          <w:sz w:val="16"/>
          <w:szCs w:val="16"/>
          <w:i w:val="1"/>
          <w:iCs w:val="1"/>
          <w:color w:val="003082"/>
        </w:rPr>
        <w:t>Foreign Investment Law</w:t>
      </w:r>
      <w:r>
        <w:rPr>
          <w:rFonts w:ascii="Arial" w:cs="Arial" w:eastAsia="Arial" w:hAnsi="Arial"/>
          <w:sz w:val="16"/>
          <w:szCs w:val="16"/>
          <w:color w:val="003082"/>
        </w:rPr>
        <w:t xml:space="preserve"> replaces the three laws on foreign investment (</w:t>
      </w:r>
      <w:r>
        <w:rPr>
          <w:rFonts w:ascii="Arial" w:cs="Arial" w:eastAsia="Arial" w:hAnsi="Arial"/>
          <w:sz w:val="16"/>
          <w:szCs w:val="16"/>
          <w:i w:val="1"/>
          <w:iCs w:val="1"/>
          <w:color w:val="003082"/>
        </w:rPr>
        <w:t>the Wholly Foreign-owned Enterprise</w:t>
      </w:r>
      <w:r>
        <w:rPr>
          <w:rFonts w:ascii="Arial" w:cs="Arial" w:eastAsia="Arial" w:hAnsi="Arial"/>
          <w:sz w:val="16"/>
          <w:szCs w:val="16"/>
          <w:color w:val="003082"/>
        </w:rPr>
        <w:t xml:space="preserve"> </w:t>
      </w:r>
      <w:r>
        <w:rPr>
          <w:rFonts w:ascii="Arial" w:cs="Arial" w:eastAsia="Arial" w:hAnsi="Arial"/>
          <w:sz w:val="16"/>
          <w:szCs w:val="16"/>
          <w:i w:val="1"/>
          <w:iCs w:val="1"/>
          <w:color w:val="003082"/>
        </w:rPr>
        <w:t>Law</w:t>
      </w:r>
      <w:r>
        <w:rPr>
          <w:rFonts w:ascii="Arial" w:cs="Arial" w:eastAsia="Arial" w:hAnsi="Arial"/>
          <w:sz w:val="16"/>
          <w:szCs w:val="16"/>
          <w:color w:val="003082"/>
        </w:rPr>
        <w:t>,</w:t>
      </w:r>
      <w:r>
        <w:rPr>
          <w:rFonts w:ascii="Arial" w:cs="Arial" w:eastAsia="Arial" w:hAnsi="Arial"/>
          <w:sz w:val="16"/>
          <w:szCs w:val="16"/>
          <w:i w:val="1"/>
          <w:iCs w:val="1"/>
          <w:color w:val="003082"/>
        </w:rPr>
        <w:t xml:space="preserve"> the Cooperative Joint Venture Law of the PRC </w:t>
      </w:r>
      <w:r>
        <w:rPr>
          <w:rFonts w:ascii="Arial" w:cs="Arial" w:eastAsia="Arial" w:hAnsi="Arial"/>
          <w:sz w:val="16"/>
          <w:szCs w:val="16"/>
          <w:color w:val="003082"/>
        </w:rPr>
        <w:t>and</w:t>
      </w:r>
      <w:r>
        <w:rPr>
          <w:rFonts w:ascii="Arial" w:cs="Arial" w:eastAsia="Arial" w:hAnsi="Arial"/>
          <w:sz w:val="16"/>
          <w:szCs w:val="16"/>
          <w:i w:val="1"/>
          <w:iCs w:val="1"/>
          <w:color w:val="003082"/>
        </w:rPr>
        <w:t xml:space="preserve"> the Equity Joint Venture Law of the PRC</w:t>
      </w:r>
      <w:r>
        <w:rPr>
          <w:rFonts w:ascii="Arial" w:cs="Arial" w:eastAsia="Arial" w:hAnsi="Arial"/>
          <w:sz w:val="16"/>
          <w:szCs w:val="16"/>
          <w:color w:val="003082"/>
        </w:rPr>
        <w:t>) and the Foreign Investment Law provides a five-year</w:t>
      </w:r>
      <w:r>
        <w:rPr>
          <w:rFonts w:ascii="Arial" w:cs="Arial" w:eastAsia="Arial" w:hAnsi="Arial"/>
          <w:sz w:val="16"/>
          <w:szCs w:val="16"/>
          <w:i w:val="1"/>
          <w:iCs w:val="1"/>
          <w:color w:val="003082"/>
        </w:rPr>
        <w:t xml:space="preserve"> </w:t>
      </w:r>
      <w:r>
        <w:rPr>
          <w:rFonts w:ascii="Arial" w:cs="Arial" w:eastAsia="Arial" w:hAnsi="Arial"/>
          <w:sz w:val="16"/>
          <w:szCs w:val="16"/>
          <w:color w:val="003082"/>
        </w:rPr>
        <w:t xml:space="preserve">transition period for the existing foreign invested enterprises, or the FIEs, to adjust their business structures. On December 26, 2019, the State Council issued the </w:t>
      </w:r>
      <w:r>
        <w:rPr>
          <w:rFonts w:ascii="Arial" w:cs="Arial" w:eastAsia="Arial" w:hAnsi="Arial"/>
          <w:sz w:val="16"/>
          <w:szCs w:val="16"/>
          <w:i w:val="1"/>
          <w:iCs w:val="1"/>
          <w:color w:val="003082"/>
        </w:rPr>
        <w:t>Implementation Rules of the Foreign Investment Law</w:t>
      </w:r>
      <w:r>
        <w:rPr>
          <w:rFonts w:ascii="Arial" w:cs="Arial" w:eastAsia="Arial" w:hAnsi="Arial"/>
          <w:sz w:val="16"/>
          <w:szCs w:val="16"/>
          <w:color w:val="003082"/>
        </w:rPr>
        <w:t xml:space="preserve">, which came into effect on January 1, 2020, to clarify and elaborate relevant provisions of the Foreign Investment Law. While silent on specific issues including the discussion on the contractual arrangement with variable interest entities, the Foreign Investment Law and its implementation regulations emphasize the principle of applying “national treatment” to foreign investors. Industries that are not listed in the negative list issued by, amended or released upon approval by the State Council from time to time are permitted areas for foreign investments, and are generally open to foreign investment unless specifically restricted by other PRC regulations. The current effective negative list is the </w:t>
      </w:r>
      <w:r>
        <w:rPr>
          <w:rFonts w:ascii="Arial" w:cs="Arial" w:eastAsia="Arial" w:hAnsi="Arial"/>
          <w:sz w:val="16"/>
          <w:szCs w:val="16"/>
          <w:i w:val="1"/>
          <w:iCs w:val="1"/>
          <w:color w:val="003082"/>
        </w:rPr>
        <w:t xml:space="preserve">Foreign Investment Catalog or the Special Administrative Measures (Negative List) for Foreign Investment Access, </w:t>
      </w:r>
      <w:r>
        <w:rPr>
          <w:rFonts w:ascii="Arial" w:cs="Arial" w:eastAsia="Arial" w:hAnsi="Arial"/>
          <w:sz w:val="16"/>
          <w:szCs w:val="16"/>
          <w:color w:val="003082"/>
        </w:rPr>
        <w:t>or the 2019 Negative List, which</w:t>
      </w:r>
      <w:r>
        <w:rPr>
          <w:rFonts w:ascii="Arial" w:cs="Arial" w:eastAsia="Arial" w:hAnsi="Arial"/>
          <w:sz w:val="16"/>
          <w:szCs w:val="16"/>
          <w:i w:val="1"/>
          <w:iCs w:val="1"/>
          <w:color w:val="003082"/>
        </w:rPr>
        <w:t xml:space="preserve"> </w:t>
      </w:r>
      <w:r>
        <w:rPr>
          <w:rFonts w:ascii="Arial" w:cs="Arial" w:eastAsia="Arial" w:hAnsi="Arial"/>
          <w:sz w:val="16"/>
          <w:szCs w:val="16"/>
          <w:color w:val="003082"/>
        </w:rPr>
        <w:t>became effective on July 2019. Foreign investment and domestic investment in industries outside the scope of the negative list would be treated equally.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Value-added Telecommunications Services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 xml:space="preserve">The </w:t>
      </w:r>
      <w:r>
        <w:rPr>
          <w:rFonts w:ascii="Arial" w:cs="Arial" w:eastAsia="Arial" w:hAnsi="Arial"/>
          <w:sz w:val="16"/>
          <w:szCs w:val="16"/>
          <w:i w:val="1"/>
          <w:iCs w:val="1"/>
          <w:color w:val="003082"/>
        </w:rPr>
        <w:t>Telecommunications Regulations of the PRC</w:t>
      </w:r>
      <w:r>
        <w:rPr>
          <w:rFonts w:ascii="Arial" w:cs="Arial" w:eastAsia="Arial" w:hAnsi="Arial"/>
          <w:sz w:val="16"/>
          <w:szCs w:val="16"/>
          <w:color w:val="003082"/>
        </w:rPr>
        <w:t>, or the Telecom Regulations, implemented on September 25, 2000 and amended on July 29, 2014 and February 6, 2016, are the primary PRC law governing telecommunication services and set out the general framework for the provision of both “basic telecommunication services” and “value-added telecommunication services” by domestic PRC companies. “Value-added telecommunication services” is defined as telecommunications and information services provided through public networks, and, according to the Telecom Regulations, operators of value-added telecommunications services shall obtain operating licenses prior to commencing operations from the MIIT or its provincial level counterparts.</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Catalogue, which was issued as an attachment to the Telecom Regulations and recently revised and promulgated on June 6, 2019, further categorizes telecommunications services as “basic” or “value-added.”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128</w:t>
      </w:r>
    </w:p>
    <w:p>
      <w:pPr>
        <w:sectPr>
          <w:pgSz w:w="11900" w:h="16838" w:orient="portrait"/>
          <w:cols w:equalWidth="0" w:num="1">
            <w:col w:w="11240"/>
          </w:cols>
          <w:pgMar w:left="320" w:top="445" w:right="339" w:bottom="1440" w:gutter="0" w:footer="0" w:header="0"/>
        </w:sectPr>
      </w:pPr>
    </w:p>
    <w:bookmarkStart w:id="133" w:name="page134"/>
    <w:bookmarkEnd w:id="133"/>
    <w:p>
      <w:pPr>
        <w:jc w:val="both"/>
        <w:ind w:firstLine="324"/>
        <w:spacing w:after="0" w:line="291" w:lineRule="auto"/>
        <w:rPr>
          <w:sz w:val="20"/>
          <w:szCs w:val="20"/>
          <w:color w:val="auto"/>
        </w:rPr>
      </w:pPr>
      <w:r>
        <w:rPr>
          <w:rFonts w:ascii="Arial" w:cs="Arial" w:eastAsia="Arial" w:hAnsi="Arial"/>
          <w:sz w:val="16"/>
          <w:szCs w:val="16"/>
          <w:color w:val="003082"/>
        </w:rPr>
        <w:t xml:space="preserve">On March 5, 2009, the MIIT issued the </w:t>
      </w:r>
      <w:r>
        <w:rPr>
          <w:rFonts w:ascii="Arial" w:cs="Arial" w:eastAsia="Arial" w:hAnsi="Arial"/>
          <w:sz w:val="16"/>
          <w:szCs w:val="16"/>
          <w:i w:val="1"/>
          <w:iCs w:val="1"/>
          <w:color w:val="003082"/>
        </w:rPr>
        <w:t>Measures on the Administration of Telecommunications Business Operating Permits</w:t>
      </w:r>
      <w:r>
        <w:rPr>
          <w:rFonts w:ascii="Arial" w:cs="Arial" w:eastAsia="Arial" w:hAnsi="Arial"/>
          <w:sz w:val="16"/>
          <w:szCs w:val="16"/>
          <w:color w:val="003082"/>
        </w:rPr>
        <w:t>, or the Telecom License Measures, which initially became effective on April 10, 2009 and was amended on July 3, 2017, effective on September 1, 2017, to supplement the Telecom Regulations. The Telecom License Measures provide that there are two types of telecommunications operating licenses in China, one for basic telecommunications services and one for value-added telecommunications services. A distinction is also made to licenses for value-added telecommunications services, or the VAT Licenses as to whether a license is granted for “intra-provincial” or “trans-regional” (inter-provincial) activities. An appendix to each license granted will detail the permitted activities of the enterprise to which it was granted. An approved telecommunication services operator must conduct its business (whether basic or value-added) in accordance with the specifications recorded in its telecommunication license.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Foreign Direct Investment in Value-added Telecommunications Companies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 xml:space="preserve">Foreign direct investment in telecommunications companies in China is governed by the </w:t>
      </w:r>
      <w:r>
        <w:rPr>
          <w:rFonts w:ascii="Arial" w:cs="Arial" w:eastAsia="Arial" w:hAnsi="Arial"/>
          <w:sz w:val="16"/>
          <w:szCs w:val="16"/>
          <w:i w:val="1"/>
          <w:iCs w:val="1"/>
          <w:color w:val="003082"/>
        </w:rPr>
        <w:t>Provisions on the Administration of Foreign-Invested</w:t>
      </w:r>
      <w:r>
        <w:rPr>
          <w:rFonts w:ascii="Arial" w:cs="Arial" w:eastAsia="Arial" w:hAnsi="Arial"/>
          <w:sz w:val="16"/>
          <w:szCs w:val="16"/>
          <w:color w:val="003082"/>
        </w:rPr>
        <w:t xml:space="preserve"> </w:t>
      </w:r>
      <w:r>
        <w:rPr>
          <w:rFonts w:ascii="Arial" w:cs="Arial" w:eastAsia="Arial" w:hAnsi="Arial"/>
          <w:sz w:val="16"/>
          <w:szCs w:val="16"/>
          <w:i w:val="1"/>
          <w:iCs w:val="1"/>
          <w:color w:val="003082"/>
        </w:rPr>
        <w:t>Telecommunications Enterprises</w:t>
      </w:r>
      <w:r>
        <w:rPr>
          <w:rFonts w:ascii="Arial" w:cs="Arial" w:eastAsia="Arial" w:hAnsi="Arial"/>
          <w:sz w:val="16"/>
          <w:szCs w:val="16"/>
          <w:color w:val="003082"/>
        </w:rPr>
        <w:t>, or the FITE Regulations, which were issued by the State Council on December 11, 2001, became effective on January 1,</w:t>
      </w:r>
      <w:r>
        <w:rPr>
          <w:rFonts w:ascii="Arial" w:cs="Arial" w:eastAsia="Arial" w:hAnsi="Arial"/>
          <w:sz w:val="16"/>
          <w:szCs w:val="16"/>
          <w:i w:val="1"/>
          <w:iCs w:val="1"/>
          <w:color w:val="003082"/>
        </w:rPr>
        <w:t xml:space="preserve"> </w:t>
      </w:r>
      <w:r>
        <w:rPr>
          <w:rFonts w:ascii="Arial" w:cs="Arial" w:eastAsia="Arial" w:hAnsi="Arial"/>
          <w:sz w:val="16"/>
          <w:szCs w:val="16"/>
          <w:color w:val="003082"/>
        </w:rPr>
        <w:t xml:space="preserve">2002 and recently amended and issued on February 6, 2016, and </w:t>
      </w:r>
      <w:r>
        <w:rPr>
          <w:rFonts w:ascii="Arial" w:cs="Arial" w:eastAsia="Arial" w:hAnsi="Arial"/>
          <w:sz w:val="16"/>
          <w:szCs w:val="16"/>
          <w:i w:val="1"/>
          <w:iCs w:val="1"/>
          <w:color w:val="003082"/>
        </w:rPr>
        <w:t>the Industry Guidelines on Encouraged Foreign Investment (Year 2019),</w:t>
      </w:r>
      <w:r>
        <w:rPr>
          <w:rFonts w:ascii="Arial" w:cs="Arial" w:eastAsia="Arial" w:hAnsi="Arial"/>
          <w:sz w:val="16"/>
          <w:szCs w:val="16"/>
          <w:color w:val="003082"/>
        </w:rPr>
        <w:t xml:space="preserve"> or the 2019 Encouraged Guidelines and the 2019 Negative List, which were jointly issued by the National Development and Reform Commission, or the NDRC, and the MOFCOM, on June 30, 2019, replacing the </w:t>
      </w:r>
      <w:r>
        <w:rPr>
          <w:rFonts w:ascii="Arial" w:cs="Arial" w:eastAsia="Arial" w:hAnsi="Arial"/>
          <w:sz w:val="16"/>
          <w:szCs w:val="16"/>
          <w:i w:val="1"/>
          <w:iCs w:val="1"/>
          <w:color w:val="003082"/>
        </w:rPr>
        <w:t>Catalogue of Industries for Guiding Foreign Investment (Year 2017)</w:t>
      </w:r>
      <w:r>
        <w:rPr>
          <w:rFonts w:ascii="Arial" w:cs="Arial" w:eastAsia="Arial" w:hAnsi="Arial"/>
          <w:sz w:val="16"/>
          <w:szCs w:val="16"/>
          <w:color w:val="003082"/>
        </w:rPr>
        <w:t>, or the Foreign Investment Catalogue, which was revised and promulgated by the NDRC and the MOFCOM on June 28, 2017. Under the aforesaid regulations, foreign invested telecommunications enterprises in the PRC, or FITEs, are generally required to be established as Sino-foreign equity joint ventures with limited exceptions. In general, the foreign party to a FITE engaging in value-added telecommunications services may hold up to 50% of the equity of the FITE, of which the geographical area it may conduct telecommunications services is provided by the MIIT in accordance with relevant provisions as mentioned above. In addition, the major foreign investor in a value-added telecommunications business in China must satisfy a number of stringent performance and operational experience requirements, including demonstrating a good track record and experience in operating a value-added telecommunications business overseas.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 xml:space="preserve">On June 30, 2016, the MIIT issued an </w:t>
      </w:r>
      <w:r>
        <w:rPr>
          <w:rFonts w:ascii="Arial" w:cs="Arial" w:eastAsia="Arial" w:hAnsi="Arial"/>
          <w:sz w:val="18"/>
          <w:szCs w:val="18"/>
          <w:i w:val="1"/>
          <w:iCs w:val="1"/>
          <w:color w:val="003082"/>
        </w:rPr>
        <w:t>Announcement of the Ministry of Industry and Information Technology on Issues concerning the</w:t>
      </w:r>
      <w:r>
        <w:rPr>
          <w:rFonts w:ascii="Arial" w:cs="Arial" w:eastAsia="Arial" w:hAnsi="Arial"/>
          <w:sz w:val="18"/>
          <w:szCs w:val="18"/>
          <w:color w:val="003082"/>
        </w:rPr>
        <w:t xml:space="preserve"> Provision </w:t>
      </w:r>
      <w:r>
        <w:rPr>
          <w:rFonts w:ascii="Arial" w:cs="Arial" w:eastAsia="Arial" w:hAnsi="Arial"/>
          <w:sz w:val="18"/>
          <w:szCs w:val="18"/>
          <w:i w:val="1"/>
          <w:iCs w:val="1"/>
          <w:color w:val="003082"/>
        </w:rPr>
        <w:t>of</w:t>
      </w:r>
      <w:r>
        <w:rPr>
          <w:rFonts w:ascii="Arial" w:cs="Arial" w:eastAsia="Arial" w:hAnsi="Arial"/>
          <w:sz w:val="18"/>
          <w:szCs w:val="18"/>
          <w:color w:val="003082"/>
        </w:rPr>
        <w:t xml:space="preserve"> </w:t>
      </w:r>
      <w:r>
        <w:rPr>
          <w:rFonts w:ascii="Arial" w:cs="Arial" w:eastAsia="Arial" w:hAnsi="Arial"/>
          <w:sz w:val="18"/>
          <w:szCs w:val="18"/>
          <w:i w:val="1"/>
          <w:iCs w:val="1"/>
          <w:color w:val="003082"/>
        </w:rPr>
        <w:t>Telecommunication Services in Mainland China by Service Providers from Hong Kong and Macau</w:t>
      </w:r>
      <w:r>
        <w:rPr>
          <w:rFonts w:ascii="Arial" w:cs="Arial" w:eastAsia="Arial" w:hAnsi="Arial"/>
          <w:sz w:val="18"/>
          <w:szCs w:val="18"/>
          <w:color w:val="003082"/>
        </w:rPr>
        <w:t>, or the MIIT Announcement, which provides that</w:t>
      </w:r>
      <w:r>
        <w:rPr>
          <w:rFonts w:ascii="Arial" w:cs="Arial" w:eastAsia="Arial" w:hAnsi="Arial"/>
          <w:sz w:val="18"/>
          <w:szCs w:val="18"/>
          <w:i w:val="1"/>
          <w:iCs w:val="1"/>
          <w:color w:val="003082"/>
        </w:rPr>
        <w:t xml:space="preserve"> </w:t>
      </w:r>
      <w:r>
        <w:rPr>
          <w:rFonts w:ascii="Arial" w:cs="Arial" w:eastAsia="Arial" w:hAnsi="Arial"/>
          <w:sz w:val="18"/>
          <w:szCs w:val="18"/>
          <w:color w:val="003082"/>
        </w:rPr>
        <w:t>investors from Hong Kong and Macau may hold no more than 50% of the equity in FITEs engaging in certain specified categories of value-added telecommunications services.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 xml:space="preserve">On July 13, 2006, the MIIT issued the </w:t>
      </w:r>
      <w:r>
        <w:rPr>
          <w:rFonts w:ascii="Arial" w:cs="Arial" w:eastAsia="Arial" w:hAnsi="Arial"/>
          <w:sz w:val="16"/>
          <w:szCs w:val="16"/>
          <w:i w:val="1"/>
          <w:iCs w:val="1"/>
          <w:color w:val="003082"/>
        </w:rPr>
        <w:t>Notice of the Ministry of Information Industry on Intensifying the Administration of Foreign Investment in</w:t>
      </w:r>
      <w:r>
        <w:rPr>
          <w:rFonts w:ascii="Arial" w:cs="Arial" w:eastAsia="Arial" w:hAnsi="Arial"/>
          <w:sz w:val="16"/>
          <w:szCs w:val="16"/>
          <w:color w:val="003082"/>
        </w:rPr>
        <w:t xml:space="preserve"> </w:t>
      </w:r>
      <w:r>
        <w:rPr>
          <w:rFonts w:ascii="Arial" w:cs="Arial" w:eastAsia="Arial" w:hAnsi="Arial"/>
          <w:sz w:val="16"/>
          <w:szCs w:val="16"/>
          <w:i w:val="1"/>
          <w:iCs w:val="1"/>
          <w:color w:val="003082"/>
        </w:rPr>
        <w:t xml:space="preserve">Value-added Telecommunications Services, </w:t>
      </w:r>
      <w:r>
        <w:rPr>
          <w:rFonts w:ascii="Arial" w:cs="Arial" w:eastAsia="Arial" w:hAnsi="Arial"/>
          <w:sz w:val="16"/>
          <w:szCs w:val="16"/>
          <w:color w:val="003082"/>
        </w:rPr>
        <w:t>or the MIIT Notice, which reiterates certain provisions of the FITE Regulations. In addition to the provisions</w:t>
      </w:r>
      <w:r>
        <w:rPr>
          <w:rFonts w:ascii="Arial" w:cs="Arial" w:eastAsia="Arial" w:hAnsi="Arial"/>
          <w:sz w:val="16"/>
          <w:szCs w:val="16"/>
          <w:i w:val="1"/>
          <w:iCs w:val="1"/>
          <w:color w:val="003082"/>
        </w:rPr>
        <w:t xml:space="preserve"> </w:t>
      </w:r>
      <w:r>
        <w:rPr>
          <w:rFonts w:ascii="Arial" w:cs="Arial" w:eastAsia="Arial" w:hAnsi="Arial"/>
          <w:sz w:val="16"/>
          <w:szCs w:val="16"/>
          <w:color w:val="003082"/>
        </w:rPr>
        <w:t>stated in FITE Regulations, the MIIT Notice further provide that a domestic company that holds a value-added telecommunication license, is prohibited from leasing, transferring or selling the value-added telecommunication license to foreign investors in any form, and from providing any assistance, including providing resources, sites or facilities, to foreign investors to conduct value-added telecommunications businesses illegally in China. The MIIT Notice also requires each value-added telecommunication license holder to have appropriate facilities for its approved business operations and to maintain such facilities in the regions covered by its license, and specifically, with regard to the domain names and trademarks, the MIIT Notice required that trademarks and domain names that are used in the provision of internet content services must be owned by the VAT License holder or its shareholders.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Due to a lack of interpretative materials from the relevant PRC governmental authorities, there are uncertainties regarding whether PRC governmental authorities would consider our corporate structure and contractual arrangements to constitute foreign ownership of a value-added telecommunications business. See the section of this prospectus captioned “Risk Factors—Risks Related to Doing Business in China—We may be adversely affected by the complexity, uncertainties and changes in PRC laws, rules and regulation, particularly of internet businesses.” In order to comply with PRC regulatory requirements, we operate a portion of our business through our VIE, with which we have contractual relationships but in which we do not have an actual ownership interest. If our current ownership structure is found to be in violation of current or future PRC laws, rules or regulations regarding the legality of foreign investment in the PRC internet sector, we could be subject to severe penalties.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129</w:t>
      </w:r>
    </w:p>
    <w:p>
      <w:pPr>
        <w:sectPr>
          <w:pgSz w:w="11900" w:h="16838" w:orient="portrait"/>
          <w:cols w:equalWidth="0" w:num="1">
            <w:col w:w="11240"/>
          </w:cols>
          <w:pgMar w:left="320" w:top="341" w:right="339" w:bottom="1440" w:gutter="0" w:footer="0" w:header="0"/>
        </w:sectPr>
      </w:pPr>
    </w:p>
    <w:bookmarkStart w:id="134" w:name="page135"/>
    <w:bookmarkEnd w:id="134"/>
    <w:p>
      <w:pPr>
        <w:ind w:left="340"/>
        <w:spacing w:after="0"/>
        <w:rPr>
          <w:sz w:val="20"/>
          <w:szCs w:val="20"/>
          <w:color w:val="auto"/>
        </w:rPr>
      </w:pPr>
      <w:r>
        <w:rPr>
          <w:rFonts w:ascii="Arial" w:cs="Arial" w:eastAsia="Arial" w:hAnsi="Arial"/>
          <w:sz w:val="18"/>
          <w:szCs w:val="18"/>
          <w:b w:val="1"/>
          <w:bCs w:val="1"/>
          <w:i w:val="1"/>
          <w:iCs w:val="1"/>
          <w:color w:val="003082"/>
        </w:rPr>
        <w:t>Regulation on Internet Information Services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 xml:space="preserve">The </w:t>
      </w:r>
      <w:r>
        <w:rPr>
          <w:rFonts w:ascii="Arial" w:cs="Arial" w:eastAsia="Arial" w:hAnsi="Arial"/>
          <w:sz w:val="17"/>
          <w:szCs w:val="17"/>
          <w:i w:val="1"/>
          <w:iCs w:val="1"/>
          <w:color w:val="003082"/>
        </w:rPr>
        <w:t>Administrative Measures on Internet Information Services</w:t>
      </w:r>
      <w:r>
        <w:rPr>
          <w:rFonts w:ascii="Arial" w:cs="Arial" w:eastAsia="Arial" w:hAnsi="Arial"/>
          <w:sz w:val="17"/>
          <w:szCs w:val="17"/>
          <w:color w:val="003082"/>
        </w:rPr>
        <w:t>, or the Internet Content Measures, which was promulgated by the State Council on September 25, 2000 and amended on January 8, 2011, set out guidelines on the provision of internet information services. The Internet Content Measures classifies internet information services into commercial internet information services and non-commercial internet information services, and commercial internet information services refer to services that provide information or services to internet users with charge. A provider of commercial internet information services must obtain an internet content provider license, or the ICP License, and, prior to the application for such ICP License from the MIIT or its local branch at the provincial or municipal level, entities providing online information services regarding news, publishing, education, medicine, health, pharmaceuticals and medical equipment must procure the consent of the national authorities responsible for such areas. As a provider of non-commercial internet information services, there is no need for our VIE to obtain an ICP License as mentioned above, which authorize relevant companies’ provision of information services via the internet without charge the internet users.</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 xml:space="preserve">In addition to the approval and license requirements, various ministries and agencies in the PRC, including the MIIT, the News Office of the State Council, the Ministry of Culture and Tourism and the General Administration of Press and Publication, have promulgated multiple measures relating to internet content, all of which specifically prohibit internet activities that result in the dissemination of any content that infringes the legal rights of others, is found to contain pornography, promote gambling or violence, instigate crimes, undermine public morality or the cultural traditions of the PRC, or compromise State security or secrets. For example,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these measures may face criminal charges or administrative sanctions, such as fines, revoking any relevant business operation licenses. Internet information providers must monitor and control the information posted on their websites. If any prohibited content is found, they must remove the content immediately, keep a record of such content and report to the relevant authorities. On December 15, 2019, Cyberspace Administration of China, or the CAOC, promulgated the </w:t>
      </w:r>
      <w:r>
        <w:rPr>
          <w:rFonts w:ascii="Arial" w:cs="Arial" w:eastAsia="Arial" w:hAnsi="Arial"/>
          <w:sz w:val="17"/>
          <w:szCs w:val="17"/>
          <w:i w:val="1"/>
          <w:iCs w:val="1"/>
          <w:color w:val="003082"/>
        </w:rPr>
        <w:t>Provisions on Ecological Governance of Network Information Content</w:t>
      </w:r>
      <w:r>
        <w:rPr>
          <w:rFonts w:ascii="Arial" w:cs="Arial" w:eastAsia="Arial" w:hAnsi="Arial"/>
          <w:sz w:val="17"/>
          <w:szCs w:val="17"/>
          <w:color w:val="003082"/>
        </w:rPr>
        <w:t>, which became effective on March 1, 2020, to further regulate the network information and content.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Regulation on Information Security and Censorship</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 xml:space="preserve">The SCNPC enacted the </w:t>
      </w:r>
      <w:r>
        <w:rPr>
          <w:rFonts w:ascii="Arial" w:cs="Arial" w:eastAsia="Arial" w:hAnsi="Arial"/>
          <w:sz w:val="16"/>
          <w:szCs w:val="16"/>
          <w:i w:val="1"/>
          <w:iCs w:val="1"/>
          <w:color w:val="003082"/>
        </w:rPr>
        <w:t>Decisions on the Maintenance of Internet Security</w:t>
      </w:r>
      <w:r>
        <w:rPr>
          <w:rFonts w:ascii="Arial" w:cs="Arial" w:eastAsia="Arial" w:hAnsi="Arial"/>
          <w:sz w:val="16"/>
          <w:szCs w:val="16"/>
          <w:color w:val="003082"/>
        </w:rPr>
        <w:t xml:space="preserve"> on December 28, 2000, which was amended in August 27, 2009. Such decision makes it unlawful to: (1) gain improper entry into a computer or system of strategic importance; (2) disseminate politically disruptive information;</w:t>
      </w:r>
    </w:p>
    <w:p>
      <w:pPr>
        <w:jc w:val="both"/>
        <w:ind w:firstLine="8"/>
        <w:spacing w:after="0" w:line="255" w:lineRule="auto"/>
        <w:tabs>
          <w:tab w:leader="none" w:pos="257" w:val="left"/>
        </w:tabs>
        <w:numPr>
          <w:ilvl w:val="0"/>
          <w:numId w:val="74"/>
        </w:numPr>
        <w:rPr>
          <w:rFonts w:ascii="Arial" w:cs="Arial" w:eastAsia="Arial" w:hAnsi="Arial"/>
          <w:sz w:val="18"/>
          <w:szCs w:val="18"/>
          <w:color w:val="003082"/>
        </w:rPr>
      </w:pPr>
      <w:r>
        <w:rPr>
          <w:rFonts w:ascii="Arial" w:cs="Arial" w:eastAsia="Arial" w:hAnsi="Arial"/>
          <w:sz w:val="18"/>
          <w:szCs w:val="18"/>
          <w:color w:val="003082"/>
        </w:rPr>
        <w:t>leak State secrets; (4) spread false commercial information; or (5) infringe intellectual property rights. The Ministry of Public Security has promulgated measures as below that prohibit the use of the internet in ways which, among other things, result in a leakage of State secrets or distribution of socially destabilizing content. The Ministry of Public Security has supervision and inspection rights in this regard.</w:t>
      </w:r>
    </w:p>
    <w:p>
      <w:pPr>
        <w:spacing w:after="0" w:line="13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 xml:space="preserve">On December 16, 1997, the Ministry of Public Security issued the </w:t>
      </w:r>
      <w:r>
        <w:rPr>
          <w:rFonts w:ascii="Arial" w:cs="Arial" w:eastAsia="Arial" w:hAnsi="Arial"/>
          <w:sz w:val="17"/>
          <w:szCs w:val="17"/>
          <w:i w:val="1"/>
          <w:iCs w:val="1"/>
          <w:color w:val="003082"/>
        </w:rPr>
        <w:t>Administration Measures on the Security Protection of Computer Information</w:t>
      </w:r>
      <w:r>
        <w:rPr>
          <w:rFonts w:ascii="Arial" w:cs="Arial" w:eastAsia="Arial" w:hAnsi="Arial"/>
          <w:sz w:val="17"/>
          <w:szCs w:val="17"/>
          <w:color w:val="003082"/>
        </w:rPr>
        <w:t xml:space="preserve"> </w:t>
      </w:r>
      <w:r>
        <w:rPr>
          <w:rFonts w:ascii="Arial" w:cs="Arial" w:eastAsia="Arial" w:hAnsi="Arial"/>
          <w:sz w:val="17"/>
          <w:szCs w:val="17"/>
          <w:i w:val="1"/>
          <w:iCs w:val="1"/>
          <w:color w:val="003082"/>
        </w:rPr>
        <w:t xml:space="preserve">Network with International Connections </w:t>
      </w:r>
      <w:r>
        <w:rPr>
          <w:rFonts w:ascii="Arial" w:cs="Arial" w:eastAsia="Arial" w:hAnsi="Arial"/>
          <w:sz w:val="17"/>
          <w:szCs w:val="17"/>
          <w:color w:val="003082"/>
        </w:rPr>
        <w:t>which was amended on January 8, 2011. Such administration measures prohibit using the internet to leak state</w:t>
      </w:r>
      <w:r>
        <w:rPr>
          <w:rFonts w:ascii="Arial" w:cs="Arial" w:eastAsia="Arial" w:hAnsi="Arial"/>
          <w:sz w:val="17"/>
          <w:szCs w:val="17"/>
          <w:i w:val="1"/>
          <w:iCs w:val="1"/>
          <w:color w:val="003082"/>
        </w:rPr>
        <w:t xml:space="preserve"> </w:t>
      </w:r>
      <w:r>
        <w:rPr>
          <w:rFonts w:ascii="Arial" w:cs="Arial" w:eastAsia="Arial" w:hAnsi="Arial"/>
          <w:sz w:val="17"/>
          <w:szCs w:val="17"/>
          <w:color w:val="003082"/>
        </w:rPr>
        <w:t xml:space="preserve">secrets or to spread socially destabilizing materials. If any operating license holder violates these measures, the PRC government may revoke its operating license and shut down its websites. Pursuant to the </w:t>
      </w:r>
      <w:r>
        <w:rPr>
          <w:rFonts w:ascii="Arial" w:cs="Arial" w:eastAsia="Arial" w:hAnsi="Arial"/>
          <w:sz w:val="17"/>
          <w:szCs w:val="17"/>
          <w:i w:val="1"/>
          <w:iCs w:val="1"/>
          <w:color w:val="003082"/>
        </w:rPr>
        <w:t>Ninth Amendment to the Criminal Law</w:t>
      </w:r>
      <w:r>
        <w:rPr>
          <w:rFonts w:ascii="Arial" w:cs="Arial" w:eastAsia="Arial" w:hAnsi="Arial"/>
          <w:sz w:val="17"/>
          <w:szCs w:val="17"/>
          <w:color w:val="003082"/>
        </w:rPr>
        <w:t xml:space="preserve"> issued by the SCNPC on August 29, 2015 and becoming effective on November 1, 2015, any internet services provider that fails to fulfill the obligations related to internet information security administration as required by applicable laws and refuses to rectify upon orders, will be subject to criminal liability for (1) any dissemination of illegal information in large scale, (2) any severe effect due to the leakage of the client’s information, (3) any serious loss of evidence of criminal activities or (4) other severe situations, and any individual or entity that (a) sells or provides personal information to others unlawfully or (b) steals or illegally obtains any personal information, will be subject to criminal liability in severe situations.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The </w:t>
      </w:r>
      <w:r>
        <w:rPr>
          <w:rFonts w:ascii="Arial" w:cs="Arial" w:eastAsia="Arial" w:hAnsi="Arial"/>
          <w:sz w:val="18"/>
          <w:szCs w:val="18"/>
          <w:i w:val="1"/>
          <w:iCs w:val="1"/>
          <w:color w:val="003082"/>
        </w:rPr>
        <w:t>Provisions on Technological Measures for Internet Security Protection</w:t>
      </w:r>
      <w:r>
        <w:rPr>
          <w:rFonts w:ascii="Arial" w:cs="Arial" w:eastAsia="Arial" w:hAnsi="Arial"/>
          <w:sz w:val="18"/>
          <w:szCs w:val="18"/>
          <w:color w:val="003082"/>
        </w:rPr>
        <w:t>, or the Internet Security Protection Measures, promulgated on December 13, 2005 by the Ministry of Public Security require all internet services providers to keep records of certain information about their users (including user registration information, log-in and log-out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130</w:t>
      </w:r>
    </w:p>
    <w:p>
      <w:pPr>
        <w:sectPr>
          <w:pgSz w:w="11900" w:h="16838" w:orient="portrait"/>
          <w:cols w:equalWidth="0" w:num="1">
            <w:col w:w="11240"/>
          </w:cols>
          <w:pgMar w:left="320" w:top="449" w:right="339" w:bottom="1440" w:gutter="0" w:footer="0" w:header="0"/>
        </w:sectPr>
      </w:pPr>
    </w:p>
    <w:bookmarkStart w:id="135" w:name="page136"/>
    <w:bookmarkEnd w:id="135"/>
    <w:p>
      <w:pPr>
        <w:jc w:val="both"/>
        <w:spacing w:after="0" w:line="257" w:lineRule="auto"/>
        <w:rPr>
          <w:sz w:val="20"/>
          <w:szCs w:val="20"/>
          <w:color w:val="auto"/>
        </w:rPr>
      </w:pPr>
      <w:r>
        <w:rPr>
          <w:rFonts w:ascii="Arial" w:cs="Arial" w:eastAsia="Arial" w:hAnsi="Arial"/>
          <w:sz w:val="18"/>
          <w:szCs w:val="18"/>
          <w:color w:val="003082"/>
        </w:rPr>
        <w:t>time, IP address, content and time of posts by users) for at least 60 days and submit the above information as required by laws and regulations.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 xml:space="preserve">The </w:t>
      </w:r>
      <w:r>
        <w:rPr>
          <w:rFonts w:ascii="Arial" w:cs="Arial" w:eastAsia="Arial" w:hAnsi="Arial"/>
          <w:sz w:val="17"/>
          <w:szCs w:val="17"/>
          <w:i w:val="1"/>
          <w:iCs w:val="1"/>
          <w:color w:val="003082"/>
        </w:rPr>
        <w:t>Communication Network Security Protection Administrative Measures</w:t>
      </w:r>
      <w:r>
        <w:rPr>
          <w:rFonts w:ascii="Arial" w:cs="Arial" w:eastAsia="Arial" w:hAnsi="Arial"/>
          <w:sz w:val="17"/>
          <w:szCs w:val="17"/>
          <w:color w:val="003082"/>
        </w:rPr>
        <w:t>, which were promulgated by the MIIT on January 21, 2010, require that all communication network operators, including telecommunications service providers and Internet domain name service providers, divide their own communication networks into units. These communication network units shall be rated in accordance with degree of damage to national security, economic operation, social order and public interest in the event a unit is damaged. Communication network operators must file the division and ratings of their communication networks with MIIT or its local counterparts. If a communication network operator violates these measures, the MIIT or its local counterparts may order rectification or impose a fine up to RMB30,000 in case a violation is not duly rectified.</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 xml:space="preserve">On November 7, 2016, the SCNPC promulgated the </w:t>
      </w:r>
      <w:r>
        <w:rPr>
          <w:rFonts w:ascii="Arial" w:cs="Arial" w:eastAsia="Arial" w:hAnsi="Arial"/>
          <w:sz w:val="17"/>
          <w:szCs w:val="17"/>
          <w:i w:val="1"/>
          <w:iCs w:val="1"/>
          <w:color w:val="003082"/>
        </w:rPr>
        <w:t>PRC Cybersecurity Law</w:t>
      </w:r>
      <w:r>
        <w:rPr>
          <w:rFonts w:ascii="Arial" w:cs="Arial" w:eastAsia="Arial" w:hAnsi="Arial"/>
          <w:sz w:val="17"/>
          <w:szCs w:val="17"/>
          <w:color w:val="003082"/>
        </w:rPr>
        <w:t>, which took effect on June 1, 2017.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 of networks and network service providers, shall meet their cybersecurity obligations and shall take technical measures and other necessary measures to protect the safety and stability of their networks. Under the Cybersecurity Law, network operators are subject to various security protection-related obligations, including:</w:t>
      </w:r>
    </w:p>
    <w:p>
      <w:pPr>
        <w:spacing w:after="0" w:line="123" w:lineRule="exact"/>
        <w:rPr>
          <w:sz w:val="20"/>
          <w:szCs w:val="20"/>
          <w:color w:val="auto"/>
        </w:rPr>
      </w:pPr>
    </w:p>
    <w:p>
      <w:pPr>
        <w:jc w:val="both"/>
        <w:ind w:left="660" w:hanging="328"/>
        <w:spacing w:after="0" w:line="273" w:lineRule="auto"/>
        <w:tabs>
          <w:tab w:leader="none" w:pos="660" w:val="left"/>
        </w:tabs>
        <w:numPr>
          <w:ilvl w:val="0"/>
          <w:numId w:val="75"/>
        </w:numPr>
        <w:rPr>
          <w:rFonts w:ascii="Arial" w:cs="Arial" w:eastAsia="Arial" w:hAnsi="Arial"/>
          <w:sz w:val="17"/>
          <w:szCs w:val="17"/>
          <w:color w:val="003082"/>
        </w:rPr>
      </w:pPr>
      <w:r>
        <w:rPr>
          <w:rFonts w:ascii="Arial" w:cs="Arial" w:eastAsia="Arial" w:hAnsi="Arial"/>
          <w:sz w:val="17"/>
          <w:szCs w:val="17"/>
          <w:color w:val="003082"/>
        </w:rPr>
        <w:t>complying with security protection obligations in accordance with tiered requirements with respect to maintenance of the security of internet systems, which include formulating internal security management rules and developing manuals, appointing personnel who will be responsible for internet security, adopting technical measures to prevent computer viruses and activities that threaten internet security, adopting technical measures to monitor and record status of network operations, holding internet security training events, retaining user logs for at least six months, and adopting measures such as data classification, key data backup, and encryption for the purpose of securing networks from interference, vandalism, or unauthorized visits, and preventing network data from leakage, theft, or tampering;</w:t>
      </w:r>
    </w:p>
    <w:p>
      <w:pPr>
        <w:spacing w:after="0" w:line="123" w:lineRule="exact"/>
        <w:rPr>
          <w:rFonts w:ascii="Arial" w:cs="Arial" w:eastAsia="Arial" w:hAnsi="Arial"/>
          <w:sz w:val="17"/>
          <w:szCs w:val="17"/>
          <w:color w:val="003082"/>
        </w:rPr>
      </w:pPr>
    </w:p>
    <w:p>
      <w:pPr>
        <w:ind w:left="660" w:right="20" w:hanging="328"/>
        <w:spacing w:after="0" w:line="277" w:lineRule="auto"/>
        <w:tabs>
          <w:tab w:leader="none" w:pos="660" w:val="left"/>
        </w:tabs>
        <w:numPr>
          <w:ilvl w:val="0"/>
          <w:numId w:val="75"/>
        </w:numPr>
        <w:rPr>
          <w:rFonts w:ascii="Arial" w:cs="Arial" w:eastAsia="Arial" w:hAnsi="Arial"/>
          <w:sz w:val="18"/>
          <w:szCs w:val="18"/>
          <w:color w:val="003082"/>
        </w:rPr>
      </w:pPr>
      <w:r>
        <w:rPr>
          <w:rFonts w:ascii="Arial" w:cs="Arial" w:eastAsia="Arial" w:hAnsi="Arial"/>
          <w:sz w:val="18"/>
          <w:szCs w:val="18"/>
          <w:color w:val="003082"/>
        </w:rPr>
        <w:t>verifying users’ identities before signing agreements or providing services such as network access, domain name registration, landline telephone or mobile phone access, information publishing, or real-time communication services;</w:t>
      </w:r>
    </w:p>
    <w:p>
      <w:pPr>
        <w:spacing w:after="0" w:line="116" w:lineRule="exact"/>
        <w:rPr>
          <w:rFonts w:ascii="Arial" w:cs="Arial" w:eastAsia="Arial" w:hAnsi="Arial"/>
          <w:sz w:val="18"/>
          <w:szCs w:val="18"/>
          <w:color w:val="003082"/>
        </w:rPr>
      </w:pPr>
    </w:p>
    <w:p>
      <w:pPr>
        <w:ind w:left="660" w:right="20" w:hanging="328"/>
        <w:spacing w:after="0" w:line="277" w:lineRule="auto"/>
        <w:tabs>
          <w:tab w:leader="none" w:pos="660" w:val="left"/>
        </w:tabs>
        <w:numPr>
          <w:ilvl w:val="0"/>
          <w:numId w:val="75"/>
        </w:numPr>
        <w:rPr>
          <w:rFonts w:ascii="Arial" w:cs="Arial" w:eastAsia="Arial" w:hAnsi="Arial"/>
          <w:sz w:val="18"/>
          <w:szCs w:val="18"/>
          <w:color w:val="003082"/>
        </w:rPr>
      </w:pPr>
      <w:r>
        <w:rPr>
          <w:rFonts w:ascii="Arial" w:cs="Arial" w:eastAsia="Arial" w:hAnsi="Arial"/>
          <w:sz w:val="18"/>
          <w:szCs w:val="18"/>
          <w:color w:val="003082"/>
        </w:rPr>
        <w:t>clearly indicating the purposes, methods and scope of the information collection, the use of information collection, and obtain the consent of those from whom the information is collected when collecting or using personal information;</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75"/>
        </w:numPr>
        <w:rPr>
          <w:rFonts w:ascii="Arial" w:cs="Arial" w:eastAsia="Arial" w:hAnsi="Arial"/>
          <w:sz w:val="18"/>
          <w:szCs w:val="18"/>
          <w:color w:val="003082"/>
        </w:rPr>
      </w:pPr>
      <w:r>
        <w:rPr>
          <w:rFonts w:ascii="Arial" w:cs="Arial" w:eastAsia="Arial" w:hAnsi="Arial"/>
          <w:sz w:val="18"/>
          <w:szCs w:val="18"/>
          <w:color w:val="003082"/>
        </w:rPr>
        <w:t>strictly preserving the privacy of user information they collect, and establish and maintain systems to protect user privacy; and</w:t>
      </w:r>
    </w:p>
    <w:p>
      <w:pPr>
        <w:spacing w:after="0" w:line="171" w:lineRule="exact"/>
        <w:rPr>
          <w:rFonts w:ascii="Arial" w:cs="Arial" w:eastAsia="Arial" w:hAnsi="Arial"/>
          <w:sz w:val="18"/>
          <w:szCs w:val="18"/>
          <w:color w:val="003082"/>
        </w:rPr>
      </w:pPr>
    </w:p>
    <w:p>
      <w:pPr>
        <w:jc w:val="both"/>
        <w:ind w:left="660" w:hanging="328"/>
        <w:spacing w:after="0" w:line="311" w:lineRule="auto"/>
        <w:tabs>
          <w:tab w:leader="none" w:pos="660" w:val="left"/>
        </w:tabs>
        <w:numPr>
          <w:ilvl w:val="0"/>
          <w:numId w:val="75"/>
        </w:numPr>
        <w:rPr>
          <w:rFonts w:ascii="Arial" w:cs="Arial" w:eastAsia="Arial" w:hAnsi="Arial"/>
          <w:sz w:val="16"/>
          <w:szCs w:val="16"/>
          <w:color w:val="003082"/>
        </w:rPr>
      </w:pPr>
      <w:r>
        <w:rPr>
          <w:rFonts w:ascii="Arial" w:cs="Arial" w:eastAsia="Arial" w:hAnsi="Arial"/>
          <w:sz w:val="16"/>
          <w:szCs w:val="16"/>
          <w:color w:val="003082"/>
        </w:rPr>
        <w:t>strengthening management of information published by users. When the network operators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9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 xml:space="preserve">On April 13, 2020, the CAOC, together with 11 other government agencies, jointly issued the Cybersecurity Review Measures, or the Review Measures. The Review Measures, under which the scope of application, reporting procedures, evaluation factors and legal responsibilities are stipulated, was implemented on June 1, 2020 to replace the </w:t>
      </w:r>
      <w:r>
        <w:rPr>
          <w:rFonts w:ascii="Arial" w:cs="Arial" w:eastAsia="Arial" w:hAnsi="Arial"/>
          <w:sz w:val="16"/>
          <w:szCs w:val="16"/>
          <w:i w:val="1"/>
          <w:iCs w:val="1"/>
          <w:color w:val="003082"/>
        </w:rPr>
        <w:t>Measures for Security Review of Cyber Products and Services (for Trial Implementation)</w:t>
      </w:r>
      <w:r>
        <w:rPr>
          <w:rFonts w:ascii="Arial" w:cs="Arial" w:eastAsia="Arial" w:hAnsi="Arial"/>
          <w:sz w:val="16"/>
          <w:szCs w:val="16"/>
          <w:color w:val="003082"/>
        </w:rPr>
        <w:t xml:space="preserve"> issued by the CAOC on May 2, 2017. According to the Review Measures, any operator of critical information infrastructure, which, according to the Reply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131</w:t>
      </w:r>
    </w:p>
    <w:p>
      <w:pPr>
        <w:sectPr>
          <w:pgSz w:w="11900" w:h="16838" w:orient="portrait"/>
          <w:cols w:equalWidth="0" w:num="1">
            <w:col w:w="11240"/>
          </w:cols>
          <w:pgMar w:left="320" w:top="341" w:right="339" w:bottom="1440" w:gutter="0" w:footer="0" w:header="0"/>
        </w:sectPr>
      </w:pPr>
    </w:p>
    <w:bookmarkStart w:id="136" w:name="page137"/>
    <w:bookmarkEnd w:id="136"/>
    <w:p>
      <w:pPr>
        <w:jc w:val="both"/>
        <w:spacing w:after="0" w:line="263" w:lineRule="auto"/>
        <w:rPr>
          <w:sz w:val="20"/>
          <w:szCs w:val="20"/>
          <w:color w:val="auto"/>
        </w:rPr>
      </w:pPr>
      <w:r>
        <w:rPr>
          <w:rFonts w:ascii="Arial" w:cs="Arial" w:eastAsia="Arial" w:hAnsi="Arial"/>
          <w:sz w:val="18"/>
          <w:szCs w:val="18"/>
          <w:color w:val="003082"/>
        </w:rPr>
        <w:t>to Questions on the Review Measures published by the CAOC, includes critical network and information system operators in the telecommunications industry, purchases any network product or service that may pose potential risks to or otherwise affect national security, they must apply for a cybersecurity review to be conducted by Cybersecurity Review Office.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CAOC is responsible for organizing and implementing cybersecurity reviews, while the competent departments in key industries such as finance, telecommunications, energy, and transport are responsible for organizing and implementing security review of cyber products and services in their respective industries and fields.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 xml:space="preserve">On November 15, 2018, the Cyberspace Administration issued the </w:t>
      </w:r>
      <w:r>
        <w:rPr>
          <w:rFonts w:ascii="Arial" w:cs="Arial" w:eastAsia="Arial" w:hAnsi="Arial"/>
          <w:sz w:val="17"/>
          <w:szCs w:val="17"/>
          <w:i w:val="1"/>
          <w:iCs w:val="1"/>
          <w:color w:val="003082"/>
        </w:rPr>
        <w:t>Provisions on Security Assessment of the Internet Information Services with Public</w:t>
      </w:r>
      <w:r>
        <w:rPr>
          <w:rFonts w:ascii="Arial" w:cs="Arial" w:eastAsia="Arial" w:hAnsi="Arial"/>
          <w:sz w:val="17"/>
          <w:szCs w:val="17"/>
          <w:color w:val="003082"/>
        </w:rPr>
        <w:t xml:space="preserve"> </w:t>
      </w:r>
      <w:r>
        <w:rPr>
          <w:rFonts w:ascii="Arial" w:cs="Arial" w:eastAsia="Arial" w:hAnsi="Arial"/>
          <w:sz w:val="17"/>
          <w:szCs w:val="17"/>
          <w:i w:val="1"/>
          <w:iCs w:val="1"/>
          <w:color w:val="003082"/>
        </w:rPr>
        <w:t>Opinion Attributes or Social Mobilization Capacity</w:t>
      </w:r>
      <w:r>
        <w:rPr>
          <w:rFonts w:ascii="Arial" w:cs="Arial" w:eastAsia="Arial" w:hAnsi="Arial"/>
          <w:sz w:val="17"/>
          <w:szCs w:val="17"/>
          <w:color w:val="003082"/>
        </w:rPr>
        <w:t>, which came into effect on November 30, 2018. The provisions require internet information providers</w:t>
      </w:r>
      <w:r>
        <w:rPr>
          <w:rFonts w:ascii="Arial" w:cs="Arial" w:eastAsia="Arial" w:hAnsi="Arial"/>
          <w:sz w:val="17"/>
          <w:szCs w:val="17"/>
          <w:i w:val="1"/>
          <w:iCs w:val="1"/>
          <w:color w:val="003082"/>
        </w:rPr>
        <w:t xml:space="preserve"> </w:t>
      </w:r>
      <w:r>
        <w:rPr>
          <w:rFonts w:ascii="Arial" w:cs="Arial" w:eastAsia="Arial" w:hAnsi="Arial"/>
          <w:sz w:val="17"/>
          <w:szCs w:val="17"/>
          <w:color w:val="003082"/>
        </w:rPr>
        <w:t>to conduct security assessments on their internet information services if their services include forums, blogs, microblogs, chat rooms, communication groups, public accounts, short-form videos, online live-streaming, information sharing, mini programs or other functions that provide channels for the public to express opinions or have the capability of mobilizing the public to engage in specific activities. Internet information providers must conduct self-assessment on, among other things, the legality of new technology involved in the services and the effectiveness of security risk prevention measures, and file the assessment report with the local competent cyberspace administration authority and public security authority.</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 xml:space="preserve">Internet security in China is also regulated and restricted from a national security standpoint. On July 1, 2015, the SCNPC promulgated the new </w:t>
      </w:r>
      <w:r>
        <w:rPr>
          <w:rFonts w:ascii="Arial" w:cs="Arial" w:eastAsia="Arial" w:hAnsi="Arial"/>
          <w:sz w:val="18"/>
          <w:szCs w:val="18"/>
          <w:i w:val="1"/>
          <w:iCs w:val="1"/>
          <w:color w:val="003082"/>
        </w:rPr>
        <w:t>National Security Law</w:t>
      </w:r>
      <w:r>
        <w:rPr>
          <w:rFonts w:ascii="Arial" w:cs="Arial" w:eastAsia="Arial" w:hAnsi="Arial"/>
          <w:sz w:val="18"/>
          <w:szCs w:val="18"/>
          <w:color w:val="003082"/>
        </w:rPr>
        <w:t>, which took effect on the same date and replaced the former</w:t>
      </w:r>
      <w:r>
        <w:rPr>
          <w:rFonts w:ascii="Arial" w:cs="Arial" w:eastAsia="Arial" w:hAnsi="Arial"/>
          <w:sz w:val="18"/>
          <w:szCs w:val="18"/>
          <w:i w:val="1"/>
          <w:iCs w:val="1"/>
          <w:color w:val="003082"/>
        </w:rPr>
        <w:t xml:space="preserve"> National Security Law </w:t>
      </w:r>
      <w:r>
        <w:rPr>
          <w:rFonts w:ascii="Arial" w:cs="Arial" w:eastAsia="Arial" w:hAnsi="Arial"/>
          <w:sz w:val="18"/>
          <w:szCs w:val="18"/>
          <w:color w:val="003082"/>
        </w:rPr>
        <w:t>promulgated in 1993. According to the new</w:t>
      </w:r>
      <w:r>
        <w:rPr>
          <w:rFonts w:ascii="Arial" w:cs="Arial" w:eastAsia="Arial" w:hAnsi="Arial"/>
          <w:sz w:val="18"/>
          <w:szCs w:val="18"/>
          <w:i w:val="1"/>
          <w:iCs w:val="1"/>
          <w:color w:val="003082"/>
        </w:rPr>
        <w:t xml:space="preserve"> National Security Law</w:t>
      </w:r>
      <w:r>
        <w:rPr>
          <w:rFonts w:ascii="Arial" w:cs="Arial" w:eastAsia="Arial" w:hAnsi="Arial"/>
          <w:sz w:val="18"/>
          <w:szCs w:val="18"/>
          <w:color w:val="003082"/>
        </w:rPr>
        <w:t>, the state shall ensure that the information system and data in important areas are secure and controllable. In addition, according to</w:t>
      </w:r>
      <w:r>
        <w:rPr>
          <w:rFonts w:ascii="Arial" w:cs="Arial" w:eastAsia="Arial" w:hAnsi="Arial"/>
          <w:sz w:val="18"/>
          <w:szCs w:val="18"/>
          <w:i w:val="1"/>
          <w:iCs w:val="1"/>
          <w:color w:val="003082"/>
        </w:rPr>
        <w:t xml:space="preserve"> </w:t>
      </w:r>
      <w:r>
        <w:rPr>
          <w:rFonts w:ascii="Arial" w:cs="Arial" w:eastAsia="Arial" w:hAnsi="Arial"/>
          <w:sz w:val="18"/>
          <w:szCs w:val="18"/>
          <w:color w:val="003082"/>
        </w:rPr>
        <w:t xml:space="preserve">the new </w:t>
      </w:r>
      <w:r>
        <w:rPr>
          <w:rFonts w:ascii="Arial" w:cs="Arial" w:eastAsia="Arial" w:hAnsi="Arial"/>
          <w:sz w:val="18"/>
          <w:szCs w:val="18"/>
          <w:i w:val="1"/>
          <w:iCs w:val="1"/>
          <w:color w:val="003082"/>
        </w:rPr>
        <w:t>National Security Law</w:t>
      </w:r>
      <w:r>
        <w:rPr>
          <w:rFonts w:ascii="Arial" w:cs="Arial" w:eastAsia="Arial" w:hAnsi="Arial"/>
          <w:sz w:val="18"/>
          <w:szCs w:val="18"/>
          <w:color w:val="003082"/>
        </w:rPr>
        <w:t xml:space="preserve">, the state shall establish national security review and supervision institutions and mechanisms, and conduct national security reviews of key technologies and IT products and services that affect or may affect national security. There are uncertainties on how the new </w:t>
      </w:r>
      <w:r>
        <w:rPr>
          <w:rFonts w:ascii="Arial" w:cs="Arial" w:eastAsia="Arial" w:hAnsi="Arial"/>
          <w:sz w:val="18"/>
          <w:szCs w:val="18"/>
          <w:i w:val="1"/>
          <w:iCs w:val="1"/>
          <w:color w:val="003082"/>
        </w:rPr>
        <w:t>National</w:t>
      </w:r>
      <w:r>
        <w:rPr>
          <w:rFonts w:ascii="Arial" w:cs="Arial" w:eastAsia="Arial" w:hAnsi="Arial"/>
          <w:sz w:val="18"/>
          <w:szCs w:val="18"/>
          <w:color w:val="003082"/>
        </w:rPr>
        <w:t xml:space="preserve"> </w:t>
      </w:r>
      <w:r>
        <w:rPr>
          <w:rFonts w:ascii="Arial" w:cs="Arial" w:eastAsia="Arial" w:hAnsi="Arial"/>
          <w:sz w:val="18"/>
          <w:szCs w:val="18"/>
          <w:i w:val="1"/>
          <w:iCs w:val="1"/>
          <w:color w:val="003082"/>
        </w:rPr>
        <w:t xml:space="preserve">Security Law </w:t>
      </w:r>
      <w:r>
        <w:rPr>
          <w:rFonts w:ascii="Arial" w:cs="Arial" w:eastAsia="Arial" w:hAnsi="Arial"/>
          <w:sz w:val="18"/>
          <w:szCs w:val="18"/>
          <w:color w:val="003082"/>
        </w:rPr>
        <w:t>will be implemented in practice.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Regulation on Privacy Protection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 xml:space="preserve">On December 28, 2012, the SCNPC enacted the </w:t>
      </w:r>
      <w:r>
        <w:rPr>
          <w:rFonts w:ascii="Arial" w:cs="Arial" w:eastAsia="Arial" w:hAnsi="Arial"/>
          <w:sz w:val="17"/>
          <w:szCs w:val="17"/>
          <w:i w:val="1"/>
          <w:iCs w:val="1"/>
          <w:color w:val="003082"/>
        </w:rPr>
        <w:t>Decision to Enhance the Protection of Network Information</w:t>
      </w:r>
      <w:r>
        <w:rPr>
          <w:rFonts w:ascii="Arial" w:cs="Arial" w:eastAsia="Arial" w:hAnsi="Arial"/>
          <w:sz w:val="17"/>
          <w:szCs w:val="17"/>
          <w:color w:val="003082"/>
        </w:rPr>
        <w:t>, or the Information Protection Decision, to enhance the protection of user personal information in electronic form. The Information Protection Decision provides that internet services providers must expressly inform their users of the purpose, manner and scope of the 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Information Protection Decision also mandates that internet services providers and their employees must keep strictly confidential user personal information that they collect, and that internet services providers must take such technical and other measures as are necessary to safeguard the information against disclosure.</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 xml:space="preserve">On July 16, 2013, the MIIT issued the </w:t>
      </w:r>
      <w:r>
        <w:rPr>
          <w:rFonts w:ascii="Arial" w:cs="Arial" w:eastAsia="Arial" w:hAnsi="Arial"/>
          <w:sz w:val="17"/>
          <w:szCs w:val="17"/>
          <w:i w:val="1"/>
          <w:iCs w:val="1"/>
          <w:color w:val="003082"/>
        </w:rPr>
        <w:t>Order for the Protection of Telecommunication and Internet User Personal Information,</w:t>
      </w:r>
      <w:r>
        <w:rPr>
          <w:rFonts w:ascii="Arial" w:cs="Arial" w:eastAsia="Arial" w:hAnsi="Arial"/>
          <w:sz w:val="17"/>
          <w:szCs w:val="17"/>
          <w:color w:val="003082"/>
        </w:rPr>
        <w:t xml:space="preserve"> or the Order. Most of the requirements under the Order that are relevant to internet services providers are consistent with the requirements already established under the MIIT provisions discussed above, except that under the Order the requirements are often more strict and have a wider scope. If an internet services provider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Internet services providers are also required to establish and publish their protocols relating to personal information collection or use, keep any collected information strictly confidential, and take technological and other measures to maintain the security of such information. Internet services providers are also required to cease any collection or use of the user personal information, and de-register the relevant user account, when a given user stops using the relevant internet service. Internet services providers are further prohibited from divulging, distorting or destroying any such personal information, or selling or providing such information unlawfully to other parties. The Order states, in broad terms, that violators may face warnings, fines, and disclosure to the public and, in the most severe cases, criminal liability.</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 xml:space="preserve">On January 5, 2015, the SAIC promulgated the </w:t>
      </w:r>
      <w:r>
        <w:rPr>
          <w:rFonts w:ascii="Arial" w:cs="Arial" w:eastAsia="Arial" w:hAnsi="Arial"/>
          <w:sz w:val="18"/>
          <w:szCs w:val="18"/>
          <w:i w:val="1"/>
          <w:iCs w:val="1"/>
          <w:color w:val="003082"/>
        </w:rPr>
        <w:t>Measures on Punishment for Infringement of Consumer Rights</w:t>
      </w:r>
      <w:r>
        <w:rPr>
          <w:rFonts w:ascii="Arial" w:cs="Arial" w:eastAsia="Arial" w:hAnsi="Arial"/>
          <w:sz w:val="18"/>
          <w:szCs w:val="18"/>
          <w:color w:val="003082"/>
        </w:rPr>
        <w:t>, pursuant to which business operators collecting and using personal information of consumers must comply with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132</w:t>
      </w:r>
    </w:p>
    <w:p>
      <w:pPr>
        <w:sectPr>
          <w:pgSz w:w="11900" w:h="16838" w:orient="portrait"/>
          <w:cols w:equalWidth="0" w:num="1">
            <w:col w:w="11240"/>
          </w:cols>
          <w:pgMar w:left="320" w:top="341" w:right="339" w:bottom="1440" w:gutter="0" w:footer="0" w:header="0"/>
        </w:sectPr>
      </w:pPr>
    </w:p>
    <w:bookmarkStart w:id="137" w:name="page138"/>
    <w:bookmarkEnd w:id="137"/>
    <w:p>
      <w:pPr>
        <w:jc w:val="both"/>
        <w:spacing w:after="0" w:line="279" w:lineRule="auto"/>
        <w:rPr>
          <w:sz w:val="20"/>
          <w:szCs w:val="20"/>
          <w:color w:val="auto"/>
        </w:rPr>
      </w:pPr>
      <w:r>
        <w:rPr>
          <w:rFonts w:ascii="Arial" w:cs="Arial" w:eastAsia="Arial" w:hAnsi="Arial"/>
          <w:sz w:val="17"/>
          <w:szCs w:val="17"/>
          <w:color w:val="003082"/>
        </w:rPr>
        <w:t>principles of legitimacy, propriety and necessity, specify the purpose, method and scope of collection and use of the information, and obtain the consent of the consumers whose personal information is to be collected. Business operators may not (1) collect or use personal information of consumers without their consent, (2) unlawfully divulge, sell or provide personal information of consumers to others or (3) send commercial information to consumers without their consent or request, or when a consumer has explicitly declined to receive such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Related to Intellectual Property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Trademarks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3082"/>
        </w:rPr>
        <w:t xml:space="preserve">On August 23, 1982, the SCNPC promulgated the </w:t>
      </w:r>
      <w:r>
        <w:rPr>
          <w:rFonts w:ascii="Arial" w:cs="Arial" w:eastAsia="Arial" w:hAnsi="Arial"/>
          <w:sz w:val="18"/>
          <w:szCs w:val="18"/>
          <w:i w:val="1"/>
          <w:iCs w:val="1"/>
          <w:color w:val="003082"/>
        </w:rPr>
        <w:t>Trademark Law of the PRC</w:t>
      </w:r>
      <w:r>
        <w:rPr>
          <w:rFonts w:ascii="Arial" w:cs="Arial" w:eastAsia="Arial" w:hAnsi="Arial"/>
          <w:sz w:val="18"/>
          <w:szCs w:val="18"/>
          <w:color w:val="003082"/>
        </w:rPr>
        <w:t xml:space="preserve">, or the Trademark Law, which was amended in 1993, 2001, 2013 and 2019. The </w:t>
      </w:r>
      <w:r>
        <w:rPr>
          <w:rFonts w:ascii="Arial" w:cs="Arial" w:eastAsia="Arial" w:hAnsi="Arial"/>
          <w:sz w:val="18"/>
          <w:szCs w:val="18"/>
          <w:i w:val="1"/>
          <w:iCs w:val="1"/>
          <w:color w:val="003082"/>
        </w:rPr>
        <w:t>Implementation Regulation for the Trademark Law</w:t>
      </w:r>
      <w:r>
        <w:rPr>
          <w:rFonts w:ascii="Arial" w:cs="Arial" w:eastAsia="Arial" w:hAnsi="Arial"/>
          <w:sz w:val="18"/>
          <w:szCs w:val="18"/>
          <w:color w:val="003082"/>
        </w:rPr>
        <w:t xml:space="preserve"> promulgated by the State Council came into effect on September 15, 2002 and was further amended on April 29, 2014.</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Under the Trademark Law and the implementing regulation, the Trademark Office of the State Administration for Market Regulation, or the Trademark Office, is responsible for the registration and administration of trademarks. The Trademark Office handles trademark registrations. As with patents, China has adopted a “first-to-file” principle for trademark registration. If two or more applicants apply for registration of identical or similar trademarks for the same or similar commodities, the application that was filed first will receive preliminary approval and will be publicly announced. Registered trademarks are valid for ten years from the date the registration is approved. A registrant may apply to renew a registration within 12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In addition to the above, the SAIC has established a Trademark Review and Adjudication Board for resolving trademark disputes. According to the Trademark Law, within three months since the date of the announcement of a preliminarily validated trademark, if a titleholder is of the view that is such trademark in application is identical or similar to its registered trademark for the same type of commodities or similar commodities which violates relevant provisions of the Trademark Law, such titleholder may raise an objection to the Trademark Office within the aforesaid period. In such event, the Trademark Office shall consider the facts and grounds submitted by both the dissenting party and the party being challenged and shall decide on whether the registration is allowed within 12 months upon the expiration of the announcement after investigation and verification, and notify the dissenting party and the person challenged in writing.</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Patents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 xml:space="preserve">The National People’s Congress adopted the </w:t>
      </w:r>
      <w:r>
        <w:rPr>
          <w:rFonts w:ascii="Arial" w:cs="Arial" w:eastAsia="Arial" w:hAnsi="Arial"/>
          <w:sz w:val="17"/>
          <w:szCs w:val="17"/>
          <w:i w:val="1"/>
          <w:iCs w:val="1"/>
          <w:color w:val="003082"/>
        </w:rPr>
        <w:t>Patent Law of the People’s Republic of China</w:t>
      </w:r>
      <w:r>
        <w:rPr>
          <w:rFonts w:ascii="Arial" w:cs="Arial" w:eastAsia="Arial" w:hAnsi="Arial"/>
          <w:sz w:val="17"/>
          <w:szCs w:val="17"/>
          <w:color w:val="003082"/>
        </w:rPr>
        <w:t xml:space="preserve">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Copyrights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On September 7, 1990, the SCNPC promulgated </w:t>
      </w:r>
      <w:r>
        <w:rPr>
          <w:rFonts w:ascii="Arial" w:cs="Arial" w:eastAsia="Arial" w:hAnsi="Arial"/>
          <w:sz w:val="18"/>
          <w:szCs w:val="18"/>
          <w:i w:val="1"/>
          <w:iCs w:val="1"/>
          <w:color w:val="003082"/>
        </w:rPr>
        <w:t>the Copyright Law</w:t>
      </w:r>
      <w:r>
        <w:rPr>
          <w:rFonts w:ascii="Arial" w:cs="Arial" w:eastAsia="Arial" w:hAnsi="Arial"/>
          <w:sz w:val="18"/>
          <w:szCs w:val="18"/>
          <w:color w:val="003082"/>
        </w:rPr>
        <w:t>, which took effect on June 1, 1991 and was amended in 2001 and in 2010. The amended Copyright Law extends copyright protection to internet activities, products disseminated over the internet and software products. In addition, there is a voluntary registration system administered by the China Copyright Protection Center.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In order to further implement the </w:t>
      </w:r>
      <w:r>
        <w:rPr>
          <w:rFonts w:ascii="Arial" w:cs="Arial" w:eastAsia="Arial" w:hAnsi="Arial"/>
          <w:sz w:val="18"/>
          <w:szCs w:val="18"/>
          <w:i w:val="1"/>
          <w:iCs w:val="1"/>
          <w:color w:val="003082"/>
        </w:rPr>
        <w:t>Computer Software Protection Regulations</w:t>
      </w:r>
      <w:r>
        <w:rPr>
          <w:rFonts w:ascii="Arial" w:cs="Arial" w:eastAsia="Arial" w:hAnsi="Arial"/>
          <w:sz w:val="18"/>
          <w:szCs w:val="18"/>
          <w:color w:val="003082"/>
        </w:rPr>
        <w:t xml:space="preserve">, promulgated by the State Council on June 4, 1991 and amended on January 30, 2013, the National Copyright Administration, or the NCA, issued the </w:t>
      </w:r>
      <w:r>
        <w:rPr>
          <w:rFonts w:ascii="Arial" w:cs="Arial" w:eastAsia="Arial" w:hAnsi="Arial"/>
          <w:sz w:val="18"/>
          <w:szCs w:val="18"/>
          <w:i w:val="1"/>
          <w:iCs w:val="1"/>
          <w:color w:val="003082"/>
        </w:rPr>
        <w:t>Computer Software Copyright Registration Procedures</w:t>
      </w:r>
      <w:r>
        <w:rPr>
          <w:rFonts w:ascii="Arial" w:cs="Arial" w:eastAsia="Arial" w:hAnsi="Arial"/>
          <w:sz w:val="18"/>
          <w:szCs w:val="18"/>
          <w:color w:val="003082"/>
        </w:rPr>
        <w:t xml:space="preserve"> on April 6, 1992 and amended on February 20, 2002, which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133</w:t>
      </w:r>
    </w:p>
    <w:p>
      <w:pPr>
        <w:sectPr>
          <w:pgSz w:w="11900" w:h="16838" w:orient="portrait"/>
          <w:cols w:equalWidth="0" w:num="1">
            <w:col w:w="11240"/>
          </w:cols>
          <w:pgMar w:left="320" w:top="341" w:right="339" w:bottom="1440" w:gutter="0" w:footer="0" w:header="0"/>
        </w:sectPr>
      </w:pPr>
    </w:p>
    <w:bookmarkStart w:id="138" w:name="page139"/>
    <w:bookmarkEnd w:id="138"/>
    <w:p>
      <w:pPr>
        <w:jc w:val="both"/>
        <w:spacing w:after="0" w:line="263" w:lineRule="auto"/>
        <w:rPr>
          <w:sz w:val="20"/>
          <w:szCs w:val="20"/>
          <w:color w:val="auto"/>
        </w:rPr>
      </w:pPr>
      <w:r>
        <w:rPr>
          <w:rFonts w:ascii="Arial" w:cs="Arial" w:eastAsia="Arial" w:hAnsi="Arial"/>
          <w:sz w:val="18"/>
          <w:szCs w:val="18"/>
          <w:color w:val="003082"/>
        </w:rPr>
        <w:t>specify detailed procedures and requirements with respect to the registration of software copyrights. The China Copyright Protection Center shall grant registration certificates to the computer software copyrights applicants which meet the requirements of both the software copyright registration procedures and the computer software protection regulations.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Domain Names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 xml:space="preserve">The MIIT promulgated the </w:t>
      </w:r>
      <w:r>
        <w:rPr>
          <w:rFonts w:ascii="Arial" w:cs="Arial" w:eastAsia="Arial" w:hAnsi="Arial"/>
          <w:sz w:val="18"/>
          <w:szCs w:val="18"/>
          <w:i w:val="1"/>
          <w:iCs w:val="1"/>
          <w:color w:val="003082"/>
        </w:rPr>
        <w:t>Measures on Administration of Internet Domain Names</w:t>
      </w:r>
      <w:r>
        <w:rPr>
          <w:rFonts w:ascii="Arial" w:cs="Arial" w:eastAsia="Arial" w:hAnsi="Arial"/>
          <w:sz w:val="18"/>
          <w:szCs w:val="18"/>
          <w:color w:val="003082"/>
        </w:rPr>
        <w:t xml:space="preserve">, or the Domain Name Measures, on August 24, 2017, which took effect on November 1, 2017 and replaced the </w:t>
      </w:r>
      <w:r>
        <w:rPr>
          <w:rFonts w:ascii="Arial" w:cs="Arial" w:eastAsia="Arial" w:hAnsi="Arial"/>
          <w:sz w:val="18"/>
          <w:szCs w:val="18"/>
          <w:i w:val="1"/>
          <w:iCs w:val="1"/>
          <w:color w:val="003082"/>
        </w:rPr>
        <w:t>Administrative Measures on China Internet Domain Name</w:t>
      </w:r>
      <w:r>
        <w:rPr>
          <w:rFonts w:ascii="Arial" w:cs="Arial" w:eastAsia="Arial" w:hAnsi="Arial"/>
          <w:sz w:val="18"/>
          <w:szCs w:val="18"/>
          <w:color w:val="003082"/>
        </w:rPr>
        <w:t xml:space="preserv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identifications to domain name registration service institutions. The applicants will become the holder of such domain names upon the completion of the registration procedure.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Foreign Exchange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 xml:space="preserve">Under the </w:t>
      </w:r>
      <w:r>
        <w:rPr>
          <w:rFonts w:ascii="Arial" w:cs="Arial" w:eastAsia="Arial" w:hAnsi="Arial"/>
          <w:sz w:val="17"/>
          <w:szCs w:val="17"/>
          <w:i w:val="1"/>
          <w:iCs w:val="1"/>
          <w:color w:val="003082"/>
        </w:rPr>
        <w:t>Foreign Currency Administration Rules of the PRC</w:t>
      </w:r>
      <w:r>
        <w:rPr>
          <w:rFonts w:ascii="Arial" w:cs="Arial" w:eastAsia="Arial" w:hAnsi="Arial"/>
          <w:sz w:val="17"/>
          <w:szCs w:val="17"/>
          <w:color w:val="003082"/>
        </w:rPr>
        <w:t xml:space="preserve"> promulgated by the State Council on January 29, 1996 and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 Payments for transactions that take place within the PRC must be made in Renminbi. Unless otherwise approved, PRC companies may not repatriate foreign currency payments received from abroad or retain the same abroad. FIEs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2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Pursuant to the </w:t>
      </w:r>
      <w:r>
        <w:rPr>
          <w:rFonts w:ascii="Arial" w:cs="Arial" w:eastAsia="Arial" w:hAnsi="Arial"/>
          <w:sz w:val="17"/>
          <w:szCs w:val="17"/>
          <w:i w:val="1"/>
          <w:iCs w:val="1"/>
          <w:color w:val="003082"/>
        </w:rPr>
        <w:t>Circular of the SAFE on Further Improving and Adjusting Foreign Exchange Administration Policies for Direct Investment</w:t>
      </w:r>
      <w:r>
        <w:rPr>
          <w:rFonts w:ascii="Arial" w:cs="Arial" w:eastAsia="Arial" w:hAnsi="Arial"/>
          <w:sz w:val="17"/>
          <w:szCs w:val="17"/>
          <w:color w:val="003082"/>
        </w:rPr>
        <w:t>, or the SAFE Circular 59 promulgated by SAFE on November 19, 2012, which became effective on December 17, 2012 and was further amended on May 4, 2015 and October 10, 2018, approval is not required for opening a foreign exchange account and depositing foreign exchange into the accounts relating to the direct investments. SAFE Circular 59 also simplified foreign exchange-related registration required for the foreign investors to acquire the equity interests of PRC companies and further improve the administration on foreign exchange settlement for FIEs.</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 xml:space="preserve">The SAFE promulgated the </w:t>
      </w:r>
      <w:r>
        <w:rPr>
          <w:rFonts w:ascii="Arial" w:cs="Arial" w:eastAsia="Arial" w:hAnsi="Arial"/>
          <w:sz w:val="18"/>
          <w:szCs w:val="18"/>
          <w:i w:val="1"/>
          <w:iCs w:val="1"/>
          <w:color w:val="003082"/>
        </w:rPr>
        <w:t>Circular on Printing and Distributing the Provisions on Foreign Exchange Administration over Domestic Direct</w:t>
      </w:r>
      <w:r>
        <w:rPr>
          <w:rFonts w:ascii="Arial" w:cs="Arial" w:eastAsia="Arial" w:hAnsi="Arial"/>
          <w:sz w:val="18"/>
          <w:szCs w:val="18"/>
          <w:color w:val="003082"/>
        </w:rPr>
        <w:t xml:space="preserve"> </w:t>
      </w:r>
      <w:r>
        <w:rPr>
          <w:rFonts w:ascii="Arial" w:cs="Arial" w:eastAsia="Arial" w:hAnsi="Arial"/>
          <w:sz w:val="18"/>
          <w:szCs w:val="18"/>
          <w:i w:val="1"/>
          <w:iCs w:val="1"/>
          <w:color w:val="003082"/>
        </w:rPr>
        <w:t xml:space="preserve">Investment by Foreign Investors and the Supporting Documents </w:t>
      </w:r>
      <w:r>
        <w:rPr>
          <w:rFonts w:ascii="Arial" w:cs="Arial" w:eastAsia="Arial" w:hAnsi="Arial"/>
          <w:sz w:val="18"/>
          <w:szCs w:val="18"/>
          <w:color w:val="003082"/>
        </w:rPr>
        <w:t>in May 2013, as amended, which specifies that the administration by SAFE or its local</w:t>
      </w:r>
      <w:r>
        <w:rPr>
          <w:rFonts w:ascii="Arial" w:cs="Arial" w:eastAsia="Arial" w:hAnsi="Arial"/>
          <w:sz w:val="18"/>
          <w:szCs w:val="18"/>
          <w:i w:val="1"/>
          <w:iCs w:val="1"/>
          <w:color w:val="003082"/>
        </w:rPr>
        <w:t xml:space="preserve"> </w:t>
      </w:r>
      <w:r>
        <w:rPr>
          <w:rFonts w:ascii="Arial" w:cs="Arial" w:eastAsia="Arial" w:hAnsi="Arial"/>
          <w:sz w:val="18"/>
          <w:szCs w:val="18"/>
          <w:color w:val="003082"/>
        </w:rPr>
        <w:t xml:space="preserve">branches over direct investment by foreign investors in the PRC shall be conducted by way of registration and banks shall process foreign exchange business relating to the direct investment in the PRC based on the registration information provided by SAFE and its branches. On February 13, 2015, the SAFE promulgated the </w:t>
      </w:r>
      <w:r>
        <w:rPr>
          <w:rFonts w:ascii="Arial" w:cs="Arial" w:eastAsia="Arial" w:hAnsi="Arial"/>
          <w:sz w:val="18"/>
          <w:szCs w:val="18"/>
          <w:i w:val="1"/>
          <w:iCs w:val="1"/>
          <w:color w:val="003082"/>
        </w:rPr>
        <w:t>Circular on Simplifying and Improving the Foreign Currency Management Policy on Direct Investment</w:t>
      </w:r>
      <w:r>
        <w:rPr>
          <w:rFonts w:ascii="Arial" w:cs="Arial" w:eastAsia="Arial" w:hAnsi="Arial"/>
          <w:sz w:val="18"/>
          <w:szCs w:val="18"/>
          <w:color w:val="003082"/>
        </w:rPr>
        <w:t>, or the SAFE Circular 13, effective from June 1, 2015, which cancels the administrative approvals of foreign exchange registration of foreign direct investment and overseas direct investment. In addition, SAFE Circular 13 simplifies the procedure of foreign exchange-related registration, under which investors shall register with banks for foreign direct investment and overseas direct investment.</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Dividend Distribution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 xml:space="preserve">The principal laws and regulations regulating the dividend distribution of dividends by FIEs in the PRC include the </w:t>
      </w:r>
      <w:r>
        <w:rPr>
          <w:rFonts w:ascii="Arial" w:cs="Arial" w:eastAsia="Arial" w:hAnsi="Arial"/>
          <w:sz w:val="18"/>
          <w:szCs w:val="18"/>
          <w:i w:val="1"/>
          <w:iCs w:val="1"/>
          <w:color w:val="003082"/>
        </w:rPr>
        <w:t>Company Law of the PRC</w:t>
      </w:r>
      <w:r>
        <w:rPr>
          <w:rFonts w:ascii="Arial" w:cs="Arial" w:eastAsia="Arial" w:hAnsi="Arial"/>
          <w:sz w:val="18"/>
          <w:szCs w:val="18"/>
          <w:color w:val="003082"/>
        </w:rPr>
        <w:t xml:space="preserve">, as recently amended in 2018 and </w:t>
      </w:r>
      <w:r>
        <w:rPr>
          <w:rFonts w:ascii="Arial" w:cs="Arial" w:eastAsia="Arial" w:hAnsi="Arial"/>
          <w:sz w:val="18"/>
          <w:szCs w:val="18"/>
          <w:i w:val="1"/>
          <w:iCs w:val="1"/>
          <w:color w:val="003082"/>
        </w:rPr>
        <w:t>Foreign Investment Law</w:t>
      </w:r>
      <w:r>
        <w:rPr>
          <w:rFonts w:ascii="Arial" w:cs="Arial" w:eastAsia="Arial" w:hAnsi="Arial"/>
          <w:sz w:val="18"/>
          <w:szCs w:val="18"/>
          <w:color w:val="003082"/>
        </w:rPr>
        <w:t xml:space="preserve"> promulgated by SCNPC 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134</w:t>
      </w:r>
    </w:p>
    <w:p>
      <w:pPr>
        <w:sectPr>
          <w:pgSz w:w="11900" w:h="16838" w:orient="portrait"/>
          <w:cols w:equalWidth="0" w:num="1">
            <w:col w:w="11240"/>
          </w:cols>
          <w:pgMar w:left="320" w:top="34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003082"/>
        </w:rPr>
        <w:t>March 15, 2019 and recently came into effect on January 1, 2020 and its implementation regulations that took effect the same day.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Under the current regulatory regime in the PRC, FIEs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 In addition, failure to comply with the registration procedures set forth in the SAFE Circular 37 may result in bans on the foreign exchange activities of the relevant onshore company, including the payment of dividends and other distributions to its offshore parent or affiliates. See the section of this prospectus captioned “Regulation—PRC Regulation—Regulations Related to Mergers and Acquisitions and Overseas Listings.”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Taxation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Enterprise Income Tax</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 xml:space="preserve">On March 16, 2007, the SCNPC promulgated the </w:t>
      </w:r>
      <w:r>
        <w:rPr>
          <w:rFonts w:ascii="Arial" w:cs="Arial" w:eastAsia="Arial" w:hAnsi="Arial"/>
          <w:sz w:val="17"/>
          <w:szCs w:val="17"/>
          <w:i w:val="1"/>
          <w:iCs w:val="1"/>
          <w:color w:val="003082"/>
        </w:rPr>
        <w:t>Law of the PRC on Enterprise Income Tax</w:t>
      </w:r>
      <w:r>
        <w:rPr>
          <w:rFonts w:ascii="Arial" w:cs="Arial" w:eastAsia="Arial" w:hAnsi="Arial"/>
          <w:sz w:val="17"/>
          <w:szCs w:val="17"/>
          <w:color w:val="003082"/>
        </w:rPr>
        <w:t xml:space="preserve">, which was recently amended on December 29, 2018 and on December 6, 2007, the State Council enacted the </w:t>
      </w:r>
      <w:r>
        <w:rPr>
          <w:rFonts w:ascii="Arial" w:cs="Arial" w:eastAsia="Arial" w:hAnsi="Arial"/>
          <w:sz w:val="17"/>
          <w:szCs w:val="17"/>
          <w:i w:val="1"/>
          <w:iCs w:val="1"/>
          <w:color w:val="003082"/>
        </w:rPr>
        <w:t>Regulations for the Implementation of the Law on Enterprise Income Tax</w:t>
      </w:r>
      <w:r>
        <w:rPr>
          <w:rFonts w:ascii="Arial" w:cs="Arial" w:eastAsia="Arial" w:hAnsi="Arial"/>
          <w:sz w:val="17"/>
          <w:szCs w:val="17"/>
          <w:color w:val="003082"/>
        </w:rPr>
        <w:t>, collectively, the EIT Law, which was recently amended on April 23, 2019.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20% with respect to their income sourced from inside the PRC.</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Withholding Tax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EIT Law provides that since January 1, 2008, an income tax rate of 10% will normally be applicable to dividends declared to non-PRC resident enterprise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 xml:space="preserve">Pursuant to an </w:t>
      </w:r>
      <w:r>
        <w:rPr>
          <w:rFonts w:ascii="Arial" w:cs="Arial" w:eastAsia="Arial" w:hAnsi="Arial"/>
          <w:sz w:val="17"/>
          <w:szCs w:val="17"/>
          <w:i w:val="1"/>
          <w:iCs w:val="1"/>
          <w:color w:val="003082"/>
        </w:rPr>
        <w:t>Arrangement Between the Mainland of China and the Hong Kong Special Administrative Region for the Avoidance of Double Taxation</w:t>
      </w:r>
      <w:r>
        <w:rPr>
          <w:rFonts w:ascii="Arial" w:cs="Arial" w:eastAsia="Arial" w:hAnsi="Arial"/>
          <w:sz w:val="17"/>
          <w:szCs w:val="17"/>
          <w:color w:val="003082"/>
        </w:rPr>
        <w:t xml:space="preserve"> </w:t>
      </w:r>
      <w:r>
        <w:rPr>
          <w:rFonts w:ascii="Arial" w:cs="Arial" w:eastAsia="Arial" w:hAnsi="Arial"/>
          <w:sz w:val="17"/>
          <w:szCs w:val="17"/>
          <w:i w:val="1"/>
          <w:iCs w:val="1"/>
          <w:color w:val="003082"/>
        </w:rPr>
        <w:t>and the Prevention of Fiscal Evasion with respect to Taxes on Income</w:t>
      </w:r>
      <w:r>
        <w:rPr>
          <w:rFonts w:ascii="Arial" w:cs="Arial" w:eastAsia="Arial" w:hAnsi="Arial"/>
          <w:sz w:val="17"/>
          <w:szCs w:val="17"/>
          <w:color w:val="003082"/>
        </w:rPr>
        <w:t>, or the Double Tax Avoidance Arrangement, promulgated by the SAT on August 21,</w:t>
      </w:r>
      <w:r>
        <w:rPr>
          <w:rFonts w:ascii="Arial" w:cs="Arial" w:eastAsia="Arial" w:hAnsi="Arial"/>
          <w:sz w:val="17"/>
          <w:szCs w:val="17"/>
          <w:i w:val="1"/>
          <w:iCs w:val="1"/>
          <w:color w:val="003082"/>
        </w:rPr>
        <w:t xml:space="preserve"> </w:t>
      </w:r>
      <w:r>
        <w:rPr>
          <w:rFonts w:ascii="Arial" w:cs="Arial" w:eastAsia="Arial" w:hAnsi="Arial"/>
          <w:sz w:val="17"/>
          <w:szCs w:val="17"/>
          <w:color w:val="003082"/>
        </w:rPr>
        <w:t xml:space="preserve">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7"/>
          <w:szCs w:val="17"/>
          <w:i w:val="1"/>
          <w:iCs w:val="1"/>
          <w:color w:val="003082"/>
        </w:rPr>
        <w:t>Circular on Certain Issues with</w:t>
      </w:r>
      <w:r>
        <w:rPr>
          <w:rFonts w:ascii="Arial" w:cs="Arial" w:eastAsia="Arial" w:hAnsi="Arial"/>
          <w:sz w:val="17"/>
          <w:szCs w:val="17"/>
          <w:color w:val="003082"/>
        </w:rPr>
        <w:t xml:space="preserve"> </w:t>
      </w:r>
      <w:r>
        <w:rPr>
          <w:rFonts w:ascii="Arial" w:cs="Arial" w:eastAsia="Arial" w:hAnsi="Arial"/>
          <w:sz w:val="17"/>
          <w:szCs w:val="17"/>
          <w:i w:val="1"/>
          <w:iCs w:val="1"/>
          <w:color w:val="003082"/>
        </w:rPr>
        <w:t>Respect to the Enforcement of Dividend Provisions in Tax Treaties</w:t>
      </w:r>
      <w:r>
        <w:rPr>
          <w:rFonts w:ascii="Arial" w:cs="Arial" w:eastAsia="Arial" w:hAnsi="Arial"/>
          <w:sz w:val="17"/>
          <w:szCs w:val="17"/>
          <w:color w:val="003082"/>
        </w:rPr>
        <w:t>, or the SAT Circular 81, issued on February 20, 2009 by the SAT, if the relevant PRC tax</w:t>
      </w:r>
      <w:r>
        <w:rPr>
          <w:rFonts w:ascii="Arial" w:cs="Arial" w:eastAsia="Arial" w:hAnsi="Arial"/>
          <w:sz w:val="17"/>
          <w:szCs w:val="17"/>
          <w:i w:val="1"/>
          <w:iCs w:val="1"/>
          <w:color w:val="003082"/>
        </w:rPr>
        <w:t xml:space="preserve"> </w:t>
      </w:r>
      <w:r>
        <w:rPr>
          <w:rFonts w:ascii="Arial" w:cs="Arial" w:eastAsia="Arial" w:hAnsi="Arial"/>
          <w:sz w:val="17"/>
          <w:szCs w:val="17"/>
          <w:color w:val="003082"/>
        </w:rPr>
        <w:t>authorities determine, in their discretion, that a company benefits from such reduced income tax rate due to a structure or arrangement that is primarily tax-driven, such PRC tax authorities may adjust the preferential tax treatment.</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Value-added Tax</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The </w:t>
      </w:r>
      <w:r>
        <w:rPr>
          <w:rFonts w:ascii="Arial" w:cs="Arial" w:eastAsia="Arial" w:hAnsi="Arial"/>
          <w:sz w:val="18"/>
          <w:szCs w:val="18"/>
          <w:i w:val="1"/>
          <w:iCs w:val="1"/>
          <w:color w:val="003082"/>
        </w:rPr>
        <w:t>Provisional Regulations of the PRC on Value-added Tax</w:t>
      </w:r>
      <w:r>
        <w:rPr>
          <w:rFonts w:ascii="Arial" w:cs="Arial" w:eastAsia="Arial" w:hAnsi="Arial"/>
          <w:sz w:val="18"/>
          <w:szCs w:val="18"/>
          <w:color w:val="003082"/>
        </w:rPr>
        <w:t xml:space="preserve">, or the VAT Regulations, were promulgated by the State Council on December 13, 1993 and were most recently amended on November 19, 2017. The </w:t>
      </w:r>
      <w:r>
        <w:rPr>
          <w:rFonts w:ascii="Arial" w:cs="Arial" w:eastAsia="Arial" w:hAnsi="Arial"/>
          <w:sz w:val="18"/>
          <w:szCs w:val="18"/>
          <w:i w:val="1"/>
          <w:iCs w:val="1"/>
          <w:color w:val="003082"/>
        </w:rPr>
        <w:t xml:space="preserve">Detailed Rules for the Implementation of the Provisional Regulations of the PRC on Value-added Tax </w:t>
      </w:r>
      <w:r>
        <w:rPr>
          <w:rFonts w:ascii="Arial" w:cs="Arial" w:eastAsia="Arial" w:hAnsi="Arial"/>
          <w:sz w:val="18"/>
          <w:szCs w:val="18"/>
          <w:color w:val="003082"/>
        </w:rPr>
        <w:t>(Revised in 2011) were promulgated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135</w:t>
      </w:r>
    </w:p>
    <w:p>
      <w:pPr>
        <w:sectPr>
          <w:pgSz w:w="11900" w:h="16838" w:orient="portrait"/>
          <w:cols w:equalWidth="0" w:num="1">
            <w:col w:w="11240"/>
          </w:cols>
          <w:pgMar w:left="320" w:top="341" w:right="339" w:bottom="1440" w:gutter="0" w:footer="0" w:header="0"/>
        </w:sectPr>
      </w:pPr>
    </w:p>
    <w:bookmarkStart w:id="140" w:name="page141"/>
    <w:bookmarkEnd w:id="140"/>
    <w:p>
      <w:pPr>
        <w:jc w:val="both"/>
        <w:spacing w:after="0" w:line="257" w:lineRule="auto"/>
        <w:rPr>
          <w:sz w:val="20"/>
          <w:szCs w:val="20"/>
          <w:color w:val="auto"/>
        </w:rPr>
      </w:pPr>
      <w:r>
        <w:rPr>
          <w:rFonts w:ascii="Arial" w:cs="Arial" w:eastAsia="Arial" w:hAnsi="Arial"/>
          <w:sz w:val="18"/>
          <w:szCs w:val="18"/>
          <w:color w:val="003082"/>
        </w:rPr>
        <w:t xml:space="preserve">by the MOF on December 25, 1993 and amended on October 28, 2011, collectively with the VAT Regulations, the VAT Law. According to the VAT Law, all enterprises and individuals engaged in the sale of goods, the provision of processing, repair and replacement services, and the importation of goods within the territory of the PRC must pay value-added tax. For taxpayers providing value-added telecommunication services, a rate of 6% applies, according to the </w:t>
      </w:r>
      <w:r>
        <w:rPr>
          <w:rFonts w:ascii="Arial" w:cs="Arial" w:eastAsia="Arial" w:hAnsi="Arial"/>
          <w:sz w:val="18"/>
          <w:szCs w:val="18"/>
          <w:i w:val="1"/>
          <w:iCs w:val="1"/>
          <w:color w:val="003082"/>
        </w:rPr>
        <w:t>Notice on Fully Promoting the Pilot Plan for Replacing Business Tax by Value-Added Tax</w:t>
      </w:r>
      <w:r>
        <w:rPr>
          <w:rFonts w:ascii="Arial" w:cs="Arial" w:eastAsia="Arial" w:hAnsi="Arial"/>
          <w:sz w:val="18"/>
          <w:szCs w:val="18"/>
          <w:color w:val="003082"/>
        </w:rPr>
        <w:t>, which was jointly promulgated by the MOF and the SAT on March 23, 2016 and became effective on May 1, 2016.</w:t>
      </w:r>
    </w:p>
    <w:p>
      <w:pPr>
        <w:spacing w:after="0" w:line="13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 xml:space="preserve">On April 4, 2018, the MOF and the SAT issued the </w:t>
      </w:r>
      <w:r>
        <w:rPr>
          <w:rFonts w:ascii="Arial" w:cs="Arial" w:eastAsia="Arial" w:hAnsi="Arial"/>
          <w:sz w:val="16"/>
          <w:szCs w:val="16"/>
          <w:i w:val="1"/>
          <w:iCs w:val="1"/>
          <w:color w:val="003082"/>
        </w:rPr>
        <w:t>Notice on Adjustment of VAT Rates</w:t>
      </w:r>
      <w:r>
        <w:rPr>
          <w:rFonts w:ascii="Arial" w:cs="Arial" w:eastAsia="Arial" w:hAnsi="Arial"/>
          <w:sz w:val="16"/>
          <w:szCs w:val="16"/>
          <w:color w:val="003082"/>
        </w:rPr>
        <w:t>, which came into effect on May 1, 2018. According to the notice, the taxable goods previously subject to VAT rates of 17% and 11% become subject to lower VAT rates of 16% and 10% starting from May 1, 2018.</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Employment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Labor Law and Labor Contract Law</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 xml:space="preserve">The </w:t>
      </w:r>
      <w:r>
        <w:rPr>
          <w:rFonts w:ascii="Arial" w:cs="Arial" w:eastAsia="Arial" w:hAnsi="Arial"/>
          <w:sz w:val="18"/>
          <w:szCs w:val="18"/>
          <w:i w:val="1"/>
          <w:iCs w:val="1"/>
          <w:color w:val="003082"/>
        </w:rPr>
        <w:t>Labor Law</w:t>
      </w:r>
      <w:r>
        <w:rPr>
          <w:rFonts w:ascii="Arial" w:cs="Arial" w:eastAsia="Arial" w:hAnsi="Arial"/>
          <w:sz w:val="18"/>
          <w:szCs w:val="18"/>
          <w:color w:val="003082"/>
        </w:rPr>
        <w:t xml:space="preserve">, which was promulgated on July 5, 1994 and most recently amended on December 29, 2018 and the </w:t>
      </w:r>
      <w:r>
        <w:rPr>
          <w:rFonts w:ascii="Arial" w:cs="Arial" w:eastAsia="Arial" w:hAnsi="Arial"/>
          <w:sz w:val="18"/>
          <w:szCs w:val="18"/>
          <w:i w:val="1"/>
          <w:iCs w:val="1"/>
          <w:color w:val="003082"/>
        </w:rPr>
        <w:t>Labor Contract Law of the PRC</w:t>
      </w:r>
      <w:r>
        <w:rPr>
          <w:rFonts w:ascii="Arial" w:cs="Arial" w:eastAsia="Arial" w:hAnsi="Arial"/>
          <w:sz w:val="18"/>
          <w:szCs w:val="18"/>
          <w:color w:val="003082"/>
        </w:rPr>
        <w:t xml:space="preserve">, or the Labor Contract Law, which took effect on January 1, 2008 and was amended on December 28, 2012, are primarily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 Violations of the </w:t>
      </w:r>
      <w:r>
        <w:rPr>
          <w:rFonts w:ascii="Arial" w:cs="Arial" w:eastAsia="Arial" w:hAnsi="Arial"/>
          <w:sz w:val="18"/>
          <w:szCs w:val="18"/>
          <w:i w:val="1"/>
          <w:iCs w:val="1"/>
          <w:color w:val="003082"/>
        </w:rPr>
        <w:t xml:space="preserve">Labor Contract Law </w:t>
      </w:r>
      <w:r>
        <w:rPr>
          <w:rFonts w:ascii="Arial" w:cs="Arial" w:eastAsia="Arial" w:hAnsi="Arial"/>
          <w:sz w:val="18"/>
          <w:szCs w:val="18"/>
          <w:color w:val="003082"/>
        </w:rPr>
        <w:t>and the</w:t>
      </w:r>
      <w:r>
        <w:rPr>
          <w:rFonts w:ascii="Arial" w:cs="Arial" w:eastAsia="Arial" w:hAnsi="Arial"/>
          <w:sz w:val="18"/>
          <w:szCs w:val="18"/>
          <w:i w:val="1"/>
          <w:iCs w:val="1"/>
          <w:color w:val="003082"/>
        </w:rPr>
        <w:t xml:space="preserve"> Labor Law </w:t>
      </w:r>
      <w:r>
        <w:rPr>
          <w:rFonts w:ascii="Arial" w:cs="Arial" w:eastAsia="Arial" w:hAnsi="Arial"/>
          <w:sz w:val="18"/>
          <w:szCs w:val="18"/>
          <w:color w:val="003082"/>
        </w:rPr>
        <w:t>may result in the imposition of fines and other administrative and criminal liability in the case of serious</w:t>
      </w:r>
      <w:r>
        <w:rPr>
          <w:rFonts w:ascii="Arial" w:cs="Arial" w:eastAsia="Arial" w:hAnsi="Arial"/>
          <w:sz w:val="18"/>
          <w:szCs w:val="18"/>
          <w:i w:val="1"/>
          <w:iCs w:val="1"/>
          <w:color w:val="003082"/>
        </w:rPr>
        <w:t xml:space="preserve"> </w:t>
      </w:r>
      <w:r>
        <w:rPr>
          <w:rFonts w:ascii="Arial" w:cs="Arial" w:eastAsia="Arial" w:hAnsi="Arial"/>
          <w:sz w:val="18"/>
          <w:szCs w:val="18"/>
          <w:color w:val="003082"/>
        </w:rPr>
        <w:t>violations.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Social Insurance and Housing Fund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 xml:space="preserve">Under the </w:t>
      </w:r>
      <w:r>
        <w:rPr>
          <w:rFonts w:ascii="Arial" w:cs="Arial" w:eastAsia="Arial" w:hAnsi="Arial"/>
          <w:sz w:val="17"/>
          <w:szCs w:val="17"/>
          <w:i w:val="1"/>
          <w:iCs w:val="1"/>
          <w:color w:val="003082"/>
        </w:rPr>
        <w:t>Social Insurance Law of the PRC</w:t>
      </w:r>
      <w:r>
        <w:rPr>
          <w:rFonts w:ascii="Arial" w:cs="Arial" w:eastAsia="Arial" w:hAnsi="Arial"/>
          <w:sz w:val="17"/>
          <w:szCs w:val="17"/>
          <w:color w:val="003082"/>
        </w:rPr>
        <w:t xml:space="preserve"> that was promulgated by the SCNPC on October 28, 2010, came into force as of July 1, 2011 and recently amended on December 29, 2018 and the </w:t>
      </w:r>
      <w:r>
        <w:rPr>
          <w:rFonts w:ascii="Arial" w:cs="Arial" w:eastAsia="Arial" w:hAnsi="Arial"/>
          <w:sz w:val="17"/>
          <w:szCs w:val="17"/>
          <w:i w:val="1"/>
          <w:iCs w:val="1"/>
          <w:color w:val="003082"/>
        </w:rPr>
        <w:t>Interim Regulations on the Collection and Payment of Social Insurance Premiums</w:t>
      </w:r>
      <w:r>
        <w:rPr>
          <w:rFonts w:ascii="Arial" w:cs="Arial" w:eastAsia="Arial" w:hAnsi="Arial"/>
          <w:sz w:val="17"/>
          <w:szCs w:val="17"/>
          <w:color w:val="003082"/>
        </w:rPr>
        <w:t xml:space="preserve"> that was promulgated by the State Council on January 22, 1999 and was amended recently on March 24, 2019, employers are required to pay basic endowment insurance, unemployment insurance, basic medical insurance, employment injury insurance, maternity insurance and other social insurance for its employees at specified percentages of the salaries of the employees, up to a maximum amount specified by the local government regulations from time to time. Where an employer fails to fully pay social insurance premiums, relevant social insurance collection agency shall order it to make up for any shortfall within a prescribed time limit, and may impose a late payment fee at the rate of 0.05% per day of the outstanding amount from the due date. If such employer still fails to make up for the shortfalls within the prescribed time limit, the relevant administrative authorities shall impose a fine of one to three times the outstanding amount upon such employer.</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 xml:space="preserve">In accordance with the </w:t>
      </w:r>
      <w:r>
        <w:rPr>
          <w:rFonts w:ascii="Arial" w:cs="Arial" w:eastAsia="Arial" w:hAnsi="Arial"/>
          <w:sz w:val="18"/>
          <w:szCs w:val="18"/>
          <w:i w:val="1"/>
          <w:iCs w:val="1"/>
          <w:color w:val="003082"/>
        </w:rPr>
        <w:t>Regulations on the Management of Housing Fund</w:t>
      </w:r>
      <w:r>
        <w:rPr>
          <w:rFonts w:ascii="Arial" w:cs="Arial" w:eastAsia="Arial" w:hAnsi="Arial"/>
          <w:sz w:val="18"/>
          <w:szCs w:val="18"/>
          <w:color w:val="003082"/>
        </w:rPr>
        <w:t xml:space="preserve"> which was promulgated by the State Council in 1999 and amended in 2002 and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on Employee Share Incentive Plans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 xml:space="preserve">Pursuant to SAFE Circular 37, PRC residents who participate in share incentive plans in overseas non-publicly-listed companies may submit applications to SAFE or its local branches for the foreign exchange registration with respect to offshore special purpose companies. In addition, pursuant to the </w:t>
      </w:r>
      <w:r>
        <w:rPr>
          <w:rFonts w:ascii="Arial" w:cs="Arial" w:eastAsia="Arial" w:hAnsi="Arial"/>
          <w:sz w:val="18"/>
          <w:szCs w:val="18"/>
          <w:i w:val="1"/>
          <w:iCs w:val="1"/>
          <w:color w:val="003082"/>
        </w:rPr>
        <w:t>Notice of Issues Related to the Foreign Exchange Administration for Domestic Individuals Participating in Stock Incentive Plan of Overseas Listed</w:t>
      </w:r>
      <w:r>
        <w:rPr>
          <w:rFonts w:ascii="Arial" w:cs="Arial" w:eastAsia="Arial" w:hAnsi="Arial"/>
          <w:sz w:val="18"/>
          <w:szCs w:val="18"/>
          <w:color w:val="003082"/>
        </w:rPr>
        <w:t xml:space="preserve"> </w:t>
      </w:r>
      <w:r>
        <w:rPr>
          <w:rFonts w:ascii="Arial" w:cs="Arial" w:eastAsia="Arial" w:hAnsi="Arial"/>
          <w:sz w:val="18"/>
          <w:szCs w:val="18"/>
          <w:i w:val="1"/>
          <w:iCs w:val="1"/>
          <w:color w:val="003082"/>
        </w:rPr>
        <w:t>Company</w:t>
      </w:r>
      <w:r>
        <w:rPr>
          <w:rFonts w:ascii="Arial" w:cs="Arial" w:eastAsia="Arial" w:hAnsi="Arial"/>
          <w:sz w:val="18"/>
          <w:szCs w:val="18"/>
          <w:color w:val="003082"/>
        </w:rPr>
        <w:t>, or SAFE Circular 7, which was issued by the SAFE on February 15, 2012, employees, directors, supervisors, and other senior management</w:t>
      </w:r>
      <w:r>
        <w:rPr>
          <w:rFonts w:ascii="Arial" w:cs="Arial" w:eastAsia="Arial" w:hAnsi="Arial"/>
          <w:sz w:val="18"/>
          <w:szCs w:val="18"/>
          <w:i w:val="1"/>
          <w:iCs w:val="1"/>
          <w:color w:val="003082"/>
        </w:rPr>
        <w:t xml:space="preserve"> </w:t>
      </w:r>
      <w:r>
        <w:rPr>
          <w:rFonts w:ascii="Arial" w:cs="Arial" w:eastAsia="Arial" w:hAnsi="Arial"/>
          <w:sz w:val="18"/>
          <w:szCs w:val="18"/>
          <w:color w:val="003082"/>
        </w:rPr>
        <w:t>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136</w:t>
      </w:r>
    </w:p>
    <w:p>
      <w:pPr>
        <w:sectPr>
          <w:pgSz w:w="11900" w:h="16838" w:orient="portrait"/>
          <w:cols w:equalWidth="0" w:num="1">
            <w:col w:w="11240"/>
          </w:cols>
          <w:pgMar w:left="320" w:top="341" w:right="339" w:bottom="1440" w:gutter="0" w:footer="0" w:header="0"/>
        </w:sectPr>
      </w:pPr>
    </w:p>
    <w:bookmarkStart w:id="141" w:name="page142"/>
    <w:bookmarkEnd w:id="141"/>
    <w:p>
      <w:pPr>
        <w:jc w:val="both"/>
        <w:ind w:firstLine="324"/>
        <w:spacing w:after="0" w:line="272" w:lineRule="auto"/>
        <w:rPr>
          <w:sz w:val="20"/>
          <w:szCs w:val="20"/>
          <w:color w:val="auto"/>
        </w:rPr>
      </w:pPr>
      <w:r>
        <w:rPr>
          <w:rFonts w:ascii="Arial" w:cs="Arial" w:eastAsia="Arial" w:hAnsi="Arial"/>
          <w:sz w:val="17"/>
          <w:szCs w:val="17"/>
          <w:color w:val="003082"/>
        </w:rPr>
        <w:t xml:space="preserve">In addition, the SAT has issued certain circulars concerning employee stock options and restricted shares, including the </w:t>
      </w:r>
      <w:r>
        <w:rPr>
          <w:rFonts w:ascii="Arial" w:cs="Arial" w:eastAsia="Arial" w:hAnsi="Arial"/>
          <w:sz w:val="17"/>
          <w:szCs w:val="17"/>
          <w:i w:val="1"/>
          <w:iCs w:val="1"/>
          <w:color w:val="003082"/>
        </w:rPr>
        <w:t>Circular on Issues Concerning</w:t>
      </w:r>
      <w:r>
        <w:rPr>
          <w:rFonts w:ascii="Arial" w:cs="Arial" w:eastAsia="Arial" w:hAnsi="Arial"/>
          <w:sz w:val="17"/>
          <w:szCs w:val="17"/>
          <w:color w:val="003082"/>
        </w:rPr>
        <w:t xml:space="preserve"> </w:t>
      </w:r>
      <w:r>
        <w:rPr>
          <w:rFonts w:ascii="Arial" w:cs="Arial" w:eastAsia="Arial" w:hAnsi="Arial"/>
          <w:sz w:val="17"/>
          <w:szCs w:val="17"/>
          <w:i w:val="1"/>
          <w:iCs w:val="1"/>
          <w:color w:val="003082"/>
        </w:rPr>
        <w:t>the Individual Income Tax on Share-option Incentives</w:t>
      </w:r>
      <w:r>
        <w:rPr>
          <w:rFonts w:ascii="Arial" w:cs="Arial" w:eastAsia="Arial" w:hAnsi="Arial"/>
          <w:sz w:val="17"/>
          <w:szCs w:val="17"/>
          <w:color w:val="003082"/>
        </w:rPr>
        <w:t>, or the Circular 461, which was promulgated and took effective on August 24, 2009. Under Circular</w:t>
      </w:r>
      <w:r>
        <w:rPr>
          <w:rFonts w:ascii="Arial" w:cs="Arial" w:eastAsia="Arial" w:hAnsi="Arial"/>
          <w:sz w:val="17"/>
          <w:szCs w:val="17"/>
          <w:i w:val="1"/>
          <w:iCs w:val="1"/>
          <w:color w:val="003082"/>
        </w:rPr>
        <w:t xml:space="preserve"> </w:t>
      </w:r>
      <w:r>
        <w:rPr>
          <w:rFonts w:ascii="Arial" w:cs="Arial" w:eastAsia="Arial" w:hAnsi="Arial"/>
          <w:sz w:val="17"/>
          <w:szCs w:val="17"/>
          <w:color w:val="003082"/>
        </w:rPr>
        <w:t>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Regulations Related to Mergers and Acquisitions and Overseas Listings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M&amp;A Rules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 xml:space="preserve">On August 8, 2006, six PRC governmental and regulatory agencies, including MOFCOM and the China Securities Regulatory Commission, or the CSRC, promulgated the </w:t>
      </w:r>
      <w:r>
        <w:rPr>
          <w:rFonts w:ascii="Arial" w:cs="Arial" w:eastAsia="Arial" w:hAnsi="Arial"/>
          <w:sz w:val="17"/>
          <w:szCs w:val="17"/>
          <w:i w:val="1"/>
          <w:iCs w:val="1"/>
          <w:color w:val="003082"/>
        </w:rPr>
        <w:t>Regulations on Mergers and Acquisitions of Domestic Enterprises by Foreign Investors</w:t>
      </w:r>
      <w:r>
        <w:rPr>
          <w:rFonts w:ascii="Arial" w:cs="Arial" w:eastAsia="Arial" w:hAnsi="Arial"/>
          <w:sz w:val="17"/>
          <w:szCs w:val="17"/>
          <w:color w:val="003082"/>
        </w:rPr>
        <w:t>, or the M&amp;A Rules, governing the mergers and acquisitions of domestic enterprises by foreign investors that became effective on September 8, 2006 and was revised on June 22, 2009. The M&amp;A Rules, among other things, requires that offshore special purpose vehicles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In our case, the CSRC approval is considered not required in the context of this offering because there is no statutory provision that clearly classifies the contractual arrangement among our WFOE, our VIE and our VIE’s shareholders as transactions regulated by the M&amp;A Rules. However, there can be no assurance that the relevant PRC government agencies, including the CSRC, would reach the same conclusion. See the section of this prospectus captioned “Risk Factors—Risks Related to Doing Business in China—The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SAFE Circular 37</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 xml:space="preserve">Under the </w:t>
      </w:r>
      <w:r>
        <w:rPr>
          <w:rFonts w:ascii="Arial" w:cs="Arial" w:eastAsia="Arial" w:hAnsi="Arial"/>
          <w:sz w:val="18"/>
          <w:szCs w:val="18"/>
          <w:i w:val="1"/>
          <w:iCs w:val="1"/>
          <w:color w:val="003082"/>
        </w:rPr>
        <w:t>Circular of the State Administration of Foreign Exchange on Issues Concerning the Foreign Exchange Administration over the Overseas</w:t>
      </w:r>
      <w:r>
        <w:rPr>
          <w:rFonts w:ascii="Arial" w:cs="Arial" w:eastAsia="Arial" w:hAnsi="Arial"/>
          <w:sz w:val="18"/>
          <w:szCs w:val="18"/>
          <w:color w:val="003082"/>
        </w:rPr>
        <w:t xml:space="preserve"> </w:t>
      </w:r>
      <w:r>
        <w:rPr>
          <w:rFonts w:ascii="Arial" w:cs="Arial" w:eastAsia="Arial" w:hAnsi="Arial"/>
          <w:sz w:val="18"/>
          <w:szCs w:val="18"/>
          <w:i w:val="1"/>
          <w:iCs w:val="1"/>
          <w:color w:val="003082"/>
        </w:rPr>
        <w:t>Investment and Financing and Round-trip Investment by Domestic Residents via Special Purpose Vehicles</w:t>
      </w:r>
      <w:r>
        <w:rPr>
          <w:rFonts w:ascii="Arial" w:cs="Arial" w:eastAsia="Arial" w:hAnsi="Arial"/>
          <w:sz w:val="18"/>
          <w:szCs w:val="18"/>
          <w:color w:val="003082"/>
        </w:rPr>
        <w:t>, or the SAFE Circular 37, issued by the SAFE</w:t>
      </w:r>
      <w:r>
        <w:rPr>
          <w:rFonts w:ascii="Arial" w:cs="Arial" w:eastAsia="Arial" w:hAnsi="Arial"/>
          <w:sz w:val="18"/>
          <w:szCs w:val="18"/>
          <w:i w:val="1"/>
          <w:iCs w:val="1"/>
          <w:color w:val="003082"/>
        </w:rPr>
        <w:t xml:space="preserve"> </w:t>
      </w:r>
      <w:r>
        <w:rPr>
          <w:rFonts w:ascii="Arial" w:cs="Arial" w:eastAsia="Arial" w:hAnsi="Arial"/>
          <w:sz w:val="18"/>
          <w:szCs w:val="18"/>
          <w:color w:val="003082"/>
        </w:rPr>
        <w:t xml:space="preserve">and effective on July 4, 2014, PRC residents are required to register with the local SAFE branch prior to the establishment or control of an offshore special purpose vehicle, or the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8"/>
          <w:szCs w:val="18"/>
          <w:i w:val="1"/>
          <w:iCs w:val="1"/>
          <w:color w:val="003082"/>
        </w:rPr>
        <w:t>Operation Guidance for the Issues Concerning Foreign Exchange Administration over</w:t>
      </w:r>
      <w:r>
        <w:rPr>
          <w:rFonts w:ascii="Arial" w:cs="Arial" w:eastAsia="Arial" w:hAnsi="Arial"/>
          <w:sz w:val="18"/>
          <w:szCs w:val="18"/>
          <w:color w:val="003082"/>
        </w:rPr>
        <w:t xml:space="preserve"> </w:t>
      </w:r>
      <w:r>
        <w:rPr>
          <w:rFonts w:ascii="Arial" w:cs="Arial" w:eastAsia="Arial" w:hAnsi="Arial"/>
          <w:sz w:val="18"/>
          <w:szCs w:val="18"/>
          <w:i w:val="1"/>
          <w:iCs w:val="1"/>
          <w:color w:val="003082"/>
        </w:rPr>
        <w:t xml:space="preserve">Round-trip Investment </w:t>
      </w:r>
      <w:r>
        <w:rPr>
          <w:rFonts w:ascii="Arial" w:cs="Arial" w:eastAsia="Arial" w:hAnsi="Arial"/>
          <w:sz w:val="18"/>
          <w:szCs w:val="18"/>
          <w:color w:val="003082"/>
        </w:rPr>
        <w:t>regarding the procedures for SAFE registration under the SAFE Circular 37, which became effective on July 4, 2014 as an</w:t>
      </w:r>
      <w:r>
        <w:rPr>
          <w:rFonts w:ascii="Arial" w:cs="Arial" w:eastAsia="Arial" w:hAnsi="Arial"/>
          <w:sz w:val="18"/>
          <w:szCs w:val="18"/>
          <w:i w:val="1"/>
          <w:iCs w:val="1"/>
          <w:color w:val="003082"/>
        </w:rPr>
        <w:t xml:space="preserve"> </w:t>
      </w:r>
      <w:r>
        <w:rPr>
          <w:rFonts w:ascii="Arial" w:cs="Arial" w:eastAsia="Arial" w:hAnsi="Arial"/>
          <w:sz w:val="18"/>
          <w:szCs w:val="18"/>
          <w:color w:val="003082"/>
        </w:rPr>
        <w:t>attachment of Circular 37.</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U.S. Regulation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are subject to a number of U.S. federal and state laws and regulations that involve matters central to our business. These laws and regulations may involve privacy, cybersecurity, data protection, intellectual property, competition, consumer protection, export taxation, telecommunications or other subjects. For example, as a provider of products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137</w:t>
      </w:r>
    </w:p>
    <w:p>
      <w:pPr>
        <w:sectPr>
          <w:pgSz w:w="11900" w:h="16838" w:orient="portrait"/>
          <w:cols w:equalWidth="0" w:num="1">
            <w:col w:w="11240"/>
          </w:cols>
          <w:pgMar w:left="320" w:top="341" w:right="339" w:bottom="1440" w:gutter="0" w:footer="0" w:header="0"/>
        </w:sectPr>
      </w:pPr>
    </w:p>
    <w:bookmarkStart w:id="142" w:name="page143"/>
    <w:bookmarkEnd w:id="142"/>
    <w:p>
      <w:pPr>
        <w:jc w:val="both"/>
        <w:spacing w:after="0" w:line="288" w:lineRule="auto"/>
        <w:rPr>
          <w:sz w:val="20"/>
          <w:szCs w:val="20"/>
          <w:color w:val="auto"/>
        </w:rPr>
      </w:pPr>
      <w:r>
        <w:rPr>
          <w:rFonts w:ascii="Arial" w:cs="Arial" w:eastAsia="Arial" w:hAnsi="Arial"/>
          <w:sz w:val="16"/>
          <w:szCs w:val="16"/>
          <w:color w:val="003082"/>
        </w:rPr>
        <w:t>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these laws and regulations have continued to develop and evolve rapidly, it is possible that we may not be, or may not have been, compliant with each such applicable law or regulation.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138</w:t>
      </w:r>
    </w:p>
    <w:p>
      <w:pPr>
        <w:sectPr>
          <w:pgSz w:w="11900" w:h="16838" w:orient="portrait"/>
          <w:cols w:equalWidth="0" w:num="1">
            <w:col w:w="11240"/>
          </w:cols>
          <w:pgMar w:left="320" w:top="341"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003082"/>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sets forth information regarding our executive officers and directors as of June 15, 2020.</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Borders>
              <w:bottom w:val="single" w:sz="8" w:color="3D5588"/>
            </w:tcBorders>
          </w:tcPr>
          <w:p>
            <w:pPr>
              <w:ind w:left="40"/>
              <w:spacing w:after="0"/>
              <w:rPr>
                <w:sz w:val="20"/>
                <w:szCs w:val="20"/>
                <w:color w:val="auto"/>
              </w:rPr>
            </w:pPr>
            <w:r>
              <w:rPr>
                <w:rFonts w:ascii="Arial" w:cs="Arial" w:eastAsia="Arial" w:hAnsi="Arial"/>
                <w:sz w:val="14"/>
                <w:szCs w:val="14"/>
                <w:b w:val="1"/>
                <w:bCs w:val="1"/>
                <w:color w:val="003082"/>
              </w:rPr>
              <w:t>Name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0"/>
              </w:rPr>
              <w:t>Age</w:t>
            </w:r>
          </w:p>
        </w:tc>
        <w:tc>
          <w:tcPr>
            <w:tcW w:w="100" w:type="dxa"/>
            <w:vAlign w:val="bottom"/>
            <w:tcBorders>
              <w:bottom w:val="single" w:sz="8" w:color="CCEEFF"/>
            </w:tcBorders>
          </w:tcPr>
          <w:p>
            <w:pPr>
              <w:spacing w:after="0"/>
              <w:rPr>
                <w:sz w:val="16"/>
                <w:szCs w:val="16"/>
                <w:color w:val="auto"/>
              </w:rPr>
            </w:pPr>
          </w:p>
        </w:tc>
        <w:tc>
          <w:tcPr>
            <w:tcW w:w="7080" w:type="dxa"/>
            <w:vAlign w:val="bottom"/>
            <w:tcBorders>
              <w:bottom w:val="single" w:sz="8" w:color="3D5588"/>
            </w:tcBorders>
          </w:tcPr>
          <w:p>
            <w:pPr>
              <w:ind w:left="40"/>
              <w:spacing w:after="0"/>
              <w:rPr>
                <w:sz w:val="20"/>
                <w:szCs w:val="20"/>
                <w:color w:val="auto"/>
              </w:rPr>
            </w:pPr>
            <w:r>
              <w:rPr>
                <w:rFonts w:ascii="Arial" w:cs="Arial" w:eastAsia="Arial" w:hAnsi="Arial"/>
                <w:sz w:val="14"/>
                <w:szCs w:val="14"/>
                <w:b w:val="1"/>
                <w:bCs w:val="1"/>
                <w:color w:val="003082"/>
              </w:rPr>
              <w:t>Position</w:t>
            </w: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003082"/>
              </w:rPr>
              <w:t>Executive Officers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003082"/>
              </w:rPr>
              <w:t>Bin (Tony) Zhao</w:t>
            </w:r>
          </w:p>
        </w:tc>
        <w:tc>
          <w:tcPr>
            <w:tcW w:w="660" w:type="dxa"/>
            <w:vAlign w:val="bottom"/>
          </w:tcPr>
          <w:p>
            <w:pPr>
              <w:jc w:val="center"/>
              <w:spacing w:after="0"/>
              <w:rPr>
                <w:sz w:val="20"/>
                <w:szCs w:val="20"/>
                <w:color w:val="auto"/>
              </w:rPr>
            </w:pPr>
            <w:r>
              <w:rPr>
                <w:rFonts w:ascii="Arial" w:cs="Arial" w:eastAsia="Arial" w:hAnsi="Arial"/>
                <w:sz w:val="18"/>
                <w:szCs w:val="18"/>
                <w:color w:val="003082"/>
                <w:w w:val="89"/>
              </w:rPr>
              <w:t>49</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003082"/>
              </w:rPr>
              <w:t>Chief Executive Officer and Chairman</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Siming Tao</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3082"/>
                <w:w w:val="89"/>
              </w:rPr>
              <w:t>39</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Senior Vice President of Products</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003082"/>
              </w:rPr>
              <w:t>Sheng (Shawn) Zhong</w:t>
            </w:r>
          </w:p>
        </w:tc>
        <w:tc>
          <w:tcPr>
            <w:tcW w:w="660" w:type="dxa"/>
            <w:vAlign w:val="bottom"/>
          </w:tcPr>
          <w:p>
            <w:pPr>
              <w:jc w:val="center"/>
              <w:spacing w:after="0"/>
              <w:rPr>
                <w:sz w:val="20"/>
                <w:szCs w:val="20"/>
                <w:color w:val="auto"/>
              </w:rPr>
            </w:pPr>
            <w:r>
              <w:rPr>
                <w:rFonts w:ascii="Arial" w:cs="Arial" w:eastAsia="Arial" w:hAnsi="Arial"/>
                <w:sz w:val="18"/>
                <w:szCs w:val="18"/>
                <w:color w:val="003082"/>
                <w:w w:val="89"/>
              </w:rPr>
              <w:t>54</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003082"/>
              </w:rPr>
              <w:t>Chief Scientist</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Regev (Reggie) Yativ</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3082"/>
                <w:w w:val="89"/>
              </w:rPr>
              <w:t>51</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Chief Revenue Officer and Chief Operating Officer of Agora Lab</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003082"/>
              </w:rPr>
              <w:t>Jingbo Wang</w:t>
            </w:r>
          </w:p>
        </w:tc>
        <w:tc>
          <w:tcPr>
            <w:tcW w:w="660" w:type="dxa"/>
            <w:vAlign w:val="bottom"/>
          </w:tcPr>
          <w:p>
            <w:pPr>
              <w:jc w:val="center"/>
              <w:spacing w:after="0"/>
              <w:rPr>
                <w:sz w:val="20"/>
                <w:szCs w:val="20"/>
                <w:color w:val="auto"/>
              </w:rPr>
            </w:pPr>
            <w:r>
              <w:rPr>
                <w:rFonts w:ascii="Arial" w:cs="Arial" w:eastAsia="Arial" w:hAnsi="Arial"/>
                <w:sz w:val="18"/>
                <w:szCs w:val="18"/>
                <w:color w:val="003082"/>
                <w:w w:val="89"/>
              </w:rPr>
              <w:t>39</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003082"/>
              </w:rPr>
              <w:t>Chief Financial Officer</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003082"/>
              </w:rPr>
              <w:t>Non-Employee Directors</w:t>
            </w: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003082"/>
              </w:rPr>
              <w:t>Qin Liu</w:t>
            </w:r>
          </w:p>
        </w:tc>
        <w:tc>
          <w:tcPr>
            <w:tcW w:w="660" w:type="dxa"/>
            <w:vAlign w:val="bottom"/>
          </w:tcPr>
          <w:p>
            <w:pPr>
              <w:jc w:val="center"/>
              <w:spacing w:after="0"/>
              <w:rPr>
                <w:sz w:val="20"/>
                <w:szCs w:val="20"/>
                <w:color w:val="auto"/>
              </w:rPr>
            </w:pPr>
            <w:r>
              <w:rPr>
                <w:rFonts w:ascii="Arial" w:cs="Arial" w:eastAsia="Arial" w:hAnsi="Arial"/>
                <w:sz w:val="18"/>
                <w:szCs w:val="18"/>
                <w:color w:val="003082"/>
                <w:w w:val="89"/>
              </w:rPr>
              <w:t>47</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003082"/>
              </w:rPr>
              <w:t>Director</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Tuck Lye Koh</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003082"/>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Director</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003082"/>
              </w:rPr>
              <w:t>Eric He</w:t>
            </w:r>
          </w:p>
        </w:tc>
        <w:tc>
          <w:tcPr>
            <w:tcW w:w="660" w:type="dxa"/>
            <w:vAlign w:val="bottom"/>
          </w:tcPr>
          <w:p>
            <w:pPr>
              <w:jc w:val="center"/>
              <w:spacing w:after="0"/>
              <w:rPr>
                <w:sz w:val="20"/>
                <w:szCs w:val="20"/>
                <w:color w:val="auto"/>
              </w:rPr>
            </w:pPr>
            <w:r>
              <w:rPr>
                <w:rFonts w:ascii="Arial" w:cs="Arial" w:eastAsia="Arial" w:hAnsi="Arial"/>
                <w:sz w:val="18"/>
                <w:szCs w:val="18"/>
                <w:color w:val="003082"/>
                <w:w w:val="89"/>
              </w:rPr>
              <w:t>60</w:t>
            </w:r>
          </w:p>
        </w:tc>
        <w:tc>
          <w:tcPr>
            <w:tcW w:w="100" w:type="dxa"/>
            <w:vAlign w:val="bottom"/>
          </w:tcPr>
          <w:p>
            <w:pPr>
              <w:spacing w:after="0"/>
              <w:rPr>
                <w:sz w:val="21"/>
                <w:szCs w:val="21"/>
                <w:color w:val="auto"/>
              </w:rPr>
            </w:pPr>
          </w:p>
        </w:tc>
        <w:tc>
          <w:tcPr>
            <w:tcW w:w="7080" w:type="dxa"/>
            <w:vAlign w:val="bottom"/>
          </w:tcPr>
          <w:p>
            <w:pPr>
              <w:ind w:left="40"/>
              <w:spacing w:after="0"/>
              <w:rPr>
                <w:sz w:val="20"/>
                <w:szCs w:val="20"/>
                <w:color w:val="auto"/>
              </w:rPr>
            </w:pPr>
            <w:r>
              <w:rPr>
                <w:rFonts w:ascii="Arial" w:cs="Arial" w:eastAsia="Arial" w:hAnsi="Arial"/>
                <w:sz w:val="18"/>
                <w:szCs w:val="18"/>
                <w:color w:val="003082"/>
              </w:rPr>
              <w:t>Director nominee</w:t>
            </w:r>
          </w:p>
        </w:tc>
      </w:tr>
      <w:tr>
        <w:trPr>
          <w:trHeight w:val="27"/>
        </w:trPr>
        <w:tc>
          <w:tcPr>
            <w:tcW w:w="3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80" w:type="dxa"/>
            <w:vAlign w:val="bottom"/>
          </w:tcPr>
          <w:p>
            <w:pPr>
              <w:spacing w:after="0"/>
              <w:rPr>
                <w:sz w:val="2"/>
                <w:szCs w:val="2"/>
                <w:color w:val="auto"/>
              </w:rPr>
            </w:pPr>
          </w:p>
        </w:tc>
      </w:tr>
      <w:tr>
        <w:trPr>
          <w:trHeight w:val="243"/>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003082"/>
              </w:rPr>
              <w:t>Jenny Hong Wei Lee</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003082"/>
                <w:w w:val="89"/>
              </w:rPr>
              <w:t>48</w:t>
            </w:r>
          </w:p>
        </w:tc>
        <w:tc>
          <w:tcPr>
            <w:tcW w:w="100" w:type="dxa"/>
            <w:vAlign w:val="bottom"/>
            <w:shd w:val="clear" w:color="auto" w:fill="CCEEFF"/>
          </w:tcPr>
          <w:p>
            <w:pPr>
              <w:spacing w:after="0"/>
              <w:rPr>
                <w:sz w:val="21"/>
                <w:szCs w:val="21"/>
                <w:color w:val="auto"/>
              </w:rPr>
            </w:pPr>
          </w:p>
        </w:tc>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Director nominee</w:t>
            </w: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Executive Officers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b w:val="1"/>
          <w:bCs w:val="1"/>
          <w:i w:val="1"/>
          <w:iCs w:val="1"/>
          <w:color w:val="003082"/>
        </w:rPr>
        <w:t xml:space="preserve">Mr. Bin (Tony) Zhao </w:t>
      </w:r>
      <w:r>
        <w:rPr>
          <w:rFonts w:ascii="Arial" w:cs="Arial" w:eastAsia="Arial" w:hAnsi="Arial"/>
          <w:sz w:val="17"/>
          <w:szCs w:val="17"/>
          <w:color w:val="003082"/>
        </w:rPr>
        <w:t>is our founder, Chief Executive Officer and Chairman. Mr. Zhao founded our company in November 2013. From December 2009</w:t>
      </w:r>
      <w:r>
        <w:rPr>
          <w:rFonts w:ascii="Arial" w:cs="Arial" w:eastAsia="Arial" w:hAnsi="Arial"/>
          <w:sz w:val="16"/>
          <w:szCs w:val="16"/>
          <w:b w:val="1"/>
          <w:bCs w:val="1"/>
          <w:i w:val="1"/>
          <w:iCs w:val="1"/>
          <w:color w:val="003082"/>
        </w:rPr>
        <w:t xml:space="preserve"> </w:t>
      </w:r>
      <w:r>
        <w:rPr>
          <w:rFonts w:ascii="Arial" w:cs="Arial" w:eastAsia="Arial" w:hAnsi="Arial"/>
          <w:sz w:val="17"/>
          <w:szCs w:val="17"/>
          <w:color w:val="003082"/>
        </w:rPr>
        <w:t>to March 2015, Mr. Zhao served as a director of YY, Inc. (recently renamed JOYY Inc.), a video-based social network listed on the Nasdaq Stock Market. Mr. Zhao also served as chief technology officer of YY, Inc. from October 2008 to December 2013. Prior to joining YY, Inc., Mr. Zhao founded NeoTasks, LLC in 2004 and served as its chairman and chief technology officer until 2008. From 1997 to 2004, he served as a senior engineer at WebEx Communications Inc. where he was responsible for developing audio and video calling functions and designing backend architecture. Mr. Zhao received a bachelor’s degree in radio and electronics from Peking University in 1992. We believe Mr. Zhao’s perspective, experience and institutional knowledge as our founder and Chief Executive Officer qualifies him to serve on our board of directors.</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003082"/>
        </w:rPr>
        <w:t xml:space="preserve">Mr. Siming Tao </w:t>
      </w:r>
      <w:r>
        <w:rPr>
          <w:rFonts w:ascii="Arial" w:cs="Arial" w:eastAsia="Arial" w:hAnsi="Arial"/>
          <w:sz w:val="16"/>
          <w:szCs w:val="16"/>
          <w:color w:val="003082"/>
        </w:rPr>
        <w:t>joined our company in May 2014 and has served in various roles, most recently as Senior Vice President of Products. Prior to joining</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our company, Mr. Tao was the head of platform development at YY, Inc. (recently renamed JOYY Inc.), a video-based social network listed on the Nasdaq Stock Market, from October 2008 to February 2014, during which time he also served as chairman of its technology committee. From October 2006 to October 2008, Mr. Tao served as a core architect at NeoTasks, LLC. Before NeoTasks, he worked as a client-side core development engineer at teltel.com from October 2005 to October 2006. Mr. Tao received a bachelor’s degree in electronic and information engineering from Beijing Institute of Information in 2003 and a master’s degree in communication engineering from Beijing University of Posts and Telecommunications in 2006.</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003082"/>
        </w:rPr>
        <w:t xml:space="preserve">Mr. Sheng (Shawn) Zhong </w:t>
      </w:r>
      <w:r>
        <w:rPr>
          <w:rFonts w:ascii="Arial" w:cs="Arial" w:eastAsia="Arial" w:hAnsi="Arial"/>
          <w:sz w:val="17"/>
          <w:szCs w:val="17"/>
          <w:color w:val="003082"/>
        </w:rPr>
        <w:t>has served as our Chief Scientist since January 2018. Mr. Zhong previously served as the chief executive officer of</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Hisense Microchip Company, a Hisense Group company, from January 2015 to December 2017, and as its chief technology officer from July 2012 to January 2015. Mr. Zhong was vice president of technology at Huaya Microelectronics (which was acquired by Hisense) from August 2009 to July 2012, and before Huaya, Mr. Zhong held several technical roles at Broadcom Inc. from 1999 to 2009, where he designed algorithms and architectures for many generations of Broadcom chips for advanced video processing. Prior to Broadcom, he was a senior design engineer at LSI Corporation from 1997 to 1999 where he was responsible for developing digital video processing algorithms. Mr. Zhong holds more than 100 technology patents, of which more than 60 technology patents are in the United States. He was a key member of International Organization for Standardization (ISO)’s MPEG/JVT team, INCITS and IEEE, and has published more than 30 papers in the field of video processing and computer vision. Mr. Zhong received a bachelor’s degree in mathematics and PhD in applied mathematics from Peking University and was a post-doctorate research associate at the University of Maryland, College Park from 1996 to 1997.</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139</w:t>
      </w:r>
    </w:p>
    <w:p>
      <w:pPr>
        <w:sectPr>
          <w:pgSz w:w="11900" w:h="16838" w:orient="portrait"/>
          <w:cols w:equalWidth="0" w:num="1">
            <w:col w:w="11240"/>
          </w:cols>
          <w:pgMar w:left="320" w:top="445" w:right="339" w:bottom="1440" w:gutter="0" w:footer="0" w:header="0"/>
        </w:sectPr>
      </w:pPr>
    </w:p>
    <w:bookmarkStart w:id="144" w:name="page145"/>
    <w:bookmarkEnd w:id="144"/>
    <w:p>
      <w:pPr>
        <w:jc w:val="both"/>
        <w:ind w:firstLine="324"/>
        <w:spacing w:after="0" w:line="293" w:lineRule="auto"/>
        <w:rPr>
          <w:sz w:val="20"/>
          <w:szCs w:val="20"/>
          <w:color w:val="auto"/>
        </w:rPr>
      </w:pPr>
      <w:r>
        <w:rPr>
          <w:rFonts w:ascii="Arial" w:cs="Arial" w:eastAsia="Arial" w:hAnsi="Arial"/>
          <w:sz w:val="16"/>
          <w:szCs w:val="16"/>
          <w:b w:val="1"/>
          <w:bCs w:val="1"/>
          <w:i w:val="1"/>
          <w:iCs w:val="1"/>
          <w:color w:val="003082"/>
        </w:rPr>
        <w:t xml:space="preserve">Mr. Regev (Reggie) Yativ </w:t>
      </w:r>
      <w:r>
        <w:rPr>
          <w:rFonts w:ascii="Arial" w:cs="Arial" w:eastAsia="Arial" w:hAnsi="Arial"/>
          <w:sz w:val="16"/>
          <w:szCs w:val="16"/>
          <w:color w:val="003082"/>
        </w:rPr>
        <w:t>has served as Chief Revenue Officer and Chief Operating Officer of Agora Lab, our subsidiary in the United States, since</w:t>
      </w:r>
      <w:r>
        <w:rPr>
          <w:rFonts w:ascii="Arial" w:cs="Arial" w:eastAsia="Arial" w:hAnsi="Arial"/>
          <w:sz w:val="16"/>
          <w:szCs w:val="16"/>
          <w:b w:val="1"/>
          <w:bCs w:val="1"/>
          <w:i w:val="1"/>
          <w:iCs w:val="1"/>
          <w:color w:val="003082"/>
        </w:rPr>
        <w:t xml:space="preserve"> </w:t>
      </w:r>
      <w:r>
        <w:rPr>
          <w:rFonts w:ascii="Arial" w:cs="Arial" w:eastAsia="Arial" w:hAnsi="Arial"/>
          <w:sz w:val="16"/>
          <w:szCs w:val="16"/>
          <w:color w:val="003082"/>
        </w:rPr>
        <w:t>February 2018. Mr. Yativ previously served as vice president of sales at Redis Labs, Inc., a private NoSQL enterprise database management provider, from December 2014 to January 2018. Prior to that, Mr. Yativ was a senior director of marketing and global services at Johnson &amp; Johnson, a healthcare company, from November 2013 to November 2014. Mr. Yativ served in various roles at Magic Software Enterprises Inc., a global enterprise software company listed on the Nasdaq Global Select Market, including as its U.S. president and chief executive officer from December 2007 to November 2013 and as managing director of its six European companies prior to that. Mr. Yativ graduated from Tel Aviv University with a bachelor’s degree in linguistics.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003082"/>
        </w:rPr>
        <w:t xml:space="preserve">Mr. Jingbo Wang </w:t>
      </w:r>
      <w:r>
        <w:rPr>
          <w:rFonts w:ascii="Arial" w:cs="Arial" w:eastAsia="Arial" w:hAnsi="Arial"/>
          <w:sz w:val="18"/>
          <w:szCs w:val="18"/>
          <w:color w:val="003082"/>
        </w:rPr>
        <w:t>has served as our Chief Financial Officer since January 2020. Mr. Wang previously served as a director and the chief financial</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officer of Qutoutiao Inc., an operator of mobile content platforms, from February 2018 to January 2020, and as the chief financial officer of Yintech Investment Holdings Limited, a provider of investment and trading services, from October 2014 to February 2018, both of which are listed on the Nasdaq Stock Market. Prior to that, Mr. Wang worked at Deutsche Bank from 2009 to 2014, with his last position being vice president in the corporate finance division. Mr. Wang graduated from Tsinghua University with a bachelor’s degree in engineering in 2003. Mr. Wang graduated from the University of Hong Kong with a master’s degree in computer science in 2005 and was awarded a PhD degree in management studies from the Saïd Business School, University of Oxford, in 2010.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Non-Employee Directors</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003082"/>
        </w:rPr>
        <w:t xml:space="preserve">Mr. Qin Liu </w:t>
      </w:r>
      <w:r>
        <w:rPr>
          <w:rFonts w:ascii="Arial" w:cs="Arial" w:eastAsia="Arial" w:hAnsi="Arial"/>
          <w:sz w:val="17"/>
          <w:szCs w:val="17"/>
          <w:color w:val="003082"/>
        </w:rPr>
        <w:t>has served as our director since December 2014. Mr. Liu has served as managing director of Morningside Venture Capital Limited</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(MVCL) since June 2007 and of Evolution Capital Management Limited (ECML) since August 2018. Mr. Liu served in various roles, including as business development director for investment at Morningside IT Management Services (Shanghai) Co., Ltd before June 2007. MVCL and ECML provide advisory service to various funds and Mr. Liu has served as a director in both public and non-public portfolio companies of such funds. Mr. Liu has served as a director of Xiaomi Corporation, an internet company focused on smartphones and smart hardware connected by an IoT platform that is listed on the Main Board of the Hong Kong Stock Exchange, since May 2010. Mr. Liu has also served as a director of YY, Inc. (recently renamed JOYY Inc.), a video-based social network listed on the Nasdaq Stock Market, since June 2008. Mr. Liu previously served as a director of Xunlei Limited, a cloud-based acceleration technology company listed on the Nasdaq Stock Market, from September 2005 to April 2020. Mr. Liu received a bachelor’s degree in industrial electrical automation from the University of Science and Technology Beijing in July 1993, and a master’s degree in business administration from China Europe International Business School in April 2000. We believe Mr. Liu’s experience as a public company director and a prominent venture capitalist in China qualifies him to serve on our board of directors.</w:t>
      </w:r>
    </w:p>
    <w:p>
      <w:pPr>
        <w:spacing w:after="0" w:line="12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003082"/>
        </w:rPr>
        <w:t xml:space="preserve">Mr. Tuck Lye Koh </w:t>
      </w:r>
      <w:r>
        <w:rPr>
          <w:rFonts w:ascii="Arial" w:cs="Arial" w:eastAsia="Arial" w:hAnsi="Arial"/>
          <w:sz w:val="17"/>
          <w:szCs w:val="17"/>
          <w:color w:val="003082"/>
        </w:rPr>
        <w:t>has served as our director since May 2018. Mr. Koh co-founded Shunwei Capital, a China-based, technology-focused venture</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capital fund, in 2011 and has served as its chief executive officer since then. Mr. Koh has extensive investment experience, spanning early to growth stage investments in multiple industries, including TMT, manufacturing, retail and consumer and logistics. At Shunwei Capital, Mr. Koh is responsible for overall investment and management, and has led the firm’s investments in a wide variety of technology-based entities. Mr. Koh served as a director of Xiaomi Corporation, an internet company focused on smartphones and smart hardware connected by an IoT platform that listed on the Main Board of the Hong Kong Stock Exchange, from August 2013 to October 2019. Mr. Koh also currently serves, and has served, as a director of multiple privately held technology companies. Before co-founding Shunwei Capital in 2011, Mr. Koh held various management positions in several international institutions including C.V. Starr, GIC, AIG and Deutsche Bank. Mr. Koh received a bachelor’s degree in mechanical engineering from the National University of Singapore in 1996 and a master of science degree in industrial engineering (engineering management) from Stanford University in 1999. Mr. Koh was also accredited as a chartered financial analyst by the Association for Investment Management and Research (now the CFA Institute) in 2000. We believe Mr. Koh’s experience as a public company director and as co-founder and chief executive officer of a technology-focused venture capital firm qualifies him to serve on our board of directors.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003082"/>
        </w:rPr>
        <w:t xml:space="preserve">Mr. Eric He </w:t>
      </w:r>
      <w:r>
        <w:rPr>
          <w:rFonts w:ascii="Arial" w:cs="Arial" w:eastAsia="Arial" w:hAnsi="Arial"/>
          <w:sz w:val="18"/>
          <w:szCs w:val="18"/>
          <w:color w:val="003082"/>
        </w:rPr>
        <w:t>has served as our director since June 2020. Mr. He has served as an independent director and audit committee chairman of Bilibili Inc., an</w:t>
      </w:r>
      <w:r>
        <w:rPr>
          <w:rFonts w:ascii="Arial" w:cs="Arial" w:eastAsia="Arial" w:hAnsi="Arial"/>
          <w:sz w:val="18"/>
          <w:szCs w:val="18"/>
          <w:b w:val="1"/>
          <w:bCs w:val="1"/>
          <w:i w:val="1"/>
          <w:iCs w:val="1"/>
          <w:color w:val="003082"/>
        </w:rPr>
        <w:t xml:space="preserve"> </w:t>
      </w:r>
      <w:r>
        <w:rPr>
          <w:rFonts w:ascii="Arial" w:cs="Arial" w:eastAsia="Arial" w:hAnsi="Arial"/>
          <w:sz w:val="18"/>
          <w:szCs w:val="18"/>
          <w:color w:val="003082"/>
        </w:rPr>
        <w:t>online entertainment company listed on the Nasdaq Stock Market since March 2018. Mr. He has also served as an independent director of 51job, Inc., a nationwide provider of integrated human resource services in China listed on the Nasdaq Stock Market, since July 2014. Mr. He previously served as the chief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140</w:t>
      </w:r>
    </w:p>
    <w:p>
      <w:pPr>
        <w:sectPr>
          <w:pgSz w:w="11900" w:h="16838" w:orient="portrait"/>
          <w:cols w:equalWidth="0" w:num="1">
            <w:col w:w="11240"/>
          </w:cols>
          <w:pgMar w:left="320" w:top="341" w:right="339" w:bottom="1440" w:gutter="0" w:footer="0" w:header="0"/>
        </w:sectPr>
      </w:pPr>
    </w:p>
    <w:bookmarkStart w:id="145" w:name="page146"/>
    <w:bookmarkEnd w:id="145"/>
    <w:p>
      <w:pPr>
        <w:jc w:val="both"/>
        <w:spacing w:after="0" w:line="254" w:lineRule="auto"/>
        <w:rPr>
          <w:sz w:val="20"/>
          <w:szCs w:val="20"/>
          <w:color w:val="auto"/>
        </w:rPr>
      </w:pPr>
      <w:r>
        <w:rPr>
          <w:rFonts w:ascii="Arial" w:cs="Arial" w:eastAsia="Arial" w:hAnsi="Arial"/>
          <w:sz w:val="18"/>
          <w:szCs w:val="18"/>
          <w:color w:val="003082"/>
        </w:rPr>
        <w:t>financial officer of YY Inc. (recently renamed JOYY Inc.), a video-based social network listed on the Nasdaq Stock Market from August 2011 to April 2017. Prior to that, Mr. He served as chief financial officer of Giant Interactive Group, Inc. from March 2007 to August 2011 and chief strategy officer of Ninetowns Internet Technology Group from 2004 to 2007. From 2002 to 2004, he served as a private equity investment director for AIG Global Investment Corp (Asia) Ltd. Mr. He received a bachelor’s degree in accounting from National Taipei University and a master’s degree in business administration from the Wharton School of Business at the University of Pennsylvania. Mr. He is a Certified Public Accountant and Chartered Financial Analyst in the United States. We believe Mr. He’s experience as chief financial officer and director of various public companies qualifies him to serve on our board of directors.</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003082"/>
        </w:rPr>
        <w:t xml:space="preserve">Ms. Jenny Hong Wei Lee </w:t>
      </w:r>
      <w:r>
        <w:rPr>
          <w:rFonts w:ascii="Arial" w:cs="Arial" w:eastAsia="Arial" w:hAnsi="Arial"/>
          <w:sz w:val="17"/>
          <w:szCs w:val="17"/>
          <w:color w:val="003082"/>
        </w:rPr>
        <w:t>has served as our director since June 2020. Ms. Lee has served as the managing partner of GGV Capital since 2005. Prior to</w:t>
      </w:r>
      <w:r>
        <w:rPr>
          <w:rFonts w:ascii="Arial" w:cs="Arial" w:eastAsia="Arial" w:hAnsi="Arial"/>
          <w:sz w:val="17"/>
          <w:szCs w:val="17"/>
          <w:b w:val="1"/>
          <w:bCs w:val="1"/>
          <w:i w:val="1"/>
          <w:iCs w:val="1"/>
          <w:color w:val="003082"/>
        </w:rPr>
        <w:t xml:space="preserve"> </w:t>
      </w:r>
      <w:r>
        <w:rPr>
          <w:rFonts w:ascii="Arial" w:cs="Arial" w:eastAsia="Arial" w:hAnsi="Arial"/>
          <w:sz w:val="17"/>
          <w:szCs w:val="17"/>
          <w:color w:val="003082"/>
        </w:rPr>
        <w:t>that, she held various finance and operations positions at JAFCO Asia from August 2002 to April 2005, Morgan Stanley from July 2001 to July 2002, and Singapore Technologies Aerospace from July 1995 to September 1999. Ms. Lee has served as a director of Niu Technologies, a provider of smart urban mobility solutions listed on the Nasdaq Stock Market, since May 2015; eHang Holdings Limited, an autonomous aerial vehicle technology platform company listed on the Nasdaq Stock Market, since March 2015; LAIX Inc., an artificial intelligence education company listed on the New York Stock Exchange, since June 2014; and SATS Ltd., a provider of gateway services and food solutions listed on the Singapore Exchange, since January 2019. Ms. Lee also currently serves, and has served, as a director of multiple privately held companies. Ms. Lee received a bachelor’s degree in electrical engineering in 1994 and a master’s degree in engineering in 1995, both from Cornell University, as well as a master’s degree in business administration from the Kellogg School of Management at Northwestern University in 2001. We believe Ms. Lee’s experience as a managing partner of a prominent venture capital firm and as a director of various public companies qualifies her to serve on our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Board of Directors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Our board of directors consists of five directors. A director is not required to hold any shares in our company by way of qualification. A director may vote with respect to any contract or transaction, or proposed contract or transaction in which he or she is, whether directly or indirectly, materially interested provided (1) such director, if his or her interest in such contract or transaction is material, has declared the nature of his or her interest at the earliest meeting of the board at which it is practicable for him or her to do so, either specifically or by way of a general notice, and (2) if such contract or arrangement is a transaction with a related party, such transaction has been approved by the audit committee. Our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non-employee directors has a service contract with us that provides for benefits upon termination of service.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Director Independence</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Our board of directors has undertaken a review of the independence of the directors and considered whether any director has a relationship with us that could interfere with such director’s ability to exercise independent judgment in carrying out the responsibilities of a director. As a result of this review, our board of directors determined that Messrs. Liu, Koh and He, and Ms. Lee, representing four of our five directors, are “independent directors” as that term is defined under the applicable rules and regulations of the SEC and the listing requirements and corporate governance rules of the Nasdaq Stock Market.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Controlled Company Exemption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Upon the completion of this offering and the concurrent private placement, our chief executive officer will continue to control a majority of the voting power represented by our ordinary shares. As a result, we will be a “controlled company” within the meaning of the corporate governance rules of the Nasdaq Stock Market. Under these rules, a company of which more than 50% of the voting power for the election of directors is held by an individual, a group or another company is a “controlled company” and may elect not to comply with certain corporate governance requirements. Any sale, transfer, assignment or disposition of any Class B ordinary shares by their holder or a change of ultimate beneficial ownership of any Class B ordinary shares will generally result in the conversion of such Class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141</w:t>
      </w:r>
    </w:p>
    <w:p>
      <w:pPr>
        <w:sectPr>
          <w:pgSz w:w="11900" w:h="16838" w:orient="portrait"/>
          <w:cols w:equalWidth="0" w:num="1">
            <w:col w:w="11240"/>
          </w:cols>
          <w:pgMar w:left="320" w:top="341" w:right="339" w:bottom="1440" w:gutter="0" w:footer="0" w:header="0"/>
        </w:sectPr>
      </w:pPr>
    </w:p>
    <w:bookmarkStart w:id="146" w:name="page147"/>
    <w:bookmarkEnd w:id="146"/>
    <w:p>
      <w:pPr>
        <w:jc w:val="both"/>
        <w:spacing w:after="0" w:line="279" w:lineRule="auto"/>
        <w:rPr>
          <w:sz w:val="20"/>
          <w:szCs w:val="20"/>
          <w:color w:val="auto"/>
        </w:rPr>
      </w:pPr>
      <w:r>
        <w:rPr>
          <w:rFonts w:ascii="Arial" w:cs="Arial" w:eastAsia="Arial" w:hAnsi="Arial"/>
          <w:sz w:val="17"/>
          <w:szCs w:val="17"/>
          <w:color w:val="003082"/>
        </w:rPr>
        <w:t>B ordinary shares into Class A ordinary shares, except for transfers to certain permitted transferees, which include Agora Partners L.P., an exempted limited partnership to be established in the Cayman Islands (the limited partners of which shall consist primarily of members of management of our company and its affiliates, and which we refer to as the Management Partnership). If Mr. Zhao transfers Class B ordinary shares to the Management Partnership, we may remain a controlled company even if Mr. Zhao ceases to be our employee, director or shareholder.</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We intend to rely on certain of the exemptions provided to controlled companies under the corporate governance rules of the Nasdaq Stock Market. Therefore, immediately following the consummation of this offering, we will not have an entirely independent nominating and corporate governance committee and may not perform annual performance evaluations of the nominating and corporate governance committee until such time as we are required to do so. Accordingly, you may not have the same protections afforded to shareholders of companies that are subject to all of these corporate governance requirements. See the section of this prospectus captioned “Risk Factors—Risks Related to the ADSs and this Offering—We will be a “controlled company” as defined under the Nasdaq Stock Market corporate governance rules. As a result, we will qualify for, and intend to rely on, exemptions from certain corporate governance requirements that would otherwise provide protection to shareholders of other companies.” Even if we cease to be a controlled company we may still rely on exemptions available to foreign private issuers, including being able to adopt home country practices in relation to corporate governance matters.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 home country practices in relation to corporate governance matters that differ significantly from the Nasdaq Stock Market corporate governance standards; these practices may afford less protection to shareholders than they would enjoy if we comply fully with the Nasdaq Stock Market corporate governance standards.”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Board Committees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Audit Committee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audit committee consists of Messrs. He and Liu and Ms. Lee. Mr. He is the chairperson of our audit committee. Our board of directors has determined that each of Messrs. He and Liu and Ms. Lee satisfies the “independence” requirements of the corporate governance rules of the Nasdaq Stock Market and Rule 10A-3 under the Exchange Act, as amended. Our board of directors has also determined that Mr. He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3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approving the hiring, discharging and compensation of our independent registered public accounting firm;</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overseeing the work of our independent registered public accounting firm;</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approving engagements of our independent registered public accounting firm to render any audit or permissible non-audit services;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reviewing the qualifications, independence and performance of our independent registered public accounting firm;</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reviewing our consolidated financial statements and reviewing our critical accounting policies and estimates;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developing procedures for employees to anonymously submit concerns about questionable accounting or audit matters;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6"/>
        </w:numPr>
        <w:rPr>
          <w:rFonts w:ascii="Arial" w:cs="Arial" w:eastAsia="Arial" w:hAnsi="Arial"/>
          <w:sz w:val="18"/>
          <w:szCs w:val="18"/>
          <w:color w:val="003082"/>
        </w:rPr>
      </w:pPr>
      <w:r>
        <w:rPr>
          <w:rFonts w:ascii="Arial" w:cs="Arial" w:eastAsia="Arial" w:hAnsi="Arial"/>
          <w:sz w:val="18"/>
          <w:szCs w:val="18"/>
          <w:color w:val="003082"/>
        </w:rPr>
        <w:t>reviewing the adequacy and effectiveness of our internal controls;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142</w:t>
      </w:r>
    </w:p>
    <w:p>
      <w:pPr>
        <w:sectPr>
          <w:pgSz w:w="11900" w:h="16838" w:orient="portrait"/>
          <w:cols w:equalWidth="0" w:num="1">
            <w:col w:w="11240"/>
          </w:cols>
          <w:pgMar w:left="320" w:top="341" w:right="339" w:bottom="1440" w:gutter="0" w:footer="0" w:header="0"/>
        </w:sectPr>
      </w:pPr>
    </w:p>
    <w:bookmarkStart w:id="147" w:name="page148"/>
    <w:bookmarkEnd w:id="147"/>
    <w:p>
      <w:pPr>
        <w:ind w:left="660" w:hanging="328"/>
        <w:spacing w:after="0" w:line="277" w:lineRule="auto"/>
        <w:tabs>
          <w:tab w:leader="none" w:pos="660" w:val="left"/>
        </w:tabs>
        <w:numPr>
          <w:ilvl w:val="0"/>
          <w:numId w:val="77"/>
        </w:numPr>
        <w:rPr>
          <w:rFonts w:ascii="Arial" w:cs="Arial" w:eastAsia="Arial" w:hAnsi="Arial"/>
          <w:sz w:val="18"/>
          <w:szCs w:val="18"/>
          <w:color w:val="003082"/>
        </w:rPr>
      </w:pPr>
      <w:r>
        <w:rPr>
          <w:rFonts w:ascii="Arial" w:cs="Arial" w:eastAsia="Arial" w:hAnsi="Arial"/>
          <w:sz w:val="18"/>
          <w:szCs w:val="18"/>
          <w:color w:val="003082"/>
        </w:rPr>
        <w:t>reviewing and discussing the scope and results of the audit with our independent registered public accounting firm and reviewing, with management and the independent accountants, our interim and annual operating results.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Compensation Committee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Our compensation committee consists of Ms. Lee and Messrs. He and Koh. Ms. Lee is the chairperson of our compensation committee. Our board of directors has determined that each of Ms. Lee and Messrs. He and Koh satisfies the “independence” requirements of the corporate governance rules of the Nasdaq Stock Market.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22"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003082"/>
        </w:rPr>
      </w:pPr>
      <w:r>
        <w:rPr>
          <w:rFonts w:ascii="Arial" w:cs="Arial" w:eastAsia="Arial" w:hAnsi="Arial"/>
          <w:sz w:val="18"/>
          <w:szCs w:val="18"/>
          <w:color w:val="003082"/>
        </w:rPr>
        <w:t>reviewing and recommending policies relating to compensation and benefits of our officers and employees;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8"/>
        </w:numPr>
        <w:rPr>
          <w:rFonts w:ascii="Arial" w:cs="Arial" w:eastAsia="Arial" w:hAnsi="Arial"/>
          <w:sz w:val="17"/>
          <w:szCs w:val="17"/>
          <w:color w:val="003082"/>
        </w:rPr>
      </w:pPr>
      <w:r>
        <w:rPr>
          <w:rFonts w:ascii="Arial" w:cs="Arial" w:eastAsia="Arial" w:hAnsi="Arial"/>
          <w:sz w:val="17"/>
          <w:szCs w:val="17"/>
          <w:color w:val="003082"/>
        </w:rPr>
        <w:t>reviewing and approving corporate goals and objectives relevant to compensation of our chief executive officer and other senior officers;</w:t>
      </w:r>
    </w:p>
    <w:p>
      <w:pPr>
        <w:spacing w:after="0" w:line="182" w:lineRule="exact"/>
        <w:rPr>
          <w:rFonts w:ascii="Arial" w:cs="Arial" w:eastAsia="Arial" w:hAnsi="Arial"/>
          <w:sz w:val="17"/>
          <w:szCs w:val="17"/>
          <w:color w:val="003082"/>
        </w:rPr>
      </w:pPr>
    </w:p>
    <w:p>
      <w:pPr>
        <w:ind w:left="660" w:hanging="328"/>
        <w:spacing w:after="0"/>
        <w:tabs>
          <w:tab w:leader="none" w:pos="660" w:val="left"/>
        </w:tabs>
        <w:numPr>
          <w:ilvl w:val="0"/>
          <w:numId w:val="78"/>
        </w:numPr>
        <w:rPr>
          <w:rFonts w:ascii="Arial" w:cs="Arial" w:eastAsia="Arial" w:hAnsi="Arial"/>
          <w:sz w:val="18"/>
          <w:szCs w:val="18"/>
          <w:color w:val="003082"/>
        </w:rPr>
      </w:pPr>
      <w:r>
        <w:rPr>
          <w:rFonts w:ascii="Arial" w:cs="Arial" w:eastAsia="Arial" w:hAnsi="Arial"/>
          <w:sz w:val="18"/>
          <w:szCs w:val="18"/>
          <w:color w:val="003082"/>
        </w:rPr>
        <w:t>evaluating the performance of our officers in light of established goals and objectives;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8"/>
        </w:numPr>
        <w:rPr>
          <w:rFonts w:ascii="Arial" w:cs="Arial" w:eastAsia="Arial" w:hAnsi="Arial"/>
          <w:sz w:val="18"/>
          <w:szCs w:val="18"/>
          <w:color w:val="003082"/>
        </w:rPr>
      </w:pPr>
      <w:r>
        <w:rPr>
          <w:rFonts w:ascii="Arial" w:cs="Arial" w:eastAsia="Arial" w:hAnsi="Arial"/>
          <w:sz w:val="18"/>
          <w:szCs w:val="18"/>
          <w:color w:val="003082"/>
        </w:rPr>
        <w:t>recommending compensation of our officers based on its evaluations;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8"/>
        </w:numPr>
        <w:rPr>
          <w:rFonts w:ascii="Arial" w:cs="Arial" w:eastAsia="Arial" w:hAnsi="Arial"/>
          <w:sz w:val="18"/>
          <w:szCs w:val="18"/>
          <w:color w:val="003082"/>
        </w:rPr>
      </w:pPr>
      <w:r>
        <w:rPr>
          <w:rFonts w:ascii="Arial" w:cs="Arial" w:eastAsia="Arial" w:hAnsi="Arial"/>
          <w:sz w:val="18"/>
          <w:szCs w:val="18"/>
          <w:color w:val="003082"/>
        </w:rPr>
        <w:t>administering the issuance of equity awards and other awards under our equity incentive plans.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Nominating and Corporate Governance Committee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nominating and corporate governance committee consists of Messrs. Zhao, Liu and Koh. Mr. Zhao is the chairperson of our nominating and corporate governance committee. Our board of directors has determined that each of Messrs. Liu and Koh satisfies the “independence” requirements of the corporate governance rules of the Nasdaq Stock Market.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34"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003082"/>
        </w:rPr>
      </w:pPr>
      <w:r>
        <w:rPr>
          <w:rFonts w:ascii="Arial" w:cs="Arial" w:eastAsia="Arial" w:hAnsi="Arial"/>
          <w:sz w:val="18"/>
          <w:szCs w:val="18"/>
          <w:color w:val="003082"/>
        </w:rPr>
        <w:t>evaluating and making recommendations regarding the organization and governance of the board of directors and its committees;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79"/>
        </w:numPr>
        <w:rPr>
          <w:rFonts w:ascii="Arial" w:cs="Arial" w:eastAsia="Arial" w:hAnsi="Arial"/>
          <w:sz w:val="17"/>
          <w:szCs w:val="17"/>
          <w:color w:val="003082"/>
        </w:rPr>
      </w:pPr>
      <w:r>
        <w:rPr>
          <w:rFonts w:ascii="Arial" w:cs="Arial" w:eastAsia="Arial" w:hAnsi="Arial"/>
          <w:sz w:val="17"/>
          <w:szCs w:val="17"/>
          <w:color w:val="003082"/>
        </w:rPr>
        <w:t>assessing the performance of members of the board of directors and making recommendations regarding committee and chair assignments;</w:t>
      </w:r>
    </w:p>
    <w:p>
      <w:pPr>
        <w:spacing w:after="0" w:line="182" w:lineRule="exact"/>
        <w:rPr>
          <w:rFonts w:ascii="Arial" w:cs="Arial" w:eastAsia="Arial" w:hAnsi="Arial"/>
          <w:sz w:val="17"/>
          <w:szCs w:val="17"/>
          <w:color w:val="003082"/>
        </w:rPr>
      </w:pPr>
    </w:p>
    <w:p>
      <w:pPr>
        <w:ind w:left="660" w:hanging="328"/>
        <w:spacing w:after="0" w:line="277" w:lineRule="auto"/>
        <w:tabs>
          <w:tab w:leader="none" w:pos="660" w:val="left"/>
        </w:tabs>
        <w:numPr>
          <w:ilvl w:val="0"/>
          <w:numId w:val="79"/>
        </w:numPr>
        <w:rPr>
          <w:rFonts w:ascii="Arial" w:cs="Arial" w:eastAsia="Arial" w:hAnsi="Arial"/>
          <w:sz w:val="18"/>
          <w:szCs w:val="18"/>
          <w:color w:val="003082"/>
        </w:rPr>
      </w:pPr>
      <w:r>
        <w:rPr>
          <w:rFonts w:ascii="Arial" w:cs="Arial" w:eastAsia="Arial" w:hAnsi="Arial"/>
          <w:sz w:val="18"/>
          <w:szCs w:val="18"/>
          <w:color w:val="003082"/>
        </w:rPr>
        <w:t>recommending desired qualifications for board of directors membership and conducting searches for potential members of the board of directors; and</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79"/>
        </w:numPr>
        <w:rPr>
          <w:rFonts w:ascii="Arial" w:cs="Arial" w:eastAsia="Arial" w:hAnsi="Arial"/>
          <w:sz w:val="18"/>
          <w:szCs w:val="18"/>
          <w:color w:val="003082"/>
        </w:rPr>
      </w:pPr>
      <w:r>
        <w:rPr>
          <w:rFonts w:ascii="Arial" w:cs="Arial" w:eastAsia="Arial" w:hAnsi="Arial"/>
          <w:sz w:val="18"/>
          <w:szCs w:val="18"/>
          <w:color w:val="003082"/>
        </w:rPr>
        <w:t>reviewing and making recommendations with regard to our corporate governance guidelines.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Our board of directors may from time to time establish other committees.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Duties of Directors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our company to exercise skills they actually possess and such care and diligence that a reasonably prudent person would exercise in comparable circumstances. It was previously considered that a director need not exhibit in the performance of his or her duties a greater degree of skill than may reasonably be expected from a person of his or her knowledge and experience. However, English and Commonwealth Courts have moved toward an objective standard with regards to the registered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certain limited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143</w:t>
      </w:r>
    </w:p>
    <w:p>
      <w:pPr>
        <w:sectPr>
          <w:pgSz w:w="11900" w:h="16838" w:orient="portrait"/>
          <w:cols w:equalWidth="0" w:num="1">
            <w:col w:w="11240"/>
          </w:cols>
          <w:pgMar w:left="320" w:top="34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003082"/>
        </w:rPr>
        <w:t>exceptional circumstances, a shareholder may have the right to seek damages in our name if a duty owed by our directors is breached.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Our board of directors has all the powers necessary for managing, and for directing and supervising, our business affairs. The functions and powers of our board of directors include, among others:</w:t>
      </w:r>
    </w:p>
    <w:p>
      <w:pPr>
        <w:spacing w:after="0" w:line="116"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003082"/>
        </w:rPr>
      </w:pPr>
      <w:r>
        <w:rPr>
          <w:rFonts w:ascii="Arial" w:cs="Arial" w:eastAsia="Arial" w:hAnsi="Arial"/>
          <w:sz w:val="18"/>
          <w:szCs w:val="18"/>
          <w:color w:val="003082"/>
        </w:rPr>
        <w:t>convening shareholders’ annual and extraordinary general meetings and reporting its work to shareholders at such meetings;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0"/>
        </w:numPr>
        <w:rPr>
          <w:rFonts w:ascii="Arial" w:cs="Arial" w:eastAsia="Arial" w:hAnsi="Arial"/>
          <w:sz w:val="18"/>
          <w:szCs w:val="18"/>
          <w:color w:val="003082"/>
        </w:rPr>
      </w:pPr>
      <w:r>
        <w:rPr>
          <w:rFonts w:ascii="Arial" w:cs="Arial" w:eastAsia="Arial" w:hAnsi="Arial"/>
          <w:sz w:val="18"/>
          <w:szCs w:val="18"/>
          <w:color w:val="003082"/>
        </w:rPr>
        <w:t>declaring dividends and distributions;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0"/>
        </w:numPr>
        <w:rPr>
          <w:rFonts w:ascii="Arial" w:cs="Arial" w:eastAsia="Arial" w:hAnsi="Arial"/>
          <w:sz w:val="18"/>
          <w:szCs w:val="18"/>
          <w:color w:val="003082"/>
        </w:rPr>
      </w:pPr>
      <w:r>
        <w:rPr>
          <w:rFonts w:ascii="Arial" w:cs="Arial" w:eastAsia="Arial" w:hAnsi="Arial"/>
          <w:sz w:val="18"/>
          <w:szCs w:val="18"/>
          <w:color w:val="003082"/>
        </w:rPr>
        <w:t>appointing officers and determining the term of office of the officers;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0"/>
        </w:numPr>
        <w:rPr>
          <w:rFonts w:ascii="Arial" w:cs="Arial" w:eastAsia="Arial" w:hAnsi="Arial"/>
          <w:sz w:val="18"/>
          <w:szCs w:val="18"/>
          <w:color w:val="003082"/>
        </w:rPr>
      </w:pPr>
      <w:r>
        <w:rPr>
          <w:rFonts w:ascii="Arial" w:cs="Arial" w:eastAsia="Arial" w:hAnsi="Arial"/>
          <w:sz w:val="18"/>
          <w:szCs w:val="18"/>
          <w:color w:val="003082"/>
        </w:rPr>
        <w:t>exercising the borrowing powers of our company and mortgaging the property of our company;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0"/>
        </w:numPr>
        <w:rPr>
          <w:rFonts w:ascii="Arial" w:cs="Arial" w:eastAsia="Arial" w:hAnsi="Arial"/>
          <w:sz w:val="18"/>
          <w:szCs w:val="18"/>
          <w:color w:val="003082"/>
        </w:rPr>
      </w:pPr>
      <w:r>
        <w:rPr>
          <w:rFonts w:ascii="Arial" w:cs="Arial" w:eastAsia="Arial" w:hAnsi="Arial"/>
          <w:sz w:val="18"/>
          <w:szCs w:val="18"/>
          <w:color w:val="003082"/>
        </w:rPr>
        <w:t>approving the transfer of shares in our company, including the registration of such shares in our share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Terms of Directors and Officers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For as long as Soundscape Limited, the holding company of our chief executive officer, and its affiliates collectively hold such number of Class B ordinary shares that constitute not less than 5% of our issued and outstanding shares, our chief executive officer shall be entitled, through his holding company, to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Unless otherwise determined by our company in general meeting, our company shall have at least five directors and the exact number will be fixed from time to time by resolution of our board of directors. Our directors are not subject to a term of office and hold office until such time as they are removed from office by ordinary resolution of the shareholders or by the board. A director’s office will be vacated if the director (1) becomes bankrupt or makes any arrangement or composition with his or her creditors, (2) dies or is found by our company to be or becomes of unsound mind, (3) resigned his or her office by notice in writing to the company, or (4) is removed from office pursuant to any other provisions of the company’s post-offering amended and restated memorandum and articles of association.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chairman of our board of directors shall be our chief executive officer, for as long as he remains a director of our company. If our chief executive officer ceases to be a director of our company, the board of directors shall elect and appoint a chairman of the board by a majority vote of the directors then in office. Subject to the foregoing, our officers are appointed by and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Employment Agreements and Indemnification Agreements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We have entered into employment agreements with each of our executive officers. We may terminate their employment for cause, including for certain acts such as conviction of or guilty plea to a felony or the continuous failure to perform the executive officer’s duties. If we were to terminate an executive officer, we would provide severance payments as required under applicable law or pursuant to such executive officer’s employment agreement.</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Each executive officer has agreed to hold in strict confidence, both during and after the termination or expiry of the employment agreement, and not to use, except as required in the performance of the executive officer’s duties in or pursuant to applicable law, any of our confidential information or trade secrets, or any confidential information or proprietary information of third parties associated with us. Each executive officer has also agreed to disclose in confidence to us all inventions, designs and trade secrets which the executive officer conceives, develops or reduces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In addition, we have entered into indemnification agreements with each of our directors and executive officers. Under these agreements, we agree to indemnify our directors and executive officers against all liabilities and expenses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144</w:t>
      </w:r>
    </w:p>
    <w:p>
      <w:pPr>
        <w:sectPr>
          <w:pgSz w:w="11900" w:h="16838" w:orient="portrait"/>
          <w:cols w:equalWidth="0" w:num="1">
            <w:col w:w="11240"/>
          </w:cols>
          <w:pgMar w:left="320" w:top="341" w:right="339" w:bottom="1440" w:gutter="0" w:footer="0" w:header="0"/>
        </w:sectPr>
      </w:pPr>
    </w:p>
    <w:bookmarkStart w:id="149" w:name="page150"/>
    <w:bookmarkEnd w:id="149"/>
    <w:p>
      <w:pPr>
        <w:jc w:val="both"/>
        <w:spacing w:after="0" w:line="277" w:lineRule="auto"/>
        <w:rPr>
          <w:sz w:val="20"/>
          <w:szCs w:val="20"/>
          <w:color w:val="auto"/>
        </w:rPr>
      </w:pPr>
      <w:r>
        <w:rPr>
          <w:rFonts w:ascii="Arial" w:cs="Arial" w:eastAsia="Arial" w:hAnsi="Arial"/>
          <w:sz w:val="18"/>
          <w:szCs w:val="18"/>
          <w:color w:val="003082"/>
        </w:rPr>
        <w:t>incurred by such persons in connection with claims made by reason of their being a director or officer of our company to the fullest extent permitted by law with certain limited exceptions.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Compensation of Directors and Executive Officers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For the year ended December 31, 2019, we paid an aggregate of approximately US$1.37 million in cash and benefits to our executive officers. We do not pay our non-employee directors. For equity incentive grants to our officers and directors, see “—Equity Incentive Plans.” We have not set aside or accrued any amount to provide pension, retirement or other similar benefits to our executive officers and directors. The full-time employees of our WFOE and our VIE are entitled to welfare benefits including medical insurance, basic pensions, unemployment insurance, work injury insurance, maternity insurance and housing funds. These entities are required to contribute to these benefits based on certain percentages of the employees’ salaries in accordance with the relevant regulations.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Equity Incentive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Global Equity Incentive Plan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In June 2020, our board of directors adopted and our shareholders approved our Global Equity Incentive Plan, or the Global Plan. The Global Plan became effective one business day prior to the date of this prospectus and no awards under the Global Plan were granted prior to such date. The Global Plan provides for the grant of incentive share options, within the meaning of Section 422 of the U.S. Internal Revenue Code of 1986, as amended, or the Code, to our employees and any of our parent and subsidiary corporations’ employees, and for the grant of nonstatutory share options, share appreciation rights, restricted shares, restricted share units, and performance awards to our employees, directors and consultants and our parent and subsidiary corporations’ employees and consultants.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Authorized Shares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The number of our ordinary shares reserved for issuance pursuant to the Global Plan is equal to (1) 16,000,000 ordinary shares plus (2) a number of ordinary shares equal to (a) the number of shares that were not granted under awards under our 2014 Plan as of the date the Global Plan became effective,</w:t>
      </w:r>
    </w:p>
    <w:p>
      <w:pPr>
        <w:jc w:val="both"/>
        <w:ind w:firstLine="8"/>
        <w:spacing w:after="0" w:line="268" w:lineRule="auto"/>
        <w:tabs>
          <w:tab w:leader="none" w:pos="283" w:val="left"/>
        </w:tabs>
        <w:numPr>
          <w:ilvl w:val="0"/>
          <w:numId w:val="81"/>
        </w:numPr>
        <w:rPr>
          <w:rFonts w:ascii="Arial" w:cs="Arial" w:eastAsia="Arial" w:hAnsi="Arial"/>
          <w:sz w:val="17"/>
          <w:szCs w:val="17"/>
          <w:color w:val="003082"/>
        </w:rPr>
      </w:pPr>
      <w:r>
        <w:rPr>
          <w:rFonts w:ascii="Arial" w:cs="Arial" w:eastAsia="Arial" w:hAnsi="Arial"/>
          <w:sz w:val="17"/>
          <w:szCs w:val="17"/>
          <w:color w:val="003082"/>
        </w:rPr>
        <w:t>the number of shares subject to awards granted under the 2014 Plan that after the date the Global Plan became effective are canceled, expire or otherwise terminate without having been exercised in full or would have otherwise become available again for grant under the 2014 Plan, and (c) the number of shares that, after the date the Global Plan became effective, are forfeited to us, tendered to or withheld by us for payment of an exercise price or for tax withholding, or repurchased by us due to failure to vest (provided that the maximum number of shares that may be added to the Global Plan pursuant to clause (2) is 400,000,000 shares) plus (3) any ordinary shares added to the Global Plan through the automatic annual increases described below. The shares may be authorized but unissued ordinary shares or ordinary shares issued and then reacquired by us. The maximum number of shares that may be issued upon the exercise of incentive share options will equal 200% of the aggregate share number described in this paragraph plus any shares that become available for issuance under the Global Plan as described below.</w:t>
      </w:r>
    </w:p>
    <w:p>
      <w:pPr>
        <w:spacing w:after="0" w:line="1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The number of ordinary shares available for issuance under the Global Plan will also include an automatic annual increase on the first day of each fiscal year beginning in 2022, equal to the least of:</w:t>
      </w:r>
    </w:p>
    <w:p>
      <w:pPr>
        <w:spacing w:after="0" w:line="116"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003082"/>
        </w:rPr>
      </w:pPr>
      <w:r>
        <w:rPr>
          <w:rFonts w:ascii="Arial" w:cs="Arial" w:eastAsia="Arial" w:hAnsi="Arial"/>
          <w:sz w:val="18"/>
          <w:szCs w:val="18"/>
          <w:color w:val="003082"/>
        </w:rPr>
        <w:t>30,000,000 shares;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2"/>
        </w:numPr>
        <w:rPr>
          <w:rFonts w:ascii="Arial" w:cs="Arial" w:eastAsia="Arial" w:hAnsi="Arial"/>
          <w:sz w:val="16"/>
          <w:szCs w:val="16"/>
          <w:color w:val="003082"/>
        </w:rPr>
      </w:pPr>
      <w:r>
        <w:rPr>
          <w:rFonts w:ascii="Arial" w:cs="Arial" w:eastAsia="Arial" w:hAnsi="Arial"/>
          <w:sz w:val="16"/>
          <w:szCs w:val="16"/>
          <w:color w:val="003082"/>
        </w:rPr>
        <w:t>3.5% of the total number of shares of all classes of our ordinary shares outstanding on the last day of our immediately preceding fiscal year; and</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82"/>
        </w:numPr>
        <w:rPr>
          <w:rFonts w:ascii="Arial" w:cs="Arial" w:eastAsia="Arial" w:hAnsi="Arial"/>
          <w:sz w:val="18"/>
          <w:szCs w:val="18"/>
          <w:color w:val="003082"/>
        </w:rPr>
      </w:pPr>
      <w:r>
        <w:rPr>
          <w:rFonts w:ascii="Arial" w:cs="Arial" w:eastAsia="Arial" w:hAnsi="Arial"/>
          <w:sz w:val="18"/>
          <w:szCs w:val="18"/>
          <w:color w:val="003082"/>
        </w:rPr>
        <w:t>such other amount as the administrator of the Global Plan may determine.</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If an option or share appreciation right expires or becomes unexercisable without having been exercised in full or is surrendered under an exchange program, the unissued shares subject to the option or share appreciation right will become available for future issuance under the Global Plan. Only shares actually issued pursuant to a share appreciation right (that is, the net shares issued) will cease to be available under the Global Plan; all remaining shares originally subject to the share appreciation right will remain available for future issuance under the Global Plan. Shares issued pursuant to awards of restricted shares, restricted share units, or share-settled performance awards that are reacquired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145</w:t>
      </w:r>
    </w:p>
    <w:p>
      <w:pPr>
        <w:sectPr>
          <w:pgSz w:w="11900" w:h="16838" w:orient="portrait"/>
          <w:cols w:equalWidth="0" w:num="1">
            <w:col w:w="11240"/>
          </w:cols>
          <w:pgMar w:left="320" w:top="341" w:right="339" w:bottom="1440" w:gutter="0" w:footer="0" w:header="0"/>
        </w:sectPr>
      </w:pPr>
    </w:p>
    <w:bookmarkStart w:id="150" w:name="page151"/>
    <w:bookmarkEnd w:id="150"/>
    <w:p>
      <w:pPr>
        <w:jc w:val="both"/>
        <w:spacing w:after="0" w:line="259" w:lineRule="auto"/>
        <w:rPr>
          <w:sz w:val="20"/>
          <w:szCs w:val="20"/>
          <w:color w:val="auto"/>
        </w:rPr>
      </w:pPr>
      <w:r>
        <w:rPr>
          <w:rFonts w:ascii="Arial" w:cs="Arial" w:eastAsia="Arial" w:hAnsi="Arial"/>
          <w:sz w:val="18"/>
          <w:szCs w:val="18"/>
          <w:color w:val="003082"/>
        </w:rPr>
        <w:t>by us due to failure to vest or are forfeited to us will become available for future issuance under the Global Plan. Shares used to pay the exercise price of an award or to satisfy tax withholdings related to an award will become available for future issuance under the Global Plan. If any portion of an award under the Global Plan is paid to a participant in cash rather than ordinary shares, that cash payment will not reduce the number of shares available for issuance under the Global Plan.</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In the discretion of the Global Plan’s administrator, ADSs in an amount equal to the number of shares which otherwise would be distributed pursuant to an award may be distributed in lieu of ordinary shares in settlement of any award. If the number of ordinary shares represented by an ADS is other than on a one-to-one basis, the limitations described above will be adjusted to reflect the distribution of ADSs in lieu of ordinary shares.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Plan Administration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Our board of directors or one or more committees appointed by our board of directors may administer the Global Plan. Our board of directors has delegated authority to administer the Global Plan to our compensation committee, which has full but non-exclusive authority to administer and interpret the terms of the Global Plan. To the extent permitted by applicable laws, the administrator may delegate to one or more officers the authority to grant awards to our employees or employees of any of our subsidiary companies who are not officers.</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Subject to the provisions of the Global Plan, the administrator has the power to make any determinations and perform any actions deemed necessary or advisable to administer the plan, including but not limited to, the power to interpret the terms of the Global Plan and make any decisions necessary to administer the Global Plan; to determine the fair market value of our ordinary shares; to approve forms of award agreement for use under the Global Plan; to select the service providers to whom awards are granted; to interpret, modify or amend each award granted under the Global Plan; to create, amend and revoke rules relating to the Global Plan, including rules relating to sub-plans; and to determine the terms and conditions of each award, including the exercise price, the number of shares subject to such award, when such award will vest and/or be exercisable, and the form of consideration, if any, payable upon exercise. The administrator also has the authority to institute and determine the terms and conditions of an exchange program by which (1) outstanding awards may be surrendered or canceled in exchange for awards of the same type (which may have a higher or lower exercise price or different terms), awards of a different type and/or cash; (2) participants have the opportunity to transfer outstanding awards to a financial institution or other person or entity selected by the administrator; and/or (3) the exercise price of an outstanding award is increased or reduced.</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Share Options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Share options may be granted under the Global Plan. The per share exercise price of options granted under the Global Plan must at least be equal to the fair market value of an ordinary share on the date of grant. The term of an incentive share option may not exceed 10 years. However, with respect to an incentive share option granted to any participant who owns more than 10% of the voting power of all classes of our outstanding shares, the term must not exceed five years and the per share exercise price must equal at least 110% of the fair market value of an ordinary share on the grant date. The administrator determines the methods of payment of the exercise price of an option, which may include cash, shares or other property acceptable to the administrator, as well as other types of consideration permitted by applicable law. After the termination of service of a participant, he or she may exercise his or her option for the period of time stated in his or her option agreement. In addition, if exercising an option before its expiration is not permitted because of applicable laws, other than the rules of any stock exchange or quotation system on which our ordinary shares are listed or quoted, the option will remain exercisable until 30 days after the first date on which exercise no longer would be prevented by such provisions (or such longer period in accordance with applicable laws). However, in no event may an option be exercised after the expiration of its term. Subject to the provisions of the Global Plan, the administrator determines the other terms of options.</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Share Appreciation Rights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Share appreciation rights may be granted under the Global Plan. Share appreciation rights allow the recipient to receive the appreciation in the fair market value of the underlying ordinary shares between the exercise date and the date of grant. Subject to the provisions of the Global Plan, the administrator determines the other terms of share appreciation rights, including when such rights become exercisable and whether to pay any increased appreciation 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146</w:t>
      </w:r>
    </w:p>
    <w:p>
      <w:pPr>
        <w:sectPr>
          <w:pgSz w:w="11900" w:h="16838" w:orient="portrait"/>
          <w:cols w:equalWidth="0" w:num="1">
            <w:col w:w="11240"/>
          </w:cols>
          <w:pgMar w:left="320" w:top="341" w:right="339" w:bottom="1440" w:gutter="0" w:footer="0" w:header="0"/>
        </w:sectPr>
      </w:pPr>
    </w:p>
    <w:bookmarkStart w:id="151" w:name="page152"/>
    <w:bookmarkEnd w:id="151"/>
    <w:p>
      <w:pPr>
        <w:jc w:val="both"/>
        <w:spacing w:after="0" w:line="254" w:lineRule="auto"/>
        <w:rPr>
          <w:sz w:val="20"/>
          <w:szCs w:val="20"/>
          <w:color w:val="auto"/>
        </w:rPr>
      </w:pPr>
      <w:r>
        <w:rPr>
          <w:rFonts w:ascii="Arial" w:cs="Arial" w:eastAsia="Arial" w:hAnsi="Arial"/>
          <w:sz w:val="18"/>
          <w:szCs w:val="18"/>
          <w:color w:val="003082"/>
        </w:rPr>
        <w:t>cash or with our ordinary shares, or a combination thereof, except that the per share exercise price of a share appreciation right granted to a U.S. taxpayer will be no less than 100% of the fair market value per share on the date of grant. After the termination of service of a participant, he or she may exercise his or her share appreciation right for the period of time stated in his or her share appreciation right agreement. In addition, if exercising a share appreciation right before its expiration is not permitted because of applicable laws, other than the rules of any stock exchange or quotation system on which the ordinary shares are listed or quoted, the share appreciation right will remain exercisable until 30 days after the first date on which exercise no longer would be prevented by such provisions (or such longer period in accordance with applicable law). However, in no event may a share appreciation right be exercised after the expiration of its term.</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Restricted Shares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Restricted shares may be granted under the Global Plan. Restricted shares are ordinary shares that vest in accordance with terms and conditions established by the administrator. The administrator determines the number of restricted shares granted to any eligible employee, director or consultant and, subject to the provisions of the Global Plan, determines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share awards generally will not have voting and dividend rights with respect to such shares upon grant without regard to vesting, unless the administrator provides otherwise. Restricted shares that do not vest are subject to our right of repurchase or forfeiture.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Restricted Share Units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Restricted share units may be granted under the Global Plan. Restricted share units are bookkeeping entries that each represent an amount equal to the fair market value of an ordinary share. Subject to the provisions of the Global Plan, the administrator determines the terms and conditions of restricted share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Performance Awards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Performance awards may be granted under the Global Plan. Performance awards are awards of options, share appreciation rights, restricted shares or restricted share units that will result in a payment to a participant only if the performance goals or other vesting criteria established by the administrator are achieved or the awards otherwise vest. After the grant of a performance award, the administrator, in its sole discretion, may reduce or waive any performance criteria or other vesting provisions for such options, share appreciation rights, restricted shares or restricted share units. The administrator, in its sole discretion, may pay earned performance awards in the form of cash, in shares or in some combination thereof.</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Outside Directors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Global Plan provides that all non-employee directors are eligible to receive all types of awards, except for incentive share options, under the Global Plan.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Non-Transferability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Unless the administrator provides otherwise, the Global Plan generally does not allow for the transfer of awards and only the recipient of an award may exercise an award during his or her lifetime.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Certain Adjustments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the event of certain changes in our capitalization, to prevent diminution or enlargement of the benefits or potential benefits available under the Global Plan, the administrator will adjust the number and class of shares that may be delivered under the Global Plan and the number, class, and price of shares covered by each outstanding award, and the numerical share limits in the Global Plan.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147</w:t>
      </w:r>
    </w:p>
    <w:p>
      <w:pPr>
        <w:sectPr>
          <w:pgSz w:w="11900" w:h="16838" w:orient="portrait"/>
          <w:cols w:equalWidth="0" w:num="1">
            <w:col w:w="11240"/>
          </w:cols>
          <w:pgMar w:left="320" w:top="341" w:right="339" w:bottom="1440" w:gutter="0" w:footer="0" w:header="0"/>
        </w:sectPr>
      </w:pPr>
    </w:p>
    <w:bookmarkStart w:id="152" w:name="page153"/>
    <w:bookmarkEnd w:id="152"/>
    <w:p>
      <w:pPr>
        <w:ind w:left="340"/>
        <w:spacing w:after="0"/>
        <w:rPr>
          <w:sz w:val="20"/>
          <w:szCs w:val="20"/>
          <w:color w:val="auto"/>
        </w:rPr>
      </w:pPr>
      <w:r>
        <w:rPr>
          <w:rFonts w:ascii="Arial" w:cs="Arial" w:eastAsia="Arial" w:hAnsi="Arial"/>
          <w:sz w:val="18"/>
          <w:szCs w:val="18"/>
          <w:i w:val="1"/>
          <w:iCs w:val="1"/>
          <w:color w:val="003082"/>
        </w:rPr>
        <w:t>Dissolution or Liquidation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In the event of our proposed liquidation or dissolution, the administrator will notify participants at such time before the effective date of such proposed transaction as the administrator determines, and all awards will terminate immediately before the consummation of such proposed transaction.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Merger or Change in Control</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Global Plan provides that, in the event of a “change in control” (as defined in the Global Plan) or a merger, each outstanding award will be treated as the administrator determines.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change in control or merger.</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If a successor corporation does not continue an award (or some portion of such award), then the participant will vest in (and have the right to exercise) shares subject to the award that would have vested by its terms through the date 12 months following the change in control or merger. Any other awards not vested under the previous sentence will terminate upon the change in control or merger if not continued by the successor corporation. If options or share appreciation rights are not continued when a change in control or a merger occurs, the administrator will notify the participant in writing or electronically that the participant’s vested options or share appreciation rights will be exercisable for a period of time determined by the administrator in its sole discretion and all of the participant’s options or share appreciation rights will terminate upon the expiration of such period (whether vested or unvested).</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With respect to awards granted to an outside director, in the event of a change in control, such outside director’s options and share appreciation rights, if any, will fully vest and become exercisable, all restrictions on his or her other outstanding awards will lapse, and for his or her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us and such outside director that specifically references this default treatment under the Global Plan.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Clawback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All awards granted under the Global Plan will be subject to recoupment under any clawback policy that we are required to adopt pursuant to the listing standards of any national securities exchange or association on which our securities are listed or as is otherwise required by the applicable laws. In addition, the administrator may impose such other clawback, recovery or recoupment provisions in an award agreement as the administrator determines necessary or appropriate.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If we are required to prepare an accounting restatement due to our material noncompliance, as a result of misconduct, with any financial reporting requirement under securities laws, any participant who (1) knowingly or through gross negligence engaged in the misconduct or who knowingly or through gross negligence failed to prevent the misconduct or (2) is one of the individuals subject to automatic forfeiture under Section 304 of the Sarbanes-Oxley Act of 2002, must reimburse us the amount of any payment in settlement of an award earned or accrued during the 12-month period following the first public issuance or filing with the SEC (whichever first occurred) of the financial document embodying such financial reporting requirement.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Amendment; Termination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board or compensation committee of the board has the authority to amend, suspend or terminate the Global Plan, except that such action may not materially impair the existing rights of any participant with a signed, written agreement between the participant and us, subject to certain exceptions in the Global Plan. The Global Plan will automatically terminate in 2030, unless we terminate it sooner.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148</w:t>
      </w:r>
    </w:p>
    <w:p>
      <w:pPr>
        <w:sectPr>
          <w:pgSz w:w="11900" w:h="16838" w:orient="portrait"/>
          <w:cols w:equalWidth="0" w:num="1">
            <w:col w:w="11240"/>
          </w:cols>
          <w:pgMar w:left="320" w:top="449" w:right="339" w:bottom="1440" w:gutter="0" w:footer="0" w:header="0"/>
        </w:sectPr>
      </w:pPr>
    </w:p>
    <w:bookmarkStart w:id="153" w:name="page154"/>
    <w:bookmarkEnd w:id="153"/>
    <w:p>
      <w:pPr>
        <w:ind w:left="340"/>
        <w:spacing w:after="0"/>
        <w:rPr>
          <w:sz w:val="20"/>
          <w:szCs w:val="20"/>
          <w:color w:val="auto"/>
        </w:rPr>
      </w:pPr>
      <w:r>
        <w:rPr>
          <w:rFonts w:ascii="Arial" w:cs="Arial" w:eastAsia="Arial" w:hAnsi="Arial"/>
          <w:sz w:val="18"/>
          <w:szCs w:val="18"/>
          <w:b w:val="1"/>
          <w:bCs w:val="1"/>
          <w:i w:val="1"/>
          <w:iCs w:val="1"/>
          <w:color w:val="003082"/>
        </w:rPr>
        <w:t>Employee Stock Purchase Plan</w:t>
      </w:r>
    </w:p>
    <w:p>
      <w:pPr>
        <w:spacing w:after="0" w:line="17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003082"/>
        </w:rPr>
        <w:t>In June 2020, our board of directors adopted and our shareholders approved our Employee Stock Purchase Plan, or the ESPP. We believe that allowing our employees to participate in the ESPP will provide them with a further incentive towards promoting our success and accomplishing our corporate goals.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Authorized Shares</w:t>
      </w:r>
    </w:p>
    <w:p>
      <w:pPr>
        <w:spacing w:after="0" w:line="17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003082"/>
        </w:rPr>
        <w:t>A total of 3,000,000 of our ordinary shares are available for sale under the ESPP. The number of our ordinary shares that will be available for sale under the ESPP also includes an annual increase on the first day of each fiscal year beginning with our 2022 fiscal year, equal to the least of:</w:t>
      </w:r>
    </w:p>
    <w:p>
      <w:pPr>
        <w:spacing w:after="0" w:line="92"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003082"/>
        </w:rPr>
      </w:pPr>
      <w:r>
        <w:rPr>
          <w:rFonts w:ascii="Arial" w:cs="Arial" w:eastAsia="Arial" w:hAnsi="Arial"/>
          <w:sz w:val="18"/>
          <w:szCs w:val="18"/>
          <w:color w:val="003082"/>
        </w:rPr>
        <w:t>6,000,000 shares;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3"/>
        </w:numPr>
        <w:rPr>
          <w:rFonts w:ascii="Arial" w:cs="Arial" w:eastAsia="Arial" w:hAnsi="Arial"/>
          <w:sz w:val="18"/>
          <w:szCs w:val="18"/>
          <w:color w:val="003082"/>
        </w:rPr>
      </w:pPr>
      <w:r>
        <w:rPr>
          <w:rFonts w:ascii="Arial" w:cs="Arial" w:eastAsia="Arial" w:hAnsi="Arial"/>
          <w:sz w:val="18"/>
          <w:szCs w:val="18"/>
          <w:color w:val="003082"/>
        </w:rPr>
        <w:t>0.5% of our outstanding ordinary shares as of the last day of the immediately preceding fiscal year;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3"/>
        </w:numPr>
        <w:rPr>
          <w:rFonts w:ascii="Arial" w:cs="Arial" w:eastAsia="Arial" w:hAnsi="Arial"/>
          <w:sz w:val="18"/>
          <w:szCs w:val="18"/>
          <w:color w:val="003082"/>
        </w:rPr>
      </w:pPr>
      <w:r>
        <w:rPr>
          <w:rFonts w:ascii="Arial" w:cs="Arial" w:eastAsia="Arial" w:hAnsi="Arial"/>
          <w:sz w:val="18"/>
          <w:szCs w:val="18"/>
          <w:color w:val="003082"/>
        </w:rPr>
        <w:t>such other amount as the administrator may determine.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In the discretion of the administrator, ADSs in an amount equal to the number of ordinary shares which otherwise would be distributed pursuant to the ESPP may be distributed in lieu of ordinary shares in settlement of any exercise of an option under the ESPP. If the number of ordinary shares represented by an ADS is other than on a one-to-one basis, the limitations described above will be adjusted to reflect the distribution of ADSs in lieu of ordinary shares. If ADSs are distributed in lieu of ordinary shares, all references to ordinary shares under the ESPP will also apply to ADSs.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Administration</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Our board of directors or one or more committees appointed by our board of directors may administer the ESPP. Our board of directors has delegated authority to administer the ESPP to our compensation committee, which has full but non-exclusive authority to administer and interpret the terms of the ESPP. The administrator has full and exclusive discretionary authority to construe, interpret and apply the terms of the ESPP,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Eligibility</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Generally, all of our employees are eligible to participate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However, an employee may not be granted rights to purchase ordinary shares under the ESPP if such employee:</w:t>
      </w:r>
    </w:p>
    <w:p>
      <w:pPr>
        <w:spacing w:after="0" w:line="171" w:lineRule="exact"/>
        <w:rPr>
          <w:sz w:val="20"/>
          <w:szCs w:val="20"/>
          <w:color w:val="auto"/>
        </w:rPr>
      </w:pPr>
    </w:p>
    <w:p>
      <w:pPr>
        <w:ind w:left="660" w:right="20" w:hanging="328"/>
        <w:spacing w:after="0" w:line="277" w:lineRule="auto"/>
        <w:tabs>
          <w:tab w:leader="none" w:pos="660" w:val="left"/>
        </w:tabs>
        <w:numPr>
          <w:ilvl w:val="0"/>
          <w:numId w:val="84"/>
        </w:numPr>
        <w:rPr>
          <w:rFonts w:ascii="Arial" w:cs="Arial" w:eastAsia="Arial" w:hAnsi="Arial"/>
          <w:sz w:val="18"/>
          <w:szCs w:val="18"/>
          <w:color w:val="003082"/>
        </w:rPr>
      </w:pPr>
      <w:r>
        <w:rPr>
          <w:rFonts w:ascii="Arial" w:cs="Arial" w:eastAsia="Arial" w:hAnsi="Arial"/>
          <w:sz w:val="18"/>
          <w:szCs w:val="18"/>
          <w:color w:val="003082"/>
        </w:rPr>
        <w:t>immediately after the grant would own capital shares and/or hold outstanding options to purchase such shares possessing 5% or more of the total combined voting power or value of all classes of capital shares of ours or of any parent or subsidiary of ours; or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149</w:t>
      </w:r>
    </w:p>
    <w:p>
      <w:pPr>
        <w:sectPr>
          <w:pgSz w:w="11900" w:h="16838" w:orient="portrait"/>
          <w:cols w:equalWidth="0" w:num="1">
            <w:col w:w="11240"/>
          </w:cols>
          <w:pgMar w:left="320" w:top="449" w:right="339" w:bottom="1440" w:gutter="0" w:footer="0" w:header="0"/>
        </w:sectPr>
      </w:pPr>
    </w:p>
    <w:bookmarkStart w:id="154" w:name="page155"/>
    <w:bookmarkEnd w:id="154"/>
    <w:p>
      <w:pPr>
        <w:ind w:left="660" w:hanging="328"/>
        <w:spacing w:after="0" w:line="308" w:lineRule="auto"/>
        <w:tabs>
          <w:tab w:leader="none" w:pos="660" w:val="left"/>
        </w:tabs>
        <w:numPr>
          <w:ilvl w:val="0"/>
          <w:numId w:val="85"/>
        </w:numPr>
        <w:rPr>
          <w:rFonts w:ascii="Arial" w:cs="Arial" w:eastAsia="Arial" w:hAnsi="Arial"/>
          <w:sz w:val="17"/>
          <w:szCs w:val="17"/>
          <w:color w:val="003082"/>
        </w:rPr>
      </w:pPr>
      <w:r>
        <w:rPr>
          <w:rFonts w:ascii="Arial" w:cs="Arial" w:eastAsia="Arial" w:hAnsi="Arial"/>
          <w:sz w:val="17"/>
          <w:szCs w:val="17"/>
          <w:color w:val="003082"/>
        </w:rPr>
        <w:t>holds rights to purchase ordinary shares under all employee share purchase plans of ours or any parent or subsidiary of ours that accrue at a rate that exceeds US$25,000 worth of ordinary shares for each calendar year in which such rights are outstanding at any time.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Offering Periods</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003082"/>
        </w:rPr>
        <w:t>The ESPP includes a component that allows us to make offerings intended to qualify under Section 423 of the Code and a component that allows us to make offerings not intended to qualify under Section 423 of the Code to designated companies, as described in the ESPP. The ESPP provides for consecutive 6</w:t>
      </w:r>
      <w:r>
        <w:rPr>
          <w:rFonts w:ascii="MS PGothic" w:cs="MS PGothic" w:eastAsia="MS PGothic" w:hAnsi="MS PGothic"/>
          <w:sz w:val="18"/>
          <w:szCs w:val="18"/>
          <w:color w:val="003082"/>
        </w:rPr>
        <w:t>‑</w:t>
      </w:r>
      <w:r>
        <w:rPr>
          <w:rFonts w:ascii="Arial" w:cs="Arial" w:eastAsia="Arial" w:hAnsi="Arial"/>
          <w:sz w:val="18"/>
          <w:szCs w:val="18"/>
          <w:color w:val="003082"/>
        </w:rPr>
        <w:t>month offering periods that will be determined by the administrator on a uniform and nondiscriminatory basis before the first day of an offering period for all options to be granted in such offering period.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Contributions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 ESPP permits participants to purchase our ordinary shares through contributions (in the form of payroll deductions or otherwise to the extent permitted by the administrator) of up to 15% (or such other limit established by the administrator on a uniform and nondiscretionary basis for all options to be granted in an offering period) of their eligible compensation, which means a participant’s base straight time gross earnings but exclusive of payments for incentive compensation, bonuses, commissions, payments for overtime and shift premium, equity compensation income and other similar compensation. Unless otherwise determined by the administrator, a participant may not change the rate of his or her contributions during an offering period.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Exercise of Purchase Right</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Amounts contributed and accumulated by the participant will be used to purchase ordinary shares at the end of each offering period. Unless otherwise determined by the administrator, a participant may purchase a maximum of 10,000 ordinary shares during an offering period. The purchase price of the shares will be determined by the administrator on a uniform and nondiscriminatory basis for all options to be granted in an offering period and will not be less than 85% of the lower of the fair market value of an ordinary share on the first trading day of the offering period or the fair market value of an ordinary share on the exercise date. Participants may end their participation at any time during an offering period and will be paid their accrued contributions that have not yet been used to purchase ordinary shares. Participation ends automatically upon termination of employment with us.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Non-Transferability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A participant may not transfer contributions credited to his or her account nor any rights granted under the ESPP other than by will, the laws of descent and distribution or as otherwise provided under the ESPP.</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Certain Adjustments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the event of certain changes in our capitalization, to prevent diminution or enlargement of the benefits or potential benefits available under the ESPP, the administrator will adjust the number and class of shares that may be delivered under the ESPP and the number and price of shares covered by each outstanding option under the ESPP, and the numerical share limits in the ESPP.</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Dissolution or Liquidation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the event of our proposed liquidation or dissolution, any offering period then in progress will be shortened by setting a new exercise date and will terminate immediately before the consummation of such proposed dissolution or liquidation, unless provided otherwise by the administrator. The administrator will notify each participant in writing or electronically, before the new exercise date, that the exercise date for the participant’s option has been changed to the new exercise date and that the participant’s option will be exercised automatically on the new exercise date, unless before such date the participant has withdrawn from the offering period.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150</w:t>
      </w:r>
    </w:p>
    <w:p>
      <w:pPr>
        <w:sectPr>
          <w:pgSz w:w="11900" w:h="16838" w:orient="portrait"/>
          <w:cols w:equalWidth="0" w:num="1">
            <w:col w:w="11240"/>
          </w:cols>
          <w:pgMar w:left="320" w:top="341" w:right="339" w:bottom="1440" w:gutter="0" w:footer="0" w:header="0"/>
        </w:sectPr>
      </w:pPr>
    </w:p>
    <w:bookmarkStart w:id="155" w:name="page156"/>
    <w:bookmarkEnd w:id="155"/>
    <w:p>
      <w:pPr>
        <w:ind w:left="340"/>
        <w:spacing w:after="0"/>
        <w:rPr>
          <w:sz w:val="20"/>
          <w:szCs w:val="20"/>
          <w:color w:val="auto"/>
        </w:rPr>
      </w:pPr>
      <w:r>
        <w:rPr>
          <w:rFonts w:ascii="Arial" w:cs="Arial" w:eastAsia="Arial" w:hAnsi="Arial"/>
          <w:sz w:val="18"/>
          <w:szCs w:val="18"/>
          <w:i w:val="1"/>
          <w:iCs w:val="1"/>
          <w:color w:val="003082"/>
        </w:rPr>
        <w:t>Merger or Change in Control</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ESPP provides that, in the event of a “change in control” (as defined in the ESPP) or a merger, a 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Amendment; Termination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administrator has the authority to amend, suspend or terminate the ESPP. The ESPP will automatically terminate in 2040, unless we terminate it sooner.</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2014 Equity Incentive Plan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2014 Plan was originally adopted in August 2014 to attract and retain the best available personnel, provide additional incentives to employees, directors and consultants, and promote the success of our business. The 2014 Plan was most recently amended in February 2020. The maximum aggregate number of our ordinary shares reserved for issuance pursuant to the 2014 Plan is equal to 41,541,963, subject to certain adjustments as provided for in the 2014 Plan. As of May 31, 2020, 40,825,928 options have been granted and are outstanding under the 2014 Plan.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paragraphs describe the principal terms of the 2014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Types of Awards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2014 Plan allows us to grant incentive share options, nonstatutory share options, share appreciation rights, restricted share awards and restricted share units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Administration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2014 Plan is administered by a committee of our board of directors. Different committees may administer the 2014 Plan with respect to different service providers. The administrator has all authority and discretion necessary or appropriate to administer the 2014 Plan and to control its operation, including the authority to construe and interpret the terms of the 2014 Plan and the awards granted under the 2014 Plan.</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Eligibility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may grant awards to employees, consultants and directors of ours and any parent or subsidiary of ours.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Vesting Schedule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Subject to modification by the plan administrator, an option granted under the 2014 Plan has a contractual term of ten years from the 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Transfer Restrictions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Unless determined otherwise by the administrator, awards may not be sold, pledged, assigned, 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(3) to an entity or individual acceptable to the Administrator and such transfer will not have adverse accounting consequences, or (4) as permitted by Rule 701 of the Securities Act.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151</w:t>
      </w:r>
    </w:p>
    <w:p>
      <w:pPr>
        <w:sectPr>
          <w:pgSz w:w="11900" w:h="16838" w:orient="portrait"/>
          <w:cols w:equalWidth="0" w:num="1">
            <w:col w:w="11240"/>
          </w:cols>
          <w:pgMar w:left="320" w:top="449" w:right="339" w:bottom="1440" w:gutter="0" w:footer="0" w:header="0"/>
        </w:sectPr>
      </w:pPr>
    </w:p>
    <w:bookmarkStart w:id="156" w:name="page157"/>
    <w:bookmarkEnd w:id="156"/>
    <w:p>
      <w:pPr>
        <w:ind w:left="340"/>
        <w:spacing w:after="0"/>
        <w:rPr>
          <w:sz w:val="20"/>
          <w:szCs w:val="20"/>
          <w:color w:val="auto"/>
        </w:rPr>
      </w:pPr>
      <w:r>
        <w:rPr>
          <w:rFonts w:ascii="Arial" w:cs="Arial" w:eastAsia="Arial" w:hAnsi="Arial"/>
          <w:sz w:val="18"/>
          <w:szCs w:val="18"/>
          <w:i w:val="1"/>
          <w:iCs w:val="1"/>
          <w:color w:val="003082"/>
        </w:rPr>
        <w:t>Amendment; Termination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Our board of directors may, at any time, terminate or amend the 2014 Plan in any respect, including, without limitation, amendment of any form of award agreement or instrument to be executed pursuant to the 2014 Plan. To the extent necessary and desirable to comply with applicable laws, we will obtain shareholder approval of any amendment to the 2014 Plan. No amendment or alteration of the 2014 Plan may impair the rights of a participant, unless mutually agreed otherwise between the participant and the administrator in writing.</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following table summarizes, as of the date of this prospectus, the outstanding awards granted under the 2014 Plan to our directors and executive officers, excluding awards that were exercised, forfeited or canceled after the relevant grant dates.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082"/>
                <w:w w:val="96"/>
              </w:rPr>
              <w:t>Number of Ordinary</w:t>
            </w: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03082"/>
                <w:w w:val="89"/>
              </w:rPr>
              <w:t>Exercise Price</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003082"/>
              </w:rPr>
              <w:t>Name</w:t>
            </w:r>
          </w:p>
        </w:tc>
        <w:tc>
          <w:tcPr>
            <w:tcW w:w="120" w:type="dxa"/>
            <w:vAlign w:val="bottom"/>
            <w:vMerge w:val="restart"/>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2"/>
              </w:rPr>
              <w:t>Shares Underlying</w:t>
            </w:r>
          </w:p>
        </w:tc>
        <w:tc>
          <w:tcPr>
            <w:tcW w:w="1800" w:type="dxa"/>
            <w:vAlign w:val="bottom"/>
            <w:gridSpan w:val="2"/>
            <w:vMerge w:val="continue"/>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4"/>
              </w:rPr>
              <w:t>Date of Grant</w:t>
            </w:r>
          </w:p>
        </w:tc>
        <w:tc>
          <w:tcPr>
            <w:tcW w:w="100" w:type="dxa"/>
            <w:vAlign w:val="bottom"/>
            <w:vMerge w:val="restart"/>
          </w:tcPr>
          <w:p>
            <w:pPr>
              <w:spacing w:after="0"/>
              <w:rPr>
                <w:sz w:val="12"/>
                <w:szCs w:val="12"/>
                <w:color w:val="auto"/>
              </w:rPr>
            </w:pPr>
          </w:p>
        </w:tc>
        <w:tc>
          <w:tcPr>
            <w:tcW w:w="1680" w:type="dxa"/>
            <w:vAlign w:val="bottom"/>
            <w:vMerge w:val="restart"/>
          </w:tcPr>
          <w:p>
            <w:pPr>
              <w:ind w:left="280"/>
              <w:spacing w:after="0"/>
              <w:rPr>
                <w:sz w:val="20"/>
                <w:szCs w:val="20"/>
                <w:color w:val="auto"/>
              </w:rPr>
            </w:pPr>
            <w:r>
              <w:rPr>
                <w:rFonts w:ascii="Arial" w:cs="Arial" w:eastAsia="Arial" w:hAnsi="Arial"/>
                <w:sz w:val="14"/>
                <w:szCs w:val="14"/>
                <w:b w:val="1"/>
                <w:bCs w:val="1"/>
                <w:color w:val="003082"/>
              </w:rPr>
              <w:t>Date of Expiration</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3D5588"/>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0"/>
              </w:rPr>
              <w:t>Options</w:t>
            </w:r>
          </w:p>
        </w:tc>
        <w:tc>
          <w:tcPr>
            <w:tcW w:w="120" w:type="dxa"/>
            <w:vAlign w:val="bottom"/>
            <w:tcBorders>
              <w:bottom w:val="single" w:sz="8" w:color="auto"/>
            </w:tcBorders>
          </w:tcPr>
          <w:p>
            <w:pPr>
              <w:spacing w:after="0"/>
              <w:rPr>
                <w:sz w:val="16"/>
                <w:szCs w:val="16"/>
                <w:color w:val="auto"/>
              </w:rPr>
            </w:pPr>
          </w:p>
        </w:tc>
        <w:tc>
          <w:tcPr>
            <w:tcW w:w="170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3"/>
              </w:rPr>
              <w:t>(US$/Share)</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3D5588"/>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3D558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003082"/>
              </w:rPr>
              <w:t>Sheng (Shawn) Zhong</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3"/>
              </w:rPr>
              <w:t>US$0.10</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003082"/>
                <w:w w:val="92"/>
              </w:rPr>
              <w:t>March 30, 2018</w:t>
            </w:r>
          </w:p>
        </w:tc>
        <w:tc>
          <w:tcPr>
            <w:tcW w:w="1680" w:type="dxa"/>
            <w:vAlign w:val="bottom"/>
            <w:shd w:val="clear" w:color="auto" w:fill="CCEEFF"/>
          </w:tcPr>
          <w:p>
            <w:pPr>
              <w:ind w:left="280"/>
              <w:spacing w:after="0"/>
              <w:rPr>
                <w:sz w:val="20"/>
                <w:szCs w:val="20"/>
                <w:color w:val="auto"/>
              </w:rPr>
            </w:pPr>
            <w:r>
              <w:rPr>
                <w:rFonts w:ascii="Arial" w:cs="Arial" w:eastAsia="Arial" w:hAnsi="Arial"/>
                <w:sz w:val="15"/>
                <w:szCs w:val="15"/>
                <w:color w:val="003082"/>
              </w:rPr>
              <w:t>February 29, 2028</w:t>
            </w:r>
          </w:p>
        </w:tc>
        <w:tc>
          <w:tcPr>
            <w:tcW w:w="0" w:type="dxa"/>
            <w:vAlign w:val="bottom"/>
          </w:tcPr>
          <w:p>
            <w:pPr>
              <w:spacing w:after="0"/>
              <w:rPr>
                <w:sz w:val="1"/>
                <w:szCs w:val="1"/>
                <w:color w:val="auto"/>
              </w:rPr>
            </w:pPr>
          </w:p>
        </w:tc>
      </w:tr>
      <w:tr>
        <w:trPr>
          <w:trHeight w:val="266"/>
        </w:trPr>
        <w:tc>
          <w:tcPr>
            <w:tcW w:w="4180" w:type="dxa"/>
            <w:vAlign w:val="bottom"/>
            <w:gridSpan w:val="2"/>
          </w:tcPr>
          <w:p>
            <w:pPr>
              <w:ind w:left="40"/>
              <w:spacing w:after="0"/>
              <w:rPr>
                <w:sz w:val="20"/>
                <w:szCs w:val="20"/>
                <w:color w:val="auto"/>
              </w:rPr>
            </w:pPr>
            <w:r>
              <w:rPr>
                <w:rFonts w:ascii="Arial" w:cs="Arial" w:eastAsia="Arial" w:hAnsi="Arial"/>
                <w:sz w:val="18"/>
                <w:szCs w:val="18"/>
                <w:color w:val="003082"/>
              </w:rPr>
              <w:t>Regev (Reggie) Yativ</w:t>
            </w:r>
          </w:p>
        </w:tc>
        <w:tc>
          <w:tcPr>
            <w:tcW w:w="1680" w:type="dxa"/>
            <w:vAlign w:val="bottom"/>
          </w:tcPr>
          <w:p>
            <w:pPr>
              <w:jc w:val="center"/>
              <w:spacing w:after="0"/>
              <w:rPr>
                <w:sz w:val="20"/>
                <w:szCs w:val="20"/>
                <w:color w:val="auto"/>
              </w:rPr>
            </w:pPr>
            <w:r>
              <w:rPr>
                <w:rFonts w:ascii="Arial" w:cs="Arial" w:eastAsia="Arial" w:hAnsi="Arial"/>
                <w:sz w:val="16"/>
                <w:szCs w:val="16"/>
                <w:color w:val="003082"/>
              </w:rPr>
              <w:t>*</w:t>
            </w:r>
          </w:p>
        </w:tc>
        <w:tc>
          <w:tcPr>
            <w:tcW w:w="120" w:type="dxa"/>
            <w:vAlign w:val="bottom"/>
          </w:tcPr>
          <w:p>
            <w:pPr>
              <w:spacing w:after="0"/>
              <w:rPr>
                <w:sz w:val="23"/>
                <w:szCs w:val="23"/>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003082"/>
                <w:w w:val="93"/>
              </w:rPr>
              <w:t>US$0.10</w:t>
            </w:r>
          </w:p>
        </w:tc>
        <w:tc>
          <w:tcPr>
            <w:tcW w:w="1780" w:type="dxa"/>
            <w:vAlign w:val="bottom"/>
            <w:gridSpan w:val="2"/>
          </w:tcPr>
          <w:p>
            <w:pPr>
              <w:jc w:val="center"/>
              <w:ind w:right="100"/>
              <w:spacing w:after="0"/>
              <w:rPr>
                <w:sz w:val="20"/>
                <w:szCs w:val="20"/>
                <w:color w:val="auto"/>
              </w:rPr>
            </w:pPr>
            <w:r>
              <w:rPr>
                <w:rFonts w:ascii="Arial" w:cs="Arial" w:eastAsia="Arial" w:hAnsi="Arial"/>
                <w:sz w:val="15"/>
                <w:szCs w:val="15"/>
                <w:color w:val="003082"/>
                <w:w w:val="92"/>
              </w:rPr>
              <w:t>March 30, 2018</w:t>
            </w:r>
          </w:p>
        </w:tc>
        <w:tc>
          <w:tcPr>
            <w:tcW w:w="1680" w:type="dxa"/>
            <w:vAlign w:val="bottom"/>
          </w:tcPr>
          <w:p>
            <w:pPr>
              <w:ind w:left="280"/>
              <w:spacing w:after="0"/>
              <w:rPr>
                <w:sz w:val="20"/>
                <w:szCs w:val="20"/>
                <w:color w:val="auto"/>
              </w:rPr>
            </w:pPr>
            <w:r>
              <w:rPr>
                <w:rFonts w:ascii="Arial" w:cs="Arial" w:eastAsia="Arial" w:hAnsi="Arial"/>
                <w:sz w:val="15"/>
                <w:szCs w:val="15"/>
                <w:color w:val="003082"/>
              </w:rPr>
              <w:t>February 29, 2028</w:t>
            </w:r>
          </w:p>
        </w:tc>
        <w:tc>
          <w:tcPr>
            <w:tcW w:w="0" w:type="dxa"/>
            <w:vAlign w:val="bottom"/>
          </w:tcPr>
          <w:p>
            <w:pPr>
              <w:spacing w:after="0"/>
              <w:rPr>
                <w:sz w:val="1"/>
                <w:szCs w:val="1"/>
                <w:color w:val="auto"/>
              </w:rPr>
            </w:pPr>
          </w:p>
        </w:tc>
      </w:tr>
      <w:tr>
        <w:trPr>
          <w:trHeight w:val="274"/>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003082"/>
              </w:rPr>
              <w:t>Jingbo Wang</w:t>
            </w:r>
          </w:p>
        </w:tc>
        <w:tc>
          <w:tcPr>
            <w:tcW w:w="1680" w:type="dxa"/>
            <w:vAlign w:val="bottom"/>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3"/>
              </w:rPr>
              <w:t>US$0.10</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003082"/>
                <w:w w:val="91"/>
              </w:rPr>
              <w:t>February 12, 2020</w:t>
            </w:r>
          </w:p>
        </w:tc>
        <w:tc>
          <w:tcPr>
            <w:tcW w:w="1680" w:type="dxa"/>
            <w:vAlign w:val="bottom"/>
            <w:shd w:val="clear" w:color="auto" w:fill="CCEEFF"/>
          </w:tcPr>
          <w:p>
            <w:pPr>
              <w:ind w:left="280"/>
              <w:spacing w:after="0"/>
              <w:rPr>
                <w:sz w:val="20"/>
                <w:szCs w:val="20"/>
                <w:color w:val="auto"/>
              </w:rPr>
            </w:pPr>
            <w:r>
              <w:rPr>
                <w:rFonts w:ascii="Arial" w:cs="Arial" w:eastAsia="Arial" w:hAnsi="Arial"/>
                <w:sz w:val="15"/>
                <w:szCs w:val="15"/>
                <w:color w:val="003082"/>
              </w:rPr>
              <w:t>February 11, 2030</w:t>
            </w:r>
          </w:p>
        </w:tc>
        <w:tc>
          <w:tcPr>
            <w:tcW w:w="0" w:type="dxa"/>
            <w:vAlign w:val="bottom"/>
          </w:tcPr>
          <w:p>
            <w:pPr>
              <w:spacing w:after="0"/>
              <w:rPr>
                <w:sz w:val="1"/>
                <w:szCs w:val="1"/>
                <w:color w:val="auto"/>
              </w:rPr>
            </w:pPr>
          </w:p>
        </w:tc>
      </w:tr>
      <w:tr>
        <w:trPr>
          <w:trHeight w:val="193"/>
        </w:trPr>
        <w:tc>
          <w:tcPr>
            <w:tcW w:w="4060" w:type="dxa"/>
            <w:vAlign w:val="bottom"/>
          </w:tcPr>
          <w:p>
            <w:pPr>
              <w:spacing w:after="0"/>
              <w:rPr>
                <w:sz w:val="20"/>
                <w:szCs w:val="20"/>
                <w:color w:val="auto"/>
              </w:rPr>
            </w:pPr>
            <w:r>
              <w:rPr>
                <w:rFonts w:ascii="Arial" w:cs="Arial" w:eastAsia="Arial" w:hAnsi="Arial"/>
                <w:sz w:val="16"/>
                <w:szCs w:val="16"/>
                <w:color w:val="003082"/>
              </w:rPr>
              <w:t>________________</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6"/>
        </w:numPr>
        <w:rPr>
          <w:rFonts w:ascii="Arial" w:cs="Arial" w:eastAsia="Arial" w:hAnsi="Arial"/>
          <w:sz w:val="16"/>
          <w:szCs w:val="16"/>
          <w:color w:val="003082"/>
        </w:rPr>
      </w:pPr>
      <w:r>
        <w:rPr>
          <w:rFonts w:ascii="Arial" w:cs="Arial" w:eastAsia="Arial" w:hAnsi="Arial"/>
          <w:sz w:val="16"/>
          <w:szCs w:val="16"/>
          <w:color w:val="003082"/>
        </w:rPr>
        <w:t>Represents less than 1% of our total outstanding shares.</w:t>
      </w:r>
    </w:p>
    <w:p>
      <w:pPr>
        <w:spacing w:after="0" w:line="256" w:lineRule="exact"/>
        <w:rPr>
          <w:rFonts w:ascii="Arial" w:cs="Arial" w:eastAsia="Arial" w:hAnsi="Arial"/>
          <w:sz w:val="16"/>
          <w:szCs w:val="16"/>
          <w:color w:val="003082"/>
        </w:rPr>
      </w:pPr>
    </w:p>
    <w:p>
      <w:pPr>
        <w:ind w:left="340"/>
        <w:spacing w:after="0"/>
        <w:rPr>
          <w:rFonts w:ascii="Arial" w:cs="Arial" w:eastAsia="Arial" w:hAnsi="Arial"/>
          <w:sz w:val="16"/>
          <w:szCs w:val="16"/>
          <w:color w:val="003082"/>
        </w:rPr>
      </w:pPr>
      <w:r>
        <w:rPr>
          <w:rFonts w:ascii="Arial" w:cs="Arial" w:eastAsia="Arial" w:hAnsi="Arial"/>
          <w:sz w:val="18"/>
          <w:szCs w:val="18"/>
          <w:b w:val="1"/>
          <w:bCs w:val="1"/>
          <w:i w:val="1"/>
          <w:iCs w:val="1"/>
          <w:color w:val="003082"/>
        </w:rPr>
        <w:t>2018 Equity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In January 2020, as part of the Corporate Reorganization, we assumed all awards granted by Agora IO pursuant to the 2018 Plan first adopted by Agora IO in January 2019. As a result of the assumption, all shares subject to options granted thereunder become an equal number of shares of Agora instead of shares of Agora IO, but the assumption did not otherwise affect the number of options granted, the shares subject to the options, the exercise price of each award, the vesting commencement date or schedule, or the other terms and conditions in the respective award agreements. In connection with the assumption, the 2018 Plan was terminated, and accordingly no further options will be available for issuance under the 2018 Plan. The 2018 Plan will continue to govern outstanding awards granted thereunder. As of the date of this prospectus, 2,868,917 options have been granted and are outstanding under the 2018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paragraphs describe the principal terms of the 2018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Types of Awards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2018 Plan allows us to grant incentive share options, nonstatutory share options, share appreciation rights, restricted share awards and restricted share units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Administration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2018 Plan is administered by our board of directors or one or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Eligibility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may grant awards to employees, consultants and directors of ours and any parent or subsidiary of ours.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Vesting Schedule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Subject to modification by the plan administrator, an option granted under the 2018 Plan has a contractual term of ten years from the grant date, and will vest over a period of four years of continuous service, 25% of which vest upon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152</w:t>
      </w:r>
    </w:p>
    <w:p>
      <w:pPr>
        <w:sectPr>
          <w:pgSz w:w="11900" w:h="16838" w:orient="portrait"/>
          <w:cols w:equalWidth="0" w:num="1">
            <w:col w:w="11240"/>
          </w:cols>
          <w:pgMar w:left="320" w:top="449" w:right="339" w:bottom="1440" w:gutter="0" w:footer="0" w:header="0"/>
        </w:sectPr>
      </w:pPr>
    </w:p>
    <w:bookmarkStart w:id="157" w:name="page158"/>
    <w:bookmarkEnd w:id="157"/>
    <w:p>
      <w:pPr>
        <w:jc w:val="both"/>
        <w:ind w:right="20"/>
        <w:spacing w:after="0" w:line="277" w:lineRule="auto"/>
        <w:rPr>
          <w:sz w:val="20"/>
          <w:szCs w:val="20"/>
          <w:color w:val="auto"/>
        </w:rPr>
      </w:pPr>
      <w:r>
        <w:rPr>
          <w:rFonts w:ascii="Arial" w:cs="Arial" w:eastAsia="Arial" w:hAnsi="Arial"/>
          <w:sz w:val="18"/>
          <w:szCs w:val="18"/>
          <w:color w:val="003082"/>
        </w:rPr>
        <w:t>the first anniversary of the stated vesting commencement date and the remaining vest ratably over the following 36 months determines the vesting schedule, which is specified in the relevant award agreement.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Transfer Restrictions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Unless determined otherwise by the administrator, awards may not be sold, pledged, assigned, 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Amendment; Termination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As noted above, the 2018 Plan was terminated in connection with our assumption of the awards granted thereunder as part of the Corporate Reorganization. Our board of directors may, at any time, amend the 2018 Plan in any respect. To the extent necessary and desirable to comply with applicable laws, we will obtain shareholder approval of any amendment to the 2018 Plan. No amendment or alteration of the 2018 Plan may impair the rights of a participant, unless mutually agreed otherwise between the participant and the administrator in writing.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No awards have been granted to our directors and executive officers under the 2018 Plan.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153</w:t>
      </w:r>
    </w:p>
    <w:p>
      <w:pPr>
        <w:sectPr>
          <w:pgSz w:w="11900" w:h="16838" w:orient="portrait"/>
          <w:cols w:equalWidth="0" w:num="1">
            <w:col w:w="11240"/>
          </w:cols>
          <w:pgMar w:left="320" w:top="341"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003082"/>
        </w:rPr>
        <w:t>PRINCIPAL SHAREHOLDERS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Except as specifically noted, the following table sets forth information with respect to the beneficial ownership of our ordinary shares as of the date of this prospectus by:</w:t>
      </w:r>
    </w:p>
    <w:p>
      <w:pPr>
        <w:spacing w:after="0" w:line="116"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003082"/>
        </w:rPr>
      </w:pPr>
      <w:r>
        <w:rPr>
          <w:rFonts w:ascii="Arial" w:cs="Arial" w:eastAsia="Arial" w:hAnsi="Arial"/>
          <w:sz w:val="18"/>
          <w:szCs w:val="18"/>
          <w:color w:val="003082"/>
        </w:rPr>
        <w:t>each of our directors and executive officers;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87"/>
        </w:numPr>
        <w:rPr>
          <w:rFonts w:ascii="Arial" w:cs="Arial" w:eastAsia="Arial" w:hAnsi="Arial"/>
          <w:sz w:val="18"/>
          <w:szCs w:val="18"/>
          <w:color w:val="003082"/>
        </w:rPr>
      </w:pPr>
      <w:r>
        <w:rPr>
          <w:rFonts w:ascii="Arial" w:cs="Arial" w:eastAsia="Arial" w:hAnsi="Arial"/>
          <w:sz w:val="18"/>
          <w:szCs w:val="18"/>
          <w:color w:val="003082"/>
        </w:rPr>
        <w:t>each person known to us to own beneficially more than 5% of our ordinary shares on an as-converted basis.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calculations in the table below are based on 304,897,929 ordinary shares on an as-converted basis outstanding as of May 31, 2020, and 320,717,991 Class A ordinary shares and 76,179,938 Class B ordinary shares issued and outstanding immediately after the completion of this offering and the concurrent private placement, assuming the underwriters do not exercise their over-allotment option.</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 The table does not give effect to any ADSs that may be acquired by our directors pursuant to the directed ADS program.</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Except as otherwise noted below, the address for each person or entity listed in the table is c/o Agora, Inc., Floor 8, Building 12, Phase III of ChuangZhiTianDi, 333 Songhu Road, Yangpu District, Shanghai, People’s Republic of China.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96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003082"/>
                <w:w w:val="94"/>
              </w:rPr>
              <w:t>Ordinary Shares Beneficially Owned Prior</w:t>
            </w:r>
          </w:p>
        </w:tc>
        <w:tc>
          <w:tcPr>
            <w:tcW w:w="546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003082"/>
                <w:w w:val="94"/>
              </w:rPr>
              <w:t>Ordinary Shares Beneficially Owned After this Offering and the Concurrent Private</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003082"/>
                <w:w w:val="91"/>
              </w:rPr>
              <w:t>Placement</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2840" w:type="dxa"/>
            <w:vAlign w:val="bottom"/>
            <w:gridSpan w:val="4"/>
            <w:vMerge w:val="restart"/>
          </w:tcPr>
          <w:p>
            <w:pPr>
              <w:jc w:val="center"/>
              <w:ind w:right="100"/>
              <w:spacing w:after="0" w:line="126" w:lineRule="exact"/>
              <w:rPr>
                <w:sz w:val="20"/>
                <w:szCs w:val="20"/>
                <w:color w:val="auto"/>
              </w:rPr>
            </w:pPr>
            <w:r>
              <w:rPr>
                <w:rFonts w:ascii="Arial" w:cs="Arial" w:eastAsia="Arial" w:hAnsi="Arial"/>
                <w:sz w:val="14"/>
                <w:szCs w:val="14"/>
                <w:b w:val="1"/>
                <w:bCs w:val="1"/>
                <w:color w:val="003082"/>
                <w:w w:val="93"/>
              </w:rPr>
              <w:t>to this Offering and the Concurrent</w:t>
            </w:r>
          </w:p>
        </w:tc>
        <w:tc>
          <w:tcPr>
            <w:tcW w:w="120" w:type="dxa"/>
            <w:vAlign w:val="bottom"/>
            <w:tcBorders>
              <w:bottom w:val="single" w:sz="8" w:color="3D5588"/>
            </w:tcBorders>
          </w:tcPr>
          <w:p>
            <w:pPr>
              <w:spacing w:after="0"/>
              <w:rPr>
                <w:sz w:val="4"/>
                <w:szCs w:val="4"/>
                <w:color w:val="auto"/>
              </w:rPr>
            </w:pPr>
          </w:p>
        </w:tc>
        <w:tc>
          <w:tcPr>
            <w:tcW w:w="1220" w:type="dxa"/>
            <w:vAlign w:val="bottom"/>
            <w:tcBorders>
              <w:bottom w:val="single" w:sz="8" w:color="3D5588"/>
            </w:tcBorders>
          </w:tcPr>
          <w:p>
            <w:pPr>
              <w:spacing w:after="0"/>
              <w:rPr>
                <w:sz w:val="4"/>
                <w:szCs w:val="4"/>
                <w:color w:val="auto"/>
              </w:rPr>
            </w:pPr>
          </w:p>
        </w:tc>
        <w:tc>
          <w:tcPr>
            <w:tcW w:w="100" w:type="dxa"/>
            <w:vAlign w:val="bottom"/>
            <w:tcBorders>
              <w:bottom w:val="single" w:sz="8" w:color="3D5588"/>
            </w:tcBorders>
          </w:tcPr>
          <w:p>
            <w:pPr>
              <w:spacing w:after="0"/>
              <w:rPr>
                <w:sz w:val="4"/>
                <w:szCs w:val="4"/>
                <w:color w:val="auto"/>
              </w:rPr>
            </w:pPr>
          </w:p>
        </w:tc>
        <w:tc>
          <w:tcPr>
            <w:tcW w:w="1240" w:type="dxa"/>
            <w:vAlign w:val="bottom"/>
            <w:tcBorders>
              <w:bottom w:val="single" w:sz="8" w:color="3D5588"/>
            </w:tcBorders>
          </w:tcPr>
          <w:p>
            <w:pPr>
              <w:spacing w:after="0"/>
              <w:rPr>
                <w:sz w:val="4"/>
                <w:szCs w:val="4"/>
                <w:color w:val="auto"/>
              </w:rPr>
            </w:pPr>
          </w:p>
        </w:tc>
        <w:tc>
          <w:tcPr>
            <w:tcW w:w="100" w:type="dxa"/>
            <w:vAlign w:val="bottom"/>
            <w:tcBorders>
              <w:bottom w:val="single" w:sz="8" w:color="3D5588"/>
            </w:tcBorders>
          </w:tcPr>
          <w:p>
            <w:pPr>
              <w:spacing w:after="0"/>
              <w:rPr>
                <w:sz w:val="4"/>
                <w:szCs w:val="4"/>
                <w:color w:val="auto"/>
              </w:rPr>
            </w:pPr>
          </w:p>
        </w:tc>
        <w:tc>
          <w:tcPr>
            <w:tcW w:w="1240" w:type="dxa"/>
            <w:vAlign w:val="bottom"/>
            <w:tcBorders>
              <w:bottom w:val="single" w:sz="8" w:color="3D5588"/>
            </w:tcBorders>
          </w:tcPr>
          <w:p>
            <w:pPr>
              <w:spacing w:after="0"/>
              <w:rPr>
                <w:sz w:val="4"/>
                <w:szCs w:val="4"/>
                <w:color w:val="auto"/>
              </w:rPr>
            </w:pPr>
          </w:p>
        </w:tc>
        <w:tc>
          <w:tcPr>
            <w:tcW w:w="100" w:type="dxa"/>
            <w:vAlign w:val="bottom"/>
            <w:tcBorders>
              <w:bottom w:val="single" w:sz="8" w:color="3D5588"/>
            </w:tcBorders>
          </w:tcPr>
          <w:p>
            <w:pPr>
              <w:spacing w:after="0"/>
              <w:rPr>
                <w:sz w:val="4"/>
                <w:szCs w:val="4"/>
                <w:color w:val="auto"/>
              </w:rPr>
            </w:pPr>
          </w:p>
        </w:tc>
        <w:tc>
          <w:tcPr>
            <w:tcW w:w="1460" w:type="dxa"/>
            <w:vAlign w:val="bottom"/>
            <w:tcBorders>
              <w:bottom w:val="single" w:sz="8" w:color="3D5588"/>
            </w:tcBorders>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820" w:type="dxa"/>
            <w:vAlign w:val="bottom"/>
          </w:tcPr>
          <w:p>
            <w:pPr>
              <w:spacing w:after="0"/>
              <w:rPr>
                <w:sz w:val="4"/>
                <w:szCs w:val="4"/>
                <w:color w:val="auto"/>
              </w:rPr>
            </w:pPr>
          </w:p>
        </w:tc>
        <w:tc>
          <w:tcPr>
            <w:tcW w:w="284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003082"/>
                <w:w w:val="90"/>
              </w:rPr>
              <w:t>Percentage of</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88"/>
              </w:rPr>
              <w:t>Percentage of</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2960" w:type="dxa"/>
            <w:vAlign w:val="bottom"/>
            <w:gridSpan w:val="5"/>
          </w:tcPr>
          <w:p>
            <w:pPr>
              <w:jc w:val="center"/>
              <w:ind w:right="240"/>
              <w:spacing w:after="0" w:line="145" w:lineRule="exact"/>
              <w:rPr>
                <w:sz w:val="20"/>
                <w:szCs w:val="20"/>
                <w:color w:val="auto"/>
              </w:rPr>
            </w:pPr>
            <w:r>
              <w:rPr>
                <w:rFonts w:ascii="Arial" w:cs="Arial" w:eastAsia="Arial" w:hAnsi="Arial"/>
                <w:sz w:val="14"/>
                <w:szCs w:val="14"/>
                <w:b w:val="1"/>
                <w:bCs w:val="1"/>
                <w:color w:val="003082"/>
                <w:w w:val="92"/>
              </w:rPr>
              <w:t>Private Placement</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820" w:type="dxa"/>
            <w:vAlign w:val="bottom"/>
          </w:tcPr>
          <w:p>
            <w:pPr>
              <w:spacing w:after="0"/>
              <w:rPr>
                <w:sz w:val="4"/>
                <w:szCs w:val="4"/>
                <w:color w:val="auto"/>
              </w:rPr>
            </w:pPr>
          </w:p>
        </w:tc>
        <w:tc>
          <w:tcPr>
            <w:tcW w:w="1360" w:type="dxa"/>
            <w:vAlign w:val="bottom"/>
            <w:tcBorders>
              <w:bottom w:val="single" w:sz="8" w:color="3D5588"/>
            </w:tcBorders>
          </w:tcPr>
          <w:p>
            <w:pPr>
              <w:spacing w:after="0"/>
              <w:rPr>
                <w:sz w:val="4"/>
                <w:szCs w:val="4"/>
                <w:color w:val="auto"/>
              </w:rPr>
            </w:pPr>
          </w:p>
        </w:tc>
        <w:tc>
          <w:tcPr>
            <w:tcW w:w="120" w:type="dxa"/>
            <w:vAlign w:val="bottom"/>
            <w:tcBorders>
              <w:bottom w:val="single" w:sz="8" w:color="3D5588"/>
            </w:tcBorders>
          </w:tcPr>
          <w:p>
            <w:pPr>
              <w:spacing w:after="0"/>
              <w:rPr>
                <w:sz w:val="4"/>
                <w:szCs w:val="4"/>
                <w:color w:val="auto"/>
              </w:rPr>
            </w:pPr>
          </w:p>
        </w:tc>
        <w:tc>
          <w:tcPr>
            <w:tcW w:w="1240" w:type="dxa"/>
            <w:vAlign w:val="bottom"/>
            <w:tcBorders>
              <w:bottom w:val="single" w:sz="8" w:color="3D5588"/>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003082"/>
                <w:w w:val="96"/>
              </w:rPr>
              <w:t>Class A Ordinary</w:t>
            </w:r>
          </w:p>
        </w:tc>
        <w:tc>
          <w:tcPr>
            <w:tcW w:w="13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003082"/>
                <w:w w:val="95"/>
              </w:rPr>
              <w:t>Class B Ordinary</w:t>
            </w:r>
          </w:p>
        </w:tc>
        <w:tc>
          <w:tcPr>
            <w:tcW w:w="13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003082"/>
                <w:w w:val="90"/>
              </w:rPr>
              <w:t>Beneficial</w:t>
            </w:r>
          </w:p>
        </w:tc>
        <w:tc>
          <w:tcPr>
            <w:tcW w:w="14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003082"/>
                <w:w w:val="90"/>
              </w:rPr>
              <w:t>Aggregate Voting</w:t>
            </w:r>
          </w:p>
        </w:tc>
        <w:tc>
          <w:tcPr>
            <w:tcW w:w="0" w:type="dxa"/>
            <w:vAlign w:val="bottom"/>
          </w:tcPr>
          <w:p>
            <w:pPr>
              <w:spacing w:after="0"/>
              <w:rPr>
                <w:sz w:val="1"/>
                <w:szCs w:val="1"/>
                <w:color w:val="auto"/>
              </w:rPr>
            </w:pPr>
          </w:p>
        </w:tc>
      </w:tr>
      <w:tr>
        <w:trPr>
          <w:trHeight w:val="65"/>
        </w:trPr>
        <w:tc>
          <w:tcPr>
            <w:tcW w:w="2820" w:type="dxa"/>
            <w:vAlign w:val="bottom"/>
          </w:tcPr>
          <w:p>
            <w:pPr>
              <w:spacing w:after="0"/>
              <w:rPr>
                <w:sz w:val="5"/>
                <w:szCs w:val="5"/>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003082"/>
              </w:rPr>
              <w:t>Number</w:t>
            </w:r>
          </w:p>
        </w:tc>
        <w:tc>
          <w:tcPr>
            <w:tcW w:w="148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003082"/>
              </w:rPr>
              <w:t>Percent</w:t>
            </w:r>
          </w:p>
        </w:tc>
        <w:tc>
          <w:tcPr>
            <w:tcW w:w="132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003082"/>
                <w:w w:val="89"/>
              </w:rPr>
              <w:t>Shares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85"/>
              </w:rPr>
              <w:t>Shares</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3"/>
              </w:rPr>
              <w:t>Ownership</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003082"/>
              </w:rPr>
              <w:t>Power**</w:t>
            </w:r>
          </w:p>
        </w:tc>
        <w:tc>
          <w:tcPr>
            <w:tcW w:w="0" w:type="dxa"/>
            <w:vAlign w:val="bottom"/>
          </w:tcPr>
          <w:p>
            <w:pPr>
              <w:spacing w:after="0"/>
              <w:rPr>
                <w:sz w:val="1"/>
                <w:szCs w:val="1"/>
                <w:color w:val="auto"/>
              </w:rPr>
            </w:pPr>
          </w:p>
        </w:tc>
      </w:tr>
      <w:tr>
        <w:trPr>
          <w:trHeight w:val="250"/>
        </w:trPr>
        <w:tc>
          <w:tcPr>
            <w:tcW w:w="2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w w:val="99"/>
              </w:rPr>
              <w:t>Directors and Executive Officers</w:t>
            </w:r>
          </w:p>
        </w:tc>
        <w:tc>
          <w:tcPr>
            <w:tcW w:w="1360" w:type="dxa"/>
            <w:vAlign w:val="bottom"/>
            <w:tcBorders>
              <w:top w:val="single" w:sz="8" w:color="3D5588"/>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3D5588"/>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3D5588"/>
              <w:bottom w:val="single" w:sz="8" w:color="CCEEFF"/>
            </w:tcBorders>
            <w:shd w:val="clear" w:color="auto" w:fill="CCEEFF"/>
          </w:tcPr>
          <w:p>
            <w:pPr>
              <w:spacing w:after="0"/>
              <w:rPr>
                <w:sz w:val="21"/>
                <w:szCs w:val="21"/>
                <w:color w:val="auto"/>
              </w:rPr>
            </w:pPr>
          </w:p>
        </w:tc>
        <w:tc>
          <w:tcPr>
            <w:tcW w:w="1220" w:type="dxa"/>
            <w:vAlign w:val="bottom"/>
            <w:tcBorders>
              <w:top w:val="single" w:sz="8" w:color="3D5588"/>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3D5588"/>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3D5588"/>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3D5588"/>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003082"/>
              </w:rPr>
              <w:t>Bin (Tony) Zhao</w:t>
            </w:r>
            <w:r>
              <w:rPr>
                <w:rFonts w:ascii="Arial" w:cs="Arial" w:eastAsia="Arial" w:hAnsi="Arial"/>
                <w:sz w:val="25"/>
                <w:szCs w:val="25"/>
                <w:color w:val="003082"/>
                <w:vertAlign w:val="superscript"/>
              </w:rPr>
              <w:t>(1)</w:t>
            </w:r>
          </w:p>
        </w:tc>
        <w:tc>
          <w:tcPr>
            <w:tcW w:w="1360" w:type="dxa"/>
            <w:vAlign w:val="bottom"/>
          </w:tcPr>
          <w:p>
            <w:pPr>
              <w:jc w:val="center"/>
              <w:spacing w:after="0"/>
              <w:rPr>
                <w:sz w:val="20"/>
                <w:szCs w:val="20"/>
                <w:color w:val="auto"/>
              </w:rPr>
            </w:pPr>
            <w:r>
              <w:rPr>
                <w:rFonts w:ascii="Arial" w:cs="Arial" w:eastAsia="Arial" w:hAnsi="Arial"/>
                <w:sz w:val="16"/>
                <w:szCs w:val="16"/>
                <w:color w:val="003082"/>
                <w:w w:val="89"/>
              </w:rPr>
              <w:t>83,402,160</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27.4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16"/>
                <w:szCs w:val="16"/>
                <w:color w:val="003082"/>
                <w:w w:val="92"/>
              </w:rPr>
              <w:t>7,222,222</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76,179,938</w:t>
            </w:r>
          </w:p>
        </w:tc>
        <w:tc>
          <w:tcPr>
            <w:tcW w:w="1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8"/>
              </w:rPr>
              <w:t>21.0%</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w w:val="92"/>
              </w:rPr>
              <w:t>83.0%</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Siming Tao</w:t>
            </w:r>
            <w:r>
              <w:rPr>
                <w:rFonts w:ascii="Arial" w:cs="Arial" w:eastAsia="Arial" w:hAnsi="Arial"/>
                <w:sz w:val="25"/>
                <w:szCs w:val="25"/>
                <w:color w:val="003082"/>
                <w:vertAlign w:val="superscript"/>
              </w:rPr>
              <w:t>(2)</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14,900,000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003082"/>
                <w:w w:val="92"/>
              </w:rPr>
              <w:t>14,900,000</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3.8</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003082"/>
              </w:rPr>
              <w:t>Sheng (Shawn) Zhong</w:t>
            </w:r>
          </w:p>
        </w:tc>
        <w:tc>
          <w:tcPr>
            <w:tcW w:w="1360" w:type="dxa"/>
            <w:vAlign w:val="bottom"/>
          </w:tcPr>
          <w:p>
            <w:pPr>
              <w:jc w:val="center"/>
              <w:spacing w:after="0"/>
              <w:rPr>
                <w:sz w:val="20"/>
                <w:szCs w:val="20"/>
                <w:color w:val="auto"/>
              </w:rPr>
            </w:pPr>
            <w:r>
              <w:rPr>
                <w:rFonts w:ascii="Arial" w:cs="Arial" w:eastAsia="Arial" w:hAnsi="Arial"/>
                <w:sz w:val="16"/>
                <w:szCs w:val="16"/>
                <w:color w:val="003082"/>
              </w:rPr>
              <w:t>*</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center"/>
              <w:ind w:right="20"/>
              <w:spacing w:after="0"/>
              <w:rPr>
                <w:sz w:val="20"/>
                <w:szCs w:val="20"/>
                <w:color w:val="auto"/>
              </w:rPr>
            </w:pPr>
            <w:r>
              <w:rPr>
                <w:rFonts w:ascii="Arial" w:cs="Arial" w:eastAsia="Arial" w:hAnsi="Arial"/>
                <w:sz w:val="16"/>
                <w:szCs w:val="16"/>
                <w:color w:val="003082"/>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rPr>
              <w:t>*</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rPr>
              <w:t>*</w:t>
            </w: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Regev (Reggie) Yativ</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ind w:right="20"/>
              <w:spacing w:after="0"/>
              <w:rPr>
                <w:sz w:val="20"/>
                <w:szCs w:val="20"/>
                <w:color w:val="auto"/>
              </w:rPr>
            </w:pPr>
            <w:r>
              <w:rPr>
                <w:rFonts w:ascii="Arial" w:cs="Arial" w:eastAsia="Arial" w:hAnsi="Arial"/>
                <w:sz w:val="16"/>
                <w:szCs w:val="16"/>
                <w:color w:val="003082"/>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rPr>
              <w:t>*</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003082"/>
              </w:rPr>
              <w:t>Jingbo Wang</w:t>
            </w: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color w:val="003082"/>
                <w:w w:val="99"/>
              </w:rPr>
              <w:t>—</w:t>
            </w: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color w:val="003082"/>
                <w:w w:val="99"/>
              </w:rPr>
              <w:t>—</w:t>
            </w:r>
          </w:p>
        </w:tc>
        <w:tc>
          <w:tcPr>
            <w:tcW w:w="1320" w:type="dxa"/>
            <w:vAlign w:val="bottom"/>
            <w:gridSpan w:val="2"/>
          </w:tcPr>
          <w:p>
            <w:pPr>
              <w:jc w:val="center"/>
              <w:ind w:right="200"/>
              <w:spacing w:after="0"/>
              <w:rPr>
                <w:sz w:val="20"/>
                <w:szCs w:val="20"/>
                <w:color w:val="auto"/>
              </w:rPr>
            </w:pPr>
            <w:r>
              <w:rPr>
                <w:rFonts w:ascii="Arial" w:cs="Arial" w:eastAsia="Arial" w:hAnsi="Arial"/>
                <w:sz w:val="16"/>
                <w:szCs w:val="16"/>
                <w:color w:val="003082"/>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460" w:type="dxa"/>
            <w:vAlign w:val="bottom"/>
          </w:tcPr>
          <w:p>
            <w:pPr>
              <w:jc w:val="center"/>
              <w:spacing w:after="0"/>
              <w:rPr>
                <w:sz w:val="20"/>
                <w:szCs w:val="20"/>
                <w:color w:val="auto"/>
              </w:rPr>
            </w:pPr>
            <w:r>
              <w:rPr>
                <w:rFonts w:ascii="Arial" w:cs="Arial" w:eastAsia="Arial" w:hAnsi="Arial"/>
                <w:sz w:val="16"/>
                <w:szCs w:val="16"/>
                <w:color w:val="003082"/>
                <w:w w:val="99"/>
              </w:rPr>
              <w: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Qin Liu</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003082"/>
                <w:w w:val="99"/>
              </w:rPr>
              <w:t>—</w:t>
            </w:r>
          </w:p>
        </w:tc>
        <w:tc>
          <w:tcPr>
            <w:tcW w:w="14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6"/>
                <w:szCs w:val="16"/>
                <w:color w:val="003082"/>
                <w:w w:val="99"/>
              </w:rPr>
              <w:t>—</w:t>
            </w:r>
          </w:p>
        </w:tc>
        <w:tc>
          <w:tcPr>
            <w:tcW w:w="13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003082"/>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9"/>
              </w:rPr>
              <w:t>—</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003082"/>
              </w:rPr>
              <w:t>Tuck Lye Koh</w:t>
            </w:r>
            <w:r>
              <w:rPr>
                <w:rFonts w:ascii="Arial" w:cs="Arial" w:eastAsia="Arial" w:hAnsi="Arial"/>
                <w:sz w:val="25"/>
                <w:szCs w:val="25"/>
                <w:color w:val="003082"/>
                <w:vertAlign w:val="superscript"/>
              </w:rPr>
              <w:t>(3)</w:t>
            </w:r>
          </w:p>
        </w:tc>
        <w:tc>
          <w:tcPr>
            <w:tcW w:w="1360" w:type="dxa"/>
            <w:vAlign w:val="bottom"/>
          </w:tcPr>
          <w:p>
            <w:pPr>
              <w:jc w:val="center"/>
              <w:spacing w:after="0"/>
              <w:rPr>
                <w:sz w:val="20"/>
                <w:szCs w:val="20"/>
                <w:color w:val="auto"/>
              </w:rPr>
            </w:pPr>
            <w:r>
              <w:rPr>
                <w:rFonts w:ascii="Arial" w:cs="Arial" w:eastAsia="Arial" w:hAnsi="Arial"/>
                <w:sz w:val="16"/>
                <w:szCs w:val="16"/>
                <w:color w:val="003082"/>
                <w:w w:val="89"/>
              </w:rPr>
              <w:t>31,065,548</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10.2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16"/>
                <w:szCs w:val="16"/>
                <w:color w:val="003082"/>
                <w:w w:val="92"/>
              </w:rPr>
              <w:t>31,065,548</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7.8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w w:val="98"/>
              </w:rPr>
              <w:t>1.7</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Eric He</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003082"/>
                <w:w w:val="99"/>
              </w:rPr>
              <w:t>—</w:t>
            </w:r>
          </w:p>
        </w:tc>
        <w:tc>
          <w:tcPr>
            <w:tcW w:w="14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Arial" w:cs="Arial" w:eastAsia="Arial" w:hAnsi="Arial"/>
                <w:sz w:val="16"/>
                <w:szCs w:val="16"/>
                <w:color w:val="003082"/>
                <w:w w:val="99"/>
              </w:rPr>
              <w:t>—</w:t>
            </w:r>
          </w:p>
        </w:tc>
        <w:tc>
          <w:tcPr>
            <w:tcW w:w="13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003082"/>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9"/>
              </w:rPr>
              <w:t>—</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003082"/>
              </w:rPr>
              <w:t>Jenny Hong Wei Lee</w:t>
            </w:r>
            <w:r>
              <w:rPr>
                <w:rFonts w:ascii="Arial" w:cs="Arial" w:eastAsia="Arial" w:hAnsi="Arial"/>
                <w:sz w:val="25"/>
                <w:szCs w:val="25"/>
                <w:color w:val="003082"/>
                <w:vertAlign w:val="superscript"/>
              </w:rPr>
              <w:t>(4)</w:t>
            </w:r>
          </w:p>
        </w:tc>
        <w:tc>
          <w:tcPr>
            <w:tcW w:w="1360" w:type="dxa"/>
            <w:vAlign w:val="bottom"/>
          </w:tcPr>
          <w:p>
            <w:pPr>
              <w:jc w:val="center"/>
              <w:spacing w:after="0"/>
              <w:rPr>
                <w:sz w:val="20"/>
                <w:szCs w:val="20"/>
                <w:color w:val="auto"/>
              </w:rPr>
            </w:pPr>
            <w:r>
              <w:rPr>
                <w:rFonts w:ascii="Arial" w:cs="Arial" w:eastAsia="Arial" w:hAnsi="Arial"/>
                <w:sz w:val="16"/>
                <w:szCs w:val="16"/>
                <w:color w:val="003082"/>
                <w:w w:val="89"/>
              </w:rPr>
              <w:t>7,016,595</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2.3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16"/>
                <w:szCs w:val="16"/>
                <w:color w:val="003082"/>
                <w:w w:val="92"/>
              </w:rPr>
              <w:t>7,016,595</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1.8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rPr>
              <w:t>*</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003082"/>
                <w:w w:val="92"/>
              </w:rPr>
              <w:t>All directors and executive officers as</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a group</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89"/>
              </w:rPr>
              <w:t>139,895,667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89"/>
              </w:rPr>
              <w:t>45.4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ind w:right="40"/>
              <w:spacing w:after="0"/>
              <w:rPr>
                <w:sz w:val="20"/>
                <w:szCs w:val="20"/>
                <w:color w:val="auto"/>
              </w:rPr>
            </w:pPr>
            <w:r>
              <w:rPr>
                <w:rFonts w:ascii="Arial" w:cs="Arial" w:eastAsia="Arial" w:hAnsi="Arial"/>
                <w:sz w:val="16"/>
                <w:szCs w:val="16"/>
                <w:color w:val="003082"/>
                <w:w w:val="92"/>
              </w:rPr>
              <w:t>63,370,274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89"/>
              </w:rPr>
              <w:t>76,179,938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89"/>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6"/>
              </w:rPr>
              <w:t>85.9</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b w:val="1"/>
                <w:bCs w:val="1"/>
                <w:color w:val="003082"/>
              </w:rPr>
              <w:t>Principal Shareholders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Soundscape Limited</w:t>
            </w:r>
            <w:r>
              <w:rPr>
                <w:rFonts w:ascii="Arial" w:cs="Arial" w:eastAsia="Arial" w:hAnsi="Arial"/>
                <w:sz w:val="25"/>
                <w:szCs w:val="25"/>
                <w:color w:val="003082"/>
                <w:vertAlign w:val="superscript"/>
              </w:rPr>
              <w:t>(1)</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76,179,938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25.0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003082"/>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76,179,938</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19.2</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6"/>
              </w:rPr>
              <w:t>82.6</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003082"/>
                <w:w w:val="94"/>
              </w:rPr>
              <w:t>Entities affiliated with Morningside</w:t>
            </w:r>
            <w:r>
              <w:rPr>
                <w:rFonts w:ascii="Arial" w:cs="Arial" w:eastAsia="Arial" w:hAnsi="Arial"/>
                <w:sz w:val="25"/>
                <w:szCs w:val="25"/>
                <w:color w:val="003082"/>
                <w:w w:val="94"/>
                <w:vertAlign w:val="superscript"/>
              </w:rPr>
              <w:t>(5)</w:t>
            </w:r>
          </w:p>
        </w:tc>
        <w:tc>
          <w:tcPr>
            <w:tcW w:w="1360" w:type="dxa"/>
            <w:vAlign w:val="bottom"/>
          </w:tcPr>
          <w:p>
            <w:pPr>
              <w:jc w:val="center"/>
              <w:spacing w:after="0"/>
              <w:rPr>
                <w:sz w:val="20"/>
                <w:szCs w:val="20"/>
                <w:color w:val="auto"/>
              </w:rPr>
            </w:pPr>
            <w:r>
              <w:rPr>
                <w:rFonts w:ascii="Arial" w:cs="Arial" w:eastAsia="Arial" w:hAnsi="Arial"/>
                <w:sz w:val="16"/>
                <w:szCs w:val="16"/>
                <w:color w:val="003082"/>
                <w:w w:val="89"/>
              </w:rPr>
              <w:t>47,976,514</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15.7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16"/>
                <w:szCs w:val="16"/>
                <w:color w:val="003082"/>
                <w:w w:val="92"/>
              </w:rPr>
              <w:t>47,976,514</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12.1</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w w:val="98"/>
              </w:rPr>
              <w:t>2.6</w:t>
            </w:r>
          </w:p>
        </w:tc>
        <w:tc>
          <w:tcPr>
            <w:tcW w:w="0" w:type="dxa"/>
            <w:vAlign w:val="bottom"/>
          </w:tcPr>
          <w:p>
            <w:pPr>
              <w:spacing w:after="0"/>
              <w:rPr>
                <w:sz w:val="1"/>
                <w:szCs w:val="1"/>
                <w:color w:val="auto"/>
              </w:rPr>
            </w:pPr>
          </w:p>
        </w:tc>
      </w:tr>
      <w:tr>
        <w:trPr>
          <w:trHeight w:val="270"/>
        </w:trPr>
        <w:tc>
          <w:tcPr>
            <w:tcW w:w="2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Entities affiliated with SIG</w:t>
            </w:r>
            <w:r>
              <w:rPr>
                <w:rFonts w:ascii="Arial" w:cs="Arial" w:eastAsia="Arial" w:hAnsi="Arial"/>
                <w:sz w:val="25"/>
                <w:szCs w:val="25"/>
                <w:color w:val="003082"/>
                <w:vertAlign w:val="superscript"/>
              </w:rPr>
              <w:t>(6)</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39,074,811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12.8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center"/>
              <w:ind w:right="20"/>
              <w:spacing w:after="0"/>
              <w:rPr>
                <w:sz w:val="20"/>
                <w:szCs w:val="20"/>
                <w:color w:val="auto"/>
              </w:rPr>
            </w:pPr>
            <w:r>
              <w:rPr>
                <w:rFonts w:ascii="Arial" w:cs="Arial" w:eastAsia="Arial" w:hAnsi="Arial"/>
                <w:sz w:val="16"/>
                <w:szCs w:val="16"/>
                <w:color w:val="003082"/>
                <w:w w:val="89"/>
              </w:rPr>
              <w:t>39,074,811</w:t>
            </w:r>
          </w:p>
        </w:tc>
        <w:tc>
          <w:tcPr>
            <w:tcW w:w="1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9.8</w:t>
            </w: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8"/>
              </w:rPr>
              <w:t>2.1</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line="270" w:lineRule="exact"/>
              <w:rPr>
                <w:sz w:val="20"/>
                <w:szCs w:val="20"/>
                <w:color w:val="auto"/>
              </w:rPr>
            </w:pPr>
            <w:r>
              <w:rPr>
                <w:rFonts w:ascii="Arial" w:cs="Arial" w:eastAsia="Arial" w:hAnsi="Arial"/>
                <w:sz w:val="18"/>
                <w:szCs w:val="18"/>
                <w:color w:val="003082"/>
              </w:rPr>
              <w:t>Shunwei Technology II Limited</w:t>
            </w:r>
            <w:r>
              <w:rPr>
                <w:rFonts w:ascii="Arial" w:cs="Arial" w:eastAsia="Arial" w:hAnsi="Arial"/>
                <w:sz w:val="25"/>
                <w:szCs w:val="25"/>
                <w:color w:val="003082"/>
                <w:vertAlign w:val="superscript"/>
              </w:rPr>
              <w:t>(3)</w:t>
            </w:r>
          </w:p>
        </w:tc>
        <w:tc>
          <w:tcPr>
            <w:tcW w:w="1360" w:type="dxa"/>
            <w:vAlign w:val="bottom"/>
          </w:tcPr>
          <w:p>
            <w:pPr>
              <w:jc w:val="center"/>
              <w:spacing w:after="0"/>
              <w:rPr>
                <w:sz w:val="20"/>
                <w:szCs w:val="20"/>
                <w:color w:val="auto"/>
              </w:rPr>
            </w:pPr>
            <w:r>
              <w:rPr>
                <w:rFonts w:ascii="Arial" w:cs="Arial" w:eastAsia="Arial" w:hAnsi="Arial"/>
                <w:sz w:val="16"/>
                <w:szCs w:val="16"/>
                <w:color w:val="003082"/>
                <w:w w:val="89"/>
              </w:rPr>
              <w:t>31,065,548</w:t>
            </w:r>
          </w:p>
        </w:tc>
        <w:tc>
          <w:tcPr>
            <w:tcW w:w="12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10.2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center"/>
              <w:ind w:right="40"/>
              <w:spacing w:after="0"/>
              <w:rPr>
                <w:sz w:val="20"/>
                <w:szCs w:val="20"/>
                <w:color w:val="auto"/>
              </w:rPr>
            </w:pPr>
            <w:r>
              <w:rPr>
                <w:rFonts w:ascii="Arial" w:cs="Arial" w:eastAsia="Arial" w:hAnsi="Arial"/>
                <w:sz w:val="16"/>
                <w:szCs w:val="16"/>
                <w:color w:val="003082"/>
                <w:w w:val="92"/>
              </w:rPr>
              <w:t>31,065,548</w:t>
            </w:r>
          </w:p>
        </w:tc>
        <w:tc>
          <w:tcPr>
            <w:tcW w:w="100" w:type="dxa"/>
            <w:vAlign w:val="bottom"/>
          </w:tcPr>
          <w:p>
            <w:pPr>
              <w:spacing w:after="0"/>
              <w:rPr>
                <w:sz w:val="23"/>
                <w:szCs w:val="23"/>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7.8</w:t>
            </w:r>
          </w:p>
        </w:tc>
        <w:tc>
          <w:tcPr>
            <w:tcW w:w="10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w w:val="98"/>
              </w:rPr>
              <w:t>1.7</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Entities affiliated with Coatue</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20" w:type="dxa"/>
            <w:vAlign w:val="bottom"/>
            <w:shd w:val="clear" w:color="auto" w:fill="CCEEFF"/>
          </w:tcPr>
          <w:p>
            <w:pPr>
              <w:ind w:left="200"/>
              <w:spacing w:after="0" w:line="257" w:lineRule="exact"/>
              <w:rPr>
                <w:sz w:val="20"/>
                <w:szCs w:val="20"/>
                <w:color w:val="auto"/>
              </w:rPr>
            </w:pPr>
            <w:r>
              <w:rPr>
                <w:rFonts w:ascii="Arial" w:cs="Arial" w:eastAsia="Arial" w:hAnsi="Arial"/>
                <w:sz w:val="18"/>
                <w:szCs w:val="18"/>
                <w:color w:val="003082"/>
              </w:rPr>
              <w:t>Management, L.L.C.</w:t>
            </w:r>
            <w:r>
              <w:rPr>
                <w:rFonts w:ascii="Arial" w:cs="Arial" w:eastAsia="Arial" w:hAnsi="Arial"/>
                <w:sz w:val="25"/>
                <w:szCs w:val="25"/>
                <w:color w:val="003082"/>
                <w:vertAlign w:val="superscript"/>
              </w:rPr>
              <w:t>(7)</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27,500,540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ind w:right="40"/>
              <w:spacing w:after="0"/>
              <w:rPr>
                <w:sz w:val="20"/>
                <w:szCs w:val="20"/>
                <w:color w:val="auto"/>
              </w:rPr>
            </w:pPr>
            <w:r>
              <w:rPr>
                <w:rFonts w:ascii="Arial" w:cs="Arial" w:eastAsia="Arial" w:hAnsi="Arial"/>
                <w:sz w:val="16"/>
                <w:szCs w:val="16"/>
                <w:color w:val="003082"/>
                <w:w w:val="92"/>
              </w:rPr>
              <w:t>37,500,540</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89"/>
              </w:rPr>
              <w:t>9.4</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8"/>
              </w:rPr>
              <w:t>2.0</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003082"/>
              </w:rPr>
              <w:t>Easy Dynamic International</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2820" w:type="dxa"/>
            <w:vAlign w:val="bottom"/>
          </w:tcPr>
          <w:p>
            <w:pPr>
              <w:ind w:left="200"/>
              <w:spacing w:after="0"/>
              <w:rPr>
                <w:sz w:val="20"/>
                <w:szCs w:val="20"/>
                <w:color w:val="auto"/>
              </w:rPr>
            </w:pPr>
            <w:r>
              <w:rPr>
                <w:rFonts w:ascii="Arial" w:cs="Arial" w:eastAsia="Arial" w:hAnsi="Arial"/>
                <w:sz w:val="18"/>
                <w:szCs w:val="18"/>
                <w:color w:val="003082"/>
              </w:rPr>
              <w:t>Limited</w:t>
            </w:r>
            <w:r>
              <w:rPr>
                <w:rFonts w:ascii="Arial" w:cs="Arial" w:eastAsia="Arial" w:hAnsi="Arial"/>
                <w:sz w:val="25"/>
                <w:szCs w:val="25"/>
                <w:color w:val="003082"/>
                <w:vertAlign w:val="superscript"/>
              </w:rPr>
              <w:t>(8)</w:t>
            </w:r>
          </w:p>
        </w:tc>
        <w:tc>
          <w:tcPr>
            <w:tcW w:w="1360" w:type="dxa"/>
            <w:vAlign w:val="bottom"/>
          </w:tcPr>
          <w:p>
            <w:pPr>
              <w:jc w:val="center"/>
              <w:spacing w:after="0"/>
              <w:rPr>
                <w:sz w:val="20"/>
                <w:szCs w:val="20"/>
                <w:color w:val="auto"/>
              </w:rPr>
            </w:pPr>
            <w:r>
              <w:rPr>
                <w:rFonts w:ascii="Arial" w:cs="Arial" w:eastAsia="Arial" w:hAnsi="Arial"/>
                <w:sz w:val="16"/>
                <w:szCs w:val="16"/>
                <w:color w:val="003082"/>
                <w:w w:val="89"/>
              </w:rPr>
              <w:t>22,489,831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40"/>
              <w:spacing w:after="0"/>
              <w:rPr>
                <w:sz w:val="20"/>
                <w:szCs w:val="20"/>
                <w:color w:val="auto"/>
              </w:rPr>
            </w:pPr>
            <w:r>
              <w:rPr>
                <w:rFonts w:ascii="Arial" w:cs="Arial" w:eastAsia="Arial" w:hAnsi="Arial"/>
                <w:sz w:val="16"/>
                <w:szCs w:val="16"/>
                <w:color w:val="003082"/>
                <w:w w:val="92"/>
              </w:rPr>
              <w:t>22,489,831</w:t>
            </w:r>
          </w:p>
        </w:tc>
        <w:tc>
          <w:tcPr>
            <w:tcW w:w="10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003082"/>
                <w:w w:val="99"/>
              </w:rPr>
              <w:t>—</w:t>
            </w:r>
          </w:p>
        </w:tc>
        <w:tc>
          <w:tcPr>
            <w:tcW w:w="1240" w:type="dxa"/>
            <w:vAlign w:val="bottom"/>
          </w:tcPr>
          <w:p>
            <w:pPr>
              <w:jc w:val="center"/>
              <w:spacing w:after="0"/>
              <w:rPr>
                <w:sz w:val="20"/>
                <w:szCs w:val="20"/>
                <w:color w:val="auto"/>
              </w:rPr>
            </w:pPr>
            <w:r>
              <w:rPr>
                <w:rFonts w:ascii="Arial" w:cs="Arial" w:eastAsia="Arial" w:hAnsi="Arial"/>
                <w:sz w:val="16"/>
                <w:szCs w:val="16"/>
                <w:color w:val="003082"/>
                <w:w w:val="89"/>
              </w:rPr>
              <w:t>5.7</w:t>
            </w: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003082"/>
                <w:w w:val="98"/>
              </w:rPr>
              <w:t>1.2</w:t>
            </w:r>
          </w:p>
        </w:tc>
        <w:tc>
          <w:tcPr>
            <w:tcW w:w="0" w:type="dxa"/>
            <w:vAlign w:val="bottom"/>
          </w:tcPr>
          <w:p>
            <w:pPr>
              <w:spacing w:after="0"/>
              <w:rPr>
                <w:sz w:val="1"/>
                <w:szCs w:val="1"/>
                <w:color w:val="auto"/>
              </w:rPr>
            </w:pPr>
          </w:p>
        </w:tc>
      </w:tr>
      <w:tr>
        <w:trPr>
          <w:trHeight w:val="361"/>
        </w:trPr>
        <w:tc>
          <w:tcPr>
            <w:tcW w:w="2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003082"/>
              </w:rPr>
              <w:t>154</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003082"/>
        </w:rPr>
        <w:t>________________</w:t>
      </w:r>
    </w:p>
    <w:p>
      <w:pPr>
        <w:spacing w:after="0" w:line="19"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6"/>
          <w:szCs w:val="16"/>
          <w:color w:val="003082"/>
        </w:rPr>
      </w:pPr>
      <w:r>
        <w:rPr>
          <w:rFonts w:ascii="Arial" w:cs="Arial" w:eastAsia="Arial" w:hAnsi="Arial"/>
          <w:sz w:val="16"/>
          <w:szCs w:val="16"/>
          <w:color w:val="003082"/>
        </w:rPr>
        <w:t>Represents beneficial ownership of voting power of less than 1%.</w:t>
      </w:r>
    </w:p>
    <w:p>
      <w:pPr>
        <w:spacing w:after="0" w:line="5" w:lineRule="exact"/>
        <w:rPr>
          <w:sz w:val="20"/>
          <w:szCs w:val="20"/>
          <w:color w:val="auto"/>
        </w:rPr>
      </w:pPr>
    </w:p>
    <w:p>
      <w:pPr>
        <w:jc w:val="both"/>
        <w:ind w:left="340" w:hanging="332"/>
        <w:spacing w:after="0" w:line="281" w:lineRule="auto"/>
        <w:tabs>
          <w:tab w:leader="none" w:pos="340" w:val="left"/>
        </w:tabs>
        <w:numPr>
          <w:ilvl w:val="0"/>
          <w:numId w:val="89"/>
        </w:numPr>
        <w:rPr>
          <w:rFonts w:ascii="Arial" w:cs="Arial" w:eastAsia="Arial" w:hAnsi="Arial"/>
          <w:sz w:val="14"/>
          <w:szCs w:val="14"/>
          <w:color w:val="003082"/>
        </w:rPr>
      </w:pPr>
      <w:r>
        <w:rPr>
          <w:rFonts w:ascii="Arial" w:cs="Arial" w:eastAsia="Arial" w:hAnsi="Arial"/>
          <w:sz w:val="14"/>
          <w:szCs w:val="14"/>
          <w:color w:val="003082"/>
        </w:rPr>
        <w:t>For each person and group included in this column, percentage of voting power is calculated by dividing the voting power beneficially owned by such person or group by the voting power of all of our outstanding Class A ordinary shares and Class B ordinary shares as a single class. Each holder of our Class A ordinary shares is</w:t>
      </w:r>
    </w:p>
    <w:p>
      <w:pPr>
        <w:spacing w:after="0" w:line="1"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16"/>
          <w:szCs w:val="16"/>
          <w:color w:val="003082"/>
        </w:rPr>
        <w:t>entitled to one vote per share. Each holder of Class B ordinary shares is entitled to 20 votes per share, and while on all matters submitted to them for a vote. Our Class A ordinary shares and Class B ordinary shares vote together as a single class on all matters submitted to a vote of our shareholders. Our Class B ordinary shares are convertible at any time by the holders thereof into Class A ordinary shares on a one-for-one basis.</w:t>
      </w:r>
    </w:p>
    <w:p>
      <w:pPr>
        <w:spacing w:after="0" w:line="1" w:lineRule="exact"/>
        <w:rPr>
          <w:sz w:val="20"/>
          <w:szCs w:val="20"/>
          <w:color w:val="auto"/>
        </w:rPr>
      </w:pPr>
    </w:p>
    <w:p>
      <w:pPr>
        <w:jc w:val="both"/>
        <w:ind w:left="340" w:hanging="332"/>
        <w:spacing w:after="0" w:line="246" w:lineRule="auto"/>
        <w:tabs>
          <w:tab w:leader="none" w:pos="340" w:val="left"/>
        </w:tabs>
        <w:numPr>
          <w:ilvl w:val="0"/>
          <w:numId w:val="90"/>
        </w:numPr>
        <w:rPr>
          <w:rFonts w:ascii="Arial" w:cs="Arial" w:eastAsia="Arial" w:hAnsi="Arial"/>
          <w:sz w:val="16"/>
          <w:szCs w:val="16"/>
          <w:color w:val="003082"/>
        </w:rPr>
      </w:pPr>
      <w:r>
        <w:rPr>
          <w:rFonts w:ascii="Arial" w:cs="Arial" w:eastAsia="Arial" w:hAnsi="Arial"/>
          <w:sz w:val="16"/>
          <w:szCs w:val="16"/>
          <w:color w:val="003082"/>
        </w:rPr>
        <w:t>Represents (a) 76,179,938 ordinary shares held by Soundscape Limited, a British Virgin Islands company; and (b) 7,222,222 Series A preferred shares held by YY TZ Limited, a British Virgin Islands company. Soundscape Limited is wholly owned by Mr. Zhao, and Mr. Zhao is the sole director of YY TZ Limited and, as such, has discretionary authority to vote and dispose of the shares held by YY TZ Limited in our company. The registered address of Soundscape Limited is Trinity Chambers, PO Box 4301, Road Town, Tortola, British Virgin Islands, and the registered address of YY TZ Limited is Vistra Corporate Services Centre, Wickhams Cay II, Road Town, Tortola, VG1110, British Virgin Islands. All of the ordinary shares held by Soundscape Limited will be re-designated and re-classified as Class B ordinary shares immediately prior to the completion of this offering and all of the Series A preferred shares held by YY TZ Limited will be automatically converted into Class A ordinary shares immediately prior to the completion of this offering.</w:t>
      </w:r>
    </w:p>
    <w:p>
      <w:pPr>
        <w:spacing w:after="0" w:line="2" w:lineRule="exact"/>
        <w:rPr>
          <w:rFonts w:ascii="Arial" w:cs="Arial" w:eastAsia="Arial" w:hAnsi="Arial"/>
          <w:sz w:val="16"/>
          <w:szCs w:val="16"/>
          <w:color w:val="003082"/>
        </w:rPr>
      </w:pPr>
    </w:p>
    <w:p>
      <w:pPr>
        <w:jc w:val="both"/>
        <w:ind w:left="340" w:hanging="332"/>
        <w:spacing w:after="0" w:line="246" w:lineRule="auto"/>
        <w:tabs>
          <w:tab w:leader="none" w:pos="340" w:val="left"/>
        </w:tabs>
        <w:numPr>
          <w:ilvl w:val="0"/>
          <w:numId w:val="90"/>
        </w:numPr>
        <w:rPr>
          <w:rFonts w:ascii="Arial" w:cs="Arial" w:eastAsia="Arial" w:hAnsi="Arial"/>
          <w:sz w:val="16"/>
          <w:szCs w:val="16"/>
          <w:color w:val="003082"/>
        </w:rPr>
      </w:pPr>
      <w:r>
        <w:rPr>
          <w:rFonts w:ascii="Arial" w:cs="Arial" w:eastAsia="Arial" w:hAnsi="Arial"/>
          <w:sz w:val="16"/>
          <w:szCs w:val="16"/>
          <w:color w:val="003082"/>
        </w:rPr>
        <w:t>Represents 14,900,000 ordinary shares held by Golden Dynamic International Limited, a British Virgin Islands company. Golden Dynamic International Limited is owned by a trust established under the laws of the British Virgin Islands for the benefit of Mr. Tao and his family members. Mr. Tao is the sole director of Golden Dynamic International Limited and, as such, has discretionary authority to vote and dispose of the shares held by Golden Dynamic International Limited in our company. The registered address of Golden Dynamic International Limited is Trident Chambers, PO Box 146, Road Town, Tortola, British Virgin Islands. All of the ordinary shares held by Golden Dynamic International Limited will be re-designated and re-classified as Class A ordinary shares immediately prior to the completion of this offering.</w:t>
      </w:r>
    </w:p>
    <w:p>
      <w:pPr>
        <w:spacing w:after="0" w:line="2" w:lineRule="exact"/>
        <w:rPr>
          <w:rFonts w:ascii="Arial" w:cs="Arial" w:eastAsia="Arial" w:hAnsi="Arial"/>
          <w:sz w:val="16"/>
          <w:szCs w:val="16"/>
          <w:color w:val="003082"/>
        </w:rPr>
      </w:pPr>
    </w:p>
    <w:p>
      <w:pPr>
        <w:jc w:val="both"/>
        <w:ind w:left="340" w:hanging="332"/>
        <w:spacing w:after="0" w:line="262" w:lineRule="auto"/>
        <w:tabs>
          <w:tab w:leader="none" w:pos="340" w:val="left"/>
        </w:tabs>
        <w:numPr>
          <w:ilvl w:val="0"/>
          <w:numId w:val="90"/>
        </w:numPr>
        <w:rPr>
          <w:rFonts w:ascii="Arial" w:cs="Arial" w:eastAsia="Arial" w:hAnsi="Arial"/>
          <w:sz w:val="15"/>
          <w:szCs w:val="15"/>
          <w:color w:val="003082"/>
        </w:rPr>
      </w:pPr>
      <w:r>
        <w:rPr>
          <w:rFonts w:ascii="Arial" w:cs="Arial" w:eastAsia="Arial" w:hAnsi="Arial"/>
          <w:sz w:val="15"/>
          <w:szCs w:val="15"/>
          <w:color w:val="003082"/>
        </w:rPr>
        <w:t>Represents 20,000,000 Series A preferred shares, 5,078,370 Series B preferred shares, 2,507,837 Series B+ preferred shares and 3,479,341 Series C preferred shares held by Shunwei Technology II Limited. Shunwei China Internet Fund, L.P. is the sole shareholder of Shunwei Technology II Limited. Shunwei Capital Partners GP, L.P. is the general partner of Shunwei China Internet Fund, L.P. Shunwei Capital Partners GP Limited is the general partner of Shunwei Capital Partners GP, L.P. The shareholders of Shunwei Capital Partners GP Limited are Silver Unicorn Ventures Limited, a British Virgin Islands company wholly owned by Mr. Koh, and Grand Energy Ventures Limited, a British Virgin Islands company wholly owned by Mr. Lei Jun. The business address of Shunwei Technology II Limited is Vistra Corporate Services Center, Wickhams Cay II, Road Town, Tortola, VG 1110, British Virgin Islands. All of the preferred shares held by Shunwei Technology II Limited will be automatically converted into Class A ordinary shares immediately prior to the completion of this offering.</w:t>
      </w:r>
    </w:p>
    <w:p>
      <w:pPr>
        <w:spacing w:after="0" w:line="4" w:lineRule="exact"/>
        <w:rPr>
          <w:rFonts w:ascii="Arial" w:cs="Arial" w:eastAsia="Arial" w:hAnsi="Arial"/>
          <w:sz w:val="15"/>
          <w:szCs w:val="15"/>
          <w:color w:val="003082"/>
        </w:rPr>
      </w:pPr>
    </w:p>
    <w:p>
      <w:pPr>
        <w:jc w:val="both"/>
        <w:ind w:left="340" w:hanging="332"/>
        <w:spacing w:after="0" w:line="262" w:lineRule="auto"/>
        <w:tabs>
          <w:tab w:leader="none" w:pos="340" w:val="left"/>
        </w:tabs>
        <w:numPr>
          <w:ilvl w:val="0"/>
          <w:numId w:val="90"/>
        </w:numPr>
        <w:rPr>
          <w:rFonts w:ascii="Arial" w:cs="Arial" w:eastAsia="Arial" w:hAnsi="Arial"/>
          <w:sz w:val="15"/>
          <w:szCs w:val="15"/>
          <w:color w:val="003082"/>
        </w:rPr>
      </w:pPr>
      <w:r>
        <w:rPr>
          <w:rFonts w:ascii="Arial" w:cs="Arial" w:eastAsia="Arial" w:hAnsi="Arial"/>
          <w:sz w:val="15"/>
          <w:szCs w:val="15"/>
          <w:color w:val="003082"/>
        </w:rPr>
        <w:t>Represents 1,474,976 ordinary shares, 1,958,473 Series A preferred shares, 2,946,919 Series B preferred shares and 490,539 Series B+ preferred shares held by GGV Capital IV L.P., and 31, 275 ordinary shares, 41,527 Series A preferred shares, 62,485 Series B preferred shares and 10,401 Series B+ preferred shares held by GGV Capital IV Entrepreneurs Fund L.P. GGV Capital IV LLC is the general partner of GGV Capital IV L.P. and GGV Capital IV Entrepreneurs Fund L.P. Ms. Lee and Messrs. Jixun Foo, Glenn Solomon, Jeffrey Gordon Richards and Hans Tung are managing directors of GGV Capital IV LLC with shared voting and dispositive power over the shares held by GGV Capital IV L.P. and GGV Capital IV Entrepreneurs Fund L.P. The business address of GGV IV L.P. and GGV IV Entrepreneurs Fund L.P. is 3000 Sand Hill Road, Building 4, Suite 230, Menlo Park, California 94025. All of the preferred shares held by GGV Capital IV L.P. and GGV Capital IV Entrepreneurs Fund L.P. will be automatically converted into Class A ordinary shares immediately prior to the completion of this offering.</w:t>
      </w:r>
    </w:p>
    <w:p>
      <w:pPr>
        <w:spacing w:after="0" w:line="4" w:lineRule="exact"/>
        <w:rPr>
          <w:rFonts w:ascii="Arial" w:cs="Arial" w:eastAsia="Arial" w:hAnsi="Arial"/>
          <w:sz w:val="15"/>
          <w:szCs w:val="15"/>
          <w:color w:val="003082"/>
        </w:rPr>
      </w:pPr>
    </w:p>
    <w:p>
      <w:pPr>
        <w:jc w:val="both"/>
        <w:ind w:left="340" w:hanging="332"/>
        <w:spacing w:after="0" w:line="265" w:lineRule="auto"/>
        <w:tabs>
          <w:tab w:leader="none" w:pos="340" w:val="left"/>
        </w:tabs>
        <w:numPr>
          <w:ilvl w:val="0"/>
          <w:numId w:val="90"/>
        </w:numPr>
        <w:rPr>
          <w:rFonts w:ascii="Arial" w:cs="Arial" w:eastAsia="Arial" w:hAnsi="Arial"/>
          <w:sz w:val="15"/>
          <w:szCs w:val="15"/>
          <w:color w:val="003082"/>
        </w:rPr>
      </w:pPr>
      <w:r>
        <w:rPr>
          <w:rFonts w:ascii="Arial" w:cs="Arial" w:eastAsia="Arial" w:hAnsi="Arial"/>
          <w:sz w:val="15"/>
          <w:szCs w:val="15"/>
          <w:color w:val="003082"/>
        </w:rPr>
        <w:t>Represents (a) 2,000,000 Series A preferred shares held by Morningside China TMT Fund II, L.P.; (b) 23,260,188 Series B preferred shares held by Morningside China TMT Top Up Fund, L.P.; (c) 7,814,192 Series B+ preferred shares and 4,744,556 Series C preferred shares held by Morningside China TMT Special Opportunity Fund II, L.P.; (d) 781,419 Series B+ preferred shares and 474,456 Series C preferred shares held by Morningside China TMT Fund IV Co-Investment, L.P.; (e) 6,163,632 Series A preferred shares and 1,576,979 Series C+ preferred shares held by Evolution Special Opportunity Fund I, L.P.; and (f) 924,545 Series A preferred shares and 236,547 Series C+ preferred shares held by Evolution Fund I Co-investment, L.P. The foregoing entities are collectively referred to in this prospectus as the Morningside entities. Morningside China TMT Fund II, L.P. and Morningside China TMT Top Up Fund, L.P. are controlled by Morningside China TMT GP II, L.P., their general partner. Morningside China TMT Special Opportunity Fund II, L.P. and Morningside China TMT Fund IV Co-Investment, L.P. are controlled by Morningside China TMT GP IV, L.P., their general partner. Morningside China TMT GP II, L.P. and Morningside China TMT GP IV, L.P. are controlled by TMT General Partner Ltd., their general partner. Each of Mr. Liu, Mr. Jianming Shi and Morningside Venture (VII) Investments Limited is entitled to exercise or control the exercise of one-third of the voting power at general meetings of TMT General Partner Ltd. Morningside Venture (VII) Investments Limited is wholly and indirectly owned by Landmark Trust Switzerland SA as trustee of a family trust for the benefit of certain members of Mdm. Chan Tan Ching Fen’s family and other charitable objects. Evolution Special Opportunity Fund I, L.P. and Evolution Fund I Co-investment, L.P. are controlled by MSVC GP Limited, their general partner. Each of Mr. Liu and Mr. Shi is entitled to exercise or control the exercise of one-half of the voting power at general meetings of MSVC GP Limited. The registered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155</w:t>
      </w:r>
    </w:p>
    <w:p>
      <w:pPr>
        <w:sectPr>
          <w:pgSz w:w="11900" w:h="16838" w:orient="portrait"/>
          <w:cols w:equalWidth="0" w:num="1">
            <w:col w:w="11240"/>
          </w:cols>
          <w:pgMar w:left="320" w:top="346" w:right="339" w:bottom="1440" w:gutter="0" w:footer="0" w:header="0"/>
        </w:sectPr>
      </w:pPr>
    </w:p>
    <w:bookmarkStart w:id="160" w:name="page161"/>
    <w:bookmarkEnd w:id="160"/>
    <w:p>
      <w:pPr>
        <w:ind w:left="340"/>
        <w:spacing w:after="0" w:line="275" w:lineRule="auto"/>
        <w:rPr>
          <w:sz w:val="20"/>
          <w:szCs w:val="20"/>
          <w:color w:val="auto"/>
        </w:rPr>
      </w:pPr>
      <w:r>
        <w:rPr>
          <w:rFonts w:ascii="Arial" w:cs="Arial" w:eastAsia="Arial" w:hAnsi="Arial"/>
          <w:sz w:val="16"/>
          <w:szCs w:val="16"/>
          <w:color w:val="003082"/>
        </w:rPr>
        <w:t>address of the Morningside entities is 75 Fort Street, PO Box 1350, Grand Cayman KY1-1108, Cayman Islands. All of the preferred shares held by the Morningside entities will be automatically converted into Class A ordinary shares immediately prior to the completion of this offering.</w:t>
      </w:r>
    </w:p>
    <w:p>
      <w:pPr>
        <w:spacing w:after="0" w:line="1" w:lineRule="exact"/>
        <w:rPr>
          <w:sz w:val="20"/>
          <w:szCs w:val="20"/>
          <w:color w:val="auto"/>
        </w:rPr>
      </w:pPr>
    </w:p>
    <w:p>
      <w:pPr>
        <w:jc w:val="both"/>
        <w:ind w:left="340" w:hanging="332"/>
        <w:spacing w:after="0" w:line="264" w:lineRule="auto"/>
        <w:tabs>
          <w:tab w:leader="none" w:pos="340" w:val="left"/>
        </w:tabs>
        <w:numPr>
          <w:ilvl w:val="0"/>
          <w:numId w:val="91"/>
        </w:numPr>
        <w:rPr>
          <w:rFonts w:ascii="Arial" w:cs="Arial" w:eastAsia="Arial" w:hAnsi="Arial"/>
          <w:sz w:val="15"/>
          <w:szCs w:val="15"/>
          <w:color w:val="003082"/>
        </w:rPr>
      </w:pPr>
      <w:r>
        <w:rPr>
          <w:rFonts w:ascii="Arial" w:cs="Arial" w:eastAsia="Arial" w:hAnsi="Arial"/>
          <w:sz w:val="15"/>
          <w:szCs w:val="15"/>
          <w:color w:val="003082"/>
        </w:rPr>
        <w:t>Represents (a) 18,808,777 Series B preferred shares and 15,047,022 Series B+ preferred shares held by SIG China Investments Master Fund III, LLLP; and (b) 5,219,012 Series C preferred shares held by SIG Global China Fund I, LLLP. The foregoing entities are collectively referred to in this prospectus as the SIG entities. SIG Asia Investment, LLLP, a Delaware limited liability limited partnership, is the investment manager for each of the SIG entities pursuant to an investment management agreement and, as such, has discretionary authority to vote and dispose of the shares held by each of the SIG entities. In addition, Heights Capital Management, Inc., a Delaware corporation, is the investment manager for SIG Asia Investment, LLLP pursuant to an investment management agreement and, as such, also has discretionary authority to vote and dispose of the shares held by each of the SIG entities. Mr. Arthur Dantchik, in his capacity as president of SIG Asia Investment, LLLP, and vice president of Heights Capital Management, Inc. may also be deemed to have investment discretion over the shares held by each of the SIG entities. Mr. Dantchik disclaims any such investment discretion or beneficial ownership with respect to the shares held by the SIG entities. The business address of Mr. Dantchik and the SIG entities is 401 City Avenue, Suite 220, Bala Cynwyd, PA 19004. All of the preferred shares held by the SIG entities will be automatically converted into Class A ordinary shares immediately prior to the completion of this offering.</w:t>
      </w:r>
    </w:p>
    <w:p>
      <w:pPr>
        <w:spacing w:after="0" w:line="2" w:lineRule="exact"/>
        <w:rPr>
          <w:rFonts w:ascii="Arial" w:cs="Arial" w:eastAsia="Arial" w:hAnsi="Arial"/>
          <w:sz w:val="15"/>
          <w:szCs w:val="15"/>
          <w:color w:val="003082"/>
        </w:rPr>
      </w:pPr>
    </w:p>
    <w:p>
      <w:pPr>
        <w:jc w:val="both"/>
        <w:ind w:left="340" w:hanging="332"/>
        <w:spacing w:after="0" w:line="246" w:lineRule="auto"/>
        <w:tabs>
          <w:tab w:leader="none" w:pos="340" w:val="left"/>
        </w:tabs>
        <w:numPr>
          <w:ilvl w:val="0"/>
          <w:numId w:val="91"/>
        </w:numPr>
        <w:rPr>
          <w:rFonts w:ascii="Arial" w:cs="Arial" w:eastAsia="Arial" w:hAnsi="Arial"/>
          <w:sz w:val="16"/>
          <w:szCs w:val="16"/>
          <w:color w:val="003082"/>
        </w:rPr>
      </w:pPr>
      <w:r>
        <w:rPr>
          <w:rFonts w:ascii="Arial" w:cs="Arial" w:eastAsia="Arial" w:hAnsi="Arial"/>
          <w:sz w:val="16"/>
          <w:szCs w:val="16"/>
          <w:color w:val="003082"/>
        </w:rPr>
        <w:t>Represents 20,876,048 Series C preferred shares and 6,624,492 Series C+ preferred shares held by Coatue PE Asia XVI L.L.C. The number of Class A ordinary shares beneficially owned immediately after this offering also includes 10,000,000 shares that Coatue CPP 10 LLC has agreed to purchase in the concurrent private placement. Coatue PE Asia XVI and Coatue CPP 10 LLC are managed by Coatue Management, L.L.C. as the investment manager. The sole owner of Coatue Management, L.L.C. is Coatue Management Partners L.P., for which Coatue Management Partners GP L.L.C. serves as general partner. Mr. Philippe Laffont serves as managing member of Coatue Management Partners GP L.L.C. The business address of Mr. Laffont and each of the entities identified in this footnote is 9 West 57th Street, 25th Floor, New York, NY 10019. All of the preferred shares held by Coatue PE Asia XVI LLC will be automatically converted into Class A ordinary shares immediately prior to the completion of this offering.</w:t>
      </w:r>
    </w:p>
    <w:p>
      <w:pPr>
        <w:spacing w:after="0" w:line="2" w:lineRule="exact"/>
        <w:rPr>
          <w:rFonts w:ascii="Arial" w:cs="Arial" w:eastAsia="Arial" w:hAnsi="Arial"/>
          <w:sz w:val="16"/>
          <w:szCs w:val="16"/>
          <w:color w:val="003082"/>
        </w:rPr>
      </w:pPr>
    </w:p>
    <w:p>
      <w:pPr>
        <w:jc w:val="both"/>
        <w:ind w:left="340" w:hanging="332"/>
        <w:spacing w:after="0" w:line="248" w:lineRule="auto"/>
        <w:tabs>
          <w:tab w:leader="none" w:pos="340" w:val="left"/>
        </w:tabs>
        <w:numPr>
          <w:ilvl w:val="0"/>
          <w:numId w:val="91"/>
        </w:numPr>
        <w:rPr>
          <w:rFonts w:ascii="Arial" w:cs="Arial" w:eastAsia="Arial" w:hAnsi="Arial"/>
          <w:sz w:val="16"/>
          <w:szCs w:val="16"/>
          <w:color w:val="003082"/>
        </w:rPr>
      </w:pPr>
      <w:r>
        <w:rPr>
          <w:rFonts w:ascii="Arial" w:cs="Arial" w:eastAsia="Arial" w:hAnsi="Arial"/>
          <w:sz w:val="16"/>
          <w:szCs w:val="16"/>
          <w:color w:val="003082"/>
        </w:rPr>
        <w:t>Represents 22,489,831 ordinary shares held by Easy Dynamic International Limited, a British Virgin Islands company. Easy Dynamic International Limited is owned by a trust established under the laws of the British Virgin Islands for the benefit of Ms. Xiaojing Li and her family members. Ms. Li is the sole director of Easy Dynamic International Limited and, as such, has discretionary authority to vote and dispose of the shares held by Easy Dynamic International Limited in our company. The business address of Ms. Li and Easy Dynamic International Limited is Vistra Corporate Services Centre, Wickhams Cay II, Road Town, Tortola, VG1110, British Virgin Islands. All of the ordinary shares held by Easy Dynamic International Limited will be re-designated and re-classified as Class A ordinary shares immediately prior to the completion of this offering.</w:t>
      </w:r>
    </w:p>
    <w:p>
      <w:pPr>
        <w:spacing w:after="0" w:line="13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As of the date of this prospectus, 72,712,654 of our outstanding preferred shares are held by six record holders in the United States, representing 23.8% of the outstanding ordinary shares as of May 31, 2020 on an as-converted basis. None of our ordinary shares are held by record holders in the United States. We are not aware of any of our shareholders being affiliated with a registered broker-dealer or being in the business of underwriting securities.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156</w:t>
      </w:r>
    </w:p>
    <w:p>
      <w:pPr>
        <w:sectPr>
          <w:pgSz w:w="11900" w:h="16838" w:orient="portrait"/>
          <w:cols w:equalWidth="0" w:num="1">
            <w:col w:w="11240"/>
          </w:cols>
          <w:pgMar w:left="320" w:top="359" w:right="3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8"/>
          <w:szCs w:val="18"/>
          <w:b w:val="1"/>
          <w:bCs w:val="1"/>
          <w:color w:val="003082"/>
        </w:rPr>
        <w:t>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Contractual Arrangements with our VIE and its Shareholders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See the section of this prospectus captioned “Corporate History and Structure—Contractual Arrangements among our WFOE, our VIE and our VIE’s Shareholders.”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Private Placements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See the sections of this prospectus captioned “Description of Share Capital—History of Securities Issuances” and “Concurrent Private Placement.”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Shareholders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See the section of this prospectus captioned “Description of Share Capital—Shareholders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Employment Agreements and Indemnification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See the section of this prospectus captioned “Management—Employment Agreements and Indemnification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Equity Incentive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See the section of this prospectus captioned “Management—Equity Incentive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Lease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are party to a renewable lease agreement under which we rent office space from an entity that is under common control of Mr. Zhao, our chief executive officer and chairman. During 2018 and 2019 and the first three months ended March 31, 2020 we paid rent to this entity of US$153,920,US$168,349 and US$49,922,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Short-Term Loan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In February 2020 we provided a short-term loan in the amount of US$146,000 to Mr. Wang to cover individual income taxes for granted options. The loan was repaid in May 2020.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157</w:t>
      </w:r>
    </w:p>
    <w:p>
      <w:pPr>
        <w:sectPr>
          <w:pgSz w:w="11900" w:h="16838" w:orient="portrait"/>
          <w:cols w:equalWidth="0" w:num="1">
            <w:col w:w="11240"/>
          </w:cols>
          <w:pgMar w:left="320" w:top="445"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003082"/>
        </w:rPr>
        <w:t>DESCRIPTION OF SHARE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We are a Cayman Islands exempted company incorporated with limited liability and our affairs are governed by our memorandum and articles of association, the Companies Law of the Cayman Islands, as amended, or the Companies Law, and Cayman Islands common law.</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As of the date of this prospectus, our authorized share capital is US$100,000 consisting of 1,000,000,000 shares, of which: (1) 817,082,009 shares are designated ordinary shares, par value US$0.0001 per shares, or the ordinary shares; (2) 55,626,960 shares are designated Series A preferred shares, par value US$0.0001 per share, or the Series A preferred shares; (3) 50,783,698 shares are designated Series B preferred shares, par value US$0.0001 per share, or the Series B preferred shares; (4) 26,651,410 shares are designated Series B+ preferred shares, par value US$0.0001 per share, or the Series B+ preferred shares; (5) 34,793,413 shares are designated Series C preferred shares, par value US$0.0001 per share, or the Series C preferred shares; and 15,062,510 shares are designated Series C+ preferred shares, par value US$0.0001 per share, or the Series C+ preferred shares and, together with the Series A preferred shares, the Series B preferred shares, the Series B+ preferred shares and the Series C preferred shares, the preferred shares.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As of March 31, 2020, 121,979,938 ordinary shares, 55,626,960 Series A preferred shares, 50,783,698 Series B preferred shares, 26,651,410 Series B+ Preferred Shares, 34,793,413 Series C preferred shares and 15,062,510 Series C+ preferred shares were issued and outstanding. All of our issued and outstanding ordinary and preferred shares are fully paid.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Immediately prior to the completion of this offering, our authorized share capital will be changed into US$100,000 divided into 1,000,000,000 shares</w:t>
      </w:r>
    </w:p>
    <w:p>
      <w:pPr>
        <w:spacing w:after="0" w:line="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003082"/>
        </w:rPr>
        <w:t>comprising (1) 800,000,000 Class A ordinary shares, par value US$0.0001 per share, (2) 76,179,938 Class B ordinary shares, par value US$0.0001 per share, and (3) 123,820,062 shares, par value US$0.0001 per share, of such class or classes (however designated) as our board of directors may determine in accordance with our post-offering amended and restated memorandum and articles of association. Immediately prior to the completion of this offering, all of our issued and outstanding ordinary shares and preferred shares will be converted into, or re-designated and re-classified, as Class A ordinary shares on a one-for-one basis, except that an aggregate 76,179,938 ordinary shares beneficially owned by our chief executive officer will be re-designated as Class B ordinary shares. Following such conversion, re-designation and re-classification, we will have 228,717,991 Class A ordinary shares and 76,179,938 Class B ordinary shares issued and outstanding immediately prior to the completion of this offering. We will issue 70,000,000 Class A ordinary shares represented by ADSs in this offering and 22,000,000 Class A ordinary shares in the concurrent private placement, assuming the underwriters do not exercise their over-allotment option. All of our shares issued and outstanding prior to the completion of this offering and the concurrent private placement will be fully paid, and all of our shares to be issued in this offering and the concurrent private placement will be issued as fully paid.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Our Post-Offering Amended and Restated Memorandum and Articles of Association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Our shareholders have adopted our fifth amended and restated memorandum and articles of association, or the Articles, which will become effective and replace our current amended and restated memorandum and articles of association in its entirety immediately prior to the completion of this offering. The remainder of this section summarizes material provisions of the Articles and the Companies Law, insofar as they relate to the material terms of our share capital.</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Objects of Our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Under the Articles, the objects of our company are unrestricted and we have the full power and authority to carry out any object not prohibited by Cayman Islands law.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Ordinary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Our ordinary shares are issued in registered form and are issued when registered in our register of members. We may not issue shares to bearer. Our shareholders who are not Cayman Islands residents may freely hold and vote their shares. Our ordinary shares are divided into Class A ordinary shares and Class B ordinary shares. Holders of our Class A ordinary shares and Class B ordinary shares will have the same rights except for voting and conversion rights. Each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158</w:t>
      </w:r>
    </w:p>
    <w:p>
      <w:pPr>
        <w:sectPr>
          <w:pgSz w:w="11900" w:h="16838" w:orient="portrait"/>
          <w:cols w:equalWidth="0" w:num="1">
            <w:col w:w="11240"/>
          </w:cols>
          <w:pgMar w:left="320" w:top="445" w:right="339" w:bottom="1440" w:gutter="0" w:footer="0" w:header="0"/>
        </w:sectPr>
      </w:pPr>
    </w:p>
    <w:bookmarkStart w:id="163" w:name="page164"/>
    <w:bookmarkEnd w:id="163"/>
    <w:p>
      <w:pPr>
        <w:jc w:val="both"/>
        <w:spacing w:after="0" w:line="277" w:lineRule="auto"/>
        <w:rPr>
          <w:sz w:val="20"/>
          <w:szCs w:val="20"/>
          <w:color w:val="auto"/>
        </w:rPr>
      </w:pPr>
      <w:r>
        <w:rPr>
          <w:rFonts w:ascii="Arial" w:cs="Arial" w:eastAsia="Arial" w:hAnsi="Arial"/>
          <w:sz w:val="18"/>
          <w:szCs w:val="18"/>
          <w:color w:val="003082"/>
        </w:rPr>
        <w:t>Class A ordinary share entitles the holder thereof to one vote on all matters subject to a vote at our general meetings, and each Class B ordinary share entitles the holder thereof to 20 votes on all matters subject to a vote at our general meetings.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Voting Rights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Holders of our Class A ordinary shares and our Class B ordinary shares will vote together as one class on all matters submitted to a vote by our shareholders at any general meeting of our company. Each Class A ordinary share is entitled to one vote and each Class B ordinary share is entitled to 20 votes on all matters subject to a vote at general meetings of our company. Voting at any shareholders’ meeting is by show of hands unless a poll is demanded (before or on the declaration of the result of the show of hands). A poll may be demanded by the chairman of such meeting or any one shareholder present in person or by proxy at the meeting.</w:t>
      </w:r>
    </w:p>
    <w:p>
      <w:pPr>
        <w:spacing w:after="0" w:line="13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An ordinary resolution to be passed at a meeting by the shareholders requires the affirmative vote of a simple majority of the votes attaching to the issued and ordinary shares cast at a meeting, while a special resolution requires the affirmative vote of no less than two-thirds of the votes cast attaching to the issued and outstanding ordinary shares at a meeting. A special resolution will be required for certain significant matters such as changing the name of our company or amending the Articles. Holders of the ordinary shares may, among other things, divide or combine their shares by ordinary resolution.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Conversion Rights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Each Class B ordinary share is convertible into one Class A ordinary share at any time at the option of the holder thereof. Class A ordinary shares are not convertible into Class B ordinary shares in any event. Upon any sale, transfer, assignment or disposition of any Class B ordinary shares by their holder or a change of ultimate beneficial ownership of any Class B ordinary share to any person who is neither Agora Partners L.P., an exempted limited partnership to be established in the Cayman Islands (the limited partners of which shall include members of management of our company and or its affiliates), nor an affiliate controlled by our chief executive officer, Mr. Zhao, such Class B ordinary shares shall be automatically and immediately converted into the same number of Class A ordinary shares.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Dividend Rights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The holders of our ordinary shares are entitled to such dividends as may be declared by our board of directors. In addition, our shareholders may declare dividends by ordinary resolution, but no dividend shall exceed the amount recommended by our directors. Our post-offering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General Meetings of Shareholders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003082"/>
        </w:rPr>
        <w:t>As a Cayman Islands exempted company, the Companies Law does not require us to call shareholders’ annual general meetings. The Articles provide that we may (but are not obligated to) hold a general meeting as our annual general meeting, in which case we shall specify the meeting as such in the meeting notice, and the annual general meeting shall be held at such time and place as may be determined by our directors.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Shareholders’ general meetings may be convened by the chairman of our board or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Companies Law provides shareholders with only limited rights to requisition a general meeting, and does not provide shareholders with any right to put any proposal before a general meeting. However, these rights may be provided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159</w:t>
      </w:r>
    </w:p>
    <w:p>
      <w:pPr>
        <w:sectPr>
          <w:pgSz w:w="11900" w:h="16838" w:orient="portrait"/>
          <w:cols w:equalWidth="0" w:num="1">
            <w:col w:w="11240"/>
          </w:cols>
          <w:pgMar w:left="320" w:top="341" w:right="339" w:bottom="1440" w:gutter="0" w:footer="0" w:header="0"/>
        </w:sectPr>
      </w:pPr>
    </w:p>
    <w:bookmarkStart w:id="164" w:name="page165"/>
    <w:bookmarkEnd w:id="164"/>
    <w:p>
      <w:pPr>
        <w:jc w:val="both"/>
        <w:spacing w:after="0" w:line="279" w:lineRule="auto"/>
        <w:rPr>
          <w:sz w:val="20"/>
          <w:szCs w:val="20"/>
          <w:color w:val="auto"/>
        </w:rPr>
      </w:pPr>
      <w:r>
        <w:rPr>
          <w:rFonts w:ascii="Arial" w:cs="Arial" w:eastAsia="Arial" w:hAnsi="Arial"/>
          <w:sz w:val="17"/>
          <w:szCs w:val="17"/>
          <w:color w:val="003082"/>
        </w:rPr>
        <w:t>in a company’s articles of association. Our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However, our Articles do not provide our shareholders with any right to put any proposals before annual general meetings or extraordinary general meetings not called by such shareholders.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Transfer of Ordinary Shares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Subject to the restrictions set forth below, any of our shareholders may transfer all or any of his or her ordinary shares by an instrument of transfer in the usual or common form or any other form approved by our board of directors.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16" w:lineRule="exact"/>
        <w:rPr>
          <w:sz w:val="20"/>
          <w:szCs w:val="20"/>
          <w:color w:val="auto"/>
        </w:rPr>
      </w:pPr>
    </w:p>
    <w:p>
      <w:pPr>
        <w:ind w:left="660" w:right="20" w:hanging="328"/>
        <w:spacing w:after="0" w:line="277" w:lineRule="auto"/>
        <w:tabs>
          <w:tab w:leader="none" w:pos="660" w:val="left"/>
        </w:tabs>
        <w:numPr>
          <w:ilvl w:val="0"/>
          <w:numId w:val="92"/>
        </w:numPr>
        <w:rPr>
          <w:rFonts w:ascii="Arial" w:cs="Arial" w:eastAsia="Arial" w:hAnsi="Arial"/>
          <w:sz w:val="18"/>
          <w:szCs w:val="18"/>
          <w:color w:val="003082"/>
        </w:rPr>
      </w:pPr>
      <w:r>
        <w:rPr>
          <w:rFonts w:ascii="Arial" w:cs="Arial" w:eastAsia="Arial" w:hAnsi="Arial"/>
          <w:sz w:val="18"/>
          <w:szCs w:val="18"/>
          <w:color w:val="003082"/>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92"/>
        </w:numPr>
        <w:rPr>
          <w:rFonts w:ascii="Arial" w:cs="Arial" w:eastAsia="Arial" w:hAnsi="Arial"/>
          <w:sz w:val="18"/>
          <w:szCs w:val="18"/>
          <w:color w:val="003082"/>
        </w:rPr>
      </w:pPr>
      <w:r>
        <w:rPr>
          <w:rFonts w:ascii="Arial" w:cs="Arial" w:eastAsia="Arial" w:hAnsi="Arial"/>
          <w:sz w:val="18"/>
          <w:szCs w:val="18"/>
          <w:color w:val="003082"/>
        </w:rPr>
        <w:t>the instrument of transfer is in respect of only one class of ordinary shares;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2"/>
        </w:numPr>
        <w:rPr>
          <w:rFonts w:ascii="Arial" w:cs="Arial" w:eastAsia="Arial" w:hAnsi="Arial"/>
          <w:sz w:val="18"/>
          <w:szCs w:val="18"/>
          <w:color w:val="003082"/>
        </w:rPr>
      </w:pPr>
      <w:r>
        <w:rPr>
          <w:rFonts w:ascii="Arial" w:cs="Arial" w:eastAsia="Arial" w:hAnsi="Arial"/>
          <w:sz w:val="18"/>
          <w:szCs w:val="18"/>
          <w:color w:val="003082"/>
        </w:rPr>
        <w:t>the instrument of transfer is properly stamped, if required;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2"/>
        </w:numPr>
        <w:rPr>
          <w:rFonts w:ascii="Arial" w:cs="Arial" w:eastAsia="Arial" w:hAnsi="Arial"/>
          <w:sz w:val="16"/>
          <w:szCs w:val="16"/>
          <w:color w:val="003082"/>
        </w:rPr>
      </w:pPr>
      <w:r>
        <w:rPr>
          <w:rFonts w:ascii="Arial" w:cs="Arial" w:eastAsia="Arial" w:hAnsi="Arial"/>
          <w:sz w:val="16"/>
          <w:szCs w:val="16"/>
          <w:color w:val="003082"/>
        </w:rPr>
        <w:t>in the case of a transfer to joint holders, the number of joint holders to whom the ordinary share is to be transferred does not exceed four; and</w:t>
      </w:r>
    </w:p>
    <w:p>
      <w:pPr>
        <w:spacing w:after="0" w:line="194" w:lineRule="exact"/>
        <w:rPr>
          <w:rFonts w:ascii="Arial" w:cs="Arial" w:eastAsia="Arial" w:hAnsi="Arial"/>
          <w:sz w:val="16"/>
          <w:szCs w:val="16"/>
          <w:color w:val="003082"/>
        </w:rPr>
      </w:pPr>
    </w:p>
    <w:p>
      <w:pPr>
        <w:ind w:left="660" w:hanging="328"/>
        <w:spacing w:after="0" w:line="277" w:lineRule="auto"/>
        <w:tabs>
          <w:tab w:leader="none" w:pos="660" w:val="left"/>
        </w:tabs>
        <w:numPr>
          <w:ilvl w:val="0"/>
          <w:numId w:val="92"/>
        </w:numPr>
        <w:rPr>
          <w:rFonts w:ascii="Arial" w:cs="Arial" w:eastAsia="Arial" w:hAnsi="Arial"/>
          <w:sz w:val="18"/>
          <w:szCs w:val="18"/>
          <w:color w:val="003082"/>
        </w:rPr>
      </w:pPr>
      <w:r>
        <w:rPr>
          <w:rFonts w:ascii="Arial" w:cs="Arial" w:eastAsia="Arial" w:hAnsi="Arial"/>
          <w:sz w:val="18"/>
          <w:szCs w:val="18"/>
          <w:color w:val="003082"/>
        </w:rPr>
        <w:t>a fee of such maximum sum as the Nasdaq Stock Market may determine to be payable or such lesser sum as our directors may from time to time require is paid to us in respect thereof.</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If our directors refuse to register a transfer, they shall, within three months after the date on which the instrument of transfer was lodged, send to each of the transferor and the transferee notice of such refusal.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registration of transfers may, after compliance with any notice required by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year.</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Liquidation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Calls on Shares and Forfeiture of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board of directors may from time to time make calls upon shareholders for any amounts unpaid on their shares in a notice served to such shareholders at least 14 calendar days prior to the specified time and place of payment. The shares that have been called upon and remain unpaid are subject to forfeiture.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Redemption, Repurchase and Surrender of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may issue shares on terms that such shares are subject to redemption, at our option or at the option of the holders of such shares, on such terms and in such manner as may be determined by our board of directors. Our Company may also repurchase any of our shares on such terms and in such manner as have been approved by our board of directors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160</w:t>
      </w:r>
    </w:p>
    <w:p>
      <w:pPr>
        <w:sectPr>
          <w:pgSz w:w="11900" w:h="16838" w:orient="portrait"/>
          <w:cols w:equalWidth="0" w:num="1">
            <w:col w:w="11240"/>
          </w:cols>
          <w:pgMar w:left="320" w:top="341" w:right="339" w:bottom="1440" w:gutter="0" w:footer="0" w:header="0"/>
        </w:sectPr>
      </w:pPr>
    </w:p>
    <w:bookmarkStart w:id="165" w:name="page166"/>
    <w:bookmarkEnd w:id="165"/>
    <w:p>
      <w:pPr>
        <w:jc w:val="both"/>
        <w:spacing w:after="0" w:line="255" w:lineRule="auto"/>
        <w:rPr>
          <w:sz w:val="20"/>
          <w:szCs w:val="20"/>
          <w:color w:val="auto"/>
        </w:rPr>
      </w:pPr>
      <w:r>
        <w:rPr>
          <w:rFonts w:ascii="Arial" w:cs="Arial" w:eastAsia="Arial" w:hAnsi="Arial"/>
          <w:sz w:val="18"/>
          <w:szCs w:val="18"/>
          <w:color w:val="003082"/>
        </w:rPr>
        <w:t>or by an ordinary resolution of our shareholders. Under the Companies Law, the redemption or repurchase of any share may be paid out of the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Variations of Rights of Shares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If at any time, our share capital is divided into different classes or series of shares, the rights attached to any such class may, subject to any rights or restrictions for the time being attached to any class, only be materially adversely varied with the consent in writing of the holders of 50% of the issued shares of that class with the sanction of an ordinary resolution passed at a separate meeting of the holders of the shares of the class. The rights conferred upon the holders of the shares of any class issued with preferred or other rights shall not be deemed to be varied by the creation or issue of further shares ranking </w:t>
      </w:r>
      <w:r>
        <w:rPr>
          <w:rFonts w:ascii="Arial" w:cs="Arial" w:eastAsia="Arial" w:hAnsi="Arial"/>
          <w:sz w:val="18"/>
          <w:szCs w:val="18"/>
          <w:i w:val="1"/>
          <w:iCs w:val="1"/>
          <w:color w:val="003082"/>
        </w:rPr>
        <w:t>pari passu</w:t>
      </w:r>
      <w:r>
        <w:rPr>
          <w:rFonts w:ascii="Arial" w:cs="Arial" w:eastAsia="Arial" w:hAnsi="Arial"/>
          <w:sz w:val="18"/>
          <w:szCs w:val="18"/>
          <w:color w:val="003082"/>
        </w:rPr>
        <w:t xml:space="preserve"> with such existing class of shares.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Issuance of Additional Shares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Articles authorize our board of directors to issue additional ordinary shares from time to time as our board of directors shall determine, to the extent of available authorized but unissued shares. The Articles also authorize our board of directors to establish from time to time one or more series of preference shares and to determine, with respect to any series of preference shares, the terms and rights of such series, including:</w:t>
      </w:r>
    </w:p>
    <w:p>
      <w:pPr>
        <w:spacing w:after="0" w:line="11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003082"/>
        </w:rPr>
      </w:pPr>
      <w:r>
        <w:rPr>
          <w:rFonts w:ascii="Arial" w:cs="Arial" w:eastAsia="Arial" w:hAnsi="Arial"/>
          <w:sz w:val="18"/>
          <w:szCs w:val="18"/>
          <w:color w:val="003082"/>
        </w:rPr>
        <w:t>the designation of the series;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3"/>
        </w:numPr>
        <w:rPr>
          <w:rFonts w:ascii="Arial" w:cs="Arial" w:eastAsia="Arial" w:hAnsi="Arial"/>
          <w:sz w:val="18"/>
          <w:szCs w:val="18"/>
          <w:color w:val="003082"/>
        </w:rPr>
      </w:pPr>
      <w:r>
        <w:rPr>
          <w:rFonts w:ascii="Arial" w:cs="Arial" w:eastAsia="Arial" w:hAnsi="Arial"/>
          <w:sz w:val="18"/>
          <w:szCs w:val="18"/>
          <w:color w:val="003082"/>
        </w:rPr>
        <w:t>the number of shares of the series;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3"/>
        </w:numPr>
        <w:rPr>
          <w:rFonts w:ascii="Arial" w:cs="Arial" w:eastAsia="Arial" w:hAnsi="Arial"/>
          <w:sz w:val="18"/>
          <w:szCs w:val="18"/>
          <w:color w:val="003082"/>
        </w:rPr>
      </w:pPr>
      <w:r>
        <w:rPr>
          <w:rFonts w:ascii="Arial" w:cs="Arial" w:eastAsia="Arial" w:hAnsi="Arial"/>
          <w:sz w:val="18"/>
          <w:szCs w:val="18"/>
          <w:color w:val="003082"/>
        </w:rPr>
        <w:t>the dividend rights, dividend rates, conversion rights and voting rights;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3"/>
        </w:numPr>
        <w:rPr>
          <w:rFonts w:ascii="Arial" w:cs="Arial" w:eastAsia="Arial" w:hAnsi="Arial"/>
          <w:sz w:val="18"/>
          <w:szCs w:val="18"/>
          <w:color w:val="003082"/>
        </w:rPr>
      </w:pPr>
      <w:r>
        <w:rPr>
          <w:rFonts w:ascii="Arial" w:cs="Arial" w:eastAsia="Arial" w:hAnsi="Arial"/>
          <w:sz w:val="18"/>
          <w:szCs w:val="18"/>
          <w:color w:val="003082"/>
        </w:rPr>
        <w:t>the redemption rights and terms and liquidation preferences.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Our board of directors may issue preference shares without action by our shareholders to the extent authorized but unissued. Issuance of these shares may dilute the voting power of holders of ordinary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Inspection of Books and Records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Holders of our ordinary shares will have no general right under Cayman Islands law to inspect or obtain copies of our corporate records (except for the Articles and our register of mortgages and charges) or a list of our shareholders. However, we will provide our shareholders with annual audited financial statements. See the section of this prospectus captioned “Where You Can Find Additional Information.”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Anti-Takeover Provisions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Some provisions of our Articles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660" w:right="20" w:hanging="328"/>
        <w:spacing w:after="0" w:line="277" w:lineRule="auto"/>
        <w:tabs>
          <w:tab w:leader="none" w:pos="660" w:val="left"/>
        </w:tabs>
        <w:numPr>
          <w:ilvl w:val="0"/>
          <w:numId w:val="94"/>
        </w:numPr>
        <w:rPr>
          <w:rFonts w:ascii="Arial" w:cs="Arial" w:eastAsia="Arial" w:hAnsi="Arial"/>
          <w:sz w:val="18"/>
          <w:szCs w:val="18"/>
          <w:color w:val="003082"/>
        </w:rPr>
      </w:pPr>
      <w:r>
        <w:rPr>
          <w:rFonts w:ascii="Arial" w:cs="Arial" w:eastAsia="Arial" w:hAnsi="Arial"/>
          <w:sz w:val="18"/>
          <w:szCs w:val="18"/>
          <w:color w:val="003082"/>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94"/>
        </w:numPr>
        <w:rPr>
          <w:rFonts w:ascii="Arial" w:cs="Arial" w:eastAsia="Arial" w:hAnsi="Arial"/>
          <w:sz w:val="18"/>
          <w:szCs w:val="18"/>
          <w:color w:val="003082"/>
        </w:rPr>
      </w:pPr>
      <w:r>
        <w:rPr>
          <w:rFonts w:ascii="Arial" w:cs="Arial" w:eastAsia="Arial" w:hAnsi="Arial"/>
          <w:sz w:val="18"/>
          <w:szCs w:val="18"/>
          <w:color w:val="003082"/>
        </w:rPr>
        <w:t>limit the ability of shareholders to requisition and convene general meetings of shareholders.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However, under Cayman Islands law, our directors may only exercise the rights and powers granted to them under the Articles for a proper purpose and for what they believe in good faith to be in the best interests of our company.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161</w:t>
      </w:r>
    </w:p>
    <w:p>
      <w:pPr>
        <w:sectPr>
          <w:pgSz w:w="11900" w:h="16838" w:orient="portrait"/>
          <w:cols w:equalWidth="0" w:num="1">
            <w:col w:w="11240"/>
          </w:cols>
          <w:pgMar w:left="320" w:top="341" w:right="339" w:bottom="1440" w:gutter="0" w:footer="0" w:header="0"/>
        </w:sectPr>
      </w:pPr>
    </w:p>
    <w:bookmarkStart w:id="166" w:name="page167"/>
    <w:bookmarkEnd w:id="166"/>
    <w:p>
      <w:pPr>
        <w:ind w:left="340"/>
        <w:spacing w:after="0"/>
        <w:rPr>
          <w:sz w:val="20"/>
          <w:szCs w:val="20"/>
          <w:color w:val="auto"/>
        </w:rPr>
      </w:pPr>
      <w:r>
        <w:rPr>
          <w:rFonts w:ascii="Arial" w:cs="Arial" w:eastAsia="Arial" w:hAnsi="Arial"/>
          <w:sz w:val="18"/>
          <w:szCs w:val="18"/>
          <w:b w:val="1"/>
          <w:bCs w:val="1"/>
          <w:i w:val="1"/>
          <w:iCs w:val="1"/>
          <w:color w:val="003082"/>
        </w:rPr>
        <w:t>Exempted Company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33"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does not have to file an annual return of its shareholders with the Registrar of Companies;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is not required to open its register of members for inspection;</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does not have to hold an annual general meeting;</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may issue negotiable or bearer shares or shares with no par value;</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5"/>
        </w:numPr>
        <w:rPr>
          <w:rFonts w:ascii="Arial" w:cs="Arial" w:eastAsia="Arial" w:hAnsi="Arial"/>
          <w:sz w:val="16"/>
          <w:szCs w:val="16"/>
          <w:color w:val="003082"/>
        </w:rPr>
      </w:pPr>
      <w:r>
        <w:rPr>
          <w:rFonts w:ascii="Arial" w:cs="Arial" w:eastAsia="Arial" w:hAnsi="Arial"/>
          <w:sz w:val="16"/>
          <w:szCs w:val="16"/>
          <w:color w:val="003082"/>
        </w:rPr>
        <w:t>may obtain an undertaking against the imposition of any future taxation (such undertakings are usually given for 20 years in the first instance);</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may register by way of continuation in another jurisdiction and be deregistered in the Cayman Islands;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may register as a limited duration company;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95"/>
        </w:numPr>
        <w:rPr>
          <w:rFonts w:ascii="Arial" w:cs="Arial" w:eastAsia="Arial" w:hAnsi="Arial"/>
          <w:sz w:val="18"/>
          <w:szCs w:val="18"/>
          <w:color w:val="003082"/>
        </w:rPr>
      </w:pPr>
      <w:r>
        <w:rPr>
          <w:rFonts w:ascii="Arial" w:cs="Arial" w:eastAsia="Arial" w:hAnsi="Arial"/>
          <w:sz w:val="18"/>
          <w:szCs w:val="18"/>
          <w:color w:val="003082"/>
        </w:rPr>
        <w:t>may register as a segregated portfolio company.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162</w:t>
      </w:r>
    </w:p>
    <w:p>
      <w:pPr>
        <w:sectPr>
          <w:pgSz w:w="11900" w:h="16838" w:orient="portrait"/>
          <w:cols w:equalWidth="0" w:num="1">
            <w:col w:w="11240"/>
          </w:cols>
          <w:pgMar w:left="320" w:top="449"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003082"/>
        </w:rPr>
        <w:t>Differences in Corporate Law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Companies Law is modeled after the older Companies Acts of England and Wales but does not follow recent statutory enactments in England. In addition, the Companies Law differs from laws applicable to corporations incorporated in the State of Delaware and their stockholders. Set forth below is a summary of the significant differences between the provisions of the Companies Law applicable to us and the laws applicable to corporations incorporated in the State of Delaware.</w:t>
      </w:r>
    </w:p>
    <w:p>
      <w:pPr>
        <w:sectPr>
          <w:pgSz w:w="11900" w:h="16838" w:orient="portrait"/>
          <w:cols w:equalWidth="0" w:num="1">
            <w:col w:w="11240"/>
          </w:cols>
          <w:pgMar w:left="320" w:top="445" w:right="339" w:bottom="1440" w:gutter="0" w:footer="0" w:header="0"/>
        </w:sect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4160" w:type="dxa"/>
            <w:vAlign w:val="bottom"/>
            <w:tcBorders>
              <w:bottom w:val="single" w:sz="8" w:color="3D5588"/>
            </w:tcBorders>
          </w:tcPr>
          <w:p>
            <w:pPr>
              <w:ind w:left="1600"/>
              <w:spacing w:after="0"/>
              <w:rPr>
                <w:sz w:val="20"/>
                <w:szCs w:val="20"/>
                <w:color w:val="auto"/>
              </w:rPr>
            </w:pPr>
            <w:r>
              <w:rPr>
                <w:rFonts w:ascii="Arial" w:cs="Arial" w:eastAsia="Arial" w:hAnsi="Arial"/>
                <w:sz w:val="14"/>
                <w:szCs w:val="14"/>
                <w:b w:val="1"/>
                <w:bCs w:val="1"/>
                <w:color w:val="003082"/>
              </w:rPr>
              <w:t>Cayman Islands</w:t>
            </w:r>
          </w:p>
        </w:tc>
      </w:tr>
      <w:tr>
        <w:trPr>
          <w:trHeight w:val="243"/>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003082"/>
                <w:w w:val="95"/>
              </w:rPr>
              <w:t>Title of Organizational Documents</w:t>
            </w:r>
          </w:p>
        </w:tc>
        <w:tc>
          <w:tcPr>
            <w:tcW w:w="4160" w:type="dxa"/>
            <w:vAlign w:val="bottom"/>
          </w:tcPr>
          <w:p>
            <w:pPr>
              <w:ind w:left="40"/>
              <w:spacing w:after="0"/>
              <w:rPr>
                <w:sz w:val="20"/>
                <w:szCs w:val="20"/>
                <w:color w:val="auto"/>
              </w:rPr>
            </w:pPr>
            <w:r>
              <w:rPr>
                <w:rFonts w:ascii="Arial" w:cs="Arial" w:eastAsia="Arial" w:hAnsi="Arial"/>
                <w:sz w:val="18"/>
                <w:szCs w:val="18"/>
                <w:color w:val="003082"/>
              </w:rPr>
              <w:t>Memorandum and Articles of Association</w:t>
            </w:r>
          </w:p>
        </w:tc>
      </w:tr>
      <w:tr>
        <w:trPr>
          <w:trHeight w:val="377"/>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003082"/>
              </w:rPr>
              <w:t>Duties of Directors</w:t>
            </w:r>
          </w:p>
        </w:tc>
        <w:tc>
          <w:tcPr>
            <w:tcW w:w="4160" w:type="dxa"/>
            <w:vAlign w:val="bottom"/>
          </w:tcPr>
          <w:p>
            <w:pPr>
              <w:ind w:left="40"/>
              <w:spacing w:after="0"/>
              <w:rPr>
                <w:sz w:val="20"/>
                <w:szCs w:val="20"/>
                <w:color w:val="auto"/>
              </w:rPr>
            </w:pPr>
            <w:r>
              <w:rPr>
                <w:rFonts w:ascii="Arial" w:cs="Arial" w:eastAsia="Arial" w:hAnsi="Arial"/>
                <w:sz w:val="18"/>
                <w:szCs w:val="18"/>
                <w:color w:val="003082"/>
              </w:rPr>
              <w:t>As a matter of Cayman Islands law, a director of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w w:val="98"/>
              </w:rPr>
              <w:t>Cayman  Islands  company  is  in  the  position  of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w w:val="93"/>
              </w:rPr>
              <w:t>fiduciary with respect to the company and therefore it is</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rPr>
              <w:t>considered that he owes the following duties to the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rPr>
              <w:t>company—a duty to act in good faith in the best</w:t>
            </w:r>
          </w:p>
        </w:tc>
      </w:tr>
      <w:tr>
        <w:trPr>
          <w:trHeight w:val="230"/>
        </w:trPr>
        <w:tc>
          <w:tcPr>
            <w:tcW w:w="2800" w:type="dxa"/>
            <w:vAlign w:val="bottom"/>
          </w:tcPr>
          <w:p>
            <w:pPr>
              <w:spacing w:after="0"/>
              <w:rPr>
                <w:sz w:val="20"/>
                <w:szCs w:val="20"/>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w w:val="92"/>
              </w:rPr>
              <w:t>interests of the company, a duty not to make a personal</w:t>
            </w:r>
          </w:p>
        </w:tc>
      </w:tr>
    </w:tbl>
    <w:p>
      <w:pPr>
        <w:jc w:val="both"/>
        <w:ind w:left="2860" w:right="20"/>
        <w:spacing w:after="0" w:line="265" w:lineRule="auto"/>
        <w:rPr>
          <w:sz w:val="20"/>
          <w:szCs w:val="20"/>
          <w:color w:val="auto"/>
        </w:rPr>
      </w:pPr>
      <w:r>
        <w:rPr>
          <w:rFonts w:ascii="Arial" w:cs="Arial" w:eastAsia="Arial" w:hAnsi="Arial"/>
          <w:sz w:val="17"/>
          <w:szCs w:val="17"/>
          <w:color w:val="003082"/>
        </w:rPr>
        <w:t>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w:t>
      </w:r>
    </w:p>
    <w:p>
      <w:pPr>
        <w:spacing w:after="0" w:line="1" w:lineRule="exact"/>
        <w:rPr>
          <w:sz w:val="20"/>
          <w:szCs w:val="20"/>
          <w:color w:val="auto"/>
        </w:rPr>
      </w:pPr>
    </w:p>
    <w:p>
      <w:pPr>
        <w:jc w:val="both"/>
        <w:ind w:left="2860" w:right="20"/>
        <w:spacing w:after="0" w:line="251" w:lineRule="auto"/>
        <w:rPr>
          <w:sz w:val="20"/>
          <w:szCs w:val="20"/>
          <w:color w:val="auto"/>
        </w:rPr>
      </w:pPr>
      <w:r>
        <w:rPr>
          <w:rFonts w:ascii="Arial" w:cs="Arial" w:eastAsia="Arial" w:hAnsi="Arial"/>
          <w:sz w:val="18"/>
          <w:szCs w:val="18"/>
          <w:color w:val="003082"/>
        </w:rPr>
        <w:t>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003082"/>
        </w:rPr>
        <w:t>Certificate of Incorporation and Bylaws</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003082"/>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the company and its stockholders.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stockholders.</w:t>
      </w:r>
    </w:p>
    <w:p>
      <w:pPr>
        <w:spacing w:after="0" w:line="1230" w:lineRule="exact"/>
        <w:rPr>
          <w:sz w:val="20"/>
          <w:szCs w:val="20"/>
          <w:color w:val="auto"/>
        </w:rPr>
      </w:pPr>
    </w:p>
    <w:p>
      <w:pPr>
        <w:sectPr>
          <w:pgSz w:w="11900" w:h="16838" w:orient="portrait"/>
          <w:cols w:equalWidth="0" w:num="2">
            <w:col w:w="6980" w:space="140"/>
            <w:col w:w="4120"/>
          </w:cols>
          <w:pgMar w:left="320" w:top="445" w:right="339" w:bottom="1440" w:gutter="0" w:footer="0" w:header="0"/>
          <w:type w:val="continuous"/>
        </w:sectPr>
      </w:pPr>
    </w:p>
    <w:p>
      <w:pPr>
        <w:ind w:left="20"/>
        <w:spacing w:after="0"/>
        <w:tabs>
          <w:tab w:leader="none" w:pos="2840" w:val="left"/>
        </w:tabs>
        <w:rPr>
          <w:sz w:val="20"/>
          <w:szCs w:val="20"/>
          <w:color w:val="auto"/>
        </w:rPr>
      </w:pPr>
      <w:r>
        <w:rPr>
          <w:rFonts w:ascii="Arial" w:cs="Arial" w:eastAsia="Arial" w:hAnsi="Arial"/>
          <w:sz w:val="18"/>
          <w:szCs w:val="18"/>
          <w:b w:val="1"/>
          <w:bCs w:val="1"/>
          <w:i w:val="1"/>
          <w:iCs w:val="1"/>
          <w:color w:val="003082"/>
        </w:rPr>
        <w:t>Limitations on Personal Liability of</w:t>
      </w:r>
      <w:r>
        <w:rPr>
          <w:sz w:val="20"/>
          <w:szCs w:val="20"/>
          <w:color w:val="auto"/>
        </w:rPr>
        <w:tab/>
      </w:r>
      <w:r>
        <w:rPr>
          <w:rFonts w:ascii="Arial" w:cs="Arial" w:eastAsia="Arial" w:hAnsi="Arial"/>
          <w:sz w:val="17"/>
          <w:szCs w:val="17"/>
          <w:color w:val="003082"/>
        </w:rPr>
        <w:t>The Companies Law has no equivalent provision to</w:t>
      </w:r>
    </w:p>
    <w:p>
      <w:pPr>
        <w:spacing w:after="0" w:line="23" w:lineRule="exact"/>
        <w:rPr>
          <w:sz w:val="20"/>
          <w:szCs w:val="20"/>
          <w:color w:val="auto"/>
        </w:rPr>
      </w:pPr>
    </w:p>
    <w:p>
      <w:pPr>
        <w:jc w:val="both"/>
        <w:ind w:left="2860" w:hanging="2639"/>
        <w:spacing w:after="0" w:line="270" w:lineRule="auto"/>
        <w:tabs>
          <w:tab w:leader="none" w:pos="2840" w:val="left"/>
        </w:tabs>
        <w:rPr>
          <w:sz w:val="20"/>
          <w:szCs w:val="20"/>
          <w:color w:val="auto"/>
        </w:rPr>
      </w:pPr>
      <w:r>
        <w:rPr>
          <w:rFonts w:ascii="Arial" w:cs="Arial" w:eastAsia="Arial" w:hAnsi="Arial"/>
          <w:sz w:val="17"/>
          <w:szCs w:val="17"/>
          <w:b w:val="1"/>
          <w:bCs w:val="1"/>
          <w:i w:val="1"/>
          <w:iCs w:val="1"/>
          <w:color w:val="003082"/>
        </w:rPr>
        <w:t>Directors</w:t>
      </w:r>
      <w:r>
        <w:rPr>
          <w:sz w:val="20"/>
          <w:szCs w:val="20"/>
          <w:color w:val="auto"/>
        </w:rPr>
        <w:tab/>
      </w:r>
      <w:r>
        <w:rPr>
          <w:rFonts w:ascii="Arial" w:cs="Arial" w:eastAsia="Arial" w:hAnsi="Arial"/>
          <w:sz w:val="17"/>
          <w:szCs w:val="17"/>
          <w:color w:val="003082"/>
        </w:rPr>
        <w:t>Delaware law regarding the limitation of director’s liability. However, as a matter of public policy, Cayman Islands law will not allow the limitation of a director’s liability to the extent that the liability is a consequence of the director committing a crime or of the director’s own fraud, dishonesty or wilful default.</w:t>
      </w:r>
    </w:p>
    <w:p>
      <w:pPr>
        <w:spacing w:after="0" w:line="20" w:lineRule="exact"/>
        <w:rPr>
          <w:sz w:val="20"/>
          <w:szCs w:val="20"/>
          <w:color w:val="auto"/>
        </w:rPr>
      </w:pPr>
      <w:r>
        <w:rPr>
          <w:sz w:val="20"/>
          <w:szCs w:val="20"/>
          <w:color w:val="auto"/>
        </w:rPr>
        <w:br w:type="column"/>
      </w:r>
    </w:p>
    <w:p>
      <w:pPr>
        <w:jc w:val="both"/>
        <w:ind w:right="40"/>
        <w:spacing w:after="0" w:line="286" w:lineRule="auto"/>
        <w:rPr>
          <w:sz w:val="20"/>
          <w:szCs w:val="20"/>
          <w:color w:val="auto"/>
        </w:rPr>
      </w:pPr>
      <w:r>
        <w:rPr>
          <w:rFonts w:ascii="Arial" w:cs="Arial" w:eastAsia="Arial" w:hAnsi="Arial"/>
          <w:sz w:val="16"/>
          <w:szCs w:val="16"/>
          <w:color w:val="003082"/>
        </w:rPr>
        <w:t>Subject to the limitations described below, a certificate of incorporation may provide for the elimination or limitation of the personal liability of a director for money damages to the corporation or its stockholders for monetary damages for a breach of fiduciary duty as a director. Such provision cannot limit liability for breach of loyalty, acts or omissions not in good faith or that involve intentional misconduct or a knowing violation of law, unlawful payment of dividends or unlawful stock repurchase or redemption. In addition, an exculpatory provision with terms described in the previous sentence cannot limit liability for any act or omission occurring prior to the date when such provision becomes effective.</w:t>
      </w:r>
    </w:p>
    <w:p>
      <w:pPr>
        <w:spacing w:after="0" w:line="200" w:lineRule="exact"/>
        <w:rPr>
          <w:sz w:val="20"/>
          <w:szCs w:val="20"/>
          <w:color w:val="auto"/>
        </w:rPr>
      </w:pPr>
    </w:p>
    <w:p>
      <w:pPr>
        <w:sectPr>
          <w:pgSz w:w="11900" w:h="16838" w:orient="portrait"/>
          <w:cols w:equalWidth="0" w:num="2">
            <w:col w:w="6960" w:space="160"/>
            <w:col w:w="4120"/>
          </w:cols>
          <w:pgMar w:left="320" w:top="445" w:right="3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003082"/>
        </w:rPr>
        <w:t>163</w:t>
      </w:r>
    </w:p>
    <w:p>
      <w:pPr>
        <w:sectPr>
          <w:pgSz w:w="11900" w:h="16838" w:orient="portrait"/>
          <w:cols w:equalWidth="0" w:num="1">
            <w:col w:w="11240"/>
          </w:cols>
          <w:pgMar w:left="320" w:top="445" w:right="339" w:bottom="1440" w:gutter="0" w:footer="0" w:header="0"/>
          <w:type w:val="continuous"/>
        </w:sectPr>
      </w:pPr>
    </w:p>
    <w:bookmarkStart w:id="168" w:name="page169"/>
    <w:bookmarkEnd w:id="168"/>
    <w:p>
      <w:pPr>
        <w:spacing w:after="0" w:line="211" w:lineRule="exact"/>
        <w:rPr>
          <w:sz w:val="20"/>
          <w:szCs w:val="20"/>
          <w:color w:val="auto"/>
        </w:rPr>
      </w:pPr>
    </w:p>
    <w:p>
      <w:pPr>
        <w:ind w:left="200" w:hanging="188"/>
        <w:spacing w:after="0" w:line="381" w:lineRule="auto"/>
        <w:rPr>
          <w:sz w:val="20"/>
          <w:szCs w:val="20"/>
          <w:color w:val="auto"/>
        </w:rPr>
      </w:pPr>
      <w:r>
        <w:rPr>
          <w:rFonts w:ascii="Arial" w:cs="Arial" w:eastAsia="Arial" w:hAnsi="Arial"/>
          <w:sz w:val="15"/>
          <w:szCs w:val="15"/>
          <w:b w:val="1"/>
          <w:bCs w:val="1"/>
          <w:i w:val="1"/>
          <w:iCs w:val="1"/>
          <w:color w:val="003082"/>
        </w:rPr>
        <w:t>Indemnification of Directors, Officers, Agents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Interested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3D5588"/>
            </w:tcBorders>
          </w:tcPr>
          <w:p>
            <w:pPr>
              <w:ind w:left="1600"/>
              <w:spacing w:after="0"/>
              <w:rPr>
                <w:sz w:val="20"/>
                <w:szCs w:val="20"/>
                <w:color w:val="auto"/>
              </w:rPr>
            </w:pPr>
            <w:r>
              <w:rPr>
                <w:rFonts w:ascii="Arial" w:cs="Arial" w:eastAsia="Arial" w:hAnsi="Arial"/>
                <w:sz w:val="14"/>
                <w:szCs w:val="14"/>
                <w:b w:val="1"/>
                <w:bCs w:val="1"/>
                <w:color w:val="003082"/>
              </w:rPr>
              <w:t>Cayman Islands</w:t>
            </w:r>
          </w:p>
        </w:tc>
        <w:tc>
          <w:tcPr>
            <w:tcW w:w="120" w:type="dxa"/>
            <w:vAlign w:val="bottom"/>
          </w:tcPr>
          <w:p>
            <w:pPr>
              <w:spacing w:after="0"/>
              <w:rPr>
                <w:sz w:val="16"/>
                <w:szCs w:val="16"/>
                <w:color w:val="auto"/>
              </w:rPr>
            </w:pPr>
          </w:p>
        </w:tc>
        <w:tc>
          <w:tcPr>
            <w:tcW w:w="4140" w:type="dxa"/>
            <w:vAlign w:val="bottom"/>
            <w:tcBorders>
              <w:bottom w:val="single" w:sz="8" w:color="3D5588"/>
            </w:tcBorders>
          </w:tcPr>
          <w:p>
            <w:pPr>
              <w:ind w:left="1780"/>
              <w:spacing w:after="0"/>
              <w:rPr>
                <w:sz w:val="20"/>
                <w:szCs w:val="20"/>
                <w:color w:val="auto"/>
              </w:rPr>
            </w:pPr>
            <w:r>
              <w:rPr>
                <w:rFonts w:ascii="Arial" w:cs="Arial" w:eastAsia="Arial" w:hAnsi="Arial"/>
                <w:sz w:val="14"/>
                <w:szCs w:val="14"/>
                <w:b w:val="1"/>
                <w:bCs w:val="1"/>
                <w:color w:val="003082"/>
              </w:rPr>
              <w:t>Delaware</w:t>
            </w:r>
          </w:p>
        </w:tc>
      </w:tr>
      <w:tr>
        <w:trPr>
          <w:trHeight w:val="228"/>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5"/>
              </w:rPr>
              <w:t>Cayman Islands law does not limit the extent to which a</w:t>
            </w:r>
          </w:p>
        </w:tc>
        <w:tc>
          <w:tcPr>
            <w:tcW w:w="4140" w:type="dxa"/>
            <w:vAlign w:val="bottom"/>
          </w:tcPr>
          <w:p>
            <w:pPr>
              <w:ind w:left="20"/>
              <w:spacing w:after="0"/>
              <w:rPr>
                <w:sz w:val="20"/>
                <w:szCs w:val="20"/>
                <w:color w:val="auto"/>
              </w:rPr>
            </w:pPr>
            <w:r>
              <w:rPr>
                <w:rFonts w:ascii="Arial" w:cs="Arial" w:eastAsia="Arial" w:hAnsi="Arial"/>
                <w:sz w:val="18"/>
                <w:szCs w:val="18"/>
                <w:color w:val="003082"/>
                <w:w w:val="95"/>
              </w:rPr>
              <w:t>A corporation has the power to indemnify any director,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9"/>
              </w:rPr>
              <w:t>company’s  articles  of  association  may  provide  for</w:t>
            </w:r>
          </w:p>
        </w:tc>
        <w:tc>
          <w:tcPr>
            <w:tcW w:w="4140" w:type="dxa"/>
            <w:vAlign w:val="bottom"/>
          </w:tcPr>
          <w:p>
            <w:pPr>
              <w:ind w:left="20"/>
              <w:spacing w:after="0"/>
              <w:rPr>
                <w:sz w:val="20"/>
                <w:szCs w:val="20"/>
                <w:color w:val="auto"/>
              </w:rPr>
            </w:pPr>
            <w:r>
              <w:rPr>
                <w:rFonts w:ascii="Arial" w:cs="Arial" w:eastAsia="Arial" w:hAnsi="Arial"/>
                <w:sz w:val="18"/>
                <w:szCs w:val="18"/>
                <w:color w:val="003082"/>
                <w:w w:val="93"/>
              </w:rPr>
              <w:t>officer, employee, or agent of the corporation who was,</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9"/>
              </w:rPr>
              <w:t>indemnification of directors and officers, except to the</w:t>
            </w:r>
          </w:p>
        </w:tc>
        <w:tc>
          <w:tcPr>
            <w:tcW w:w="4140" w:type="dxa"/>
            <w:vAlign w:val="bottom"/>
          </w:tcPr>
          <w:p>
            <w:pPr>
              <w:ind w:left="20"/>
              <w:spacing w:after="0"/>
              <w:rPr>
                <w:sz w:val="20"/>
                <w:szCs w:val="20"/>
                <w:color w:val="auto"/>
              </w:rPr>
            </w:pPr>
            <w:r>
              <w:rPr>
                <w:rFonts w:ascii="Arial" w:cs="Arial" w:eastAsia="Arial" w:hAnsi="Arial"/>
                <w:sz w:val="18"/>
                <w:szCs w:val="18"/>
                <w:color w:val="003082"/>
                <w:w w:val="90"/>
              </w:rPr>
              <w:t>is or is threatened to be made a party to an action, suit 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7"/>
              </w:rPr>
              <w:t>extent any such provision may be held by the Cayman</w:t>
            </w:r>
          </w:p>
        </w:tc>
        <w:tc>
          <w:tcPr>
            <w:tcW w:w="4140" w:type="dxa"/>
            <w:vAlign w:val="bottom"/>
          </w:tcPr>
          <w:p>
            <w:pPr>
              <w:ind w:left="20"/>
              <w:spacing w:after="0"/>
              <w:rPr>
                <w:sz w:val="20"/>
                <w:szCs w:val="20"/>
                <w:color w:val="auto"/>
              </w:rPr>
            </w:pPr>
            <w:r>
              <w:rPr>
                <w:rFonts w:ascii="Arial" w:cs="Arial" w:eastAsia="Arial" w:hAnsi="Arial"/>
                <w:sz w:val="18"/>
                <w:szCs w:val="18"/>
                <w:color w:val="003082"/>
                <w:w w:val="98"/>
              </w:rPr>
              <w:t>proceeding who acted in good faith and in a manner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6"/>
              </w:rPr>
              <w:t>Islands Court to be contrary to public policy, such as to</w:t>
            </w:r>
          </w:p>
        </w:tc>
        <w:tc>
          <w:tcPr>
            <w:tcW w:w="4140" w:type="dxa"/>
            <w:vAlign w:val="bottom"/>
          </w:tcPr>
          <w:p>
            <w:pPr>
              <w:ind w:left="20"/>
              <w:spacing w:after="0"/>
              <w:rPr>
                <w:sz w:val="20"/>
                <w:szCs w:val="20"/>
                <w:color w:val="auto"/>
              </w:rPr>
            </w:pPr>
            <w:r>
              <w:rPr>
                <w:rFonts w:ascii="Arial" w:cs="Arial" w:eastAsia="Arial" w:hAnsi="Arial"/>
                <w:sz w:val="18"/>
                <w:szCs w:val="18"/>
                <w:color w:val="003082"/>
              </w:rPr>
              <w:t>they  believed  to  be  in  the  best  interests  of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provide indemnification against the consequences of</w:t>
            </w:r>
          </w:p>
        </w:tc>
        <w:tc>
          <w:tcPr>
            <w:tcW w:w="4140" w:type="dxa"/>
            <w:vAlign w:val="bottom"/>
          </w:tcPr>
          <w:p>
            <w:pPr>
              <w:ind w:left="20"/>
              <w:spacing w:after="0"/>
              <w:rPr>
                <w:sz w:val="20"/>
                <w:szCs w:val="20"/>
                <w:color w:val="auto"/>
              </w:rPr>
            </w:pPr>
            <w:r>
              <w:rPr>
                <w:rFonts w:ascii="Arial" w:cs="Arial" w:eastAsia="Arial" w:hAnsi="Arial"/>
                <w:sz w:val="18"/>
                <w:szCs w:val="18"/>
                <w:color w:val="003082"/>
              </w:rPr>
              <w:t>corporation,  and  if  with  respect  to  a  criminal</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5"/>
              </w:rPr>
              <w:t>committing a crime, or against the indemnified person’s</w:t>
            </w:r>
          </w:p>
        </w:tc>
        <w:tc>
          <w:tcPr>
            <w:tcW w:w="4140" w:type="dxa"/>
            <w:vAlign w:val="bottom"/>
          </w:tcPr>
          <w:p>
            <w:pPr>
              <w:ind w:left="20"/>
              <w:spacing w:after="0"/>
              <w:rPr>
                <w:sz w:val="20"/>
                <w:szCs w:val="20"/>
                <w:color w:val="auto"/>
              </w:rPr>
            </w:pPr>
            <w:r>
              <w:rPr>
                <w:rFonts w:ascii="Arial" w:cs="Arial" w:eastAsia="Arial" w:hAnsi="Arial"/>
                <w:sz w:val="18"/>
                <w:szCs w:val="18"/>
                <w:color w:val="003082"/>
                <w:w w:val="94"/>
              </w:rPr>
              <w:t>proceeding, had no reasonable cause to believe his 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own fraud, dishonesty or wilful default.</w:t>
            </w:r>
          </w:p>
        </w:tc>
        <w:tc>
          <w:tcPr>
            <w:tcW w:w="4140" w:type="dxa"/>
            <w:vAlign w:val="bottom"/>
          </w:tcPr>
          <w:p>
            <w:pPr>
              <w:ind w:left="20"/>
              <w:spacing w:after="0"/>
              <w:rPr>
                <w:sz w:val="20"/>
                <w:szCs w:val="20"/>
                <w:color w:val="auto"/>
              </w:rPr>
            </w:pPr>
            <w:r>
              <w:rPr>
                <w:rFonts w:ascii="Arial" w:cs="Arial" w:eastAsia="Arial" w:hAnsi="Arial"/>
                <w:sz w:val="18"/>
                <w:szCs w:val="18"/>
                <w:color w:val="003082"/>
                <w:w w:val="98"/>
              </w:rPr>
              <w:t>her  conduct  would  be  unlawful,  against  amounts</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8"/>
              </w:rPr>
              <w:t>actually and reasonably incurred. Additionally, under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Our  Articles  provide  that  we  will  indemnify  each</w:t>
            </w:r>
          </w:p>
        </w:tc>
        <w:tc>
          <w:tcPr>
            <w:tcW w:w="4140" w:type="dxa"/>
            <w:vAlign w:val="bottom"/>
          </w:tcPr>
          <w:p>
            <w:pPr>
              <w:ind w:left="20"/>
              <w:spacing w:after="0"/>
              <w:rPr>
                <w:sz w:val="20"/>
                <w:szCs w:val="20"/>
                <w:color w:val="auto"/>
              </w:rPr>
            </w:pPr>
            <w:r>
              <w:rPr>
                <w:rFonts w:ascii="Arial" w:cs="Arial" w:eastAsia="Arial" w:hAnsi="Arial"/>
                <w:sz w:val="18"/>
                <w:szCs w:val="18"/>
                <w:color w:val="003082"/>
                <w:w w:val="99"/>
              </w:rPr>
              <w:t>the Delaware General Corporation Law, a Delaware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director and officer against all actions, proceedings,</w:t>
            </w:r>
          </w:p>
        </w:tc>
        <w:tc>
          <w:tcPr>
            <w:tcW w:w="4140" w:type="dxa"/>
            <w:vAlign w:val="bottom"/>
          </w:tcPr>
          <w:p>
            <w:pPr>
              <w:ind w:left="20"/>
              <w:spacing w:after="0"/>
              <w:rPr>
                <w:sz w:val="20"/>
                <w:szCs w:val="20"/>
                <w:color w:val="auto"/>
              </w:rPr>
            </w:pPr>
            <w:r>
              <w:rPr>
                <w:rFonts w:ascii="Arial" w:cs="Arial" w:eastAsia="Arial" w:hAnsi="Arial"/>
                <w:sz w:val="18"/>
                <w:szCs w:val="18"/>
                <w:color w:val="003082"/>
                <w:w w:val="99"/>
              </w:rPr>
              <w:t>corporation  must  indemnify  its  present  or  former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5"/>
              </w:rPr>
              <w:t>costs, charges, expenses, losses, damages or liabilities</w:t>
            </w:r>
          </w:p>
        </w:tc>
        <w:tc>
          <w:tcPr>
            <w:tcW w:w="4140" w:type="dxa"/>
            <w:vAlign w:val="bottom"/>
          </w:tcPr>
          <w:p>
            <w:pPr>
              <w:ind w:left="20"/>
              <w:spacing w:after="0"/>
              <w:rPr>
                <w:sz w:val="20"/>
                <w:szCs w:val="20"/>
                <w:color w:val="auto"/>
              </w:rPr>
            </w:pPr>
            <w:r>
              <w:rPr>
                <w:rFonts w:ascii="Arial" w:cs="Arial" w:eastAsia="Arial" w:hAnsi="Arial"/>
                <w:sz w:val="18"/>
                <w:szCs w:val="18"/>
                <w:color w:val="003082"/>
                <w:w w:val="97"/>
              </w:rPr>
              <w:t>directors  and  officers  against  expenses  (including</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incurred or sustained by such person, other than by</w:t>
            </w:r>
          </w:p>
        </w:tc>
        <w:tc>
          <w:tcPr>
            <w:tcW w:w="4140" w:type="dxa"/>
            <w:vAlign w:val="bottom"/>
          </w:tcPr>
          <w:p>
            <w:pPr>
              <w:ind w:left="20"/>
              <w:spacing w:after="0"/>
              <w:rPr>
                <w:sz w:val="20"/>
                <w:szCs w:val="20"/>
                <w:color w:val="auto"/>
              </w:rPr>
            </w:pPr>
            <w:r>
              <w:rPr>
                <w:rFonts w:ascii="Arial" w:cs="Arial" w:eastAsia="Arial" w:hAnsi="Arial"/>
                <w:sz w:val="18"/>
                <w:szCs w:val="18"/>
                <w:color w:val="003082"/>
                <w:w w:val="93"/>
              </w:rPr>
              <w:t>attorneys’ fees) actually and reasonably incurred to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3"/>
              </w:rPr>
              <w:t>reason of such person’s own dishonesty, wilful default or</w:t>
            </w:r>
          </w:p>
        </w:tc>
        <w:tc>
          <w:tcPr>
            <w:tcW w:w="4140" w:type="dxa"/>
            <w:vAlign w:val="bottom"/>
          </w:tcPr>
          <w:p>
            <w:pPr>
              <w:ind w:left="20"/>
              <w:spacing w:after="0"/>
              <w:rPr>
                <w:sz w:val="20"/>
                <w:szCs w:val="20"/>
                <w:color w:val="auto"/>
              </w:rPr>
            </w:pPr>
            <w:r>
              <w:rPr>
                <w:rFonts w:ascii="Arial" w:cs="Arial" w:eastAsia="Arial" w:hAnsi="Arial"/>
                <w:sz w:val="18"/>
                <w:szCs w:val="18"/>
                <w:color w:val="003082"/>
                <w:w w:val="91"/>
              </w:rPr>
              <w:t>extent that the officer or director has been successful on</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6"/>
              </w:rPr>
              <w:t>fraud. In addition, we have entered into indemnification</w:t>
            </w:r>
          </w:p>
        </w:tc>
        <w:tc>
          <w:tcPr>
            <w:tcW w:w="4140" w:type="dxa"/>
            <w:vAlign w:val="bottom"/>
          </w:tcPr>
          <w:p>
            <w:pPr>
              <w:ind w:left="20"/>
              <w:spacing w:after="0"/>
              <w:rPr>
                <w:sz w:val="20"/>
                <w:szCs w:val="20"/>
                <w:color w:val="auto"/>
              </w:rPr>
            </w:pPr>
            <w:r>
              <w:rPr>
                <w:rFonts w:ascii="Arial" w:cs="Arial" w:eastAsia="Arial" w:hAnsi="Arial"/>
                <w:sz w:val="18"/>
                <w:szCs w:val="18"/>
                <w:color w:val="003082"/>
                <w:w w:val="93"/>
              </w:rPr>
              <w:t>the merits or otherwise in defense of any action, suit 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3"/>
              </w:rPr>
              <w:t>agreements with our directors and executive officers that</w:t>
            </w:r>
          </w:p>
        </w:tc>
        <w:tc>
          <w:tcPr>
            <w:tcW w:w="4140" w:type="dxa"/>
            <w:vAlign w:val="bottom"/>
          </w:tcPr>
          <w:p>
            <w:pPr>
              <w:ind w:left="20"/>
              <w:spacing w:after="0"/>
              <w:rPr>
                <w:sz w:val="20"/>
                <w:szCs w:val="20"/>
                <w:color w:val="auto"/>
              </w:rPr>
            </w:pPr>
            <w:r>
              <w:rPr>
                <w:rFonts w:ascii="Arial" w:cs="Arial" w:eastAsia="Arial" w:hAnsi="Arial"/>
                <w:sz w:val="18"/>
                <w:szCs w:val="18"/>
                <w:color w:val="003082"/>
                <w:w w:val="93"/>
              </w:rPr>
              <w:t>proceeding brought against him or her by reason of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provide such persons with additional indemnification</w:t>
            </w:r>
          </w:p>
        </w:tc>
        <w:tc>
          <w:tcPr>
            <w:tcW w:w="4140" w:type="dxa"/>
            <w:vAlign w:val="bottom"/>
          </w:tcPr>
          <w:p>
            <w:pPr>
              <w:ind w:left="20"/>
              <w:spacing w:after="0"/>
              <w:rPr>
                <w:sz w:val="20"/>
                <w:szCs w:val="20"/>
                <w:color w:val="auto"/>
              </w:rPr>
            </w:pPr>
            <w:r>
              <w:rPr>
                <w:rFonts w:ascii="Arial" w:cs="Arial" w:eastAsia="Arial" w:hAnsi="Arial"/>
                <w:sz w:val="18"/>
                <w:szCs w:val="18"/>
                <w:color w:val="003082"/>
                <w:w w:val="96"/>
              </w:rPr>
              <w:t>fact that he or she is or was a director or officer of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6"/>
              </w:rPr>
              <w:t>beyond that provided in our post-offering amended and</w:t>
            </w:r>
          </w:p>
        </w:tc>
        <w:tc>
          <w:tcPr>
            <w:tcW w:w="4140" w:type="dxa"/>
            <w:vAlign w:val="bottom"/>
          </w:tcPr>
          <w:p>
            <w:pPr>
              <w:ind w:left="20"/>
              <w:spacing w:after="0"/>
              <w:rPr>
                <w:sz w:val="20"/>
                <w:szCs w:val="20"/>
                <w:color w:val="auto"/>
              </w:rPr>
            </w:pPr>
            <w:r>
              <w:rPr>
                <w:rFonts w:ascii="Arial" w:cs="Arial" w:eastAsia="Arial" w:hAnsi="Arial"/>
                <w:sz w:val="18"/>
                <w:szCs w:val="18"/>
                <w:color w:val="003082"/>
              </w:rPr>
              <w:t>corporation.</w:t>
            </w:r>
          </w:p>
        </w:tc>
      </w:tr>
      <w:tr>
        <w:trPr>
          <w:trHeight w:val="230"/>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restated memorandum and articles of association.</w:t>
            </w:r>
          </w:p>
        </w:tc>
        <w:tc>
          <w:tcPr>
            <w:tcW w:w="4140" w:type="dxa"/>
            <w:vAlign w:val="bottom"/>
          </w:tcPr>
          <w:p>
            <w:pPr>
              <w:spacing w:after="0"/>
              <w:rPr>
                <w:sz w:val="20"/>
                <w:szCs w:val="20"/>
                <w:color w:val="auto"/>
              </w:rPr>
            </w:pPr>
          </w:p>
        </w:tc>
      </w:tr>
      <w:tr>
        <w:trPr>
          <w:trHeight w:val="418"/>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Insofar as indemnification for liabilities arising under</w:t>
            </w:r>
          </w:p>
        </w:tc>
        <w:tc>
          <w:tcPr>
            <w:tcW w:w="4140" w:type="dxa"/>
            <w:vAlign w:val="bottom"/>
          </w:tcPr>
          <w:p>
            <w:pPr>
              <w:spacing w:after="0"/>
              <w:rPr>
                <w:sz w:val="24"/>
                <w:szCs w:val="24"/>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the Securities Act may be permitted to our directors,</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officers or persons controlling us under the foregoing</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4"/>
              </w:rPr>
              <w:t>provisions, we have been informed that in the opinion of</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4"/>
              </w:rPr>
              <w:t>the SEC, such indemnification is against public policy as</w:t>
            </w:r>
          </w:p>
        </w:tc>
        <w:tc>
          <w:tcPr>
            <w:tcW w:w="4140" w:type="dxa"/>
            <w:vAlign w:val="bottom"/>
          </w:tcPr>
          <w:p>
            <w:pPr>
              <w:spacing w:after="0"/>
              <w:rPr>
                <w:sz w:val="18"/>
                <w:szCs w:val="18"/>
                <w:color w:val="auto"/>
              </w:rPr>
            </w:pP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expressed  in  the  Securities  Act  and  is  therefore</w:t>
            </w:r>
          </w:p>
        </w:tc>
        <w:tc>
          <w:tcPr>
            <w:tcW w:w="4140" w:type="dxa"/>
            <w:vAlign w:val="bottom"/>
          </w:tcPr>
          <w:p>
            <w:pPr>
              <w:spacing w:after="0"/>
              <w:rPr>
                <w:sz w:val="18"/>
                <w:szCs w:val="18"/>
                <w:color w:val="auto"/>
              </w:rPr>
            </w:pPr>
          </w:p>
        </w:tc>
      </w:tr>
      <w:tr>
        <w:trPr>
          <w:trHeight w:val="230"/>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unenforceable.</w:t>
            </w:r>
          </w:p>
        </w:tc>
        <w:tc>
          <w:tcPr>
            <w:tcW w:w="4140" w:type="dxa"/>
            <w:vAlign w:val="bottom"/>
          </w:tcPr>
          <w:p>
            <w:pPr>
              <w:spacing w:after="0"/>
              <w:rPr>
                <w:sz w:val="20"/>
                <w:szCs w:val="20"/>
                <w:color w:val="auto"/>
              </w:rPr>
            </w:pPr>
          </w:p>
        </w:tc>
      </w:tr>
      <w:tr>
        <w:trPr>
          <w:trHeight w:val="377"/>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Under the Articles, directors who are in any way,</w:t>
            </w:r>
          </w:p>
        </w:tc>
        <w:tc>
          <w:tcPr>
            <w:tcW w:w="4140" w:type="dxa"/>
            <w:vAlign w:val="bottom"/>
          </w:tcPr>
          <w:p>
            <w:pPr>
              <w:ind w:left="20"/>
              <w:spacing w:after="0"/>
              <w:rPr>
                <w:sz w:val="20"/>
                <w:szCs w:val="20"/>
                <w:color w:val="auto"/>
              </w:rPr>
            </w:pPr>
            <w:r>
              <w:rPr>
                <w:rFonts w:ascii="Arial" w:cs="Arial" w:eastAsia="Arial" w:hAnsi="Arial"/>
                <w:sz w:val="18"/>
                <w:szCs w:val="18"/>
                <w:color w:val="003082"/>
                <w:w w:val="96"/>
              </w:rPr>
              <w:t>Under Delaware law, a transaction in which a director</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6"/>
              </w:rPr>
              <w:t>whether directly or indirectly, interested in a contract or</w:t>
            </w:r>
          </w:p>
        </w:tc>
        <w:tc>
          <w:tcPr>
            <w:tcW w:w="4140" w:type="dxa"/>
            <w:vAlign w:val="bottom"/>
          </w:tcPr>
          <w:p>
            <w:pPr>
              <w:ind w:left="20"/>
              <w:spacing w:after="0"/>
              <w:rPr>
                <w:sz w:val="20"/>
                <w:szCs w:val="20"/>
                <w:color w:val="auto"/>
              </w:rPr>
            </w:pPr>
            <w:r>
              <w:rPr>
                <w:rFonts w:ascii="Arial" w:cs="Arial" w:eastAsia="Arial" w:hAnsi="Arial"/>
                <w:sz w:val="18"/>
                <w:szCs w:val="18"/>
                <w:color w:val="003082"/>
                <w:w w:val="97"/>
              </w:rPr>
              <w:t>has an interest is not void or voidable solely because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8"/>
              </w:rPr>
              <w:t>proposed contract with our company must declare the</w:t>
            </w:r>
          </w:p>
        </w:tc>
        <w:tc>
          <w:tcPr>
            <w:tcW w:w="4140" w:type="dxa"/>
            <w:vAlign w:val="bottom"/>
          </w:tcPr>
          <w:p>
            <w:pPr>
              <w:ind w:left="20"/>
              <w:spacing w:after="0"/>
              <w:rPr>
                <w:sz w:val="20"/>
                <w:szCs w:val="20"/>
                <w:color w:val="auto"/>
              </w:rPr>
            </w:pPr>
            <w:r>
              <w:rPr>
                <w:rFonts w:ascii="Arial" w:cs="Arial" w:eastAsia="Arial" w:hAnsi="Arial"/>
                <w:sz w:val="18"/>
                <w:szCs w:val="18"/>
                <w:color w:val="003082"/>
                <w:w w:val="95"/>
              </w:rPr>
              <w:t>such interested director is present at or participates in</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nature of their interest at a meeting of the board of</w:t>
            </w:r>
          </w:p>
        </w:tc>
        <w:tc>
          <w:tcPr>
            <w:tcW w:w="4140" w:type="dxa"/>
            <w:vAlign w:val="bottom"/>
          </w:tcPr>
          <w:p>
            <w:pPr>
              <w:ind w:left="20"/>
              <w:spacing w:after="0"/>
              <w:rPr>
                <w:sz w:val="20"/>
                <w:szCs w:val="20"/>
                <w:color w:val="auto"/>
              </w:rPr>
            </w:pPr>
            <w:r>
              <w:rPr>
                <w:rFonts w:ascii="Arial" w:cs="Arial" w:eastAsia="Arial" w:hAnsi="Arial"/>
                <w:sz w:val="18"/>
                <w:szCs w:val="18"/>
                <w:color w:val="003082"/>
                <w:w w:val="98"/>
              </w:rPr>
              <w:t>the meeting that authorizes the transaction if: (1) the</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directors. Following such declaration, a director may</w:t>
            </w:r>
          </w:p>
        </w:tc>
        <w:tc>
          <w:tcPr>
            <w:tcW w:w="4140" w:type="dxa"/>
            <w:vAlign w:val="bottom"/>
          </w:tcPr>
          <w:p>
            <w:pPr>
              <w:ind w:left="20"/>
              <w:spacing w:after="0"/>
              <w:rPr>
                <w:sz w:val="20"/>
                <w:szCs w:val="20"/>
                <w:color w:val="auto"/>
              </w:rPr>
            </w:pPr>
            <w:r>
              <w:rPr>
                <w:rFonts w:ascii="Arial" w:cs="Arial" w:eastAsia="Arial" w:hAnsi="Arial"/>
                <w:sz w:val="18"/>
                <w:szCs w:val="18"/>
                <w:color w:val="003082"/>
              </w:rPr>
              <w:t>material  facts  as  to  such  interested  director’s</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vote in respect of any contract or proposed contract</w:t>
            </w:r>
          </w:p>
        </w:tc>
        <w:tc>
          <w:tcPr>
            <w:tcW w:w="4140" w:type="dxa"/>
            <w:vAlign w:val="bottom"/>
          </w:tcPr>
          <w:p>
            <w:pPr>
              <w:ind w:left="20"/>
              <w:spacing w:after="0"/>
              <w:rPr>
                <w:sz w:val="20"/>
                <w:szCs w:val="20"/>
                <w:color w:val="auto"/>
              </w:rPr>
            </w:pPr>
            <w:r>
              <w:rPr>
                <w:rFonts w:ascii="Arial" w:cs="Arial" w:eastAsia="Arial" w:hAnsi="Arial"/>
                <w:sz w:val="18"/>
                <w:szCs w:val="18"/>
                <w:color w:val="003082"/>
                <w:w w:val="96"/>
              </w:rPr>
              <w:t>relationship or interests are disclosed or are known to</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notwithstanding his or her interest, provided that in</w:t>
            </w:r>
          </w:p>
        </w:tc>
        <w:tc>
          <w:tcPr>
            <w:tcW w:w="4140" w:type="dxa"/>
            <w:vAlign w:val="bottom"/>
          </w:tcPr>
          <w:p>
            <w:pPr>
              <w:ind w:left="20"/>
              <w:spacing w:after="0"/>
              <w:rPr>
                <w:sz w:val="20"/>
                <w:szCs w:val="20"/>
                <w:color w:val="auto"/>
              </w:rPr>
            </w:pPr>
            <w:r>
              <w:rPr>
                <w:rFonts w:ascii="Arial" w:cs="Arial" w:eastAsia="Arial" w:hAnsi="Arial"/>
                <w:sz w:val="18"/>
                <w:szCs w:val="18"/>
                <w:color w:val="003082"/>
              </w:rPr>
              <w:t>the board of directors and the board in good faith</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w w:val="96"/>
              </w:rPr>
              <w:t>exercising any such vote, such director’s duties remain</w:t>
            </w:r>
          </w:p>
        </w:tc>
        <w:tc>
          <w:tcPr>
            <w:tcW w:w="4140" w:type="dxa"/>
            <w:vAlign w:val="bottom"/>
          </w:tcPr>
          <w:p>
            <w:pPr>
              <w:ind w:left="20"/>
              <w:spacing w:after="0"/>
              <w:rPr>
                <w:sz w:val="20"/>
                <w:szCs w:val="20"/>
                <w:color w:val="auto"/>
              </w:rPr>
            </w:pPr>
            <w:r>
              <w:rPr>
                <w:rFonts w:ascii="Arial" w:cs="Arial" w:eastAsia="Arial" w:hAnsi="Arial"/>
                <w:sz w:val="18"/>
                <w:szCs w:val="18"/>
                <w:color w:val="003082"/>
                <w:w w:val="97"/>
              </w:rPr>
              <w:t>authorizes the transaction by the affirmative vote of a</w:t>
            </w:r>
          </w:p>
        </w:tc>
      </w:tr>
      <w:tr>
        <w:trPr>
          <w:trHeight w:val="216"/>
        </w:trPr>
        <w:tc>
          <w:tcPr>
            <w:tcW w:w="4280" w:type="dxa"/>
            <w:vAlign w:val="bottom"/>
            <w:gridSpan w:val="2"/>
          </w:tcPr>
          <w:p>
            <w:pPr>
              <w:ind w:left="40"/>
              <w:spacing w:after="0"/>
              <w:rPr>
                <w:sz w:val="20"/>
                <w:szCs w:val="20"/>
                <w:color w:val="auto"/>
              </w:rPr>
            </w:pPr>
            <w:r>
              <w:rPr>
                <w:rFonts w:ascii="Arial" w:cs="Arial" w:eastAsia="Arial" w:hAnsi="Arial"/>
                <w:sz w:val="18"/>
                <w:szCs w:val="18"/>
                <w:color w:val="003082"/>
              </w:rPr>
              <w:t>as described above.</w:t>
            </w:r>
          </w:p>
        </w:tc>
        <w:tc>
          <w:tcPr>
            <w:tcW w:w="4140" w:type="dxa"/>
            <w:vAlign w:val="bottom"/>
          </w:tcPr>
          <w:p>
            <w:pPr>
              <w:ind w:left="20"/>
              <w:spacing w:after="0"/>
              <w:rPr>
                <w:sz w:val="20"/>
                <w:szCs w:val="20"/>
                <w:color w:val="auto"/>
              </w:rPr>
            </w:pPr>
            <w:r>
              <w:rPr>
                <w:rFonts w:ascii="Arial" w:cs="Arial" w:eastAsia="Arial" w:hAnsi="Arial"/>
                <w:sz w:val="18"/>
                <w:szCs w:val="18"/>
                <w:color w:val="003082"/>
                <w:w w:val="94"/>
              </w:rPr>
              <w:t>majority of the disinterested directors, even though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3"/>
              </w:rPr>
              <w:t>disinterested directors are less than a quorum; (2) such</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8"/>
              </w:rPr>
              <w:t>material  facts  are  disclosed  or  are  known  to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1"/>
              </w:rPr>
              <w:t>stockholders entitled to vote on such transaction and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2"/>
              </w:rPr>
              <w:t>transaction is specifically approved in good faith by vote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1"/>
              </w:rPr>
              <w:t>of the stockholders; or (3) the transaction is fair as to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5"/>
              </w:rPr>
              <w:t>corporation as of the time it is authorized, approved or</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9"/>
              </w:rPr>
              <w:t>ratified by the board of directors, a committee of the</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rPr>
              <w:t>board, or the stockholders. Under Delaware law, a</w:t>
            </w:r>
          </w:p>
        </w:tc>
      </w:t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w w:val="92"/>
              </w:rPr>
              <w:t>director could be held liable for any transaction in which</w:t>
            </w:r>
          </w:p>
        </w:tc>
      </w:t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003082"/>
              </w:rPr>
              <w:t>such director derived an improper personal benefit.</w:t>
            </w:r>
          </w:p>
        </w:tc>
      </w:tr>
      <w:tr>
        <w:trPr>
          <w:trHeight w:val="742"/>
        </w:trPr>
        <w:tc>
          <w:tcPr>
            <w:tcW w:w="4160" w:type="dxa"/>
            <w:vAlign w:val="bottom"/>
          </w:tcPr>
          <w:p>
            <w:pPr>
              <w:ind w:left="2660"/>
              <w:spacing w:after="0"/>
              <w:rPr>
                <w:sz w:val="20"/>
                <w:szCs w:val="20"/>
                <w:color w:val="auto"/>
              </w:rPr>
            </w:pPr>
            <w:r>
              <w:rPr>
                <w:rFonts w:ascii="Arial" w:cs="Arial" w:eastAsia="Arial" w:hAnsi="Arial"/>
                <w:sz w:val="18"/>
                <w:szCs w:val="18"/>
                <w:color w:val="003082"/>
              </w:rPr>
              <w:t>164</w:t>
            </w: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2">
            <w:col w:w="2260" w:space="540"/>
            <w:col w:w="8420"/>
          </w:cols>
          <w:pgMar w:left="340" w:top="562" w:right="339" w:bottom="1440" w:gutter="0" w:footer="0" w:header="0"/>
        </w:sectPr>
      </w:pPr>
    </w:p>
    <w:bookmarkStart w:id="169" w:name="page170"/>
    <w:bookmarkEnd w:id="169"/>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3082"/>
        </w:rPr>
        <w:t>Voting Requirements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26403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003082"/>
        </w:rPr>
        <w:t>As a matter of Cayman Islands law, certain matters must be approved by special resolution of the shareholders, including amending or adopting memorandum or articles of association of a Cayman Islands company, reduction of share capital, change of name, authorization of a plan of merger, voluntary winding up of the company or the recalling of the voluntary liquidation of the company.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003082"/>
        </w:rPr>
        <w:t>The Companies Law requires that a special resolution be passed by a majority of at least two-thirds or such higher percentage as set forth in the articles of association, of shareholders being entitled to vote and do vote in person or by proxy at a general meeting, or by unanimous written consent of shareholders entitled to vote at a general meeting. The Articles do not provide for a higher threshold.</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003082"/>
        </w:rPr>
        <w:t>The Companies Law defines “special resolutions” only. A company’s articles of association can therefore tailor the definition of “ordinary resolutions” as a whole, or with respect to specific provisions. The Articles provide that an ordinary resolution is a resolution (1) passed by a simple majority of such shareholders as, being entitled to do so, vote in person (or, where proxies are allowed, by proxy) at a general meeting and regard shall be had in computing a majority to the number of votes to which each shareholder is entitled or (2) approved in writing by all of the shareholders entitled to vote at a general meeting in one or more instruments each signed by one or more of the shareholders and the effective date of the resolution so adopted shall be the date on which the instrument (or the last of such instruments, if more than one) is executed.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003082"/>
        </w:rPr>
        <w:t>Under Delaware law, each stockholder is entitled to one vote for each share of capital stock held by such stockholder as of the applicable record date, unless otherwise provided in a corporation’s certificate of incorporation. Except as otherwise provided under the Delaware General Corporation Law or by the corporation’s certificate of incorporation or bylaws, under Delaware law, all matters brought before a meeting of stockholders at which a quorum is present (other than the election of directors) require the affirmative vote of the majority of the shares present in person or represented by proxy and entitled to vote at that meeting. Certain matters for stockholder approval, including the approval of certain merger agreements, certain amendments to the certificate of incorporation, and the sale, lease, or exchange of all or substantially all of the corporation’s assets will require approval of the holders of a majority of the outstanding capital stock. The certificate of incorporation may also include a provision requiring supermajority approval by the directors or stockholders for any corporate action.</w:t>
      </w:r>
    </w:p>
    <w:p>
      <w:pPr>
        <w:spacing w:after="0" w:line="1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003082"/>
        </w:rPr>
        <w:t>In addition, under Delaware law, certain business combinations involving interested stockholders of publicly traded corporations may require approval by a supermajority of the non-interested stockholders.</w:t>
      </w:r>
    </w:p>
    <w:p>
      <w:pPr>
        <w:spacing w:after="0" w:line="2079" w:lineRule="exact"/>
        <w:rPr>
          <w:sz w:val="20"/>
          <w:szCs w:val="20"/>
          <w:color w:val="auto"/>
        </w:rPr>
      </w:pPr>
    </w:p>
    <w:p>
      <w:pPr>
        <w:sectPr>
          <w:pgSz w:w="11900" w:h="16838" w:orient="portrait"/>
          <w:cols w:equalWidth="0" w:num="3">
            <w:col w:w="2120" w:space="720"/>
            <w:col w:w="4100" w:space="160"/>
            <w:col w:w="4100"/>
          </w:cols>
          <w:pgMar w:left="340" w:top="562" w:right="359" w:bottom="1440" w:gutter="0" w:footer="0" w:header="0"/>
        </w:sectPr>
      </w:pPr>
    </w:p>
    <w:p>
      <w:pPr>
        <w:spacing w:after="0"/>
        <w:rPr>
          <w:sz w:val="20"/>
          <w:szCs w:val="20"/>
          <w:color w:val="auto"/>
        </w:rPr>
      </w:pPr>
      <w:r>
        <w:rPr>
          <w:rFonts w:ascii="Arial" w:cs="Arial" w:eastAsia="Arial" w:hAnsi="Arial"/>
          <w:sz w:val="15"/>
          <w:szCs w:val="15"/>
          <w:b w:val="1"/>
          <w:bCs w:val="1"/>
          <w:i w:val="1"/>
          <w:iCs w:val="1"/>
          <w:color w:val="003082"/>
        </w:rPr>
        <w:t>Voting for Directors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003082"/>
        </w:rPr>
        <w:t>The Articles provide that, for as long as Soundscape Limited, the holding company of our chief executive officer, and its affiliates collectively hold such number of Class B ordinary shares that constitute not less than 5% of the issued and outstanding shares of our Company, our chief executive officer shall be entitled, through its holding company, appoint a majority of our directors and to remove or replace any such directors. Subject to the foregoing, our directors may be appointed by a resolution of our board of directors to fill a casual vacancy on the board of directors or as an addition to the board of directors or by an ordinary resolution of our shareholders.</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003082"/>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p>
      <w:pPr>
        <w:spacing w:after="0" w:line="1745" w:lineRule="exact"/>
        <w:rPr>
          <w:sz w:val="20"/>
          <w:szCs w:val="20"/>
          <w:color w:val="auto"/>
        </w:rPr>
      </w:pPr>
    </w:p>
    <w:p>
      <w:pPr>
        <w:sectPr>
          <w:pgSz w:w="11900" w:h="16838" w:orient="portrait"/>
          <w:cols w:equalWidth="0" w:num="3">
            <w:col w:w="2120" w:space="720"/>
            <w:col w:w="4100" w:space="160"/>
            <w:col w:w="4100"/>
          </w:cols>
          <w:pgMar w:left="340" w:top="562" w:right="35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003082"/>
        </w:rPr>
        <w:t>165</w:t>
      </w:r>
    </w:p>
    <w:p>
      <w:pPr>
        <w:sectPr>
          <w:pgSz w:w="11900" w:h="16838" w:orient="portrait"/>
          <w:cols w:equalWidth="0" w:num="1">
            <w:col w:w="11200"/>
          </w:cols>
          <w:pgMar w:left="340" w:top="562" w:right="359"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4160" w:type="dxa"/>
            <w:vAlign w:val="bottom"/>
            <w:tcBorders>
              <w:bottom w:val="single" w:sz="8" w:color="3D5588"/>
            </w:tcBorders>
          </w:tcPr>
          <w:p>
            <w:pPr>
              <w:ind w:left="1600"/>
              <w:spacing w:after="0"/>
              <w:rPr>
                <w:sz w:val="20"/>
                <w:szCs w:val="20"/>
                <w:color w:val="auto"/>
              </w:rPr>
            </w:pPr>
            <w:r>
              <w:rPr>
                <w:rFonts w:ascii="Arial" w:cs="Arial" w:eastAsia="Arial" w:hAnsi="Arial"/>
                <w:sz w:val="14"/>
                <w:szCs w:val="14"/>
                <w:b w:val="1"/>
                <w:bCs w:val="1"/>
                <w:color w:val="003082"/>
              </w:rPr>
              <w:t>Cayman Islands</w:t>
            </w: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003082"/>
              </w:rPr>
              <w:t>Cumulative Voting</w:t>
            </w:r>
          </w:p>
        </w:tc>
        <w:tc>
          <w:tcPr>
            <w:tcW w:w="4160" w:type="dxa"/>
            <w:vAlign w:val="bottom"/>
          </w:tcPr>
          <w:p>
            <w:pPr>
              <w:ind w:left="40"/>
              <w:spacing w:after="0"/>
              <w:rPr>
                <w:sz w:val="20"/>
                <w:szCs w:val="20"/>
                <w:color w:val="auto"/>
              </w:rPr>
            </w:pPr>
            <w:r>
              <w:rPr>
                <w:rFonts w:ascii="Arial" w:cs="Arial" w:eastAsia="Arial" w:hAnsi="Arial"/>
                <w:sz w:val="18"/>
                <w:szCs w:val="18"/>
                <w:color w:val="003082"/>
              </w:rPr>
              <w:t>There are no prohibitions in relation to cumulative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rPr>
              <w:t>voting under the laws of the Cayman Islands.</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w w:val="93"/>
              </w:rPr>
              <w:t>The Articles do not provide for cumulative voting on the</w:t>
            </w:r>
          </w:p>
        </w:tc>
      </w:tr>
      <w:tr>
        <w:trPr>
          <w:trHeight w:val="230"/>
        </w:trPr>
        <w:tc>
          <w:tcPr>
            <w:tcW w:w="2800" w:type="dxa"/>
            <w:vAlign w:val="bottom"/>
          </w:tcPr>
          <w:p>
            <w:pPr>
              <w:spacing w:after="0"/>
              <w:rPr>
                <w:sz w:val="20"/>
                <w:szCs w:val="20"/>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003082"/>
              </w:rPr>
              <w:t>election of the directors as described above.</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003082"/>
        </w:rPr>
        <w:t>No cumulative voting for the election of directors unless provided for in the certificate of incorporation.</w:t>
      </w:r>
    </w:p>
    <w:p>
      <w:pPr>
        <w:spacing w:after="0" w:line="537" w:lineRule="exact"/>
        <w:rPr>
          <w:sz w:val="20"/>
          <w:szCs w:val="20"/>
          <w:color w:val="auto"/>
        </w:rPr>
      </w:pPr>
    </w:p>
    <w:p>
      <w:pPr>
        <w:sectPr>
          <w:pgSz w:w="11900" w:h="16838" w:orient="portrait"/>
          <w:cols w:equalWidth="0" w:num="2">
            <w:col w:w="6960" w:space="140"/>
            <w:col w:w="4100"/>
          </w:cols>
          <w:pgMar w:left="340" w:top="562" w:right="359" w:bottom="1440" w:gutter="0" w:footer="0" w:header="0"/>
        </w:sectPr>
      </w:pPr>
    </w:p>
    <w:p>
      <w:pPr>
        <w:spacing w:after="0"/>
        <w:rPr>
          <w:sz w:val="20"/>
          <w:szCs w:val="20"/>
          <w:color w:val="auto"/>
        </w:rPr>
      </w:pPr>
      <w:r>
        <w:rPr>
          <w:rFonts w:ascii="Arial" w:cs="Arial" w:eastAsia="Arial" w:hAnsi="Arial"/>
          <w:sz w:val="15"/>
          <w:szCs w:val="15"/>
          <w:b w:val="1"/>
          <w:bCs w:val="1"/>
          <w:i w:val="1"/>
          <w:iCs w:val="1"/>
          <w:color w:val="003082"/>
        </w:rPr>
        <w:t>Directors’ Powers Regarding Bylaws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Nomination and Removal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003082"/>
        </w:rPr>
        <w:t>Directors and Filling Vacancies on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3082"/>
        </w:rPr>
        <w:t>Board</w:t>
      </w:r>
    </w:p>
    <w:p>
      <w:pPr>
        <w:spacing w:after="0" w:line="20" w:lineRule="exact"/>
        <w:rPr>
          <w:sz w:val="20"/>
          <w:szCs w:val="20"/>
          <w:color w:val="auto"/>
        </w:rPr>
      </w:pPr>
      <w:r>
        <w:rPr>
          <w:sz w:val="20"/>
          <w:szCs w:val="20"/>
          <w:color w:val="auto"/>
        </w:rPr>
        <w:br w:type="column"/>
      </w:r>
    </w:p>
    <w:p>
      <w:pPr>
        <w:jc w:val="both"/>
        <w:ind w:left="4" w:right="20"/>
        <w:spacing w:after="0" w:line="277" w:lineRule="auto"/>
        <w:rPr>
          <w:sz w:val="20"/>
          <w:szCs w:val="20"/>
          <w:color w:val="auto"/>
        </w:rPr>
      </w:pPr>
      <w:r>
        <w:rPr>
          <w:rFonts w:ascii="Arial" w:cs="Arial" w:eastAsia="Arial" w:hAnsi="Arial"/>
          <w:sz w:val="18"/>
          <w:szCs w:val="18"/>
          <w:color w:val="003082"/>
        </w:rPr>
        <w:t>The Articles may only be amended by a special resolution of the shareholders of the company.</w:t>
      </w:r>
    </w:p>
    <w:p>
      <w:pPr>
        <w:spacing w:after="0" w:line="130"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003082"/>
        </w:rPr>
        <w:t>Nomination and removal of directors and filling of board vacancies are governed by the terms of the articles of association. The Articles provide that subject to certain restrictions as contained therein (including that our chief executive officer, through his holding company, shall be entitled to remove or replace any directors appointed by his holding company),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w:t>
      </w:r>
    </w:p>
    <w:p>
      <w:pPr>
        <w:spacing w:after="0" w:line="176" w:lineRule="exact"/>
        <w:rPr>
          <w:sz w:val="20"/>
          <w:szCs w:val="20"/>
          <w:color w:val="auto"/>
        </w:rPr>
      </w:pPr>
    </w:p>
    <w:p>
      <w:pPr>
        <w:jc w:val="both"/>
        <w:ind w:left="4"/>
        <w:spacing w:after="0" w:line="285" w:lineRule="auto"/>
        <w:rPr>
          <w:sz w:val="20"/>
          <w:szCs w:val="20"/>
          <w:color w:val="auto"/>
        </w:rPr>
      </w:pPr>
      <w:r>
        <w:rPr>
          <w:rFonts w:ascii="Arial" w:cs="Arial" w:eastAsia="Arial" w:hAnsi="Arial"/>
          <w:sz w:val="16"/>
          <w:szCs w:val="16"/>
          <w:color w:val="003082"/>
        </w:rPr>
        <w:t>In addition, a director’s office shall be vacated if the director (1) becomes bankrupt or makes any arrangement or composition with his creditors; (2) is found to be or becomes of unsound mind or dies; (3) resigns his office by notice in writing to the company; or</w:t>
      </w:r>
    </w:p>
    <w:p>
      <w:pPr>
        <w:spacing w:after="0" w:line="2" w:lineRule="exact"/>
        <w:rPr>
          <w:sz w:val="20"/>
          <w:szCs w:val="20"/>
          <w:color w:val="auto"/>
        </w:rPr>
      </w:pPr>
    </w:p>
    <w:p>
      <w:pPr>
        <w:jc w:val="both"/>
        <w:ind w:left="4" w:hanging="4"/>
        <w:spacing w:after="0" w:line="255" w:lineRule="auto"/>
        <w:tabs>
          <w:tab w:leader="none" w:pos="336" w:val="left"/>
        </w:tabs>
        <w:numPr>
          <w:ilvl w:val="0"/>
          <w:numId w:val="96"/>
        </w:numPr>
        <w:rPr>
          <w:rFonts w:ascii="Arial" w:cs="Arial" w:eastAsia="Arial" w:hAnsi="Arial"/>
          <w:sz w:val="18"/>
          <w:szCs w:val="18"/>
          <w:color w:val="003082"/>
        </w:rPr>
      </w:pPr>
      <w:r>
        <w:rPr>
          <w:rFonts w:ascii="Arial" w:cs="Arial" w:eastAsia="Arial" w:hAnsi="Arial"/>
          <w:sz w:val="18"/>
          <w:szCs w:val="18"/>
          <w:color w:val="003082"/>
        </w:rPr>
        <w:t>is removed from office pursuant to any other provisions of our post-offering amended and restated memorandum and articles of association.</w:t>
      </w:r>
    </w:p>
    <w:p>
      <w:pPr>
        <w:spacing w:after="0" w:line="20" w:lineRule="exact"/>
        <w:rPr>
          <w:sz w:val="20"/>
          <w:szCs w:val="20"/>
          <w:color w:val="auto"/>
        </w:rPr>
      </w:pPr>
      <w:r>
        <w:rPr>
          <w:sz w:val="20"/>
          <w:szCs w:val="20"/>
          <w:color w:val="auto"/>
        </w:rPr>
        <w:br w:type="column"/>
      </w:r>
    </w:p>
    <w:p>
      <w:pPr>
        <w:jc w:val="both"/>
        <w:ind w:right="20"/>
        <w:spacing w:after="0" w:line="308" w:lineRule="auto"/>
        <w:rPr>
          <w:sz w:val="20"/>
          <w:szCs w:val="20"/>
          <w:color w:val="auto"/>
        </w:rPr>
      </w:pPr>
      <w:r>
        <w:rPr>
          <w:rFonts w:ascii="Arial" w:cs="Arial" w:eastAsia="Arial" w:hAnsi="Arial"/>
          <w:sz w:val="17"/>
          <w:szCs w:val="17"/>
          <w:color w:val="003082"/>
        </w:rPr>
        <w:t>The certificate of incorporation may grant the directors the power to adopt, amend or repeal bylaws.</w:t>
      </w:r>
    </w:p>
    <w:p>
      <w:pPr>
        <w:spacing w:after="0" w:line="106"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003082"/>
        </w:rPr>
        <w:t>Stockholders may generally nominate directors if they comply with any applicable advance notice provisions and other procedural requirements in company bylaws.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003082"/>
        </w:rPr>
        <w:t>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p>
      <w:pPr>
        <w:spacing w:after="0" w:line="3050" w:lineRule="exact"/>
        <w:rPr>
          <w:sz w:val="20"/>
          <w:szCs w:val="20"/>
          <w:color w:val="auto"/>
        </w:rPr>
      </w:pPr>
    </w:p>
    <w:p>
      <w:pPr>
        <w:sectPr>
          <w:pgSz w:w="11900" w:h="16838" w:orient="portrait"/>
          <w:cols w:equalWidth="0" w:num="3">
            <w:col w:w="2780" w:space="56"/>
            <w:col w:w="4104" w:space="160"/>
            <w:col w:w="4100"/>
          </w:cols>
          <w:pgMar w:left="340" w:top="562" w:right="359" w:bottom="1440" w:gutter="0" w:footer="0" w:header="0"/>
          <w:type w:val="continuous"/>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003082"/>
        </w:rPr>
        <w:t>166</w:t>
      </w:r>
    </w:p>
    <w:p>
      <w:pPr>
        <w:sectPr>
          <w:pgSz w:w="11900" w:h="16838" w:orient="portrait"/>
          <w:cols w:equalWidth="0" w:num="1">
            <w:col w:w="11200"/>
          </w:cols>
          <w:pgMar w:left="340" w:top="562" w:right="359" w:bottom="1440" w:gutter="0" w:footer="0" w:header="0"/>
          <w:type w:val="continuous"/>
        </w:sectPr>
      </w:pPr>
    </w:p>
    <w:bookmarkStart w:id="171" w:name="page172"/>
    <w:bookmarkEnd w:id="171"/>
    <w:p>
      <w:pPr>
        <w:ind w:left="3300"/>
        <w:spacing w:after="0"/>
        <w:rPr>
          <w:sz w:val="20"/>
          <w:szCs w:val="20"/>
          <w:color w:val="auto"/>
        </w:rPr>
      </w:pPr>
      <w:r>
        <w:rPr>
          <w:rFonts w:ascii="Arial" w:cs="Arial" w:eastAsia="Arial" w:hAnsi="Arial"/>
          <w:sz w:val="14"/>
          <w:szCs w:val="14"/>
          <w:b w:val="1"/>
          <w:bCs w:val="1"/>
          <w:color w:val="003082"/>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26403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both"/>
        <w:ind w:left="1740" w:hanging="2834"/>
        <w:spacing w:after="0" w:line="286" w:lineRule="auto"/>
        <w:tabs>
          <w:tab w:leader="none" w:pos="1720" w:val="left"/>
        </w:tabs>
        <w:rPr>
          <w:sz w:val="20"/>
          <w:szCs w:val="20"/>
          <w:color w:val="auto"/>
        </w:rPr>
      </w:pPr>
      <w:r>
        <w:rPr>
          <w:rFonts w:ascii="Arial" w:cs="Arial" w:eastAsia="Arial" w:hAnsi="Arial"/>
          <w:sz w:val="18"/>
          <w:szCs w:val="18"/>
          <w:b w:val="1"/>
          <w:bCs w:val="1"/>
          <w:i w:val="1"/>
          <w:iCs w:val="1"/>
          <w:color w:val="003082"/>
        </w:rPr>
        <w:t>Mergers and Similar Arrangements</w:t>
      </w:r>
      <w:r>
        <w:rPr>
          <w:sz w:val="20"/>
          <w:szCs w:val="20"/>
          <w:color w:val="auto"/>
        </w:rPr>
        <w:tab/>
      </w:r>
      <w:r>
        <w:rPr>
          <w:rFonts w:ascii="Arial" w:cs="Arial" w:eastAsia="Arial" w:hAnsi="Arial"/>
          <w:sz w:val="16"/>
          <w:szCs w:val="16"/>
          <w:color w:val="003082"/>
        </w:rPr>
        <w:t>The Companies Law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w:t>
      </w:r>
    </w:p>
    <w:p>
      <w:pPr>
        <w:spacing w:after="0" w:line="5" w:lineRule="exact"/>
        <w:rPr>
          <w:sz w:val="20"/>
          <w:szCs w:val="20"/>
          <w:color w:val="auto"/>
        </w:rPr>
      </w:pPr>
    </w:p>
    <w:p>
      <w:pPr>
        <w:jc w:val="both"/>
        <w:ind w:left="1740" w:hanging="4"/>
        <w:spacing w:after="0" w:line="283" w:lineRule="auto"/>
        <w:tabs>
          <w:tab w:leader="none" w:pos="2017" w:val="left"/>
        </w:tabs>
        <w:numPr>
          <w:ilvl w:val="0"/>
          <w:numId w:val="97"/>
        </w:numPr>
        <w:rPr>
          <w:rFonts w:ascii="Arial" w:cs="Arial" w:eastAsia="Arial" w:hAnsi="Arial"/>
          <w:sz w:val="16"/>
          <w:szCs w:val="16"/>
          <w:color w:val="003082"/>
        </w:rPr>
      </w:pPr>
      <w:r>
        <w:rPr>
          <w:rFonts w:ascii="Arial" w:cs="Arial" w:eastAsia="Arial" w:hAnsi="Arial"/>
          <w:sz w:val="16"/>
          <w:szCs w:val="16"/>
          <w:color w:val="003082"/>
        </w:rPr>
        <w:t>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360"/>
        <w:spacing w:after="0"/>
        <w:rPr>
          <w:sz w:val="20"/>
          <w:szCs w:val="20"/>
          <w:color w:val="auto"/>
        </w:rPr>
      </w:pPr>
      <w:r>
        <w:rPr>
          <w:rFonts w:ascii="Arial" w:cs="Arial" w:eastAsia="Arial" w:hAnsi="Arial"/>
          <w:sz w:val="18"/>
          <w:szCs w:val="18"/>
          <w:color w:val="003082"/>
        </w:rPr>
        <w:t>167</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3082"/>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42" w:lineRule="exact"/>
        <w:rPr>
          <w:sz w:val="20"/>
          <w:szCs w:val="20"/>
          <w:color w:val="auto"/>
        </w:rPr>
      </w:pPr>
    </w:p>
    <w:p>
      <w:pPr>
        <w:ind w:left="660" w:right="20" w:hanging="334"/>
        <w:spacing w:after="0" w:line="277" w:lineRule="auto"/>
        <w:tabs>
          <w:tab w:leader="none" w:pos="682" w:val="left"/>
        </w:tabs>
        <w:numPr>
          <w:ilvl w:val="0"/>
          <w:numId w:val="98"/>
        </w:numPr>
        <w:rPr>
          <w:rFonts w:ascii="Arial" w:cs="Arial" w:eastAsia="Arial" w:hAnsi="Arial"/>
          <w:sz w:val="18"/>
          <w:szCs w:val="18"/>
          <w:color w:val="003082"/>
        </w:rPr>
      </w:pPr>
      <w:r>
        <w:rPr>
          <w:rFonts w:ascii="Arial" w:cs="Arial" w:eastAsia="Arial" w:hAnsi="Arial"/>
          <w:sz w:val="18"/>
          <w:szCs w:val="18"/>
          <w:color w:val="003082"/>
        </w:rPr>
        <w:t>the merger agreement does not amend in any respect its certificate of incorporation;</w:t>
      </w:r>
    </w:p>
    <w:p>
      <w:pPr>
        <w:spacing w:after="0" w:line="170" w:lineRule="exact"/>
        <w:rPr>
          <w:rFonts w:ascii="Arial" w:cs="Arial" w:eastAsia="Arial" w:hAnsi="Arial"/>
          <w:sz w:val="18"/>
          <w:szCs w:val="18"/>
          <w:color w:val="003082"/>
        </w:rPr>
      </w:pPr>
    </w:p>
    <w:p>
      <w:pPr>
        <w:jc w:val="both"/>
        <w:ind w:left="660" w:hanging="334"/>
        <w:spacing w:after="0" w:line="263" w:lineRule="auto"/>
        <w:tabs>
          <w:tab w:leader="none" w:pos="647" w:val="left"/>
        </w:tabs>
        <w:numPr>
          <w:ilvl w:val="0"/>
          <w:numId w:val="98"/>
        </w:numPr>
        <w:rPr>
          <w:rFonts w:ascii="Arial" w:cs="Arial" w:eastAsia="Arial" w:hAnsi="Arial"/>
          <w:sz w:val="18"/>
          <w:szCs w:val="18"/>
          <w:color w:val="003082"/>
        </w:rPr>
      </w:pPr>
      <w:r>
        <w:rPr>
          <w:rFonts w:ascii="Arial" w:cs="Arial" w:eastAsia="Arial" w:hAnsi="Arial"/>
          <w:sz w:val="18"/>
          <w:szCs w:val="18"/>
          <w:color w:val="003082"/>
        </w:rPr>
        <w:t>each share of its stock outstanding prior to the merger will be an identical share of stock following the merger; and</w:t>
      </w:r>
    </w:p>
    <w:p>
      <w:pPr>
        <w:spacing w:after="0" w:line="183" w:lineRule="exact"/>
        <w:rPr>
          <w:rFonts w:ascii="Arial" w:cs="Arial" w:eastAsia="Arial" w:hAnsi="Arial"/>
          <w:sz w:val="18"/>
          <w:szCs w:val="18"/>
          <w:color w:val="003082"/>
        </w:rPr>
      </w:pPr>
    </w:p>
    <w:p>
      <w:pPr>
        <w:jc w:val="both"/>
        <w:ind w:left="660" w:hanging="334"/>
        <w:spacing w:after="0" w:line="268" w:lineRule="auto"/>
        <w:tabs>
          <w:tab w:leader="none" w:pos="660" w:val="left"/>
        </w:tabs>
        <w:numPr>
          <w:ilvl w:val="0"/>
          <w:numId w:val="98"/>
        </w:numPr>
        <w:rPr>
          <w:rFonts w:ascii="Arial" w:cs="Arial" w:eastAsia="Arial" w:hAnsi="Arial"/>
          <w:sz w:val="17"/>
          <w:szCs w:val="17"/>
          <w:color w:val="003082"/>
        </w:rPr>
      </w:pPr>
      <w:r>
        <w:rPr>
          <w:rFonts w:ascii="Arial" w:cs="Arial" w:eastAsia="Arial" w:hAnsi="Arial"/>
          <w:sz w:val="17"/>
          <w:szCs w:val="17"/>
          <w:color w:val="003082"/>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sectPr>
          <w:pgSz w:w="11900" w:h="16838" w:orient="portrait"/>
          <w:cols w:equalWidth="0" w:num="2">
            <w:col w:w="5840" w:space="160"/>
            <w:col w:w="4100"/>
          </w:cols>
          <w:pgMar w:left="1440" w:top="562" w:right="359" w:bottom="1440" w:gutter="0" w:footer="0" w:header="0"/>
        </w:sectPr>
      </w:pPr>
    </w:p>
    <w:bookmarkStart w:id="172" w:name="page173"/>
    <w:bookmarkEnd w:id="172"/>
    <w:p>
      <w:pPr>
        <w:jc w:val="center"/>
        <w:ind w:left="1740"/>
        <w:spacing w:after="0"/>
        <w:rPr>
          <w:sz w:val="20"/>
          <w:szCs w:val="20"/>
          <w:color w:val="auto"/>
        </w:rPr>
      </w:pPr>
      <w:r>
        <w:rPr>
          <w:rFonts w:ascii="Arial" w:cs="Arial" w:eastAsia="Arial" w:hAnsi="Arial"/>
          <w:sz w:val="14"/>
          <w:szCs w:val="14"/>
          <w:b w:val="1"/>
          <w:bCs w:val="1"/>
          <w:color w:val="003082"/>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2640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ind w:left="1740"/>
        <w:spacing w:after="0" w:line="269" w:lineRule="auto"/>
        <w:rPr>
          <w:sz w:val="20"/>
          <w:szCs w:val="20"/>
          <w:color w:val="auto"/>
        </w:rPr>
      </w:pPr>
      <w:r>
        <w:rPr>
          <w:rFonts w:ascii="Arial" w:cs="Arial" w:eastAsia="Arial" w:hAnsi="Arial"/>
          <w:sz w:val="17"/>
          <w:szCs w:val="17"/>
          <w:color w:val="003082"/>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1" w:lineRule="exact"/>
        <w:rPr>
          <w:sz w:val="20"/>
          <w:szCs w:val="20"/>
          <w:color w:val="auto"/>
        </w:rPr>
      </w:pPr>
    </w:p>
    <w:p>
      <w:pPr>
        <w:jc w:val="both"/>
        <w:ind w:left="1740"/>
        <w:spacing w:after="0" w:line="259" w:lineRule="auto"/>
        <w:rPr>
          <w:sz w:val="20"/>
          <w:szCs w:val="20"/>
          <w:color w:val="auto"/>
        </w:rPr>
      </w:pPr>
      <w:r>
        <w:rPr>
          <w:rFonts w:ascii="Arial" w:cs="Arial" w:eastAsia="Arial" w:hAnsi="Arial"/>
          <w:sz w:val="18"/>
          <w:szCs w:val="18"/>
          <w:color w:val="003082"/>
        </w:rPr>
        <w:t>The consent of each holder of a fixed or floating security interest over a constituent company is required unless this requirement is waived by a court in the Cayman Islands.</w:t>
      </w:r>
    </w:p>
    <w:p>
      <w:pPr>
        <w:spacing w:after="0" w:line="133" w:lineRule="exact"/>
        <w:rPr>
          <w:sz w:val="20"/>
          <w:szCs w:val="20"/>
          <w:color w:val="auto"/>
        </w:rPr>
      </w:pPr>
    </w:p>
    <w:p>
      <w:pPr>
        <w:jc w:val="both"/>
        <w:ind w:left="1740"/>
        <w:spacing w:after="0" w:line="286" w:lineRule="auto"/>
        <w:rPr>
          <w:sz w:val="20"/>
          <w:szCs w:val="20"/>
          <w:color w:val="auto"/>
        </w:rPr>
      </w:pPr>
      <w:r>
        <w:rPr>
          <w:rFonts w:ascii="Arial" w:cs="Arial" w:eastAsia="Arial" w:hAnsi="Arial"/>
          <w:sz w:val="16"/>
          <w:szCs w:val="16"/>
          <w:color w:val="003082"/>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360"/>
        <w:spacing w:after="0"/>
        <w:rPr>
          <w:sz w:val="20"/>
          <w:szCs w:val="20"/>
          <w:color w:val="auto"/>
        </w:rPr>
      </w:pPr>
      <w:r>
        <w:rPr>
          <w:rFonts w:ascii="Arial" w:cs="Arial" w:eastAsia="Arial" w:hAnsi="Arial"/>
          <w:sz w:val="18"/>
          <w:szCs w:val="18"/>
          <w:color w:val="003082"/>
        </w:rPr>
        <w:t>168</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3082"/>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42" w:lineRule="exact"/>
        <w:rPr>
          <w:sz w:val="20"/>
          <w:szCs w:val="20"/>
          <w:color w:val="auto"/>
        </w:rPr>
      </w:pPr>
    </w:p>
    <w:p>
      <w:pPr>
        <w:ind w:left="660" w:right="20" w:hanging="334"/>
        <w:spacing w:after="0" w:line="277" w:lineRule="auto"/>
        <w:tabs>
          <w:tab w:leader="none" w:pos="682" w:val="left"/>
        </w:tabs>
        <w:numPr>
          <w:ilvl w:val="0"/>
          <w:numId w:val="99"/>
        </w:numPr>
        <w:rPr>
          <w:rFonts w:ascii="Arial" w:cs="Arial" w:eastAsia="Arial" w:hAnsi="Arial"/>
          <w:sz w:val="18"/>
          <w:szCs w:val="18"/>
          <w:color w:val="003082"/>
        </w:rPr>
      </w:pPr>
      <w:r>
        <w:rPr>
          <w:rFonts w:ascii="Arial" w:cs="Arial" w:eastAsia="Arial" w:hAnsi="Arial"/>
          <w:sz w:val="18"/>
          <w:szCs w:val="18"/>
          <w:color w:val="003082"/>
        </w:rPr>
        <w:t>the merger agreement does not amend in any respect its certificate of incorporation;</w:t>
      </w:r>
    </w:p>
    <w:p>
      <w:pPr>
        <w:spacing w:after="0" w:line="116" w:lineRule="exact"/>
        <w:rPr>
          <w:rFonts w:ascii="Arial" w:cs="Arial" w:eastAsia="Arial" w:hAnsi="Arial"/>
          <w:sz w:val="18"/>
          <w:szCs w:val="18"/>
          <w:color w:val="003082"/>
        </w:rPr>
      </w:pPr>
    </w:p>
    <w:p>
      <w:pPr>
        <w:jc w:val="both"/>
        <w:ind w:left="660" w:hanging="334"/>
        <w:spacing w:after="0" w:line="263" w:lineRule="auto"/>
        <w:tabs>
          <w:tab w:leader="none" w:pos="647" w:val="left"/>
        </w:tabs>
        <w:numPr>
          <w:ilvl w:val="0"/>
          <w:numId w:val="99"/>
        </w:numPr>
        <w:rPr>
          <w:rFonts w:ascii="Arial" w:cs="Arial" w:eastAsia="Arial" w:hAnsi="Arial"/>
          <w:sz w:val="18"/>
          <w:szCs w:val="18"/>
          <w:color w:val="003082"/>
        </w:rPr>
      </w:pPr>
      <w:r>
        <w:rPr>
          <w:rFonts w:ascii="Arial" w:cs="Arial" w:eastAsia="Arial" w:hAnsi="Arial"/>
          <w:sz w:val="18"/>
          <w:szCs w:val="18"/>
          <w:color w:val="003082"/>
        </w:rPr>
        <w:t>each share of its stock outstanding prior to the merger will be an identical share of stock following the merger; and</w:t>
      </w:r>
    </w:p>
    <w:p>
      <w:pPr>
        <w:spacing w:after="0" w:line="129" w:lineRule="exact"/>
        <w:rPr>
          <w:rFonts w:ascii="Arial" w:cs="Arial" w:eastAsia="Arial" w:hAnsi="Arial"/>
          <w:sz w:val="18"/>
          <w:szCs w:val="18"/>
          <w:color w:val="003082"/>
        </w:rPr>
      </w:pPr>
    </w:p>
    <w:p>
      <w:pPr>
        <w:jc w:val="both"/>
        <w:ind w:left="660" w:hanging="334"/>
        <w:spacing w:after="0" w:line="268" w:lineRule="auto"/>
        <w:tabs>
          <w:tab w:leader="none" w:pos="660" w:val="left"/>
        </w:tabs>
        <w:numPr>
          <w:ilvl w:val="0"/>
          <w:numId w:val="99"/>
        </w:numPr>
        <w:rPr>
          <w:rFonts w:ascii="Arial" w:cs="Arial" w:eastAsia="Arial" w:hAnsi="Arial"/>
          <w:sz w:val="17"/>
          <w:szCs w:val="17"/>
          <w:color w:val="003082"/>
        </w:rPr>
      </w:pPr>
      <w:r>
        <w:rPr>
          <w:rFonts w:ascii="Arial" w:cs="Arial" w:eastAsia="Arial" w:hAnsi="Arial"/>
          <w:sz w:val="17"/>
          <w:szCs w:val="17"/>
          <w:color w:val="003082"/>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sectPr>
          <w:pgSz w:w="11900" w:h="16838" w:orient="portrait"/>
          <w:cols w:equalWidth="0" w:num="2">
            <w:col w:w="5840" w:space="160"/>
            <w:col w:w="4100"/>
          </w:cols>
          <w:pgMar w:left="1440" w:top="562" w:right="359" w:bottom="1440" w:gutter="0" w:footer="0" w:header="0"/>
        </w:sectPr>
      </w:pPr>
    </w:p>
    <w:bookmarkStart w:id="173" w:name="page174"/>
    <w:bookmarkEnd w:id="173"/>
    <w:p>
      <w:pPr>
        <w:jc w:val="right"/>
        <w:ind w:right="679"/>
        <w:spacing w:after="0"/>
        <w:tabs>
          <w:tab w:leader="none" w:pos="560" w:val="left"/>
        </w:tabs>
        <w:rPr>
          <w:sz w:val="20"/>
          <w:szCs w:val="20"/>
          <w:color w:val="auto"/>
        </w:rPr>
      </w:pPr>
      <w:r>
        <w:rPr>
          <w:rFonts w:ascii="Arial" w:cs="Arial" w:eastAsia="Arial" w:hAnsi="Arial"/>
          <w:sz w:val="14"/>
          <w:szCs w:val="14"/>
          <w:b w:val="1"/>
          <w:bCs w:val="1"/>
          <w:color w:val="003082"/>
        </w:rPr>
        <w:t>Cayman Islands</w:t>
      </w:r>
      <w:r>
        <w:rPr>
          <w:sz w:val="20"/>
          <w:szCs w:val="20"/>
          <w:color w:val="auto"/>
        </w:rPr>
        <w:tab/>
      </w:r>
      <w:r>
        <w:rPr>
          <w:rFonts w:ascii="Arial" w:cs="Arial" w:eastAsia="Arial" w:hAnsi="Arial"/>
          <w:sz w:val="13"/>
          <w:szCs w:val="13"/>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53403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43" w:lineRule="exact"/>
        <w:rPr>
          <w:sz w:val="20"/>
          <w:szCs w:val="20"/>
          <w:color w:val="auto"/>
        </w:rPr>
      </w:pPr>
    </w:p>
    <w:p>
      <w:pPr>
        <w:ind w:left="1740"/>
        <w:spacing w:after="0"/>
        <w:tabs>
          <w:tab w:leader="none" w:pos="3320" w:val="left"/>
          <w:tab w:leader="none" w:pos="4980" w:val="left"/>
          <w:tab w:leader="none" w:pos="5680" w:val="left"/>
        </w:tabs>
        <w:rPr>
          <w:sz w:val="20"/>
          <w:szCs w:val="20"/>
          <w:color w:val="auto"/>
        </w:rPr>
      </w:pPr>
      <w:r>
        <w:rPr>
          <w:rFonts w:ascii="Arial" w:cs="Arial" w:eastAsia="Arial" w:hAnsi="Arial"/>
          <w:sz w:val="18"/>
          <w:szCs w:val="18"/>
          <w:color w:val="003082"/>
        </w:rPr>
        <w:t>Separate  from  the</w:t>
        <w:tab/>
        <w:t>statutory  provisions</w:t>
        <w:tab/>
        <w:t>relating</w:t>
      </w:r>
      <w:r>
        <w:rPr>
          <w:sz w:val="20"/>
          <w:szCs w:val="20"/>
          <w:color w:val="auto"/>
        </w:rPr>
        <w:tab/>
      </w:r>
      <w:r>
        <w:rPr>
          <w:rFonts w:ascii="Arial" w:cs="Arial" w:eastAsia="Arial" w:hAnsi="Arial"/>
          <w:sz w:val="16"/>
          <w:szCs w:val="16"/>
          <w:color w:val="003082"/>
        </w:rPr>
        <w:t>to</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mergers and consolidations, the Companies Law also</w:t>
      </w:r>
    </w:p>
    <w:p>
      <w:pPr>
        <w:spacing w:after="0" w:line="9" w:lineRule="exact"/>
        <w:rPr>
          <w:sz w:val="20"/>
          <w:szCs w:val="20"/>
          <w:color w:val="auto"/>
        </w:rPr>
      </w:pPr>
    </w:p>
    <w:p>
      <w:pPr>
        <w:ind w:left="1740"/>
        <w:spacing w:after="0"/>
        <w:tabs>
          <w:tab w:leader="none" w:pos="2520" w:val="left"/>
          <w:tab w:leader="none" w:pos="3340" w:val="left"/>
          <w:tab w:leader="none" w:pos="4300" w:val="left"/>
          <w:tab w:leader="none" w:pos="4760" w:val="left"/>
          <w:tab w:leader="none" w:pos="5580" w:val="left"/>
        </w:tabs>
        <w:rPr>
          <w:sz w:val="20"/>
          <w:szCs w:val="20"/>
          <w:color w:val="auto"/>
        </w:rPr>
      </w:pPr>
      <w:r>
        <w:rPr>
          <w:rFonts w:ascii="Arial" w:cs="Arial" w:eastAsia="Arial" w:hAnsi="Arial"/>
          <w:sz w:val="18"/>
          <w:szCs w:val="18"/>
          <w:color w:val="003082"/>
        </w:rPr>
        <w:t>contains</w:t>
        <w:tab/>
        <w:t>statutory</w:t>
        <w:tab/>
        <w:t>provisions</w:t>
        <w:tab/>
        <w:t>that</w:t>
        <w:tab/>
        <w:t>facilitate</w:t>
      </w:r>
      <w:r>
        <w:rPr>
          <w:sz w:val="20"/>
          <w:szCs w:val="20"/>
          <w:color w:val="auto"/>
        </w:rPr>
        <w:tab/>
      </w:r>
      <w:r>
        <w:rPr>
          <w:rFonts w:ascii="Arial" w:cs="Arial" w:eastAsia="Arial" w:hAnsi="Arial"/>
          <w:sz w:val="15"/>
          <w:szCs w:val="15"/>
          <w:color w:val="003082"/>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reconstruction and amalgamation of companies by way</w:t>
      </w:r>
    </w:p>
    <w:p>
      <w:pPr>
        <w:spacing w:after="0" w:line="9" w:lineRule="exact"/>
        <w:rPr>
          <w:sz w:val="20"/>
          <w:szCs w:val="20"/>
          <w:color w:val="auto"/>
        </w:rPr>
      </w:pPr>
    </w:p>
    <w:p>
      <w:pPr>
        <w:ind w:left="1740"/>
        <w:spacing w:after="0"/>
        <w:tabs>
          <w:tab w:leader="none" w:pos="2060" w:val="left"/>
          <w:tab w:leader="none" w:pos="2840" w:val="left"/>
          <w:tab w:leader="none" w:pos="3180" w:val="left"/>
          <w:tab w:leader="none" w:pos="4320" w:val="left"/>
          <w:tab w:leader="none" w:pos="5140" w:val="left"/>
          <w:tab w:leader="none" w:pos="5600" w:val="left"/>
        </w:tabs>
        <w:rPr>
          <w:sz w:val="20"/>
          <w:szCs w:val="20"/>
          <w:color w:val="auto"/>
        </w:rPr>
      </w:pPr>
      <w:r>
        <w:rPr>
          <w:rFonts w:ascii="Arial" w:cs="Arial" w:eastAsia="Arial" w:hAnsi="Arial"/>
          <w:sz w:val="18"/>
          <w:szCs w:val="18"/>
          <w:color w:val="003082"/>
        </w:rPr>
        <w:t>of</w:t>
        <w:tab/>
        <w:t>schemes</w:t>
        <w:tab/>
        <w:t>of</w:t>
        <w:tab/>
        <w:t>arrangement,</w:t>
        <w:tab/>
        <w:t>provided</w:t>
        <w:tab/>
        <w:t>that</w:t>
      </w:r>
      <w:r>
        <w:rPr>
          <w:sz w:val="20"/>
          <w:szCs w:val="20"/>
          <w:color w:val="auto"/>
        </w:rPr>
        <w:tab/>
      </w:r>
      <w:r>
        <w:rPr>
          <w:rFonts w:ascii="Arial" w:cs="Arial" w:eastAsia="Arial" w:hAnsi="Arial"/>
          <w:sz w:val="15"/>
          <w:szCs w:val="15"/>
          <w:color w:val="003082"/>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arrangement is approved by a majority in number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each class of shareholders and creditors with whom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arrangement is to be made, and who must in addition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represent three-fourths in value of each such class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shareholders or creditors, as the case may be, that are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present and voting either in person or by proxy at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meeting, or meetings, convened for that purpose. The</w:t>
      </w:r>
    </w:p>
    <w:p>
      <w:pPr>
        <w:spacing w:after="0" w:line="9" w:lineRule="exact"/>
        <w:rPr>
          <w:sz w:val="20"/>
          <w:szCs w:val="20"/>
          <w:color w:val="auto"/>
        </w:rPr>
      </w:pPr>
    </w:p>
    <w:p>
      <w:pPr>
        <w:ind w:left="1740"/>
        <w:spacing w:after="0"/>
        <w:tabs>
          <w:tab w:leader="none" w:pos="2620" w:val="left"/>
          <w:tab w:leader="none" w:pos="2920" w:val="left"/>
          <w:tab w:leader="none" w:pos="3280" w:val="left"/>
          <w:tab w:leader="none" w:pos="4080" w:val="left"/>
          <w:tab w:leader="none" w:pos="4500" w:val="left"/>
          <w:tab w:leader="none" w:pos="5580" w:val="left"/>
        </w:tabs>
        <w:rPr>
          <w:sz w:val="20"/>
          <w:szCs w:val="20"/>
          <w:color w:val="auto"/>
        </w:rPr>
      </w:pPr>
      <w:r>
        <w:rPr>
          <w:rFonts w:ascii="Arial" w:cs="Arial" w:eastAsia="Arial" w:hAnsi="Arial"/>
          <w:sz w:val="18"/>
          <w:szCs w:val="18"/>
          <w:color w:val="003082"/>
        </w:rPr>
        <w:t>convening</w:t>
        <w:tab/>
        <w:t>of</w:t>
        <w:tab/>
        <w:t>the</w:t>
        <w:tab/>
        <w:t>meetings</w:t>
        <w:tab/>
        <w:t>and</w:t>
        <w:tab/>
        <w:t>subsequently</w:t>
      </w:r>
      <w:r>
        <w:rPr>
          <w:sz w:val="20"/>
          <w:szCs w:val="20"/>
          <w:color w:val="auto"/>
        </w:rPr>
        <w:tab/>
      </w:r>
      <w:r>
        <w:rPr>
          <w:rFonts w:ascii="Arial" w:cs="Arial" w:eastAsia="Arial" w:hAnsi="Arial"/>
          <w:sz w:val="15"/>
          <w:szCs w:val="15"/>
          <w:color w:val="003082"/>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arrangement must be sanctioned by the Grand Court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the Cayman Islands. While a dissenting shareholder has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the right to express to the court the view that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transaction ought not to be approved, the court can be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expected to approve the arrangement if it determines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that:</w:t>
      </w:r>
    </w:p>
    <w:p>
      <w:pPr>
        <w:spacing w:after="0" w:line="157" w:lineRule="exact"/>
        <w:rPr>
          <w:sz w:val="20"/>
          <w:szCs w:val="20"/>
          <w:color w:val="auto"/>
        </w:rPr>
      </w:pPr>
    </w:p>
    <w:p>
      <w:pPr>
        <w:ind w:left="2380" w:right="3179" w:hanging="320"/>
        <w:spacing w:after="0" w:line="277" w:lineRule="auto"/>
        <w:tabs>
          <w:tab w:leader="none" w:pos="2520" w:val="left"/>
        </w:tabs>
        <w:numPr>
          <w:ilvl w:val="0"/>
          <w:numId w:val="100"/>
        </w:numPr>
        <w:rPr>
          <w:rFonts w:ascii="Arial" w:cs="Arial" w:eastAsia="Arial" w:hAnsi="Arial"/>
          <w:sz w:val="18"/>
          <w:szCs w:val="18"/>
          <w:color w:val="003082"/>
        </w:rPr>
      </w:pPr>
      <w:r>
        <w:rPr>
          <w:rFonts w:ascii="Arial" w:cs="Arial" w:eastAsia="Arial" w:hAnsi="Arial"/>
          <w:sz w:val="18"/>
          <w:szCs w:val="18"/>
          <w:color w:val="003082"/>
        </w:rPr>
        <w:t>the statutory provisions as to the required majority vote have been met;</w:t>
      </w:r>
    </w:p>
    <w:p>
      <w:pPr>
        <w:spacing w:after="0" w:line="170" w:lineRule="exact"/>
        <w:rPr>
          <w:rFonts w:ascii="Arial" w:cs="Arial" w:eastAsia="Arial" w:hAnsi="Arial"/>
          <w:sz w:val="18"/>
          <w:szCs w:val="18"/>
          <w:color w:val="003082"/>
        </w:rPr>
      </w:pPr>
    </w:p>
    <w:p>
      <w:pPr>
        <w:jc w:val="both"/>
        <w:ind w:left="2380" w:right="3179" w:hanging="320"/>
        <w:spacing w:after="0" w:line="257" w:lineRule="auto"/>
        <w:tabs>
          <w:tab w:leader="none" w:pos="2342" w:val="left"/>
        </w:tabs>
        <w:numPr>
          <w:ilvl w:val="0"/>
          <w:numId w:val="100"/>
        </w:numPr>
        <w:rPr>
          <w:rFonts w:ascii="Arial" w:cs="Arial" w:eastAsia="Arial" w:hAnsi="Arial"/>
          <w:sz w:val="18"/>
          <w:szCs w:val="18"/>
          <w:color w:val="003082"/>
        </w:rPr>
      </w:pPr>
      <w:r>
        <w:rPr>
          <w:rFonts w:ascii="Arial" w:cs="Arial" w:eastAsia="Arial" w:hAnsi="Arial"/>
          <w:sz w:val="18"/>
          <w:szCs w:val="18"/>
          <w:color w:val="003082"/>
        </w:rPr>
        <w:t>the shareholders have been fairly represented at the meeting in question and the statutory majority are acting bona fide without coercion of the minority to promote interests adverse to those of the class;</w:t>
      </w:r>
    </w:p>
    <w:p>
      <w:pPr>
        <w:spacing w:after="0" w:line="187" w:lineRule="exact"/>
        <w:rPr>
          <w:rFonts w:ascii="Arial" w:cs="Arial" w:eastAsia="Arial" w:hAnsi="Arial"/>
          <w:sz w:val="18"/>
          <w:szCs w:val="18"/>
          <w:color w:val="003082"/>
        </w:rPr>
      </w:pPr>
    </w:p>
    <w:p>
      <w:pPr>
        <w:jc w:val="both"/>
        <w:ind w:left="2380" w:right="3179" w:hanging="320"/>
        <w:spacing w:after="0" w:line="311" w:lineRule="auto"/>
        <w:tabs>
          <w:tab w:leader="none" w:pos="2343" w:val="left"/>
        </w:tabs>
        <w:numPr>
          <w:ilvl w:val="0"/>
          <w:numId w:val="100"/>
        </w:numPr>
        <w:rPr>
          <w:rFonts w:ascii="Arial" w:cs="Arial" w:eastAsia="Arial" w:hAnsi="Arial"/>
          <w:sz w:val="16"/>
          <w:szCs w:val="16"/>
          <w:color w:val="003082"/>
        </w:rPr>
      </w:pPr>
      <w:r>
        <w:rPr>
          <w:rFonts w:ascii="Arial" w:cs="Arial" w:eastAsia="Arial" w:hAnsi="Arial"/>
          <w:sz w:val="16"/>
          <w:szCs w:val="16"/>
          <w:color w:val="003082"/>
        </w:rPr>
        <w:t>the arrangement is such that may be reasonably approved by an intelligent and honest man of that class acting in respect of his interest; and</w:t>
      </w:r>
    </w:p>
    <w:p>
      <w:pPr>
        <w:spacing w:after="0" w:line="148" w:lineRule="exact"/>
        <w:rPr>
          <w:rFonts w:ascii="Arial" w:cs="Arial" w:eastAsia="Arial" w:hAnsi="Arial"/>
          <w:sz w:val="16"/>
          <w:szCs w:val="16"/>
          <w:color w:val="003082"/>
        </w:rPr>
      </w:pPr>
    </w:p>
    <w:p>
      <w:pPr>
        <w:jc w:val="both"/>
        <w:ind w:left="2380" w:right="3179" w:hanging="320"/>
        <w:spacing w:after="0" w:line="263" w:lineRule="auto"/>
        <w:tabs>
          <w:tab w:leader="none" w:pos="2441" w:val="left"/>
        </w:tabs>
        <w:numPr>
          <w:ilvl w:val="0"/>
          <w:numId w:val="100"/>
        </w:numPr>
        <w:rPr>
          <w:rFonts w:ascii="Arial" w:cs="Arial" w:eastAsia="Arial" w:hAnsi="Arial"/>
          <w:sz w:val="18"/>
          <w:szCs w:val="18"/>
          <w:color w:val="003082"/>
        </w:rPr>
      </w:pPr>
      <w:r>
        <w:rPr>
          <w:rFonts w:ascii="Arial" w:cs="Arial" w:eastAsia="Arial" w:hAnsi="Arial"/>
          <w:sz w:val="18"/>
          <w:szCs w:val="18"/>
          <w:color w:val="003082"/>
        </w:rPr>
        <w:t>the arrangement is not one that would more properly be sanctioned under some other provision of the Companies Law.</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169</w:t>
      </w:r>
    </w:p>
    <w:p>
      <w:pPr>
        <w:sectPr>
          <w:pgSz w:w="11900" w:h="16838" w:orient="portrait"/>
          <w:cols w:equalWidth="0" w:num="1">
            <w:col w:w="9019"/>
          </w:cols>
          <w:pgMar w:left="1440" w:top="562" w:right="1440" w:bottom="1440" w:gutter="0" w:footer="0" w:header="0"/>
        </w:sectPr>
      </w:pPr>
    </w:p>
    <w:bookmarkStart w:id="174" w:name="page175"/>
    <w:bookmarkEnd w:id="174"/>
    <w:p>
      <w:pPr>
        <w:jc w:val="right"/>
        <w:ind w:right="679"/>
        <w:spacing w:after="0"/>
        <w:tabs>
          <w:tab w:leader="none" w:pos="560" w:val="left"/>
        </w:tabs>
        <w:rPr>
          <w:sz w:val="20"/>
          <w:szCs w:val="20"/>
          <w:color w:val="auto"/>
        </w:rPr>
      </w:pPr>
      <w:r>
        <w:rPr>
          <w:rFonts w:ascii="Arial" w:cs="Arial" w:eastAsia="Arial" w:hAnsi="Arial"/>
          <w:sz w:val="14"/>
          <w:szCs w:val="14"/>
          <w:b w:val="1"/>
          <w:bCs w:val="1"/>
          <w:color w:val="003082"/>
        </w:rPr>
        <w:t>Cayman Islands</w:t>
      </w:r>
      <w:r>
        <w:rPr>
          <w:sz w:val="20"/>
          <w:szCs w:val="20"/>
          <w:color w:val="auto"/>
        </w:rPr>
        <w:tab/>
      </w:r>
      <w:r>
        <w:rPr>
          <w:rFonts w:ascii="Arial" w:cs="Arial" w:eastAsia="Arial" w:hAnsi="Arial"/>
          <w:sz w:val="13"/>
          <w:szCs w:val="13"/>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53403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43"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The Companies Law also contains a statutory power of</w:t>
      </w:r>
    </w:p>
    <w:p>
      <w:pPr>
        <w:spacing w:after="0" w:line="23" w:lineRule="exact"/>
        <w:rPr>
          <w:sz w:val="20"/>
          <w:szCs w:val="20"/>
          <w:color w:val="auto"/>
        </w:rPr>
      </w:pPr>
    </w:p>
    <w:p>
      <w:pPr>
        <w:ind w:left="1740"/>
        <w:spacing w:after="0"/>
        <w:tabs>
          <w:tab w:leader="none" w:pos="2740" w:val="left"/>
          <w:tab w:leader="none" w:pos="3700" w:val="left"/>
          <w:tab w:leader="none" w:pos="4320" w:val="left"/>
          <w:tab w:leader="none" w:pos="4800" w:val="left"/>
          <w:tab w:leader="none" w:pos="5600" w:val="left"/>
        </w:tabs>
        <w:rPr>
          <w:sz w:val="20"/>
          <w:szCs w:val="20"/>
          <w:color w:val="auto"/>
        </w:rPr>
      </w:pPr>
      <w:r>
        <w:rPr>
          <w:rFonts w:ascii="Arial" w:cs="Arial" w:eastAsia="Arial" w:hAnsi="Arial"/>
          <w:sz w:val="18"/>
          <w:szCs w:val="18"/>
          <w:color w:val="003082"/>
        </w:rPr>
        <w:t>compulsory</w:t>
        <w:tab/>
        <w:t>acquisition</w:t>
        <w:tab/>
        <w:t>which</w:t>
        <w:tab/>
        <w:t>may</w:t>
        <w:tab/>
        <w:t>facilitate</w:t>
      </w:r>
      <w:r>
        <w:rPr>
          <w:sz w:val="20"/>
          <w:szCs w:val="20"/>
          <w:color w:val="auto"/>
        </w:rPr>
        <w:tab/>
      </w:r>
      <w:r>
        <w:rPr>
          <w:rFonts w:ascii="Arial" w:cs="Arial" w:eastAsia="Arial" w:hAnsi="Arial"/>
          <w:sz w:val="15"/>
          <w:szCs w:val="15"/>
          <w:color w:val="003082"/>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“squeeze out” of dissentient minority shareholder upon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tender offer. When a tender offer is made and accepted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by holders of 90% of the shares affected within four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months, the offeror may, within a two-month period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commencing  on  the  expiration  of  such  four-month</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period, require the holders of the remaining shares to</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transfer such shares to the offeror on the terms of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offer. An objection can be made to the Grand Court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the Cayman Islands but this is unlikely to succeed in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case of an offer which has been so approved unless there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is evidence of fraud, bad faith or collusion.</w:t>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If an arrangement and reconstruction by way of scheme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of arrangement is thus approved and sanctioned, or if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tender offer is made and accepted, in accordance with</w:t>
      </w:r>
    </w:p>
    <w:p>
      <w:pPr>
        <w:spacing w:after="0" w:line="9" w:lineRule="exact"/>
        <w:rPr>
          <w:sz w:val="20"/>
          <w:szCs w:val="20"/>
          <w:color w:val="auto"/>
        </w:rPr>
      </w:pPr>
    </w:p>
    <w:p>
      <w:pPr>
        <w:ind w:left="1740"/>
        <w:spacing w:after="0"/>
        <w:tabs>
          <w:tab w:leader="none" w:pos="2120" w:val="left"/>
          <w:tab w:leader="none" w:pos="3000" w:val="left"/>
          <w:tab w:leader="none" w:pos="3800" w:val="left"/>
          <w:tab w:leader="none" w:pos="4820" w:val="left"/>
          <w:tab w:leader="none" w:pos="5080" w:val="left"/>
        </w:tabs>
        <w:rPr>
          <w:sz w:val="20"/>
          <w:szCs w:val="20"/>
          <w:color w:val="auto"/>
        </w:rPr>
      </w:pPr>
      <w:r>
        <w:rPr>
          <w:rFonts w:ascii="Arial" w:cs="Arial" w:eastAsia="Arial" w:hAnsi="Arial"/>
          <w:sz w:val="18"/>
          <w:szCs w:val="18"/>
          <w:color w:val="003082"/>
        </w:rPr>
        <w:t>the</w:t>
        <w:tab/>
        <w:t>foregoing</w:t>
        <w:tab/>
        <w:t>statutory</w:t>
        <w:tab/>
        <w:t>procedures,</w:t>
        <w:tab/>
        <w:t>a</w:t>
      </w:r>
      <w:r>
        <w:rPr>
          <w:sz w:val="20"/>
          <w:szCs w:val="20"/>
          <w:color w:val="auto"/>
        </w:rPr>
        <w:tab/>
      </w:r>
      <w:r>
        <w:rPr>
          <w:rFonts w:ascii="Arial" w:cs="Arial" w:eastAsia="Arial" w:hAnsi="Arial"/>
          <w:sz w:val="15"/>
          <w:szCs w:val="15"/>
          <w:color w:val="003082"/>
        </w:rPr>
        <w:t>dissenting</w:t>
      </w:r>
    </w:p>
    <w:p>
      <w:pPr>
        <w:spacing w:after="0" w:line="9" w:lineRule="exact"/>
        <w:rPr>
          <w:sz w:val="20"/>
          <w:szCs w:val="20"/>
          <w:color w:val="auto"/>
        </w:rPr>
      </w:pPr>
    </w:p>
    <w:p>
      <w:pPr>
        <w:ind w:left="1740"/>
        <w:spacing w:after="0"/>
        <w:tabs>
          <w:tab w:leader="none" w:pos="2700" w:val="left"/>
          <w:tab w:leader="none" w:pos="3300" w:val="left"/>
          <w:tab w:leader="none" w:pos="3800" w:val="left"/>
          <w:tab w:leader="none" w:pos="4120" w:val="left"/>
          <w:tab w:leader="none" w:pos="4680" w:val="left"/>
          <w:tab w:leader="none" w:pos="5680" w:val="left"/>
        </w:tabs>
        <w:rPr>
          <w:sz w:val="20"/>
          <w:szCs w:val="20"/>
          <w:color w:val="auto"/>
        </w:rPr>
      </w:pPr>
      <w:r>
        <w:rPr>
          <w:rFonts w:ascii="Arial" w:cs="Arial" w:eastAsia="Arial" w:hAnsi="Arial"/>
          <w:sz w:val="18"/>
          <w:szCs w:val="18"/>
          <w:color w:val="003082"/>
        </w:rPr>
        <w:t>shareholder</w:t>
        <w:tab/>
        <w:t>would</w:t>
        <w:tab/>
        <w:t>have</w:t>
        <w:tab/>
        <w:t>no</w:t>
        <w:tab/>
        <w:t>rights</w:t>
        <w:tab/>
        <w:t>comparable</w:t>
      </w:r>
      <w:r>
        <w:rPr>
          <w:sz w:val="20"/>
          <w:szCs w:val="20"/>
          <w:color w:val="auto"/>
        </w:rPr>
        <w:tab/>
      </w:r>
      <w:r>
        <w:rPr>
          <w:rFonts w:ascii="Arial" w:cs="Arial" w:eastAsia="Arial" w:hAnsi="Arial"/>
          <w:sz w:val="16"/>
          <w:szCs w:val="16"/>
          <w:color w:val="003082"/>
        </w:rPr>
        <w:t>to</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appraisal rights, save that objectors to a takeover offer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may apply to the Grand Court of the Cayman Islands for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various orders that the Grand Court of the Cayman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Islands has a broad discretion to make, which would</w:t>
      </w:r>
    </w:p>
    <w:p>
      <w:pPr>
        <w:spacing w:after="0" w:line="9" w:lineRule="exact"/>
        <w:rPr>
          <w:sz w:val="20"/>
          <w:szCs w:val="20"/>
          <w:color w:val="auto"/>
        </w:rPr>
      </w:pPr>
    </w:p>
    <w:p>
      <w:pPr>
        <w:ind w:left="1740"/>
        <w:spacing w:after="0"/>
        <w:tabs>
          <w:tab w:leader="none" w:pos="2620" w:val="left"/>
          <w:tab w:leader="none" w:pos="3520" w:val="left"/>
          <w:tab w:leader="none" w:pos="3900" w:val="left"/>
          <w:tab w:leader="none" w:pos="4740" w:val="left"/>
          <w:tab w:leader="none" w:pos="5080" w:val="left"/>
        </w:tabs>
        <w:rPr>
          <w:sz w:val="20"/>
          <w:szCs w:val="20"/>
          <w:color w:val="auto"/>
        </w:rPr>
      </w:pPr>
      <w:r>
        <w:rPr>
          <w:rFonts w:ascii="Arial" w:cs="Arial" w:eastAsia="Arial" w:hAnsi="Arial"/>
          <w:sz w:val="18"/>
          <w:szCs w:val="18"/>
          <w:color w:val="003082"/>
        </w:rPr>
        <w:t>otherwise</w:t>
        <w:tab/>
        <w:t>ordinarily</w:t>
        <w:tab/>
        <w:t>be</w:t>
        <w:tab/>
        <w:t>available</w:t>
        <w:tab/>
        <w:t>to</w:t>
      </w:r>
      <w:r>
        <w:rPr>
          <w:sz w:val="20"/>
          <w:szCs w:val="20"/>
          <w:color w:val="auto"/>
        </w:rPr>
        <w:tab/>
      </w:r>
      <w:r>
        <w:rPr>
          <w:rFonts w:ascii="Arial" w:cs="Arial" w:eastAsia="Arial" w:hAnsi="Arial"/>
          <w:sz w:val="15"/>
          <w:szCs w:val="15"/>
          <w:color w:val="003082"/>
        </w:rPr>
        <w:t>dissenting</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shareholders of Delaware corporations, providing rights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to receive payment in cash for the judicially determined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003082"/>
        </w:rPr>
        <w:t>value of the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170</w:t>
      </w:r>
    </w:p>
    <w:p>
      <w:pPr>
        <w:sectPr>
          <w:pgSz w:w="11900" w:h="16838" w:orient="portrait"/>
          <w:cols w:equalWidth="0" w:num="1">
            <w:col w:w="9019"/>
          </w:cols>
          <w:pgMar w:left="1440" w:top="562" w:right="1440"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560" w:type="dxa"/>
            <w:vAlign w:val="bottom"/>
            <w:tcBorders>
              <w:bottom w:val="single" w:sz="8" w:color="3D5588"/>
            </w:tcBorders>
          </w:tcPr>
          <w:p>
            <w:pPr>
              <w:spacing w:after="0"/>
              <w:rPr>
                <w:sz w:val="16"/>
                <w:szCs w:val="16"/>
                <w:color w:val="auto"/>
              </w:rPr>
            </w:pPr>
          </w:p>
        </w:tc>
        <w:tc>
          <w:tcPr>
            <w:tcW w:w="3600" w:type="dxa"/>
            <w:vAlign w:val="bottom"/>
            <w:tcBorders>
              <w:bottom w:val="single" w:sz="8" w:color="3D5588"/>
            </w:tcBorders>
          </w:tcPr>
          <w:p>
            <w:pPr>
              <w:ind w:left="1040"/>
              <w:spacing w:after="0"/>
              <w:rPr>
                <w:sz w:val="20"/>
                <w:szCs w:val="20"/>
                <w:color w:val="auto"/>
              </w:rPr>
            </w:pPr>
            <w:r>
              <w:rPr>
                <w:rFonts w:ascii="Arial" w:cs="Arial" w:eastAsia="Arial" w:hAnsi="Arial"/>
                <w:sz w:val="14"/>
                <w:szCs w:val="14"/>
                <w:b w:val="1"/>
                <w:bCs w:val="1"/>
                <w:color w:val="003082"/>
              </w:rPr>
              <w:t>Cayman Islands</w:t>
            </w: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003082"/>
              </w:rPr>
              <w:t>Shareholder Suits</w:t>
            </w: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6"/>
              </w:rPr>
              <w:t>The rights of shareholders under Cayman Islands law</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0"/>
              </w:rPr>
              <w:t>are not as extensive as those under Delaware law. Class</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0"/>
              </w:rPr>
              <w:t>actions are generally not available to shareholders under</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4"/>
              </w:rPr>
              <w:t>Cayman Islands laws; historically, there have not been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89"/>
              </w:rPr>
              <w:t>any reported instances of such class actions having been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3"/>
              </w:rPr>
              <w:t>successfully brought before the Cayman Islands Court.</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4"/>
              </w:rPr>
              <w:t>In principle, we will normally be the proper plaintiff and</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2"/>
              </w:rPr>
              <w:t>as a general rule a derivative action may not be brought</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5"/>
              </w:rPr>
              <w:t>by a minority shareholder. However, based on English</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rPr>
              <w:t>authorities,  which  would  in  all  likelihood  be  of</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0"/>
              </w:rPr>
              <w:t>persuasive authority in the Cayman Islands, the Cayman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1"/>
              </w:rPr>
              <w:t>Islands courts can be expected (and have had occasion)</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4"/>
              </w:rPr>
              <w:t>to follow and apply the common law principles (namely</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2"/>
              </w:rPr>
              <w:t>the rule in Foss v. Harbottle and the exceptions thereto)</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9"/>
              </w:rPr>
              <w:t>which permit a minority shareholder to commence a</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w w:val="90"/>
              </w:rPr>
              <w:t>class action against, or derivative actions in the name of,</w:t>
            </w:r>
          </w:p>
        </w:tc>
      </w:tr>
      <w:tr>
        <w:trPr>
          <w:trHeight w:val="230"/>
        </w:trPr>
        <w:tc>
          <w:tcPr>
            <w:tcW w:w="2800" w:type="dxa"/>
            <w:vAlign w:val="bottom"/>
          </w:tcPr>
          <w:p>
            <w:pPr>
              <w:spacing w:after="0"/>
              <w:rPr>
                <w:sz w:val="20"/>
                <w:szCs w:val="20"/>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003082"/>
              </w:rPr>
              <w:t>our company to challenge:</w:t>
            </w:r>
          </w:p>
        </w:tc>
      </w:tr>
      <w:tr>
        <w:trPr>
          <w:trHeight w:val="364"/>
        </w:trPr>
        <w:tc>
          <w:tcPr>
            <w:tcW w:w="28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003082"/>
              </w:rPr>
              <w:t>•</w:t>
            </w:r>
          </w:p>
        </w:tc>
        <w:tc>
          <w:tcPr>
            <w:tcW w:w="3600" w:type="dxa"/>
            <w:vAlign w:val="bottom"/>
          </w:tcPr>
          <w:p>
            <w:pPr>
              <w:ind w:left="200"/>
              <w:spacing w:after="0"/>
              <w:rPr>
                <w:sz w:val="20"/>
                <w:szCs w:val="20"/>
                <w:color w:val="auto"/>
              </w:rPr>
            </w:pPr>
            <w:r>
              <w:rPr>
                <w:rFonts w:ascii="Arial" w:cs="Arial" w:eastAsia="Arial" w:hAnsi="Arial"/>
                <w:sz w:val="18"/>
                <w:szCs w:val="18"/>
                <w:color w:val="003082"/>
              </w:rPr>
              <w:t>an act which is ultra vires or illegal and is</w:t>
            </w:r>
          </w:p>
        </w:tc>
      </w:tr>
      <w:tr>
        <w:trPr>
          <w:trHeight w:val="216"/>
        </w:trPr>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003082"/>
              </w:rPr>
              <w:t>therefore  incapable  of  ratification  by  the</w:t>
            </w:r>
          </w:p>
        </w:tc>
      </w:tr>
      <w:tr>
        <w:trPr>
          <w:trHeight w:val="230"/>
        </w:trPr>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003082"/>
              </w:rPr>
              <w:t>shareholders;</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003082"/>
        </w:rPr>
        <w:t>Class actions and derivative actions generally are available to stockholders under Delaware law for, among other things, breach of fiduciary duty, corporate waste and actions not taken in accordance with applicable law. In such actions, the court generally has discretion to permit a winning plaintiff to recover attorneys’ fees incurred in connection with such action.</w:t>
      </w:r>
    </w:p>
    <w:p>
      <w:pPr>
        <w:spacing w:after="0" w:line="3134" w:lineRule="exact"/>
        <w:rPr>
          <w:sz w:val="20"/>
          <w:szCs w:val="20"/>
          <w:color w:val="auto"/>
        </w:rPr>
      </w:pPr>
    </w:p>
    <w:p>
      <w:pPr>
        <w:sectPr>
          <w:pgSz w:w="11900" w:h="16838" w:orient="portrait"/>
          <w:cols w:equalWidth="0" w:num="2">
            <w:col w:w="6960" w:space="140"/>
            <w:col w:w="4100"/>
          </w:cols>
          <w:pgMar w:left="340" w:top="562" w:right="359" w:bottom="1440" w:gutter="0" w:footer="0" w:header="0"/>
        </w:sectPr>
      </w:pPr>
    </w:p>
    <w:p>
      <w:pPr>
        <w:spacing w:after="0" w:line="2" w:lineRule="exact"/>
        <w:rPr>
          <w:sz w:val="20"/>
          <w:szCs w:val="20"/>
          <w:color w:val="auto"/>
        </w:rPr>
      </w:pPr>
    </w:p>
    <w:p>
      <w:pPr>
        <w:jc w:val="both"/>
        <w:ind w:left="3480" w:right="4260" w:hanging="320"/>
        <w:spacing w:after="0" w:line="263" w:lineRule="auto"/>
        <w:tabs>
          <w:tab w:leader="none" w:pos="3556" w:val="left"/>
        </w:tabs>
        <w:numPr>
          <w:ilvl w:val="0"/>
          <w:numId w:val="101"/>
        </w:numPr>
        <w:rPr>
          <w:rFonts w:ascii="Arial" w:cs="Arial" w:eastAsia="Arial" w:hAnsi="Arial"/>
          <w:sz w:val="18"/>
          <w:szCs w:val="18"/>
          <w:color w:val="003082"/>
        </w:rPr>
      </w:pPr>
      <w:r>
        <w:rPr>
          <w:rFonts w:ascii="Arial" w:cs="Arial" w:eastAsia="Arial" w:hAnsi="Arial"/>
          <w:sz w:val="18"/>
          <w:szCs w:val="18"/>
          <w:color w:val="003082"/>
        </w:rPr>
        <w:t>an act which constitutes a fraud against the minority where the wrongdoer are themselves in control of the company; and</w:t>
      </w:r>
    </w:p>
    <w:p>
      <w:pPr>
        <w:sectPr>
          <w:pgSz w:w="11900" w:h="16838" w:orient="portrait"/>
          <w:cols w:equalWidth="0" w:num="1">
            <w:col w:w="11200"/>
          </w:cols>
          <w:pgMar w:left="340" w:top="562" w:right="359" w:bottom="1440" w:gutter="0" w:footer="0" w:header="0"/>
          <w:type w:val="continuous"/>
        </w:sectPr>
      </w:pPr>
    </w:p>
    <w:p>
      <w:pPr>
        <w:spacing w:after="0" w:line="184" w:lineRule="exact"/>
        <w:rPr>
          <w:sz w:val="20"/>
          <w:szCs w:val="20"/>
          <w:color w:val="auto"/>
        </w:rPr>
      </w:pPr>
    </w:p>
    <w:p>
      <w:pPr>
        <w:jc w:val="both"/>
        <w:ind w:left="3480" w:hanging="320"/>
        <w:spacing w:after="0" w:line="286" w:lineRule="auto"/>
        <w:tabs>
          <w:tab w:leader="none" w:pos="3625" w:val="left"/>
        </w:tabs>
        <w:numPr>
          <w:ilvl w:val="0"/>
          <w:numId w:val="102"/>
        </w:numPr>
        <w:rPr>
          <w:rFonts w:ascii="Arial" w:cs="Arial" w:eastAsia="Arial" w:hAnsi="Arial"/>
          <w:sz w:val="17"/>
          <w:szCs w:val="17"/>
          <w:color w:val="003082"/>
        </w:rPr>
      </w:pPr>
      <w:r>
        <w:rPr>
          <w:rFonts w:ascii="Arial" w:cs="Arial" w:eastAsia="Arial" w:hAnsi="Arial"/>
          <w:sz w:val="17"/>
          <w:szCs w:val="17"/>
          <w:color w:val="003082"/>
        </w:rPr>
        <w:t>an act which requires a resolution with a qualified (or special) majority (i.e. more than a simple majority) which has not been obtained.</w:t>
      </w:r>
    </w:p>
    <w:p>
      <w:pPr>
        <w:spacing w:after="0" w:line="125" w:lineRule="exact"/>
        <w:rPr>
          <w:sz w:val="20"/>
          <w:szCs w:val="20"/>
          <w:color w:val="auto"/>
        </w:rPr>
      </w:pPr>
    </w:p>
    <w:p>
      <w:pPr>
        <w:jc w:val="both"/>
        <w:ind w:left="2840" w:hanging="2834"/>
        <w:spacing w:after="0" w:line="291" w:lineRule="auto"/>
        <w:tabs>
          <w:tab w:leader="none" w:pos="2820" w:val="left"/>
        </w:tabs>
        <w:rPr>
          <w:sz w:val="20"/>
          <w:szCs w:val="20"/>
          <w:color w:val="auto"/>
        </w:rPr>
      </w:pPr>
      <w:r>
        <w:rPr>
          <w:rFonts w:ascii="Arial" w:cs="Arial" w:eastAsia="Arial" w:hAnsi="Arial"/>
          <w:sz w:val="18"/>
          <w:szCs w:val="18"/>
          <w:b w:val="1"/>
          <w:bCs w:val="1"/>
          <w:i w:val="1"/>
          <w:iCs w:val="1"/>
          <w:color w:val="003082"/>
        </w:rPr>
        <w:t>Inspection of Corporate Records</w:t>
      </w:r>
      <w:r>
        <w:rPr>
          <w:sz w:val="20"/>
          <w:szCs w:val="20"/>
          <w:color w:val="auto"/>
        </w:rPr>
        <w:tab/>
      </w:r>
      <w:r>
        <w:rPr>
          <w:rFonts w:ascii="Arial" w:cs="Arial" w:eastAsia="Arial" w:hAnsi="Arial"/>
          <w:sz w:val="16"/>
          <w:szCs w:val="16"/>
          <w:color w:val="003082"/>
        </w:rPr>
        <w:t>Shareholders of a Cayman Islands exempted company have no general right under Cayman Islands law to inspect or obtain copies of the register of members or other corporate records (other than the memorandum and articles of association and the register of mortgages and charges) of the company. However, these rights may be provided in the company’s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460"/>
        <w:spacing w:after="0"/>
        <w:rPr>
          <w:sz w:val="20"/>
          <w:szCs w:val="20"/>
          <w:color w:val="auto"/>
        </w:rPr>
      </w:pPr>
      <w:r>
        <w:rPr>
          <w:rFonts w:ascii="Arial" w:cs="Arial" w:eastAsia="Arial" w:hAnsi="Arial"/>
          <w:sz w:val="18"/>
          <w:szCs w:val="18"/>
          <w:color w:val="003082"/>
        </w:rPr>
        <w:t>171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003082"/>
        </w:rPr>
        <w:t>Under Delaware law, stockholders of a Delaware corporation have the right during normal business hours to inspect for any proper purpose, and to obtain copies of lists of stockholders and other books and records of the corporation and its subsidiaries, if any, to the extent the books and records of such subsidiaries are available to the corporation. A complete list of the stockholders entitled to vote at a stockholders’ meeting generally must be available for stockholder inspection at least ten days before the meeting.</w:t>
      </w:r>
    </w:p>
    <w:p>
      <w:pPr>
        <w:sectPr>
          <w:pgSz w:w="11900" w:h="16838" w:orient="portrait"/>
          <w:cols w:equalWidth="0" w:num="2">
            <w:col w:w="6940" w:space="160"/>
            <w:col w:w="4100"/>
          </w:cols>
          <w:pgMar w:left="340" w:top="562" w:right="359" w:bottom="1440" w:gutter="0" w:footer="0" w:header="0"/>
          <w:type w:val="continuous"/>
        </w:sectPr>
      </w:pPr>
    </w:p>
    <w:bookmarkStart w:id="176" w:name="page177"/>
    <w:bookmarkEnd w:id="176"/>
    <w:p>
      <w:pPr>
        <w:spacing w:after="0" w:line="211" w:lineRule="exact"/>
        <w:rPr>
          <w:sz w:val="20"/>
          <w:szCs w:val="20"/>
          <w:color w:val="auto"/>
        </w:rPr>
      </w:pPr>
    </w:p>
    <w:p>
      <w:pPr>
        <w:jc w:val="right"/>
        <w:spacing w:after="0" w:line="381" w:lineRule="auto"/>
        <w:rPr>
          <w:sz w:val="20"/>
          <w:szCs w:val="20"/>
          <w:color w:val="auto"/>
        </w:rPr>
      </w:pPr>
      <w:r>
        <w:rPr>
          <w:rFonts w:ascii="Arial" w:cs="Arial" w:eastAsia="Arial" w:hAnsi="Arial"/>
          <w:sz w:val="15"/>
          <w:szCs w:val="15"/>
          <w:b w:val="1"/>
          <w:bCs w:val="1"/>
          <w:i w:val="1"/>
          <w:iCs w:val="1"/>
          <w:color w:val="003082"/>
        </w:rPr>
        <w:t>Shareholder Proposals and Calling of Special Shareholder Meetings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26403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003082"/>
        </w:rPr>
        <w:t>The Companies Law provide shareholders with only limited rights to requisition a general meeting, and does not provide shareholders with any right to put any proposal before a general meeting. However, these rights may be provided in a company’s articles of association. Our Articles allow our shareholders holding shares which carry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03082"/>
        </w:rPr>
        <w:t>Unless provided in the corporation’s certificate of incorporation or bylaws, Delaware law does not include a provision restricting the manner in which stockholders may bring business before a meeting.</w:t>
      </w:r>
    </w:p>
    <w:p>
      <w:pPr>
        <w:spacing w:after="0" w:line="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003082"/>
        </w:rPr>
        <w:t>Delaware law permits the board of directors or any person who is authorized under a corporation’s certificate of incorporation or bylaws to call a special meeting of stockholders.</w:t>
      </w:r>
    </w:p>
    <w:p>
      <w:pPr>
        <w:spacing w:after="0" w:line="2744" w:lineRule="exact"/>
        <w:rPr>
          <w:sz w:val="20"/>
          <w:szCs w:val="20"/>
          <w:color w:val="auto"/>
        </w:rPr>
      </w:pPr>
    </w:p>
    <w:p>
      <w:pPr>
        <w:sectPr>
          <w:pgSz w:w="11900" w:h="16838" w:orient="portrait"/>
          <w:cols w:equalWidth="0" w:num="3">
            <w:col w:w="2620" w:space="220"/>
            <w:col w:w="4100" w:space="160"/>
            <w:col w:w="4100"/>
          </w:cols>
          <w:pgMar w:left="340" w:top="562" w:right="359" w:bottom="1440" w:gutter="0" w:footer="0" w:header="0"/>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003082"/>
        </w:rPr>
        <w:t>Approval of Corporate Matters by</w:t>
      </w:r>
      <w:r>
        <w:rPr>
          <w:sz w:val="20"/>
          <w:szCs w:val="20"/>
          <w:color w:val="auto"/>
        </w:rPr>
        <w:tab/>
      </w:r>
      <w:r>
        <w:rPr>
          <w:rFonts w:ascii="Arial" w:cs="Arial" w:eastAsia="Arial" w:hAnsi="Arial"/>
          <w:sz w:val="17"/>
          <w:szCs w:val="17"/>
          <w:color w:val="003082"/>
        </w:rPr>
        <w:t>The Companies Law provide that shareholders may</w:t>
      </w:r>
    </w:p>
    <w:p>
      <w:pPr>
        <w:spacing w:after="0" w:line="23" w:lineRule="exact"/>
        <w:rPr>
          <w:sz w:val="20"/>
          <w:szCs w:val="20"/>
          <w:color w:val="auto"/>
        </w:rPr>
      </w:pPr>
    </w:p>
    <w:p>
      <w:pPr>
        <w:ind w:left="200"/>
        <w:spacing w:after="0"/>
        <w:tabs>
          <w:tab w:leader="none" w:pos="2820" w:val="left"/>
        </w:tabs>
        <w:rPr>
          <w:sz w:val="20"/>
          <w:szCs w:val="20"/>
          <w:color w:val="auto"/>
        </w:rPr>
      </w:pPr>
      <w:r>
        <w:rPr>
          <w:rFonts w:ascii="Arial" w:cs="Arial" w:eastAsia="Arial" w:hAnsi="Arial"/>
          <w:sz w:val="18"/>
          <w:szCs w:val="18"/>
          <w:b w:val="1"/>
          <w:bCs w:val="1"/>
          <w:i w:val="1"/>
          <w:iCs w:val="1"/>
          <w:color w:val="003082"/>
        </w:rPr>
        <w:t>Written Consent</w:t>
      </w:r>
      <w:r>
        <w:rPr>
          <w:sz w:val="20"/>
          <w:szCs w:val="20"/>
          <w:color w:val="auto"/>
        </w:rPr>
        <w:tab/>
      </w:r>
      <w:r>
        <w:rPr>
          <w:rFonts w:ascii="Arial" w:cs="Arial" w:eastAsia="Arial" w:hAnsi="Arial"/>
          <w:sz w:val="16"/>
          <w:szCs w:val="16"/>
          <w:color w:val="003082"/>
        </w:rPr>
        <w:t>approve corporate matters by way of unanimous written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003082"/>
        </w:rPr>
        <w:t>resolutions signed by or on behalf of each shareholder</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who would have been entitled to vote on such matter at a</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7"/>
          <w:szCs w:val="17"/>
          <w:color w:val="003082"/>
        </w:rPr>
        <w:t>general  meeting  without  a  meeting  being  held  (if</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003082"/>
        </w:rPr>
        <w:t>authorized by the articles of association).</w:t>
      </w:r>
    </w:p>
    <w:p>
      <w:pPr>
        <w:spacing w:after="0" w:line="170"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b w:val="1"/>
          <w:bCs w:val="1"/>
          <w:i w:val="1"/>
          <w:iCs w:val="1"/>
          <w:color w:val="003082"/>
        </w:rPr>
        <w:t>Dissolution; Winding Up</w:t>
      </w:r>
      <w:r>
        <w:rPr>
          <w:sz w:val="20"/>
          <w:szCs w:val="20"/>
          <w:color w:val="auto"/>
        </w:rPr>
        <w:tab/>
      </w:r>
      <w:r>
        <w:rPr>
          <w:rFonts w:ascii="Arial" w:cs="Arial" w:eastAsia="Arial" w:hAnsi="Arial"/>
          <w:sz w:val="16"/>
          <w:szCs w:val="16"/>
          <w:color w:val="003082"/>
        </w:rPr>
        <w:t>Under Cayman Islands law, a company may be wound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up by either an order of the courts of the Cayman Islands</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003082"/>
        </w:rPr>
        <w:t>or by a special resolution of its members or, if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003082"/>
        </w:rPr>
        <w:t>company is unable to pay its debts as they fall due, by an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003082"/>
        </w:rPr>
        <w:t>ordinary  resolution  of  its  members.  The  court  has</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7"/>
          <w:szCs w:val="17"/>
          <w:color w:val="003082"/>
        </w:rPr>
        <w:t>authority to order winding up in a number of specified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circumstances including where it is, in the opinion of the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003082"/>
        </w:rPr>
        <w:t>court, just and equitable to do so.</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003082"/>
        </w:rPr>
        <w:t>Delaware law provides that, unless otherwise provided in the certificate of incorporation, stockholders may take action by written consent signed by the holders of outstanding shares having not less than the minimum number of votes that would be necessary to authorize or take such action at a meeting of stockholders.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003082"/>
        </w:rPr>
        <w:t>Under Delaware law, unless the board of directors approves the proposal to dissolve, dissolution must be approved by stockholders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A Delaware corporation may also be dissolved by decree or judgment of a Delaware court in certain circumstances.</w:t>
      </w:r>
    </w:p>
    <w:p>
      <w:pPr>
        <w:spacing w:after="0" w:line="127" w:lineRule="exact"/>
        <w:rPr>
          <w:sz w:val="20"/>
          <w:szCs w:val="20"/>
          <w:color w:val="auto"/>
        </w:rPr>
      </w:pPr>
    </w:p>
    <w:p>
      <w:pPr>
        <w:sectPr>
          <w:pgSz w:w="11900" w:h="16838" w:orient="portrait"/>
          <w:cols w:equalWidth="0" w:num="2">
            <w:col w:w="6940" w:space="160"/>
            <w:col w:w="4100"/>
          </w:cols>
          <w:pgMar w:left="340" w:top="562" w:right="359" w:bottom="1440" w:gutter="0" w:footer="0" w:header="0"/>
          <w:type w:val="continuous"/>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003082"/>
        </w:rPr>
        <w:t>Variation of Rights of Shares</w:t>
      </w:r>
      <w:r>
        <w:rPr>
          <w:sz w:val="20"/>
          <w:szCs w:val="20"/>
          <w:color w:val="auto"/>
        </w:rPr>
        <w:tab/>
      </w:r>
      <w:r>
        <w:rPr>
          <w:rFonts w:ascii="Arial" w:cs="Arial" w:eastAsia="Arial" w:hAnsi="Arial"/>
          <w:sz w:val="16"/>
          <w:szCs w:val="16"/>
          <w:color w:val="003082"/>
        </w:rPr>
        <w:t>Under Cayman Islands law and our Articles, if our share</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capital is divided into more than one class of shares, we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may materially adversely vary the rights attached to any</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003082"/>
        </w:rPr>
        <w:t>class with the written consent of the holders of 50% of</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the issued shares of that class or with the sanction of an</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6"/>
          <w:szCs w:val="16"/>
          <w:color w:val="003082"/>
        </w:rPr>
        <w:t>ordinary resolution passed at a separate general meeting</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003082"/>
        </w:rPr>
        <w:t>of the holders of the shares of that class.</w:t>
      </w:r>
    </w:p>
    <w:p>
      <w:pPr>
        <w:spacing w:after="0" w:line="200" w:lineRule="exact"/>
        <w:rPr>
          <w:sz w:val="20"/>
          <w:szCs w:val="20"/>
          <w:color w:val="auto"/>
        </w:rPr>
      </w:pPr>
    </w:p>
    <w:p>
      <w:pPr>
        <w:spacing w:after="0" w:line="321" w:lineRule="exact"/>
        <w:rPr>
          <w:sz w:val="20"/>
          <w:szCs w:val="20"/>
          <w:color w:val="auto"/>
        </w:rPr>
      </w:pPr>
    </w:p>
    <w:p>
      <w:pPr>
        <w:ind w:left="5460"/>
        <w:spacing w:after="0"/>
        <w:rPr>
          <w:sz w:val="20"/>
          <w:szCs w:val="20"/>
          <w:color w:val="auto"/>
        </w:rPr>
      </w:pPr>
      <w:r>
        <w:rPr>
          <w:rFonts w:ascii="Arial" w:cs="Arial" w:eastAsia="Arial" w:hAnsi="Arial"/>
          <w:sz w:val="18"/>
          <w:szCs w:val="18"/>
          <w:color w:val="003082"/>
        </w:rPr>
        <w:t>172</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003082"/>
        </w:rPr>
        <w:t>Under Delaware law, a corporation may vary the rights of a class of shares with the approval of a majority of the outstanding shares of such class, unless the certificate of incorporation provides otherwise.</w:t>
      </w:r>
    </w:p>
    <w:p>
      <w:pPr>
        <w:sectPr>
          <w:pgSz w:w="11900" w:h="16838" w:orient="portrait"/>
          <w:cols w:equalWidth="0" w:num="2">
            <w:col w:w="6940" w:space="160"/>
            <w:col w:w="4100"/>
          </w:cols>
          <w:pgMar w:left="340" w:top="562" w:right="359" w:bottom="1440" w:gutter="0" w:footer="0" w:header="0"/>
          <w:type w:val="continuous"/>
        </w:sectPr>
      </w:pPr>
    </w:p>
    <w:bookmarkStart w:id="177" w:name="page178"/>
    <w:bookmarkEnd w:id="177"/>
    <w:p>
      <w:pPr>
        <w:ind w:left="4420"/>
        <w:spacing w:after="0"/>
        <w:rPr>
          <w:sz w:val="20"/>
          <w:szCs w:val="20"/>
          <w:color w:val="auto"/>
        </w:rPr>
      </w:pPr>
      <w:r>
        <w:rPr>
          <w:rFonts w:ascii="Arial" w:cs="Arial" w:eastAsia="Arial" w:hAnsi="Arial"/>
          <w:sz w:val="14"/>
          <w:szCs w:val="14"/>
          <w:b w:val="1"/>
          <w:bCs w:val="1"/>
          <w:color w:val="003082"/>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23495</wp:posOffset>
            </wp:positionV>
            <wp:extent cx="26403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003082"/>
        </w:rPr>
        <w:t>Dividends and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History of Securities Issuances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following summary of our securities issuances in the past three years.</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Preferred Shares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003082"/>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003082"/>
        </w:rPr>
        <w:t>The Delaware General Corporation Law provides that, subject to any restrictions in a corporation’s certificate of incorporation, dividends may be declared from the corporation’s surplus, or, if there is no surplus, from its net profits for the fiscal year in which the dividend is declared and for the preceding fiscal year, and Delaware common law also imposes a solvency requirement with respect to the payment of dividends. Dividends may not be declared out of net profits, however, if the corporation’s capital has been diminished to an amount less than the aggregate amount of all capital represented by the issued and outstanding stock of all classes having a preference upon the distribution of assets until the deficiency in the amount of capital represented by the issued and outstanding stock of all classes having a preference upon the distribution of assets is repaired. Furthermore, applicable Delaware statutory and common law generally provides that a corporation may redeem or repurchase its shares only if the redemption or repurchase would not impair the capital of the corporation and only if the corporation is solvent at the time of the redemption or repurchase, and the redemption or repurchase would not render the corporation insolvent.</w:t>
      </w:r>
    </w:p>
    <w:p>
      <w:pPr>
        <w:spacing w:after="0" w:line="1715" w:lineRule="exact"/>
        <w:rPr>
          <w:sz w:val="20"/>
          <w:szCs w:val="20"/>
          <w:color w:val="auto"/>
        </w:rPr>
      </w:pPr>
    </w:p>
    <w:p>
      <w:pPr>
        <w:sectPr>
          <w:pgSz w:w="11900" w:h="16838" w:orient="portrait"/>
          <w:cols w:equalWidth="0" w:num="2">
            <w:col w:w="6400" w:space="720"/>
            <w:col w:w="4120"/>
          </w:cols>
          <w:pgMar w:left="320" w:top="562" w:right="339" w:bottom="1440" w:gutter="0" w:footer="0" w:header="0"/>
        </w:sectPr>
      </w:pPr>
    </w:p>
    <w:p>
      <w:pPr>
        <w:jc w:val="both"/>
        <w:ind w:firstLine="324"/>
        <w:spacing w:after="0" w:line="269" w:lineRule="auto"/>
        <w:rPr>
          <w:sz w:val="20"/>
          <w:szCs w:val="20"/>
          <w:color w:val="auto"/>
        </w:rPr>
      </w:pPr>
      <w:r>
        <w:rPr>
          <w:rFonts w:ascii="Arial" w:cs="Arial" w:eastAsia="Arial" w:hAnsi="Arial"/>
          <w:sz w:val="17"/>
          <w:szCs w:val="17"/>
          <w:color w:val="003082"/>
        </w:rPr>
        <w:t>On May 18, 2017, Agora IO issued an aggregate of 26,651,410 Series B+ preferred shares, of which 15,047,022 shares were sold to SIG China Investments Master Fund III, LLLP, 2,507,837 shares were sold to Shunwei Technology II Limited, 781,419 shares were sold to Morningside China TMT Fund IV Co-Investment, L.P., 7,814,192 shares were sold to Morningside China TMT Special Opportunity Fund II, L.P., 490,539 shares were sold to GGV Capital IV L.P. and 10,401 shares were sold to GGV Capital IV Entrepreneurs Fund L.P., for an aggregate consideration of</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003082"/>
        </w:rPr>
        <w:t>US$31,881,749. On May 18, 2017, Agora IO also repurchased and retired an aggregate of 4,370,818 of the then-outstanding Series A preferred shares from certain Series A preferred shareholders and reissued 2,777,778 Series A preferred shares to Yan Capital L.P. for an aggregate consideration of US$278.</w:t>
      </w:r>
    </w:p>
    <w:p>
      <w:pPr>
        <w:spacing w:after="0" w:line="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On October 1, 2018, Agora IO issued an aggregate of 26,095,060 Series C preferred shares, of which 20,876,048 shares were sold to Coatue PE Asia XVI LLC and 5,219,012 shares were sold to SIG Global China Fund I, LLLP, for an aggregate consideration of US$50,000,000.</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On October 23, 2018, Agora IO issued an aggregate of 8,698,353 Series C preferred shares, of which 3,479,341 shares were sold to Shunwei Technology II Limited, 4,744,556 shares were sold to Morningside China TMT Special Opportunity Fund II, L.P. and 474,456 shares were sold to Morningside China TMT Fund IV Co-Investment, L.P., for an aggregate consideration of US$16,666,667.</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On January 19, 2020, as part of the Corporate Reorganization and in exchange for an equivalent number of ordinary and preferred shares of Agora IO, Agora issued an aggregate of (1) 121,979,938 ordinary shares, of which 76,179,938 shares were issued to Soundscape Limited and 45,800,000 shares were issued to VoiceCrew Limited; (2) 55,626,960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173</w:t>
      </w:r>
    </w:p>
    <w:p>
      <w:pPr>
        <w:sectPr>
          <w:pgSz w:w="11900" w:h="16838" w:orient="portrait"/>
          <w:cols w:equalWidth="0" w:num="1">
            <w:col w:w="11240"/>
          </w:cols>
          <w:pgMar w:left="320" w:top="562" w:right="339" w:bottom="1440" w:gutter="0" w:footer="0" w:header="0"/>
          <w:type w:val="continuous"/>
        </w:sectPr>
      </w:pPr>
    </w:p>
    <w:bookmarkStart w:id="178" w:name="page179"/>
    <w:bookmarkEnd w:id="178"/>
    <w:p>
      <w:pPr>
        <w:jc w:val="both"/>
        <w:spacing w:after="0" w:line="286" w:lineRule="auto"/>
        <w:rPr>
          <w:sz w:val="20"/>
          <w:szCs w:val="20"/>
          <w:color w:val="auto"/>
        </w:rPr>
      </w:pPr>
      <w:r>
        <w:rPr>
          <w:rFonts w:ascii="Arial" w:cs="Arial" w:eastAsia="Arial" w:hAnsi="Arial"/>
          <w:sz w:val="16"/>
          <w:szCs w:val="16"/>
          <w:color w:val="003082"/>
        </w:rPr>
        <w:t>Series A preferred shares, of which 7,222,222 shares were issued to YY TZ Limited; 20,000,000 shares were issued to Shunwei Technology II Limited; 18,626,960 shares were issued to Duowan Entertainment Corp.; 2,000,000 shares were issued to Morningside China TMT Fund II, L.P.; 41,527 shares were issued to GGV Capital IV Entrepreneurs Fund L.P.; 1,958,473 shares were issued to GGV Capital IV L.P.; 3,000,000 shares were issued to CRCM Opportunity Fund, L.P.; and 2,777,778 shares were issued to Yan Capital L.P.; (3) 50,783,698 Series B preferred shares, of which 18,808,777 shares were issued to SIG China Investments Master Fund III, LLLP; 23,260,188 shares were issued to Morningside China TMT Top Up Fund, L.P.; 5,078,370 shares were issued to Shunwei Technology II Limited; 2,946,919 shares were issued to GGV Capital IV L.P.; 62,485 shares were issued to GGV Capital IV Entrepreneurs Fund L.P.; and 626,959 shares were issued to IDG Technology Venture Investment V, L.P.; (4) 26,651,410 Series B+ preferred shares, of which 15,047,022 shares were issued to SIG China Investments Master Fund III, LLLP; 2,507,837 shares were issued to Shunwei Technology II Limited; 490,539 shares were issued to GGV Capital IV L.P.; 10,401 shares were issued to GGV Capital IV Entrepreneurs Fund L.P.; 781,419 shares were issued to Morningside China TMT Fund IV Co-Investment, L.P.; and 7,814,192 shares were issued to Morningside China TMT Special Opportunity Fund II, L.P.; and (5) 34,793,413 Series C preferred shares, of which 20,876,048 shares were issued to Coatue PE Asia XVI LLC; 5,219,012 shares were issued to SIG Global China Fund I, LLLP; 3,479,341 shares were issued to Shunwei Technology II Limited; 4,744,556 shares were issued to Morningside China TMT Special Opportunity Fund II, L.P.; and 474,456 shares were issued to Morningside China TMT Fund IV Co-Investment, L.P. No additional consideration was paid or received in connection with these issuances. See the section of this prospectus captioned “Corporate History and Structure.”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On February 12, 2020, Agora issued an aggregate of 15,062,510 Series C+ preferred shares, of which 6,624,492 shares were sold to Coatue PE Asia XVI LLC, 6,624,492 shares were sold to Internet Fund VI Pte. Ltd., 1,576,979 shares were sold to Evolution Special Opportunity Fund I, L.P. and 236,547 shares were sold to Evolution Fund I Co-investment, L.P., for an aggregate consideration of US$50,000,002.</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Ordinary Shares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January 19, 2020, as part of the Corporate Reorganization, Agora issued 109,825,419 ordinary shares to Agora IO in exchange for all of Agora IO’s shares of Agora HK.</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We have granted options to certain management members. See the section of this prospectus captioned “Management—Equity Incentive Plans.”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Shareholders Agreement</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Agora IO entered into the second amended and restated shareholders agreement on October 1, 2018 with certain of its shareholders. In connection with the Corporate Reorganization, the second amended and restated shareholders agreement was terminated and the parties thereto entered into a new shareholders agreement with Agora on January 19, 2020. In connection with the issuance of the Series C+ preferred shares, the parties to the new shareholders agreement and the new shareholders of Series C+ preferred shares entered into an amended and restated shareholders agreement, or the shareholders agreement. In addition to Mr. Zhao, every entity that received shares of Agora in exchange for shares of Agora IO pursuant to the share swap agreement that was entered into in connection with the Corporate Reorganization, as well as the holders of Series C+ preferred shares, each of which is identified in the section of this prospectus captioned “Description of Share Capital—History of Securities Issuances—Preferred Shares,” is party to the shareholders agreement. In addition, the concurrent private placement purchasers will become parties to the shareholders agreement upon closing of the concurrent private placement. Messrs. Koh and Liu were appointed to our board of directors pursuant to the terms of the shareholders agreement. Except for the registration rights described below, all the preferential rights, including director appointment rights, and super voting rights of certain directors provided for in the shareholders agreement will terminate or be waived upon the completion of this offering.</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Registration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Set forth below is a description of the registration rights granted to certain shareholders under the shareholders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174</w:t>
      </w:r>
    </w:p>
    <w:p>
      <w:pPr>
        <w:sectPr>
          <w:pgSz w:w="11900" w:h="16838" w:orient="portrait"/>
          <w:cols w:equalWidth="0" w:num="1">
            <w:col w:w="11240"/>
          </w:cols>
          <w:pgMar w:left="320" w:top="341" w:right="339" w:bottom="1440" w:gutter="0" w:footer="0" w:header="0"/>
        </w:sectPr>
      </w:pPr>
    </w:p>
    <w:bookmarkStart w:id="179" w:name="page180"/>
    <w:bookmarkEnd w:id="179"/>
    <w:p>
      <w:pPr>
        <w:ind w:left="340"/>
        <w:spacing w:after="0"/>
        <w:rPr>
          <w:sz w:val="20"/>
          <w:szCs w:val="20"/>
          <w:color w:val="auto"/>
        </w:rPr>
      </w:pPr>
      <w:r>
        <w:rPr>
          <w:rFonts w:ascii="Arial" w:cs="Arial" w:eastAsia="Arial" w:hAnsi="Arial"/>
          <w:sz w:val="18"/>
          <w:szCs w:val="18"/>
          <w:b w:val="1"/>
          <w:bCs w:val="1"/>
          <w:i w:val="1"/>
          <w:iCs w:val="1"/>
          <w:color w:val="003082"/>
        </w:rPr>
        <w:t>Demand Registration Rights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At any time after the earlier of (1) the fourth anniversary of October 1, 2018 or (2) the completion of a qualified initial public offering, holders of at least 20% of the registrable securities then outstanding have the right to demand that we file a registration statement covering all registrable securities that the holders request to be registered and included in such registration by written notice. Other than as required by the underwriters in connection with our initial public offering, at least 25%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obligated to effect no more than two demand registration, other than demand registrations to be effected pursuant to registration statements on Form F-3 or Form S-3, for which an unlimited number of demand registrations shall be permitted.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Registration on Form F-3 or Form S-3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003082"/>
        </w:rPr>
        <w:t>Any holder is entitled to request us to file a registration statement on Form F-3 or Form S-3 if we qualify for registration on Form F-3 or Form S-</w:t>
      </w:r>
    </w:p>
    <w:p>
      <w:pPr>
        <w:spacing w:after="0" w:line="35" w:lineRule="exact"/>
        <w:rPr>
          <w:sz w:val="20"/>
          <w:szCs w:val="20"/>
          <w:color w:val="auto"/>
        </w:rPr>
      </w:pPr>
    </w:p>
    <w:p>
      <w:pPr>
        <w:ind w:firstLine="8"/>
        <w:spacing w:after="0" w:line="260" w:lineRule="auto"/>
        <w:tabs>
          <w:tab w:leader="none" w:pos="187" w:val="left"/>
        </w:tabs>
        <w:numPr>
          <w:ilvl w:val="0"/>
          <w:numId w:val="103"/>
        </w:numPr>
        <w:rPr>
          <w:rFonts w:ascii="Arial" w:cs="Arial" w:eastAsia="Arial" w:hAnsi="Arial"/>
          <w:sz w:val="18"/>
          <w:szCs w:val="18"/>
          <w:color w:val="003082"/>
        </w:rPr>
      </w:pPr>
      <w:r>
        <w:rPr>
          <w:rFonts w:ascii="Arial" w:cs="Arial" w:eastAsia="Arial" w:hAnsi="Arial"/>
          <w:sz w:val="18"/>
          <w:szCs w:val="18"/>
          <w:color w:val="003082"/>
        </w:rPr>
        <w:t>The holders are entitled to an unlimited number of registrations on Form F-3 or Form S-3. We shall effect the registration of the securities on Form F-3 as soon as practicable, except in certain circumstances.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Piggyback Registration Rights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If we propose to file a registration statement for a public offering of our securities, we must offer holders of registrable securities an opportunity to include in the registration all or any part of their registrable securities. If the managing underwriters of any underwritten offering determine in good faith that marketing factors require a limitation of the number of shares to be underwritten, the managing underwriters may decide to exclude shares from the registration and the underwriting and to allocate the number of securities first to us and second to each of the holders requesting the inclusion of their registrable securities on a pro rata basis based on the total number of registrable securities held by each such holder and third, to holders of other securities of our company, provided that (1) in no event may any registrable securities be excluded from such offering unless all other securities are first excluded and (2) in no event may the amount of securities of selling holders of registrable securities be reduced below 25% of the aggregate number of registrable securities requested to be included in such offering.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Expenses of Registration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will bear all registration expenses, other than underwriting discounts and selling commissions.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Termination of 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Our shareholders’ registration rights will terminate upon the earlier of (1) the fifth anniversary of a qualified initial public offering and (2) as to any shareholder, when the shares subject to registration rights held by such shareholder can be sold without registration in any 90-day period pursuant to Rule 144 promulgated under the Securities Act.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175</w:t>
      </w:r>
    </w:p>
    <w:p>
      <w:pPr>
        <w:sectPr>
          <w:pgSz w:w="11900" w:h="16838" w:orient="portrait"/>
          <w:cols w:equalWidth="0" w:num="1">
            <w:col w:w="11240"/>
          </w:cols>
          <w:pgMar w:left="320" w:top="449"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003082"/>
        </w:rPr>
        <w:t>DESCRIPTION OF AMERICAN DEPOSITARY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American Depositary Shares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Bank of New York Mellon, as depositary, will register and deliver American Depositary Shares, also referred to as ADSs. Each ADS represents four Class A ordinary shares (or a right to receive four Class A ordinary shares) deposited with The Hongkong and Shanghai Banking Corporation Limited, as custodian for the depositary in Hong Kong.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1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You may hold ADSs either (1) directly (a) by having an American Depositary Receipt, also referred to as an ADR, which is a certificate evidencing a specific number of ADSs, registered in your name, or (b) by having uncertificated ADSs registered in your name, or (2)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Registered holders of uncertificated ADSs will receive statements from the depositary confirming their holdings.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following is a summary of the material provisions of the deposit agreement. For more complete information, you should read the entire deposit agreement and the form of ADR. Directions on how to obtain copies of those documents are provided in the section of this prospectus captioned “Where You Can Find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Dividends and Other Distributions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How Will You Receive Dividends and Other Distributions on the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Cash</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 xml:space="preserve">Before making a distribution, any withholding taxes or other governmental charges that must be paid will be deducted. See the section of this prospectus captioned “Taxation.” The depositary will distribute only whole U.S. dollars and cents and will round fractional cents to the nearest whole cent. </w:t>
      </w:r>
      <w:r>
        <w:rPr>
          <w:rFonts w:ascii="Arial" w:cs="Arial" w:eastAsia="Arial" w:hAnsi="Arial"/>
          <w:sz w:val="16"/>
          <w:szCs w:val="16"/>
          <w:i w:val="1"/>
          <w:iCs w:val="1"/>
          <w:color w:val="003082"/>
        </w:rPr>
        <w:t>If the exchange rates fluctuate during a time when the depositary cannot convert the foreign currency, you may lose some of the value of the distribution.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176</w:t>
      </w:r>
    </w:p>
    <w:p>
      <w:pPr>
        <w:sectPr>
          <w:pgSz w:w="11900" w:h="16838" w:orient="portrait"/>
          <w:cols w:equalWidth="0" w:num="1">
            <w:col w:w="11240"/>
          </w:cols>
          <w:pgMar w:left="320" w:top="445" w:right="339" w:bottom="1440" w:gutter="0" w:footer="0" w:header="0"/>
        </w:sectPr>
      </w:pPr>
    </w:p>
    <w:bookmarkStart w:id="181" w:name="page182"/>
    <w:bookmarkEnd w:id="181"/>
    <w:p>
      <w:pPr>
        <w:ind w:left="340"/>
        <w:spacing w:after="0"/>
        <w:rPr>
          <w:sz w:val="20"/>
          <w:szCs w:val="20"/>
          <w:color w:val="auto"/>
        </w:rPr>
      </w:pPr>
      <w:r>
        <w:rPr>
          <w:rFonts w:ascii="Arial" w:cs="Arial" w:eastAsia="Arial" w:hAnsi="Arial"/>
          <w:sz w:val="18"/>
          <w:szCs w:val="18"/>
          <w:b w:val="1"/>
          <w:bCs w:val="1"/>
          <w:i w:val="1"/>
          <w:iCs w:val="1"/>
          <w:color w:val="003082"/>
        </w:rPr>
        <w:t>Shares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Rights to Purchase Additional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If we offer holders of our securities any rights to subscribe for additional shares or any other rights, the depositary may (1) exercise those rights on behalf of ADS holders, (2) distribute those rights to ADS holders or (3)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Other Distributions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003082"/>
        </w:rPr>
        <w:t>This means that you may not receive the distributions we make on our shares or any</w:t>
      </w:r>
      <w:r>
        <w:rPr>
          <w:rFonts w:ascii="Arial" w:cs="Arial" w:eastAsia="Arial" w:hAnsi="Arial"/>
          <w:sz w:val="18"/>
          <w:szCs w:val="18"/>
          <w:color w:val="003082"/>
        </w:rPr>
        <w:t xml:space="preserve"> </w:t>
      </w:r>
      <w:r>
        <w:rPr>
          <w:rFonts w:ascii="Arial" w:cs="Arial" w:eastAsia="Arial" w:hAnsi="Arial"/>
          <w:sz w:val="18"/>
          <w:szCs w:val="18"/>
          <w:i w:val="1"/>
          <w:iCs w:val="1"/>
          <w:color w:val="003082"/>
        </w:rPr>
        <w:t>value for them if it is illegal or impractical for us to make them available to you.</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Deposit, Withdrawal and Cancellation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How Are ADSs Issued?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How Can ADS Holders Withdraw the Deposited Securities?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177</w:t>
      </w:r>
    </w:p>
    <w:p>
      <w:pPr>
        <w:sectPr>
          <w:pgSz w:w="11900" w:h="16838" w:orient="portrait"/>
          <w:cols w:equalWidth="0" w:num="1">
            <w:col w:w="11240"/>
          </w:cols>
          <w:pgMar w:left="320" w:top="449" w:right="339" w:bottom="1440" w:gutter="0" w:footer="0" w:header="0"/>
        </w:sectPr>
      </w:pPr>
    </w:p>
    <w:bookmarkStart w:id="182" w:name="page183"/>
    <w:bookmarkEnd w:id="182"/>
    <w:p>
      <w:pPr>
        <w:jc w:val="both"/>
        <w:ind w:right="20"/>
        <w:spacing w:after="0" w:line="277" w:lineRule="auto"/>
        <w:rPr>
          <w:sz w:val="20"/>
          <w:szCs w:val="20"/>
          <w:color w:val="auto"/>
        </w:rPr>
      </w:pPr>
      <w:r>
        <w:rPr>
          <w:rFonts w:ascii="Arial" w:cs="Arial" w:eastAsia="Arial" w:hAnsi="Arial"/>
          <w:sz w:val="18"/>
          <w:szCs w:val="18"/>
          <w:color w:val="003082"/>
        </w:rPr>
        <w:t>require delivery of a fraction of a deposited share or other security. The depositary may charge you a fee and its expenses for instructing the custodian regarding delivery of deposited securities.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How Do ADS Holders Interchange Between Certificated ADSs and Uncertificated ADSs?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Voting Rights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How Do You Vote?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amended and restated memorandum and articles of association or similar documents, to vote or to have its agents vote the shares or other deposited securities as instructed by ADS holders or as described in the following sentence. If we asked the depositary to solicit your instructions at least 45 days before the meeting date but the depositary does not receive voting instructions from you by the specified date and we confirm to the depositary that:</w:t>
      </w:r>
    </w:p>
    <w:p>
      <w:pPr>
        <w:spacing w:after="0" w:line="138"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003082"/>
        </w:rPr>
      </w:pPr>
      <w:r>
        <w:rPr>
          <w:rFonts w:ascii="Arial" w:cs="Arial" w:eastAsia="Arial" w:hAnsi="Arial"/>
          <w:sz w:val="18"/>
          <w:szCs w:val="18"/>
          <w:color w:val="003082"/>
        </w:rPr>
        <w:t>we wish to receive a proxy to vote uninstructed shares;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04"/>
        </w:numPr>
        <w:rPr>
          <w:rFonts w:ascii="Arial" w:cs="Arial" w:eastAsia="Arial" w:hAnsi="Arial"/>
          <w:sz w:val="18"/>
          <w:szCs w:val="18"/>
          <w:color w:val="003082"/>
        </w:rPr>
      </w:pPr>
      <w:r>
        <w:rPr>
          <w:rFonts w:ascii="Arial" w:cs="Arial" w:eastAsia="Arial" w:hAnsi="Arial"/>
          <w:sz w:val="18"/>
          <w:szCs w:val="18"/>
          <w:color w:val="003082"/>
        </w:rPr>
        <w:t>we reasonably do not know of any substantial shareholder opposition to the proxy item(s); and</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04"/>
        </w:numPr>
        <w:rPr>
          <w:rFonts w:ascii="Arial" w:cs="Arial" w:eastAsia="Arial" w:hAnsi="Arial"/>
          <w:sz w:val="18"/>
          <w:szCs w:val="18"/>
          <w:color w:val="003082"/>
        </w:rPr>
      </w:pPr>
      <w:r>
        <w:rPr>
          <w:rFonts w:ascii="Arial" w:cs="Arial" w:eastAsia="Arial" w:hAnsi="Arial"/>
          <w:sz w:val="18"/>
          <w:szCs w:val="18"/>
          <w:color w:val="003082"/>
        </w:rPr>
        <w:t>the proxy item(s) is not materially adverse to the interests of shareholders,</w:t>
      </w:r>
    </w:p>
    <w:p>
      <w:pPr>
        <w:spacing w:after="0" w:line="17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003082"/>
        </w:rPr>
        <w:t>then the depositary will consider you to have authorized and directed it to give a discretionary proxy to a person designated by us to vote the number of deposited securities represented by your ADSs as to the proxy item(s). If we do not request the depositary to solicit your voting instructions, you can still send voting instructions, and, in that case, the depositary may try to vote as you instruct, but it is not required to do so.</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003082"/>
        </w:rPr>
        <w:t xml:space="preserve">Except by instructing the depositary as described above, you will not be able to exercise voting rights unless you surrender your ADSs and withdraw the shares. </w:t>
      </w:r>
      <w:r>
        <w:rPr>
          <w:rFonts w:ascii="Arial" w:cs="Arial" w:eastAsia="Arial" w:hAnsi="Arial"/>
          <w:sz w:val="18"/>
          <w:szCs w:val="18"/>
          <w:color w:val="003082"/>
        </w:rPr>
        <w:t>However, you may not know about the meeting enough in advance to withdraw the shares. In any event, the depositary will not exercise any</w:t>
      </w:r>
      <w:r>
        <w:rPr>
          <w:rFonts w:ascii="Arial" w:cs="Arial" w:eastAsia="Arial" w:hAnsi="Arial"/>
          <w:sz w:val="18"/>
          <w:szCs w:val="18"/>
          <w:i w:val="1"/>
          <w:iCs w:val="1"/>
          <w:color w:val="003082"/>
        </w:rPr>
        <w:t xml:space="preserve"> </w:t>
      </w:r>
      <w:r>
        <w:rPr>
          <w:rFonts w:ascii="Arial" w:cs="Arial" w:eastAsia="Arial" w:hAnsi="Arial"/>
          <w:sz w:val="18"/>
          <w:szCs w:val="18"/>
          <w:color w:val="003082"/>
        </w:rPr>
        <w:t>discretion in voting deposited securities and it will only vote or attempt to vote as instructed.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003082"/>
        </w:rPr>
        <w:t>This means</w:t>
      </w:r>
      <w:r>
        <w:rPr>
          <w:rFonts w:ascii="Arial" w:cs="Arial" w:eastAsia="Arial" w:hAnsi="Arial"/>
          <w:sz w:val="16"/>
          <w:szCs w:val="16"/>
          <w:color w:val="003082"/>
        </w:rPr>
        <w:t xml:space="preserve"> </w:t>
      </w:r>
      <w:r>
        <w:rPr>
          <w:rFonts w:ascii="Arial" w:cs="Arial" w:eastAsia="Arial" w:hAnsi="Arial"/>
          <w:sz w:val="16"/>
          <w:szCs w:val="16"/>
          <w:i w:val="1"/>
          <w:iCs w:val="1"/>
          <w:color w:val="003082"/>
        </w:rPr>
        <w:t>that you may not be able to exercise voting rights and there may be nothing you can do if your shares are not voted as you requested.</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45 days in advance of the meeting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178</w:t>
      </w:r>
    </w:p>
    <w:p>
      <w:pPr>
        <w:sectPr>
          <w:pgSz w:w="11900" w:h="16838" w:orient="portrait"/>
          <w:cols w:equalWidth="0" w:num="1">
            <w:col w:w="11240"/>
          </w:cols>
          <w:pgMar w:left="320" w:top="341"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003082"/>
        </w:rPr>
        <w:t>Fees and Expenses</w:t>
      </w:r>
    </w:p>
    <w:p>
      <w:pPr>
        <w:spacing w:after="0" w:line="396"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4"/>
          <w:szCs w:val="14"/>
          <w:b w:val="1"/>
          <w:bCs w:val="1"/>
          <w:i w:val="1"/>
          <w:iCs w:val="1"/>
          <w:color w:val="003082"/>
        </w:rPr>
        <w:t>Persons Depositing or Withdrawing Shares or ADS Holders Must Pay</w:t>
      </w:r>
      <w:r>
        <w:rPr>
          <w:rFonts w:ascii="Arial" w:cs="Arial" w:eastAsia="Arial" w:hAnsi="Arial"/>
          <w:sz w:val="14"/>
          <w:szCs w:val="14"/>
          <w:b w:val="1"/>
          <w:bCs w:val="1"/>
          <w:color w:val="003082"/>
        </w:rPr>
        <w:t>:</w:t>
      </w:r>
      <w:r>
        <w:rPr>
          <w:sz w:val="20"/>
          <w:szCs w:val="20"/>
          <w:color w:val="auto"/>
        </w:rPr>
        <w:tab/>
      </w:r>
      <w:r>
        <w:rPr>
          <w:rFonts w:ascii="Arial" w:cs="Arial" w:eastAsia="Arial" w:hAnsi="Arial"/>
          <w:sz w:val="13"/>
          <w:szCs w:val="13"/>
          <w:b w:val="1"/>
          <w:bCs w:val="1"/>
          <w:i w:val="1"/>
          <w:iCs w:val="1"/>
          <w:color w:val="003082"/>
        </w:rPr>
        <w:t>For</w:t>
      </w:r>
      <w:r>
        <w:rPr>
          <w:rFonts w:ascii="Arial" w:cs="Arial" w:eastAsia="Arial" w:hAnsi="Arial"/>
          <w:sz w:val="13"/>
          <w:szCs w:val="13"/>
          <w:b w:val="1"/>
          <w:bCs w:val="1"/>
          <w:color w:val="003082"/>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003082"/>
        </w:rPr>
        <w:t>US$5.00 (or less) per 100 ADSs (or portion of 100 ADSs)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003082"/>
        </w:rPr>
        <w:t>Issuance of ADSs, including issuances resulting from a distribution of shares or rights or other property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003082"/>
        </w:rPr>
        <w:t>Cancellation of ADSs for the purpose of withdrawal, including if the deposit agreement terminates</w:t>
      </w:r>
    </w:p>
    <w:p>
      <w:pPr>
        <w:spacing w:after="0" w:line="145" w:lineRule="exact"/>
        <w:rPr>
          <w:sz w:val="20"/>
          <w:szCs w:val="20"/>
          <w:color w:val="auto"/>
        </w:rPr>
      </w:pPr>
    </w:p>
    <w:p>
      <w:pPr>
        <w:sectPr>
          <w:pgSz w:w="11900" w:h="16838" w:orient="portrait"/>
          <w:cols w:equalWidth="0" w:num="2">
            <w:col w:w="4940" w:space="720"/>
            <w:col w:w="5580"/>
          </w:cols>
          <w:pgMar w:left="320" w:top="445" w:right="339" w:bottom="1440" w:gutter="0" w:footer="0" w:header="0"/>
          <w:type w:val="continuous"/>
        </w:sectPr>
      </w:pPr>
    </w:p>
    <w:p>
      <w:pPr>
        <w:ind w:left="40"/>
        <w:spacing w:after="0"/>
        <w:rPr>
          <w:sz w:val="20"/>
          <w:szCs w:val="20"/>
          <w:color w:val="auto"/>
        </w:rPr>
      </w:pPr>
      <w:r>
        <w:rPr>
          <w:rFonts w:ascii="Arial" w:cs="Arial" w:eastAsia="Arial" w:hAnsi="Arial"/>
          <w:sz w:val="18"/>
          <w:szCs w:val="18"/>
          <w:color w:val="003082"/>
        </w:rPr>
        <w:t>US$0.05 (or less) per ADS</w:t>
      </w:r>
    </w:p>
    <w:p>
      <w:pPr>
        <w:spacing w:after="0" w:line="185" w:lineRule="exact"/>
        <w:rPr>
          <w:sz w:val="20"/>
          <w:szCs w:val="20"/>
          <w:color w:val="auto"/>
        </w:rPr>
      </w:pPr>
    </w:p>
    <w:p>
      <w:pPr>
        <w:ind w:left="200" w:hanging="161"/>
        <w:spacing w:after="0" w:line="263" w:lineRule="auto"/>
        <w:rPr>
          <w:sz w:val="20"/>
          <w:szCs w:val="20"/>
          <w:color w:val="auto"/>
        </w:rPr>
      </w:pPr>
      <w:r>
        <w:rPr>
          <w:rFonts w:ascii="Arial" w:cs="Arial" w:eastAsia="Arial" w:hAnsi="Arial"/>
          <w:sz w:val="18"/>
          <w:szCs w:val="18"/>
          <w:color w:val="003082"/>
        </w:rPr>
        <w:t>A fee equivalent to the fee that would be payable if securities distributed to you had been shares and the shares had been deposited for issuance of ADSs</w:t>
      </w:r>
    </w:p>
    <w:p>
      <w:pPr>
        <w:spacing w:after="0" w:line="143" w:lineRule="exact"/>
        <w:rPr>
          <w:sz w:val="20"/>
          <w:szCs w:val="20"/>
          <w:color w:val="auto"/>
        </w:rPr>
      </w:pPr>
    </w:p>
    <w:p>
      <w:pPr>
        <w:ind w:left="40" w:right="2180"/>
        <w:spacing w:after="0" w:line="481" w:lineRule="auto"/>
        <w:rPr>
          <w:sz w:val="20"/>
          <w:szCs w:val="20"/>
          <w:color w:val="auto"/>
        </w:rPr>
      </w:pPr>
      <w:r>
        <w:rPr>
          <w:rFonts w:ascii="Arial" w:cs="Arial" w:eastAsia="Arial" w:hAnsi="Arial"/>
          <w:sz w:val="18"/>
          <w:szCs w:val="18"/>
          <w:color w:val="003082"/>
        </w:rPr>
        <w:t>US$0.05 (or less) per ADS per calendar year Registration or transfer fees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003082"/>
        </w:rPr>
        <w:t>Expenses of the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003082"/>
        </w:rPr>
        <w:t>Any cash distribution to ADS holders</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003082"/>
        </w:rPr>
        <w:t>Distribution of securities distributed to holders of deposited securities (including rights) that are distributed by the depositary to ADS holders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003082"/>
        </w:rPr>
        <w:t>Depositary services</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003082"/>
        </w:rPr>
        <w:t>Transfer and registration of shares on our share register to or from the name of the depositary or its agent when you deposit or withdraw shares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003082"/>
        </w:rPr>
        <w:t>Cable (including SWIFT) and facsimile transmissions (when expressly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3082"/>
        </w:rPr>
        <w:t>provided in the deposit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3082"/>
        </w:rPr>
        <w:t>Converting foreign currency to U.S. dollars</w:t>
      </w:r>
    </w:p>
    <w:p>
      <w:pPr>
        <w:spacing w:after="0" w:line="170" w:lineRule="exact"/>
        <w:rPr>
          <w:sz w:val="20"/>
          <w:szCs w:val="20"/>
          <w:color w:val="auto"/>
        </w:rPr>
      </w:pPr>
    </w:p>
    <w:p>
      <w:pPr>
        <w:sectPr>
          <w:pgSz w:w="11900" w:h="16838" w:orient="portrait"/>
          <w:cols w:equalWidth="0" w:num="2">
            <w:col w:w="5440" w:space="220"/>
            <w:col w:w="5580"/>
          </w:cols>
          <w:pgMar w:left="320" w:top="445" w:right="339" w:bottom="1440" w:gutter="0" w:footer="0" w:header="0"/>
          <w:type w:val="continuous"/>
        </w:sectPr>
      </w:pPr>
    </w:p>
    <w:p>
      <w:pPr>
        <w:ind w:left="40"/>
        <w:spacing w:after="0"/>
        <w:tabs>
          <w:tab w:leader="none" w:pos="5640" w:val="left"/>
        </w:tabs>
        <w:rPr>
          <w:sz w:val="20"/>
          <w:szCs w:val="20"/>
          <w:color w:val="auto"/>
        </w:rPr>
      </w:pPr>
      <w:r>
        <w:rPr>
          <w:rFonts w:ascii="Arial" w:cs="Arial" w:eastAsia="Arial" w:hAnsi="Arial"/>
          <w:sz w:val="18"/>
          <w:szCs w:val="18"/>
          <w:color w:val="003082"/>
        </w:rPr>
        <w:t>Taxes and other governmental charges the depositary or the custodian has</w:t>
      </w:r>
      <w:r>
        <w:rPr>
          <w:sz w:val="20"/>
          <w:szCs w:val="20"/>
          <w:color w:val="auto"/>
        </w:rPr>
        <w:tab/>
      </w:r>
      <w:r>
        <w:rPr>
          <w:rFonts w:ascii="Arial" w:cs="Arial" w:eastAsia="Arial" w:hAnsi="Arial"/>
          <w:sz w:val="15"/>
          <w:szCs w:val="15"/>
          <w:color w:val="003082"/>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003082"/>
        </w:rPr>
        <w:t>to pay on any ADSs or shares underlying ADSs, such as stock transfer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003082"/>
        </w:rPr>
        <w:t>taxes, stamp duty or withholding taxes</w:t>
      </w:r>
    </w:p>
    <w:p>
      <w:pPr>
        <w:spacing w:after="0" w:line="170"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003082"/>
        </w:rPr>
        <w:t>Any charges incurred by the depositary or its agents for servicing the</w:t>
      </w:r>
      <w:r>
        <w:rPr>
          <w:sz w:val="20"/>
          <w:szCs w:val="20"/>
          <w:color w:val="auto"/>
        </w:rPr>
        <w:tab/>
      </w:r>
      <w:r>
        <w:rPr>
          <w:rFonts w:ascii="Arial" w:cs="Arial" w:eastAsia="Arial" w:hAnsi="Arial"/>
          <w:sz w:val="15"/>
          <w:szCs w:val="15"/>
          <w:color w:val="003082"/>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003082"/>
        </w:rPr>
        <w:t>deposited securities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179</w:t>
      </w:r>
    </w:p>
    <w:p>
      <w:pPr>
        <w:sectPr>
          <w:pgSz w:w="11900" w:h="16838" w:orient="portrait"/>
          <w:cols w:equalWidth="0" w:num="1">
            <w:col w:w="11240"/>
          </w:cols>
          <w:pgMar w:left="320" w:top="445" w:right="339" w:bottom="1440" w:gutter="0" w:footer="0" w:header="0"/>
          <w:type w:val="continuous"/>
        </w:sectPr>
      </w:pPr>
    </w:p>
    <w:bookmarkStart w:id="184" w:name="page185"/>
    <w:bookmarkEnd w:id="184"/>
    <w:p>
      <w:pPr>
        <w:jc w:val="both"/>
        <w:spacing w:after="0" w:line="254" w:lineRule="auto"/>
        <w:rPr>
          <w:sz w:val="20"/>
          <w:szCs w:val="20"/>
          <w:color w:val="auto"/>
        </w:rPr>
      </w:pPr>
      <w:r>
        <w:rPr>
          <w:rFonts w:ascii="Arial" w:cs="Arial" w:eastAsia="Arial" w:hAnsi="Arial"/>
          <w:sz w:val="18"/>
          <w:szCs w:val="18"/>
          <w:color w:val="003082"/>
        </w:rPr>
        <w:t>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Payment of Taxes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Tender and Exchange Offers; Redemption, Replacement or Cancellation of Deposited Securities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depositary will not tender deposited securities in any voluntary tender or exchange offer unless instructed to do so by an ADS holder surrendering ADSs and subject to any conditions or procedures the depositary may establish.</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Amendment and Termination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How May the Deposit Agreement Be Amended?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003082"/>
        </w:rPr>
        <w:t>At the time an amendment becomes effective, you are considered, by continuing to hold your ADSs, to</w:t>
      </w:r>
      <w:r>
        <w:rPr>
          <w:rFonts w:ascii="Arial" w:cs="Arial" w:eastAsia="Arial" w:hAnsi="Arial"/>
          <w:sz w:val="17"/>
          <w:szCs w:val="17"/>
          <w:color w:val="003082"/>
        </w:rPr>
        <w:t xml:space="preserve"> </w:t>
      </w:r>
      <w:r>
        <w:rPr>
          <w:rFonts w:ascii="Arial" w:cs="Arial" w:eastAsia="Arial" w:hAnsi="Arial"/>
          <w:sz w:val="17"/>
          <w:szCs w:val="17"/>
          <w:i w:val="1"/>
          <w:iCs w:val="1"/>
          <w:color w:val="003082"/>
        </w:rPr>
        <w:t>agree to the amendment and to be bound by the ADRs and the deposit agreement as amended.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180</w:t>
      </w:r>
    </w:p>
    <w:p>
      <w:pPr>
        <w:sectPr>
          <w:pgSz w:w="11900" w:h="16838" w:orient="portrait"/>
          <w:cols w:equalWidth="0" w:num="1">
            <w:col w:w="11240"/>
          </w:cols>
          <w:pgMar w:left="320" w:top="341" w:right="339" w:bottom="1440" w:gutter="0" w:footer="0" w:header="0"/>
        </w:sectPr>
      </w:pPr>
    </w:p>
    <w:bookmarkStart w:id="185" w:name="page186"/>
    <w:bookmarkEnd w:id="185"/>
    <w:p>
      <w:pPr>
        <w:ind w:left="340"/>
        <w:spacing w:after="0"/>
        <w:rPr>
          <w:sz w:val="20"/>
          <w:szCs w:val="20"/>
          <w:color w:val="auto"/>
        </w:rPr>
      </w:pPr>
      <w:r>
        <w:rPr>
          <w:rFonts w:ascii="Arial" w:cs="Arial" w:eastAsia="Arial" w:hAnsi="Arial"/>
          <w:sz w:val="18"/>
          <w:szCs w:val="18"/>
          <w:b w:val="1"/>
          <w:bCs w:val="1"/>
          <w:i w:val="1"/>
          <w:iCs w:val="1"/>
          <w:color w:val="003082"/>
        </w:rPr>
        <w:t>How May the Deposit Agreement Be Terminated?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The depositary will initiate termination of the deposit agreement if we instruct it to do so. The depositary may initiate termination of the deposit agreement if:</w:t>
      </w:r>
    </w:p>
    <w:p>
      <w:pPr>
        <w:spacing w:after="0" w:line="116" w:lineRule="exact"/>
        <w:rPr>
          <w:sz w:val="20"/>
          <w:szCs w:val="20"/>
          <w:color w:val="auto"/>
        </w:rPr>
      </w:pPr>
    </w:p>
    <w:p>
      <w:pPr>
        <w:ind w:left="660" w:hanging="328"/>
        <w:spacing w:after="0"/>
        <w:tabs>
          <w:tab w:leader="none" w:pos="660" w:val="left"/>
        </w:tabs>
        <w:numPr>
          <w:ilvl w:val="0"/>
          <w:numId w:val="105"/>
        </w:numPr>
        <w:rPr>
          <w:rFonts w:ascii="Arial" w:cs="Arial" w:eastAsia="Arial" w:hAnsi="Arial"/>
          <w:sz w:val="15"/>
          <w:szCs w:val="15"/>
          <w:color w:val="003082"/>
        </w:rPr>
      </w:pPr>
      <w:r>
        <w:rPr>
          <w:rFonts w:ascii="Arial" w:cs="Arial" w:eastAsia="Arial" w:hAnsi="Arial"/>
          <w:sz w:val="15"/>
          <w:szCs w:val="15"/>
          <w:color w:val="003082"/>
        </w:rPr>
        <w:t>60 days have passed since the depositary told us it wants to resign but a successor depositary has not been appointed and accepted its appointment;</w:t>
      </w:r>
    </w:p>
    <w:p>
      <w:pPr>
        <w:spacing w:after="0" w:line="205" w:lineRule="exact"/>
        <w:rPr>
          <w:rFonts w:ascii="Arial" w:cs="Arial" w:eastAsia="Arial" w:hAnsi="Arial"/>
          <w:sz w:val="15"/>
          <w:szCs w:val="15"/>
          <w:color w:val="003082"/>
        </w:rPr>
      </w:pPr>
    </w:p>
    <w:p>
      <w:pPr>
        <w:ind w:left="660" w:hanging="328"/>
        <w:spacing w:after="0" w:line="277" w:lineRule="auto"/>
        <w:tabs>
          <w:tab w:leader="none" w:pos="660" w:val="left"/>
        </w:tabs>
        <w:numPr>
          <w:ilvl w:val="0"/>
          <w:numId w:val="105"/>
        </w:numPr>
        <w:rPr>
          <w:rFonts w:ascii="Arial" w:cs="Arial" w:eastAsia="Arial" w:hAnsi="Arial"/>
          <w:sz w:val="18"/>
          <w:szCs w:val="18"/>
          <w:color w:val="003082"/>
        </w:rPr>
      </w:pPr>
      <w:r>
        <w:rPr>
          <w:rFonts w:ascii="Arial" w:cs="Arial" w:eastAsia="Arial" w:hAnsi="Arial"/>
          <w:sz w:val="18"/>
          <w:szCs w:val="18"/>
          <w:color w:val="003082"/>
        </w:rPr>
        <w:t>we delist the ADSs from an exchange in the United States on which they were listed and, 30 days after that delisting, do not list the ADSs on another exchange in the United States or make arrangements for trading of ADSs on the U.S. over-the-counter market;</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05"/>
        </w:numPr>
        <w:rPr>
          <w:rFonts w:ascii="Arial" w:cs="Arial" w:eastAsia="Arial" w:hAnsi="Arial"/>
          <w:sz w:val="18"/>
          <w:szCs w:val="18"/>
          <w:color w:val="003082"/>
        </w:rPr>
      </w:pPr>
      <w:r>
        <w:rPr>
          <w:rFonts w:ascii="Arial" w:cs="Arial" w:eastAsia="Arial" w:hAnsi="Arial"/>
          <w:sz w:val="18"/>
          <w:szCs w:val="18"/>
          <w:color w:val="003082"/>
        </w:rPr>
        <w:t>we appear to be insolvent or enter insolvency proceedings;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05"/>
        </w:numPr>
        <w:rPr>
          <w:rFonts w:ascii="Arial" w:cs="Arial" w:eastAsia="Arial" w:hAnsi="Arial"/>
          <w:sz w:val="18"/>
          <w:szCs w:val="18"/>
          <w:color w:val="003082"/>
        </w:rPr>
      </w:pPr>
      <w:r>
        <w:rPr>
          <w:rFonts w:ascii="Arial" w:cs="Arial" w:eastAsia="Arial" w:hAnsi="Arial"/>
          <w:sz w:val="18"/>
          <w:szCs w:val="18"/>
          <w:color w:val="003082"/>
        </w:rPr>
        <w:t>all or substantially all the value of the deposited securities has been distributed either in cash or in the form of securities;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05"/>
        </w:numPr>
        <w:rPr>
          <w:rFonts w:ascii="Arial" w:cs="Arial" w:eastAsia="Arial" w:hAnsi="Arial"/>
          <w:sz w:val="18"/>
          <w:szCs w:val="18"/>
          <w:color w:val="003082"/>
        </w:rPr>
      </w:pPr>
      <w:r>
        <w:rPr>
          <w:rFonts w:ascii="Arial" w:cs="Arial" w:eastAsia="Arial" w:hAnsi="Arial"/>
          <w:sz w:val="18"/>
          <w:szCs w:val="18"/>
          <w:color w:val="003082"/>
        </w:rPr>
        <w:t>there are no deposited securities underlying the ADSs or the underlying deposited securities have become apparently worthless; or</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05"/>
        </w:numPr>
        <w:rPr>
          <w:rFonts w:ascii="Arial" w:cs="Arial" w:eastAsia="Arial" w:hAnsi="Arial"/>
          <w:sz w:val="18"/>
          <w:szCs w:val="18"/>
          <w:color w:val="003082"/>
        </w:rPr>
      </w:pPr>
      <w:r>
        <w:rPr>
          <w:rFonts w:ascii="Arial" w:cs="Arial" w:eastAsia="Arial" w:hAnsi="Arial"/>
          <w:sz w:val="18"/>
          <w:szCs w:val="18"/>
          <w:color w:val="003082"/>
        </w:rPr>
        <w:t>there has been a replacement of deposited securities.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the deposited securities as soon as practicable after the termination date.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materially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Limitations on Obligations and Liability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Limits on Our Obligations and the Obligations of the Depositary; Limits on Liability to Holders of ADSs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deposit agreement expressly limits our obligations and the obligations of the depositary. It also limits our liability and the liability of the depositary. We and the depositary:</w:t>
      </w:r>
    </w:p>
    <w:p>
      <w:pPr>
        <w:spacing w:after="0" w:line="116" w:lineRule="exact"/>
        <w:rPr>
          <w:sz w:val="20"/>
          <w:szCs w:val="20"/>
          <w:color w:val="auto"/>
        </w:rPr>
      </w:pPr>
    </w:p>
    <w:p>
      <w:pPr>
        <w:ind w:left="660" w:hanging="328"/>
        <w:spacing w:after="0" w:line="277" w:lineRule="auto"/>
        <w:tabs>
          <w:tab w:leader="none" w:pos="660" w:val="left"/>
        </w:tabs>
        <w:numPr>
          <w:ilvl w:val="0"/>
          <w:numId w:val="106"/>
        </w:numPr>
        <w:rPr>
          <w:rFonts w:ascii="Arial" w:cs="Arial" w:eastAsia="Arial" w:hAnsi="Arial"/>
          <w:sz w:val="18"/>
          <w:szCs w:val="18"/>
          <w:color w:val="003082"/>
        </w:rPr>
      </w:pPr>
      <w:r>
        <w:rPr>
          <w:rFonts w:ascii="Arial" w:cs="Arial" w:eastAsia="Arial" w:hAnsi="Arial"/>
          <w:sz w:val="18"/>
          <w:szCs w:val="18"/>
          <w:color w:val="003082"/>
        </w:rPr>
        <w:t>are only obligated to take the actions specifically set forth in the deposit agreement without negligence or bad faith, and the depositary will not be a fiduciary or have any fiduciary duty to holders of ADSs;</w:t>
      </w:r>
    </w:p>
    <w:p>
      <w:pPr>
        <w:spacing w:after="0" w:line="116"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06"/>
        </w:numPr>
        <w:rPr>
          <w:rFonts w:ascii="Arial" w:cs="Arial" w:eastAsia="Arial" w:hAnsi="Arial"/>
          <w:sz w:val="18"/>
          <w:szCs w:val="18"/>
          <w:color w:val="003082"/>
        </w:rPr>
      </w:pPr>
      <w:r>
        <w:rPr>
          <w:rFonts w:ascii="Arial" w:cs="Arial" w:eastAsia="Arial" w:hAnsi="Arial"/>
          <w:sz w:val="18"/>
          <w:szCs w:val="18"/>
          <w:color w:val="003082"/>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06"/>
        </w:numPr>
        <w:rPr>
          <w:rFonts w:ascii="Arial" w:cs="Arial" w:eastAsia="Arial" w:hAnsi="Arial"/>
          <w:sz w:val="18"/>
          <w:szCs w:val="18"/>
          <w:color w:val="003082"/>
        </w:rPr>
      </w:pPr>
      <w:r>
        <w:rPr>
          <w:rFonts w:ascii="Arial" w:cs="Arial" w:eastAsia="Arial" w:hAnsi="Arial"/>
          <w:sz w:val="18"/>
          <w:szCs w:val="18"/>
          <w:color w:val="003082"/>
        </w:rPr>
        <w:t>are not liable if we or it exercises discretion permitted under the deposit agreement;</w:t>
      </w:r>
    </w:p>
    <w:p>
      <w:pPr>
        <w:spacing w:after="0" w:line="171"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106"/>
        </w:numPr>
        <w:rPr>
          <w:rFonts w:ascii="Arial" w:cs="Arial" w:eastAsia="Arial" w:hAnsi="Arial"/>
          <w:sz w:val="18"/>
          <w:szCs w:val="18"/>
          <w:color w:val="003082"/>
        </w:rPr>
      </w:pPr>
      <w:r>
        <w:rPr>
          <w:rFonts w:ascii="Arial" w:cs="Arial" w:eastAsia="Arial" w:hAnsi="Arial"/>
          <w:sz w:val="18"/>
          <w:szCs w:val="18"/>
          <w:color w:val="003082"/>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181</w:t>
      </w:r>
    </w:p>
    <w:p>
      <w:pPr>
        <w:sectPr>
          <w:pgSz w:w="11900" w:h="16838" w:orient="portrait"/>
          <w:cols w:equalWidth="0" w:num="1">
            <w:col w:w="11240"/>
          </w:cols>
          <w:pgMar w:left="320" w:top="449" w:right="339" w:bottom="1440" w:gutter="0" w:footer="0" w:header="0"/>
        </w:sectPr>
      </w:pPr>
    </w:p>
    <w:bookmarkStart w:id="186" w:name="page187"/>
    <w:bookmarkEnd w:id="186"/>
    <w:p>
      <w:pPr>
        <w:ind w:left="660" w:hanging="328"/>
        <w:spacing w:after="0" w:line="277" w:lineRule="auto"/>
        <w:tabs>
          <w:tab w:leader="none" w:pos="660" w:val="left"/>
        </w:tabs>
        <w:numPr>
          <w:ilvl w:val="0"/>
          <w:numId w:val="107"/>
        </w:numPr>
        <w:rPr>
          <w:rFonts w:ascii="Arial" w:cs="Arial" w:eastAsia="Arial" w:hAnsi="Arial"/>
          <w:sz w:val="18"/>
          <w:szCs w:val="18"/>
          <w:color w:val="003082"/>
        </w:rPr>
      </w:pPr>
      <w:r>
        <w:rPr>
          <w:rFonts w:ascii="Arial" w:cs="Arial" w:eastAsia="Arial" w:hAnsi="Arial"/>
          <w:sz w:val="18"/>
          <w:szCs w:val="18"/>
          <w:color w:val="003082"/>
        </w:rPr>
        <w:t>have no obligation to become involved in a lawsuit or other proceeding related to the ADSs or the deposit agreement on your behalf or on behalf of any other person;</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07"/>
        </w:numPr>
        <w:rPr>
          <w:rFonts w:ascii="Arial" w:cs="Arial" w:eastAsia="Arial" w:hAnsi="Arial"/>
          <w:sz w:val="16"/>
          <w:szCs w:val="16"/>
          <w:color w:val="003082"/>
        </w:rPr>
      </w:pPr>
      <w:r>
        <w:rPr>
          <w:rFonts w:ascii="Arial" w:cs="Arial" w:eastAsia="Arial" w:hAnsi="Arial"/>
          <w:sz w:val="16"/>
          <w:szCs w:val="16"/>
          <w:color w:val="003082"/>
        </w:rPr>
        <w:t>may rely upon any documents we believe or it believes in good faith to be genuine and to have been signed or presented by the proper person;</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107"/>
        </w:numPr>
        <w:rPr>
          <w:rFonts w:ascii="Arial" w:cs="Arial" w:eastAsia="Arial" w:hAnsi="Arial"/>
          <w:sz w:val="18"/>
          <w:szCs w:val="18"/>
          <w:color w:val="003082"/>
        </w:rPr>
      </w:pPr>
      <w:r>
        <w:rPr>
          <w:rFonts w:ascii="Arial" w:cs="Arial" w:eastAsia="Arial" w:hAnsi="Arial"/>
          <w:sz w:val="18"/>
          <w:szCs w:val="18"/>
          <w:color w:val="003082"/>
        </w:rPr>
        <w:t>are not liable for the acts or omissions of any securities depository, clearing agency or settlement system; and</w:t>
      </w:r>
    </w:p>
    <w:p>
      <w:pPr>
        <w:spacing w:after="0" w:line="171" w:lineRule="exact"/>
        <w:rPr>
          <w:rFonts w:ascii="Arial" w:cs="Arial" w:eastAsia="Arial" w:hAnsi="Arial"/>
          <w:sz w:val="18"/>
          <w:szCs w:val="18"/>
          <w:color w:val="003082"/>
        </w:rPr>
      </w:pPr>
    </w:p>
    <w:p>
      <w:pPr>
        <w:jc w:val="both"/>
        <w:ind w:left="660" w:hanging="328"/>
        <w:spacing w:after="0" w:line="286" w:lineRule="auto"/>
        <w:tabs>
          <w:tab w:leader="none" w:pos="660" w:val="left"/>
        </w:tabs>
        <w:numPr>
          <w:ilvl w:val="0"/>
          <w:numId w:val="107"/>
        </w:numPr>
        <w:rPr>
          <w:rFonts w:ascii="Arial" w:cs="Arial" w:eastAsia="Arial" w:hAnsi="Arial"/>
          <w:sz w:val="17"/>
          <w:szCs w:val="17"/>
          <w:color w:val="003082"/>
        </w:rPr>
      </w:pPr>
      <w:r>
        <w:rPr>
          <w:rFonts w:ascii="Arial" w:cs="Arial" w:eastAsia="Arial" w:hAnsi="Arial"/>
          <w:sz w:val="17"/>
          <w:szCs w:val="17"/>
          <w:color w:val="003082"/>
        </w:rPr>
        <w:t>are not liable for any tax consequences that may be incurred by ADS holders as a result of owning or holding ADSs or for the inability or failure of an ADS holder to obtain the benefit of a foreign tax credit, reduced rate of withholding or refund of amounts withheld in respect of tax or any other tax benefit and the depositary has no duty to make any determination or provide any information as to our tax status.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In the deposit agreement, we and the depositary agree to indemnify each other under certain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Requirements for Depositary 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Before the depositary will deliver or register a transfer of ADSs, make a distribution on ADSs, or permit withdrawal of shares, the depositary may require:</w:t>
      </w:r>
    </w:p>
    <w:p>
      <w:pPr>
        <w:spacing w:after="0" w:line="116" w:lineRule="exact"/>
        <w:rPr>
          <w:sz w:val="20"/>
          <w:szCs w:val="20"/>
          <w:color w:val="auto"/>
        </w:rPr>
      </w:pPr>
    </w:p>
    <w:p>
      <w:pPr>
        <w:ind w:left="660" w:hanging="328"/>
        <w:spacing w:after="0" w:line="277" w:lineRule="auto"/>
        <w:tabs>
          <w:tab w:leader="none" w:pos="660" w:val="left"/>
        </w:tabs>
        <w:numPr>
          <w:ilvl w:val="0"/>
          <w:numId w:val="108"/>
        </w:numPr>
        <w:rPr>
          <w:rFonts w:ascii="Arial" w:cs="Arial" w:eastAsia="Arial" w:hAnsi="Arial"/>
          <w:sz w:val="18"/>
          <w:szCs w:val="18"/>
          <w:color w:val="003082"/>
        </w:rPr>
      </w:pPr>
      <w:r>
        <w:rPr>
          <w:rFonts w:ascii="Arial" w:cs="Arial" w:eastAsia="Arial" w:hAnsi="Arial"/>
          <w:sz w:val="18"/>
          <w:szCs w:val="18"/>
          <w:color w:val="003082"/>
        </w:rPr>
        <w:t>payment of stock transfer or other taxes or other governmental charges and transfer or registration fees charged by third parties for the transfer of any shares or other deposited securities;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08"/>
        </w:numPr>
        <w:rPr>
          <w:rFonts w:ascii="Arial" w:cs="Arial" w:eastAsia="Arial" w:hAnsi="Arial"/>
          <w:sz w:val="18"/>
          <w:szCs w:val="18"/>
          <w:color w:val="003082"/>
        </w:rPr>
      </w:pPr>
      <w:r>
        <w:rPr>
          <w:rFonts w:ascii="Arial" w:cs="Arial" w:eastAsia="Arial" w:hAnsi="Arial"/>
          <w:sz w:val="18"/>
          <w:szCs w:val="18"/>
          <w:color w:val="003082"/>
        </w:rPr>
        <w:t>satisfactory proof of the identity and genuineness of any signature or other information it deems necessary; and</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08"/>
        </w:numPr>
        <w:rPr>
          <w:rFonts w:ascii="Arial" w:cs="Arial" w:eastAsia="Arial" w:hAnsi="Arial"/>
          <w:sz w:val="18"/>
          <w:szCs w:val="18"/>
          <w:color w:val="003082"/>
        </w:rPr>
      </w:pPr>
      <w:r>
        <w:rPr>
          <w:rFonts w:ascii="Arial" w:cs="Arial" w:eastAsia="Arial" w:hAnsi="Arial"/>
          <w:sz w:val="18"/>
          <w:szCs w:val="18"/>
          <w:color w:val="003082"/>
        </w:rPr>
        <w:t>compliance with regulations it may establish, from time to time, consistent with the deposit agreement, including presentation of transfer documents.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The depositary may refuse to deliver ADSs or register transfers of ADSs when the transfer books of the depositary or our transfer books are closed or at any time if the depositary or we think it advisable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Your Right to Receive the Shares Underlying your ADSs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ADS holders have the right to cancel their ADSs and withdraw the underlying shares at any time except:</w:t>
      </w:r>
    </w:p>
    <w:p>
      <w:pPr>
        <w:spacing w:after="0" w:line="171" w:lineRule="exact"/>
        <w:rPr>
          <w:sz w:val="20"/>
          <w:szCs w:val="20"/>
          <w:color w:val="auto"/>
        </w:rPr>
      </w:pPr>
    </w:p>
    <w:p>
      <w:pPr>
        <w:ind w:left="660" w:right="20" w:hanging="328"/>
        <w:spacing w:after="0" w:line="277" w:lineRule="auto"/>
        <w:tabs>
          <w:tab w:leader="none" w:pos="660" w:val="left"/>
        </w:tabs>
        <w:numPr>
          <w:ilvl w:val="0"/>
          <w:numId w:val="109"/>
        </w:numPr>
        <w:rPr>
          <w:rFonts w:ascii="Arial" w:cs="Arial" w:eastAsia="Arial" w:hAnsi="Arial"/>
          <w:sz w:val="18"/>
          <w:szCs w:val="18"/>
          <w:color w:val="003082"/>
        </w:rPr>
      </w:pPr>
      <w:r>
        <w:rPr>
          <w:rFonts w:ascii="Arial" w:cs="Arial" w:eastAsia="Arial" w:hAnsi="Arial"/>
          <w:sz w:val="18"/>
          <w:szCs w:val="18"/>
          <w:color w:val="003082"/>
        </w:rPr>
        <w:t>when temporary delays arise because (1) the depositary has closed its transfer books or we have closed our transfer books, (2) the transfer of shares is blocked to permit voting at a shareholders’ meeting or (3) we are paying a dividend on our shares;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09"/>
        </w:numPr>
        <w:rPr>
          <w:rFonts w:ascii="Arial" w:cs="Arial" w:eastAsia="Arial" w:hAnsi="Arial"/>
          <w:sz w:val="18"/>
          <w:szCs w:val="18"/>
          <w:color w:val="003082"/>
        </w:rPr>
      </w:pPr>
      <w:r>
        <w:rPr>
          <w:rFonts w:ascii="Arial" w:cs="Arial" w:eastAsia="Arial" w:hAnsi="Arial"/>
          <w:sz w:val="18"/>
          <w:szCs w:val="18"/>
          <w:color w:val="003082"/>
        </w:rPr>
        <w:t>when you owe money to pay fees, taxes and similar charges; or</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09"/>
        </w:numPr>
        <w:rPr>
          <w:rFonts w:ascii="Arial" w:cs="Arial" w:eastAsia="Arial" w:hAnsi="Arial"/>
          <w:sz w:val="18"/>
          <w:szCs w:val="18"/>
          <w:color w:val="003082"/>
        </w:rPr>
      </w:pPr>
      <w:r>
        <w:rPr>
          <w:rFonts w:ascii="Arial" w:cs="Arial" w:eastAsia="Arial" w:hAnsi="Arial"/>
          <w:sz w:val="18"/>
          <w:szCs w:val="18"/>
          <w:color w:val="003082"/>
        </w:rPr>
        <w:t>when it is necessary to prohibit withdrawals in order to comply with any laws or governmental regulations that apply to ADSs or to the withdrawal of shares or other deposited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This right of withdrawal may not be limited by any other provision of the deposit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Direct Registration System</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In connection with and in accordance with the arrangements and procedures relating to DRS and Profile, the parties to the deposit agreement understand that the depositary will not determine whether the DTC participant that is claiming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182</w:t>
      </w:r>
    </w:p>
    <w:p>
      <w:pPr>
        <w:sectPr>
          <w:pgSz w:w="11900" w:h="16838" w:orient="portrait"/>
          <w:cols w:equalWidth="0" w:num="1">
            <w:col w:w="11240"/>
          </w:cols>
          <w:pgMar w:left="320" w:top="341" w:right="339" w:bottom="1440" w:gutter="0" w:footer="0" w:header="0"/>
        </w:sectPr>
      </w:pPr>
    </w:p>
    <w:bookmarkStart w:id="187" w:name="page188"/>
    <w:bookmarkEnd w:id="187"/>
    <w:p>
      <w:pPr>
        <w:jc w:val="both"/>
        <w:spacing w:after="0" w:line="259" w:lineRule="auto"/>
        <w:rPr>
          <w:sz w:val="20"/>
          <w:szCs w:val="20"/>
          <w:color w:val="auto"/>
        </w:rPr>
      </w:pPr>
      <w:r>
        <w:rPr>
          <w:rFonts w:ascii="Arial" w:cs="Arial" w:eastAsia="Arial" w:hAnsi="Arial"/>
          <w:sz w:val="18"/>
          <w:szCs w:val="18"/>
          <w:color w:val="003082"/>
        </w:rPr>
        <w:t>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 and Profile system and in accordance with the deposit agreement will not constitute negligence or bad faith on the part of the depositary.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Shareholder Communications; Inspection of Register of Holders of ADSs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Jury Trial Waiver</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deposit agreement provides that each party to the deposit agreement (including each holder, beneficial owner and holder of interests in the ADSs) irrevocably waives, to the fullest extent permitted by applicable law, any right it may have to a trial by jury in any lawsuit or proceeding against us or the depositary related to our shares, the ADSs or the deposit agreement. If we or the depositary were to oppose a jury trial demand based on the waiver, the court would determine whether the waiver is enforceable based on the facts and circumstances of that case in accordance with applicable law. You will not, by agreeing to the terms of the deposit agreement, be deemed to have waived our or the depositary’s compliance with U.S. federal securities laws or the rules and regulations promulgated thereunder.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Arbitration Provision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deposit agreement gives the depositary or an ADS holder asserting a claim against us the right to require us to submit that claim to binding arbitration in New York under the International Arbitration Rules of the American Arbitration Association, including any U.S. federal securities law claim. However, a claimant could also elect not to submit its claim to arbitration and instead bring its claim in any court having jurisdiction of it. The deposit agreement does not give us the right to require anyone to submit any claim to arbitration.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183</w:t>
      </w:r>
    </w:p>
    <w:p>
      <w:pPr>
        <w:sectPr>
          <w:pgSz w:w="11900" w:h="16838" w:orient="portrait"/>
          <w:cols w:equalWidth="0" w:num="1">
            <w:col w:w="11240"/>
          </w:cols>
          <w:pgMar w:left="320" w:top="341"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003082"/>
        </w:rPr>
        <w:t>SHARES ELIGIBLE FOR FUTURE SALE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Before this offering, there has not been a public market for our ordinary shares or the ADSs, and while the ADSs have been approved for listing on the Nasdaq Global Select Market, we cannot assure you that a significant public market for the ADSs will develop or be sustained after this offering. We do not expect that an active trading market will develop for our ordinary shares not represented by the ADSs. Future sales of substantial amounts of our ordinary shares or ADSs in the public markets after this offering, or the perception that such sales may occur, could adversely affect market prices prevailing from time to time.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As described below, only a limited number of our ordinary shares currently outstanding will be available for sale immediately after this offering due to contractual and legal restrictions on resale. Nevertheless, after these restrictions lapse, future sales of substantial amounts of ordinary shares or the ADSs in the public market in the United States, or the possibility of such sales, could negatively affect the market price in the United States of the ADSs and our ability to raise equity capital in the future.</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Upon completion of this offering and the concurrent private placement, we will have 17,500,000 ADSs outstanding, representing approximately 21.8% of our Class A ordinary shares (or 20,125,000 ADSs representing approximately 24.3% of our Class A ordinary shares if the underwriters exercise their over-allotment option in full). All of the ADSs sold in this offering and the Class A ordinary shares they represent will be freely transferable in the United States without restriction or further registration under the Securities Act. Class A ordinary shares held by our “affiliates,” as that term is defined in Rule 144 under the Securities Act, and ADSs purchased in this offering by participants in the directed ADS program who are subject to lock-up restrictions or who are restricted from selling by Rule 144, may not be resold except pursuant to an effective registration statement or an exemption from registration, including an exemption pursuant to Rule 144 under the Securities Act described below.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Lock-up Agreements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For a period of 180 days after the date of this prospectus, we have agreed, subject to certain exceptions, not to directly or indirectly offer,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(other than pursuant to employee stock option plans existing on, or upon the conversion or exchange of convertible or exchangeable securities outstanding as of, the date of this prospectus), without the prior written consent of the representative of the underwriters.</w:t>
      </w:r>
    </w:p>
    <w:p>
      <w:pPr>
        <w:spacing w:after="0" w:line="1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Furthermore, each of our directors and executive officers, and all of our existing shareholders and the concurrent private placement purchasers have also entered into a similar lock-up agreement for a period of 180 days from the date of this prospectus, subject to certain exceptions, with respect to our ordinary shares, ADSs and securities convertible into or exercisable or exchangeable for our ordinary shares or ADSs. These parties collectively own substantially all of our outstanding ordinary shares, without giving effect to this offering. In addition, we will not authorize or permit The Bank of New York Mellon, as depositary, to accept any deposit of any Class A ordinary shares or issue any ADSs for 180 days after the date of this prospectus unless we expressly consent to such deposit or issuance and we have agreed not to provide such consent without the prior written consent of the representatives on behalf of the underwriters. The foregoing does not affect the right of ADS holders to cancel their ADSs and withdraw the underlying Class A ordinary shares.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184</w:t>
      </w:r>
    </w:p>
    <w:p>
      <w:pPr>
        <w:sectPr>
          <w:pgSz w:w="11900" w:h="16838" w:orient="portrait"/>
          <w:cols w:equalWidth="0" w:num="1">
            <w:col w:w="11240"/>
          </w:cols>
          <w:pgMar w:left="320" w:top="445"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003082"/>
        </w:rPr>
        <w:t>Rule 144</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27" w:lineRule="exact"/>
        <w:rPr>
          <w:sz w:val="20"/>
          <w:szCs w:val="20"/>
          <w:color w:val="auto"/>
        </w:rPr>
      </w:pPr>
    </w:p>
    <w:p>
      <w:pPr>
        <w:jc w:val="both"/>
        <w:ind w:left="660" w:hanging="328"/>
        <w:spacing w:after="0" w:line="263" w:lineRule="auto"/>
        <w:tabs>
          <w:tab w:leader="none" w:pos="660" w:val="left"/>
        </w:tabs>
        <w:numPr>
          <w:ilvl w:val="0"/>
          <w:numId w:val="110"/>
        </w:numPr>
        <w:rPr>
          <w:rFonts w:ascii="Arial" w:cs="Arial" w:eastAsia="Arial" w:hAnsi="Arial"/>
          <w:sz w:val="18"/>
          <w:szCs w:val="18"/>
          <w:color w:val="003082"/>
        </w:rPr>
      </w:pPr>
      <w:r>
        <w:rPr>
          <w:rFonts w:ascii="Arial" w:cs="Arial" w:eastAsia="Arial" w:hAnsi="Arial"/>
          <w:sz w:val="18"/>
          <w:szCs w:val="18"/>
          <w:color w:val="003082"/>
        </w:rPr>
        <w:t>1% of the then outstanding Class A ordinary shares of the same class, in the form of ADSs or otherwise, which immediately after this offering and the concurrent private placement will equal 3,207,179 Class A ordinary shares, assuming the underwriters do not exercise their over-allotment option; or</w:t>
      </w:r>
    </w:p>
    <w:p>
      <w:pPr>
        <w:spacing w:after="0" w:line="129"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0"/>
        </w:numPr>
        <w:rPr>
          <w:rFonts w:ascii="Arial" w:cs="Arial" w:eastAsia="Arial" w:hAnsi="Arial"/>
          <w:sz w:val="18"/>
          <w:szCs w:val="18"/>
          <w:color w:val="003082"/>
        </w:rPr>
      </w:pPr>
      <w:r>
        <w:rPr>
          <w:rFonts w:ascii="Arial" w:cs="Arial" w:eastAsia="Arial" w:hAnsi="Arial"/>
          <w:sz w:val="18"/>
          <w:szCs w:val="18"/>
          <w:color w:val="003082"/>
        </w:rPr>
        <w:t>the average weekly trading volume of our ordinary shares of the same class, in the form of ADSs or otherwise, during the four calendar weeks preceding the date on which notice of the sale is filed with the SEC.</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Sales by our affiliates under Rule 144 are also subject to certain requirements relating to manner of sale, notice and the availability of current public information about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Rule 701</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Stock Options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As of May 31, 2020, options to purchase an aggregate of 43,694,845 of our ordinary shares were outstanding. We intend to file one or more registration statements on Form S-8 under the Securities Act to register the offer and sale of all of ordinary shares subject to outstanding stock options and all shares issued or issuable under our equity incentive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described above.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Registration Rights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Upon completion of this offering and the concurrent private placement, the holders of 204,917,991 Class A ordinary shares and 76,179,938 Class B ordinary shares will be eligible to exercise certain rights to cause us to register their shares for resale under the Securities Act, subject to various conditions and limitations. These registration rights are described in the section of this prospectus captioned “Description of Share Capital—Shareholders Agreement —Registration Rights.” Upon the effectiveness of a registration statement covering such shares, the shares would become freely tradable and a large number of shares may be sold into the public market, which may adversely affect the market price of our ADSs.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185</w:t>
      </w:r>
    </w:p>
    <w:p>
      <w:pPr>
        <w:sectPr>
          <w:pgSz w:w="11900" w:h="16838" w:orient="portrait"/>
          <w:cols w:equalWidth="0" w:num="1">
            <w:col w:w="11240"/>
          </w:cols>
          <w:pgMar w:left="320" w:top="445"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003082"/>
        </w:rPr>
        <w:t>TAXATION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003082"/>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(Hong Kong) LLP, our Cayman Islands counsel; to the extent it relates to PRC tax law, it is the opinion of King &amp; Wood Mallesons, our PRC counsel.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Cayman Islands Taxation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People’s Republic of China Taxation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003082"/>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a managing body that exercises substantive and overall management and control over the production and business, personnel, accounting books and assets of an enterprise. In April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w:t>
      </w:r>
    </w:p>
    <w:p>
      <w:pPr>
        <w:spacing w:after="0" w:line="12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We believe that Agora, Inc. is not a PRC resident enterprise for PRC tax purposes. Agora, Inc. is not controlled by a PRC enterprise or PRC enterprise group, and we do not believe that Agora, Inc. meets all of the conditions above. Agora, Inc. is a company incorporated outside of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If the PRC tax authorities determine that Agora, Inc. is a PRC resident enterprise for enterprise income tax purposes or if dividends we pay to our shareholders are otherwise treated as sourced from within the PRC, we may be required to withhold a 10% withholding tax from such dividends we pay to our shareholders that are non-resident enterprises,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186</w:t>
      </w:r>
    </w:p>
    <w:p>
      <w:pPr>
        <w:sectPr>
          <w:pgSz w:w="11900" w:h="16838" w:orient="portrait"/>
          <w:cols w:equalWidth="0" w:num="1">
            <w:col w:w="11240"/>
          </w:cols>
          <w:pgMar w:left="320" w:top="445" w:right="339" w:bottom="1440" w:gutter="0" w:footer="0" w:header="0"/>
        </w:sectPr>
      </w:pPr>
    </w:p>
    <w:bookmarkStart w:id="191" w:name="page192"/>
    <w:bookmarkEnd w:id="191"/>
    <w:p>
      <w:pPr>
        <w:jc w:val="both"/>
        <w:spacing w:after="0" w:line="272" w:lineRule="auto"/>
        <w:rPr>
          <w:sz w:val="20"/>
          <w:szCs w:val="20"/>
          <w:color w:val="auto"/>
        </w:rPr>
      </w:pPr>
      <w:r>
        <w:rPr>
          <w:rFonts w:ascii="Arial" w:cs="Arial" w:eastAsia="Arial" w:hAnsi="Arial"/>
          <w:sz w:val="17"/>
          <w:szCs w:val="17"/>
          <w:color w:val="003082"/>
        </w:rPr>
        <w:t>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if we are determined to be a PRC resident enterprise or if such dividends or gains are otherwise treated as sourced from within the PRC. If any PRC tax were to apply to such dividends or gains, it would generally apply at a rate of 20% unless a reduced rate is available under an applicable tax treaty. It is also unclear whether non-PRC shareholders of Agora, Inc. would be able to claim the benefits of any tax treaties between their country of tax residence and the PRC if Agora, Inc. is treated as a PRC resident enterprise.</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Furthermore, under Bulletin 7 and SAT Circular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subject to available preferential tax treatment under applicable tax treaties or similar arrangements, currently at a rate of 10% for the transfer of equity interests in a PRC resident enterprise. We and our non-PRC resident investors may be at risk of being required to file a return and being taxed under Bulletin 7 and SAT Circular 37, and we may be required to expend valuable resources to comply with Bulletin 7 and SAT Circular 37, or to establish that we should not be taxed under Bulletin 7 and SAT Circular 37.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U.S. Federal Income Tax Considerations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The following discussion is a summary of U.S. federal income tax considerations generally applicable to the ownership and disposition of the ADSs or ordinary shares by a U.S. Holder (as defined below) that acquires the ADSs in this offering and holds the ADSs or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net investment income,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127"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banks and other financial institutions;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insurance companies;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pension plans;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cooperatives;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regulated investment companies;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real estate investment trusts;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broker-dealers;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traders that elect to use a mark-to-market method of accounting;</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1"/>
        </w:numPr>
        <w:rPr>
          <w:rFonts w:ascii="Arial" w:cs="Arial" w:eastAsia="Arial" w:hAnsi="Arial"/>
          <w:sz w:val="18"/>
          <w:szCs w:val="18"/>
          <w:color w:val="003082"/>
        </w:rPr>
      </w:pPr>
      <w:r>
        <w:rPr>
          <w:rFonts w:ascii="Arial" w:cs="Arial" w:eastAsia="Arial" w:hAnsi="Arial"/>
          <w:sz w:val="18"/>
          <w:szCs w:val="18"/>
          <w:color w:val="003082"/>
        </w:rPr>
        <w:t>certain former U.S. citizens or long-term residents;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187</w:t>
      </w:r>
    </w:p>
    <w:p>
      <w:pPr>
        <w:sectPr>
          <w:pgSz w:w="11900" w:h="16838" w:orient="portrait"/>
          <w:cols w:equalWidth="0" w:num="1">
            <w:col w:w="11240"/>
          </w:cols>
          <w:pgMar w:left="320" w:top="341" w:right="339" w:bottom="1440" w:gutter="0" w:footer="0" w:header="0"/>
        </w:sectPr>
      </w:pPr>
    </w:p>
    <w:bookmarkStart w:id="192" w:name="page193"/>
    <w:bookmarkEnd w:id="192"/>
    <w:p>
      <w:pPr>
        <w:ind w:left="660" w:hanging="328"/>
        <w:spacing w:after="0"/>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tax-exempt entities (including private foundations);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persons liable for alternative minimum tax;</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holders who acquire their ADSs or ordinary shares pursuant to any employee share option or otherwise as compensation;</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investors that will hold their ADSs or ordinary shares as part of a straddle, hedge, conversion, constructive sale or other integrated transaction for U.S. federal income tax purposes;</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investors that have a functional currency other than the U.S. dollar;</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persons that actually or constructively own 10% or more of our stock (by vote or value);</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persons required to accelerate the recognition of any item of gross income with respect to their ADSs or ordinary shares as a result of such income being recognized on an applicable financial statement; or</w:t>
      </w:r>
    </w:p>
    <w:p>
      <w:pPr>
        <w:spacing w:after="0" w:line="116"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2"/>
        </w:numPr>
        <w:rPr>
          <w:rFonts w:ascii="Arial" w:cs="Arial" w:eastAsia="Arial" w:hAnsi="Arial"/>
          <w:sz w:val="18"/>
          <w:szCs w:val="18"/>
          <w:color w:val="003082"/>
        </w:rPr>
      </w:pPr>
      <w:r>
        <w:rPr>
          <w:rFonts w:ascii="Arial" w:cs="Arial" w:eastAsia="Arial" w:hAnsi="Arial"/>
          <w:sz w:val="18"/>
          <w:szCs w:val="18"/>
          <w:color w:val="003082"/>
        </w:rPr>
        <w:t>partnerships or other entities taxable as partnerships for U.S. federal income tax purposes, or persons holding ADSs or ordinary shares through such entities;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all of whom may be subject to tax rules that differ significantly from those discussed below.</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General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For purposes of this discussion, a “U.S. Holder” is a beneficial owner of the ADSs or ordinary shares that is, for U.S. federal income tax purposes:</w:t>
      </w:r>
    </w:p>
    <w:p>
      <w:pPr>
        <w:spacing w:after="0" w:line="194"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003082"/>
        </w:rPr>
      </w:pPr>
      <w:r>
        <w:rPr>
          <w:rFonts w:ascii="Arial" w:cs="Arial" w:eastAsia="Arial" w:hAnsi="Arial"/>
          <w:sz w:val="18"/>
          <w:szCs w:val="18"/>
          <w:color w:val="003082"/>
        </w:rPr>
        <w:t>an individual who is a citizen or resident of the United States;</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3"/>
        </w:numPr>
        <w:rPr>
          <w:rFonts w:ascii="Arial" w:cs="Arial" w:eastAsia="Arial" w:hAnsi="Arial"/>
          <w:sz w:val="18"/>
          <w:szCs w:val="18"/>
          <w:color w:val="003082"/>
        </w:rPr>
      </w:pPr>
      <w:r>
        <w:rPr>
          <w:rFonts w:ascii="Arial" w:cs="Arial" w:eastAsia="Arial" w:hAnsi="Arial"/>
          <w:sz w:val="18"/>
          <w:szCs w:val="18"/>
          <w:color w:val="003082"/>
        </w:rPr>
        <w:t>a corporation (or other entity treated as a corporation for U.S. federal income tax purposes) created in, or organized under the law of, the United States or any state thereof or the District of Columbia;</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13"/>
        </w:numPr>
        <w:rPr>
          <w:rFonts w:ascii="Arial" w:cs="Arial" w:eastAsia="Arial" w:hAnsi="Arial"/>
          <w:sz w:val="18"/>
          <w:szCs w:val="18"/>
          <w:color w:val="003082"/>
        </w:rPr>
      </w:pPr>
      <w:r>
        <w:rPr>
          <w:rFonts w:ascii="Arial" w:cs="Arial" w:eastAsia="Arial" w:hAnsi="Arial"/>
          <w:sz w:val="18"/>
          <w:szCs w:val="18"/>
          <w:color w:val="003082"/>
        </w:rPr>
        <w:t>an estate the income of which is includible in gross income for U.S. federal income tax purposes regardless of its source; or</w:t>
      </w:r>
    </w:p>
    <w:p>
      <w:pPr>
        <w:spacing w:after="0" w:line="171" w:lineRule="exact"/>
        <w:rPr>
          <w:rFonts w:ascii="Arial" w:cs="Arial" w:eastAsia="Arial" w:hAnsi="Arial"/>
          <w:sz w:val="18"/>
          <w:szCs w:val="18"/>
          <w:color w:val="003082"/>
        </w:rPr>
      </w:pPr>
    </w:p>
    <w:p>
      <w:pPr>
        <w:ind w:left="660" w:right="20" w:hanging="328"/>
        <w:spacing w:after="0" w:line="342" w:lineRule="auto"/>
        <w:tabs>
          <w:tab w:leader="none" w:pos="660" w:val="left"/>
        </w:tabs>
        <w:numPr>
          <w:ilvl w:val="0"/>
          <w:numId w:val="113"/>
        </w:numPr>
        <w:rPr>
          <w:rFonts w:ascii="Arial" w:cs="Arial" w:eastAsia="Arial" w:hAnsi="Arial"/>
          <w:sz w:val="16"/>
          <w:szCs w:val="16"/>
          <w:color w:val="003082"/>
        </w:rPr>
      </w:pPr>
      <w:r>
        <w:rPr>
          <w:rFonts w:ascii="Arial" w:cs="Arial" w:eastAsia="Arial" w:hAnsi="Arial"/>
          <w:sz w:val="16"/>
          <w:szCs w:val="16"/>
          <w:color w:val="003082"/>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 in a partnerships holding the ADSs or ordinary shares are urged to consult their tax advisors regarding an investment in the ADSs or ordinary shares.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Passive Foreign Investment Company Considerations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 non-U.S. corporation, such as our company, will be a PFIC, for U.S. federal income tax purposes for any fiscal year, if either (1) 75% or more of its gross income for such year consists of certain types of “passive” income or (2) 50% or more of the value of its assets (determined on the basis of a quarterly average) during such year is attributable to assets that produce or are held for the production of passive income. For this purpose, cash and assets readily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188</w:t>
      </w:r>
    </w:p>
    <w:p>
      <w:pPr>
        <w:sectPr>
          <w:pgSz w:w="11900" w:h="16838" w:orient="portrait"/>
          <w:cols w:equalWidth="0" w:num="1">
            <w:col w:w="11240"/>
          </w:cols>
          <w:pgMar w:left="320" w:top="341" w:right="339" w:bottom="1440" w:gutter="0" w:footer="0" w:header="0"/>
        </w:sectPr>
      </w:pPr>
    </w:p>
    <w:bookmarkStart w:id="193" w:name="page194"/>
    <w:bookmarkEnd w:id="193"/>
    <w:p>
      <w:pPr>
        <w:jc w:val="both"/>
        <w:spacing w:after="0" w:line="259" w:lineRule="auto"/>
        <w:rPr>
          <w:sz w:val="20"/>
          <w:szCs w:val="20"/>
          <w:color w:val="auto"/>
        </w:rPr>
      </w:pPr>
      <w:r>
        <w:rPr>
          <w:rFonts w:ascii="Arial" w:cs="Arial" w:eastAsia="Arial" w:hAnsi="Arial"/>
          <w:sz w:val="18"/>
          <w:szCs w:val="18"/>
          <w:color w:val="003082"/>
        </w:rPr>
        <w:t>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Although the law in this regard is not entirely clear, we treat our VIE as being owned by us for U.S. federal income tax purposes because we control its management decisions and are entitled to substantially all of the economic benefits associated with it. As a result, we consolidate its results of operations in our consolidated U.S. GAAP financial statements. If it were determined, however, that we are not deemed the owner of our VIE for U.S. federal income tax purposes, we would likely be treated as a PFIC for the current fiscal year and any subsequent fiscal year.</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003082"/>
        </w:rPr>
        <w:t>For purposes of the PFIC asset test, the value of our assets will generally be determined by reference to our market capitalization. However, if we are considered to be a CFC that is not “publicly traded” for purposes of the PFIC rules during the tested period, the value of our assets will generally be determined by reference to our adjusted bases in our assets. We do not believe that we are or will be a CFC following the offering. Therefore, assuming that we are deemed the owner of our VIE for U.S. federal income tax purposes and based on our current and projected income and assets, including the proceeds from this offering and the concurrent private placement, we do not expect to be a PFIC for the current fiscal year. However, the rules to determine CFC status are complex, and a tax authority may disagree with our determination. If we are considered to be a CFC following the offering, we expect to be a PFIC for the current fiscal year. In addition, we expect to be “publicly traded” for future fiscal years (as long as our ADSs are traded on the Nasdaq Stock Market). Accordingly, assuming that we are deemed the owner of our VIE for U.S. federal income tax purposes, and based upon our current and projected income and assets, including the proceeds from this offering and the concurrent private placement, and projections as to the value of our assets, we do not expect to be a PFIC for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fiscal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fiscal year or future fiscal years. Furthermore, the composition of our income and assets may also be affected by how, and how quickly, we use our liquid assets and the cash raised in this offering and the concurrent private placement.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If we are a PFIC for any year during which a U.S. Holder holds the ADSs or ordinary shares, the PFIC rules discussed below under “—Passive Foreign Investment Company Rules” generally will apply to such U.S. Holder for such fiscal year, and will apply in future years even if we cease to be a PFIC. However, if we cease to be a PFIC, a U.S. Holder can avoid the continuing impact of the PFIC rules by making a special election to recognize gain as if the U.S Holder’s ADSs or ordinary shares had been sold on the last day of the last taxable year during which we were a PFIC. You are urged to consult your own tax advisor about this election.</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discussion below under “—Dividends” and “—Sale or Other Disposition” is written on the basis that we will not be or become a PFIC for U.S. federal income tax purposes. The U.S. federal income tax rules that apply generally if we are treated as a PFIC are discussed below under “—Passive Foreign Investment Company Rules.”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Dividends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Any cash distributions paid on the ADSs or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189</w:t>
      </w:r>
    </w:p>
    <w:p>
      <w:pPr>
        <w:sectPr>
          <w:pgSz w:w="11900" w:h="16838" w:orient="portrait"/>
          <w:cols w:equalWidth="0" w:num="1">
            <w:col w:w="11240"/>
          </w:cols>
          <w:pgMar w:left="320" w:top="341" w:right="339" w:bottom="1440" w:gutter="0" w:footer="0" w:header="0"/>
        </w:sectPr>
      </w:pPr>
    </w:p>
    <w:bookmarkStart w:id="194" w:name="page195"/>
    <w:bookmarkEnd w:id="194"/>
    <w:p>
      <w:pPr>
        <w:spacing w:after="0"/>
        <w:rPr>
          <w:sz w:val="20"/>
          <w:szCs w:val="20"/>
          <w:color w:val="auto"/>
        </w:rPr>
      </w:pPr>
      <w:r>
        <w:rPr>
          <w:rFonts w:ascii="Arial" w:cs="Arial" w:eastAsia="Arial" w:hAnsi="Arial"/>
          <w:sz w:val="17"/>
          <w:szCs w:val="17"/>
          <w:color w:val="003082"/>
        </w:rPr>
        <w:t>shares will not be eligible for the dividends received deduction allowed to corporations in respect of dividends received from U.S. corporations.</w:t>
      </w:r>
    </w:p>
    <w:p>
      <w:pPr>
        <w:spacing w:after="0" w:line="1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Individuals and other non-corporate U.S. Holders will be subject to tax at the lower capital gain tax rate applicable to “qualified dividend income,” provided that certain conditions are satisfied, including that (1) the ADSs or ordinary shares with respect to which the dividends are paid are readily tradable on an established securities market in the United States, or, if we are deemed to be a PRC resident enterprise under the PRC tax law, we are eligible for the benefit of the United States-PRC income tax treaty, or the Treaty, (2) we are neither a PFIC nor treated as such with respect to a U.S. Holder (as discussed below) for the fiscal year in which the dividend is paid or the preceding fiscal year and (3) certain holding period requirements are met. The ADSs will be listed on the Nasdaq Global Select Market. We believe that the ADSs will be readily tradable on an established securities market in the United States and that we will be a qualified foreign corporation with respect to dividends paid on the ADSs. There can be no assurance that the ADSs will continue to be considered readily tradable on an established securities market in later years. Because the ordinary shares will not be listed on a U.S. exchange, dividends received with respect to ordinary shares that are not represented by ADSs may not be treated as qualified dividends. U.S. Holders are urged to consult their tax advisors regarding the availability of the lower rate for dividends paid with respect to the ADSs or ordinary shares.</w:t>
      </w:r>
    </w:p>
    <w:p>
      <w:pPr>
        <w:spacing w:after="0" w:line="11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If we are deemed to be a PRC resident enterprise under the PRC Enterprise Income Tax Law (see the section of this prospectus captioned “Taxation— People’s Republic of China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For U.S. foreign tax credit purposes, dividends paid on the ADSs or ordinary shares generally will be treated as income from foreign sources and generally will constitute passive category income. If PRC withholding taxes apply to dividends paid to a U.S. Holder with respect to the ADSs or ordinary shares, such U.S. Holder may be able to obtain a reduced rate of PRC withholding taxes under the Treaty if certain requirements are met. In addition, subject to certain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Sale or Other Disposition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if PRC tax were to be imposed on any gain from the disposition of the ADSs or ordinary shares, a U.S. Holder that is eligible for the benefits of the Treaty may elect to treat such gain as foreign source income. If a U.S. Holder is not eligible for the benefits of the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creditability of any PRC tax.</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Passive Foreign Investment Company Rules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If we are a PFIC for any fiscal year during which a U.S. Holder holds the ADSs or ordinary shares, and unless the U.S. Holder makes a mark-to-market election (as described below), the U.S. Holder will generally be subject to special tax rules on (1) any excess distribution that we make to the U.S. Holder (which generally means any distribution paid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190</w:t>
      </w:r>
    </w:p>
    <w:p>
      <w:pPr>
        <w:sectPr>
          <w:pgSz w:w="11900" w:h="16838" w:orient="portrait"/>
          <w:cols w:equalWidth="0" w:num="1">
            <w:col w:w="11240"/>
          </w:cols>
          <w:pgMar w:left="320" w:top="341" w:right="339" w:bottom="1440" w:gutter="0" w:footer="0" w:header="0"/>
        </w:sectPr>
      </w:pPr>
    </w:p>
    <w:bookmarkStart w:id="195" w:name="page196"/>
    <w:bookmarkEnd w:id="195"/>
    <w:p>
      <w:pPr>
        <w:jc w:val="both"/>
        <w:spacing w:after="0" w:line="263" w:lineRule="auto"/>
        <w:rPr>
          <w:sz w:val="20"/>
          <w:szCs w:val="20"/>
          <w:color w:val="auto"/>
        </w:rPr>
      </w:pPr>
      <w:r>
        <w:rPr>
          <w:rFonts w:ascii="Arial" w:cs="Arial" w:eastAsia="Arial" w:hAnsi="Arial"/>
          <w:sz w:val="18"/>
          <w:szCs w:val="18"/>
          <w:color w:val="003082"/>
        </w:rPr>
        <w:t>during a fiscal year to a U.S. Holder that is greater than 125% of the average annual distributions paid in the three preceding fiscal years or, if shorter, the U.S. Holder’s holding period for the ADSs or ordinary shares) and (2) any gain realized on the sale or other disposition of ADSs or ordinary shares. Under the PFIC rules:</w:t>
      </w:r>
    </w:p>
    <w:p>
      <w:pPr>
        <w:spacing w:after="0" w:line="130"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8"/>
          <w:szCs w:val="18"/>
          <w:color w:val="003082"/>
        </w:rPr>
      </w:pPr>
      <w:r>
        <w:rPr>
          <w:rFonts w:ascii="Arial" w:cs="Arial" w:eastAsia="Arial" w:hAnsi="Arial"/>
          <w:sz w:val="18"/>
          <w:szCs w:val="18"/>
          <w:color w:val="003082"/>
        </w:rPr>
        <w:t>the excess distribution or gain will be allocated ratably over the U.S. Holder’s holding period for the ADSs or ordinary shares;</w:t>
      </w:r>
    </w:p>
    <w:p>
      <w:pPr>
        <w:spacing w:after="0" w:line="171" w:lineRule="exact"/>
        <w:rPr>
          <w:rFonts w:ascii="Arial" w:cs="Arial" w:eastAsia="Arial" w:hAnsi="Arial"/>
          <w:sz w:val="18"/>
          <w:szCs w:val="18"/>
          <w:color w:val="003082"/>
        </w:rPr>
      </w:pPr>
    </w:p>
    <w:p>
      <w:pPr>
        <w:ind w:left="660" w:right="20" w:hanging="328"/>
        <w:spacing w:after="0" w:line="277" w:lineRule="auto"/>
        <w:tabs>
          <w:tab w:leader="none" w:pos="660" w:val="left"/>
        </w:tabs>
        <w:numPr>
          <w:ilvl w:val="0"/>
          <w:numId w:val="114"/>
        </w:numPr>
        <w:rPr>
          <w:rFonts w:ascii="Arial" w:cs="Arial" w:eastAsia="Arial" w:hAnsi="Arial"/>
          <w:sz w:val="18"/>
          <w:szCs w:val="18"/>
          <w:color w:val="003082"/>
        </w:rPr>
      </w:pPr>
      <w:r>
        <w:rPr>
          <w:rFonts w:ascii="Arial" w:cs="Arial" w:eastAsia="Arial" w:hAnsi="Arial"/>
          <w:sz w:val="18"/>
          <w:szCs w:val="18"/>
          <w:color w:val="003082"/>
        </w:rPr>
        <w:t>the amount allocated to the current fiscal year and any fiscal years in the U.S. Holder’s holding period prior to the first fiscal year in which we are a PFIC, each a pre-PFIC year, will be taxable as ordinary income; and</w:t>
      </w:r>
    </w:p>
    <w:p>
      <w:pPr>
        <w:spacing w:after="0" w:line="116"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114"/>
        </w:numPr>
        <w:rPr>
          <w:rFonts w:ascii="Arial" w:cs="Arial" w:eastAsia="Arial" w:hAnsi="Arial"/>
          <w:sz w:val="18"/>
          <w:szCs w:val="18"/>
          <w:color w:val="003082"/>
        </w:rPr>
      </w:pPr>
      <w:r>
        <w:rPr>
          <w:rFonts w:ascii="Arial" w:cs="Arial" w:eastAsia="Arial" w:hAnsi="Arial"/>
          <w:sz w:val="18"/>
          <w:szCs w:val="18"/>
          <w:color w:val="003082"/>
        </w:rPr>
        <w:t>the amount allocated to each prior fiscal year, other than a pre-PFIC year, will be subject to tax at the highest tax rate in effect for individuals or corporations, as appropriate, for that year, increased by an additional tax equal to the interest on the resulting tax deemed deferred with respect to each such fiscal year.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If we are a PFIC for any fiscal year during which a U.S. Holder holds the ADSs or ordinary shares and any of our subsidiaries, our VIE or any of the subsidiaries of our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VIE or any of the subsidiaries of our VIE.</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As an alternative to the foregoing rules, a U.S. Holder of “marketable stock” (as defined below) in a PFIC may make a mark-to-market election with respect to such stock. If a U.S. Holder makes this election with respect to the ADSs, the holder will generally (1) include as ordinary income for each fiscal year that we are a PFIC the excess, if any, of the fair market value of ADSs held at the end of the fiscal year over the adjusted tax basis of such ADSs and</w:t>
      </w:r>
    </w:p>
    <w:p>
      <w:pPr>
        <w:spacing w:after="0" w:line="2" w:lineRule="exact"/>
        <w:rPr>
          <w:sz w:val="20"/>
          <w:szCs w:val="20"/>
          <w:color w:val="auto"/>
        </w:rPr>
      </w:pPr>
    </w:p>
    <w:p>
      <w:pPr>
        <w:jc w:val="both"/>
        <w:ind w:firstLine="8"/>
        <w:spacing w:after="0" w:line="251" w:lineRule="auto"/>
        <w:tabs>
          <w:tab w:leader="none" w:pos="257" w:val="left"/>
        </w:tabs>
        <w:numPr>
          <w:ilvl w:val="0"/>
          <w:numId w:val="115"/>
        </w:numPr>
        <w:rPr>
          <w:rFonts w:ascii="Arial" w:cs="Arial" w:eastAsia="Arial" w:hAnsi="Arial"/>
          <w:sz w:val="18"/>
          <w:szCs w:val="18"/>
          <w:color w:val="003082"/>
        </w:rPr>
      </w:pPr>
      <w:r>
        <w:rPr>
          <w:rFonts w:ascii="Arial" w:cs="Arial" w:eastAsia="Arial" w:hAnsi="Arial"/>
          <w:sz w:val="18"/>
          <w:szCs w:val="18"/>
          <w:color w:val="003082"/>
        </w:rPr>
        <w:t>deduct as an ordinary loss in each such fiscal year the excess, if any, of the adjusted tax basis of the ADSs over the fair market value of such ADSs held at the end of the fiscal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a PFIC, the holder will not be required to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 The ADSs, but not our ordinary shares, will be treated as traded on a qualified exchange because the ADSs will be listed on the Nasdaq Global Select Market. We anticipate that the ADSs should qualify as being regularly traded, but no assurances may be given in this regard.</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Because a mark-to-market election cannot be made for any lower-tier PFICs that we may own, a U.S. Holder may continue to be subject to the general PFIC rules with respect to such U.S. Holder’s indirect interest in any investments held by us that are treated as an equity interest in a PFIC for U.S. federal income tax purposes.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We have not determined whether we will provide information necessary for U.S. Holders to make qualified electing fund elections which, if available, would result in tax treatment different from (and generally less adverse than) the general tax treatment for PFICs described above.</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If a U.S. Holder owns the ADSs or ordinary shares during any fiscal year that we are a PFIC, the holder must generally file an annual IRS Form 8621. You should consult your tax advisor regarding the U.S. federal income tax considerations of owning and disposing of the ADSs or ordinary shares if we are or become a PFIC, including the availability and possibility of making a mark-to-market election, qualified electing fund election or the special election described above under “—Passive Foreign Investment Company Considerations.”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191</w:t>
      </w:r>
    </w:p>
    <w:p>
      <w:pPr>
        <w:sectPr>
          <w:pgSz w:w="11900" w:h="16838" w:orient="portrait"/>
          <w:cols w:equalWidth="0" w:num="1">
            <w:col w:w="11240"/>
          </w:cols>
          <w:pgMar w:left="320" w:top="341" w:right="339" w:bottom="1440" w:gutter="0" w:footer="0" w:header="0"/>
        </w:sectPr>
      </w:pPr>
    </w:p>
    <w:bookmarkStart w:id="196" w:name="page197"/>
    <w:bookmarkEnd w:id="196"/>
    <w:p>
      <w:pPr>
        <w:ind w:left="340"/>
        <w:spacing w:after="0"/>
        <w:rPr>
          <w:sz w:val="20"/>
          <w:szCs w:val="20"/>
          <w:color w:val="auto"/>
        </w:rPr>
      </w:pPr>
      <w:r>
        <w:rPr>
          <w:rFonts w:ascii="Arial" w:cs="Arial" w:eastAsia="Arial" w:hAnsi="Arial"/>
          <w:sz w:val="18"/>
          <w:szCs w:val="18"/>
          <w:b w:val="1"/>
          <w:bCs w:val="1"/>
          <w:i w:val="1"/>
          <w:iCs w:val="1"/>
          <w:color w:val="003082"/>
        </w:rPr>
        <w:t>Information Reporting and Backup Withholding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U.S. Holders may be subject to information reporting to the IRS and U.S. backup withholding with respect to dividends on and proceeds from the sale or other disposition of the ADSs or ordinary shares. Backup withholding will not apply, however, to a U.S. Holder who furnishes a correct taxpayer identification number and makes any other required certification, or who is otherwise exempt from backup withholding.</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Information with Respect to Foreign Financial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Certain U.S. Holders may be required to report information relating to the ordinary shares or ADSs, subject to certain exceptions (including an exception for ordinary shares or ADSs held in accounts maintained by certain U.S. financial institutions). U.S. Holders should consult their tax advisors regarding their reporting obligations with respect to their ownership and disposition of the ordinary shares or ADSs.</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003082"/>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ORDINARY SHARES IN THEIR PARTICULAR CIRCUMSTANCES.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192</w:t>
      </w:r>
    </w:p>
    <w:p>
      <w:pPr>
        <w:sectPr>
          <w:pgSz w:w="11900" w:h="16838" w:orient="portrait"/>
          <w:cols w:equalWidth="0" w:num="1">
            <w:col w:w="11240"/>
          </w:cols>
          <w:pgMar w:left="320" w:top="449"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003082"/>
        </w:rPr>
        <w:t>UNDERWRITERS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Under the terms and subject to the conditions in an underwriting agreement dated the date of this prospectus, the underwriters named below, for whom Morgan Stanley &amp; Co. LLC and BofA Securities, Inc. are acting as representatives, have severally agreed to purchase, and we have agreed to sell to them, severally, the number of ADSs indicated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003082"/>
              </w:rPr>
              <w:t>Name</w:t>
            </w:r>
          </w:p>
        </w:tc>
        <w:tc>
          <w:tcPr>
            <w:tcW w:w="1560" w:type="dxa"/>
            <w:vAlign w:val="bottom"/>
          </w:tcPr>
          <w:p>
            <w:pPr>
              <w:jc w:val="right"/>
              <w:ind w:right="174"/>
              <w:spacing w:after="0"/>
              <w:rPr>
                <w:sz w:val="20"/>
                <w:szCs w:val="20"/>
                <w:color w:val="auto"/>
              </w:rPr>
            </w:pPr>
            <w:r>
              <w:rPr>
                <w:rFonts w:ascii="Arial" w:cs="Arial" w:eastAsia="Arial" w:hAnsi="Arial"/>
                <w:sz w:val="14"/>
                <w:szCs w:val="14"/>
                <w:b w:val="1"/>
                <w:bCs w:val="1"/>
                <w:color w:val="003082"/>
              </w:rPr>
              <w:t>Number of ADSs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003082"/>
              <w:bottom w:val="single" w:sz="8" w:color="CCEEFF"/>
            </w:tcBorders>
          </w:tcPr>
          <w:p>
            <w:pPr>
              <w:spacing w:after="0" w:line="20" w:lineRule="exact"/>
              <w:rPr>
                <w:sz w:val="1"/>
                <w:szCs w:val="1"/>
                <w:color w:val="auto"/>
              </w:rPr>
            </w:pPr>
          </w:p>
        </w:tc>
        <w:tc>
          <w:tcPr>
            <w:tcW w:w="92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3D5588"/>
            </w:tcBorders>
          </w:tcPr>
          <w:p>
            <w:pPr>
              <w:spacing w:after="0" w:line="20" w:lineRule="exact"/>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3082"/>
              </w:rPr>
              <w:t>Morgan Stanley &amp; Co. LLC</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9,695,000</w:t>
            </w:r>
          </w:p>
        </w:tc>
      </w:tr>
      <w:tr>
        <w:trPr>
          <w:trHeight w:val="243"/>
        </w:trPr>
        <w:tc>
          <w:tcPr>
            <w:tcW w:w="4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003082"/>
              </w:rPr>
              <w:t>BofA Securities, Inc.</w:t>
            </w:r>
          </w:p>
        </w:tc>
        <w:tc>
          <w:tcPr>
            <w:tcW w:w="1560" w:type="dxa"/>
            <w:vAlign w:val="bottom"/>
          </w:tcPr>
          <w:p>
            <w:pPr>
              <w:jc w:val="right"/>
              <w:ind w:right="14"/>
              <w:spacing w:after="0"/>
              <w:rPr>
                <w:sz w:val="20"/>
                <w:szCs w:val="20"/>
                <w:color w:val="auto"/>
              </w:rPr>
            </w:pPr>
            <w:r>
              <w:rPr>
                <w:rFonts w:ascii="Arial" w:cs="Arial" w:eastAsia="Arial" w:hAnsi="Arial"/>
                <w:sz w:val="18"/>
                <w:szCs w:val="18"/>
                <w:color w:val="003082"/>
              </w:rPr>
              <w:t>7,525,000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003082"/>
              </w:rPr>
              <w:t>Needham &amp; Company, LLC</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280,000</w:t>
            </w:r>
          </w:p>
        </w:tc>
      </w:tr>
      <w:tr>
        <w:trPr>
          <w:trHeight w:val="257"/>
        </w:trPr>
        <w:tc>
          <w:tcPr>
            <w:tcW w:w="40" w:type="dxa"/>
            <w:vAlign w:val="bottom"/>
          </w:tcPr>
          <w:p>
            <w:pPr>
              <w:spacing w:after="0"/>
              <w:rPr>
                <w:sz w:val="22"/>
                <w:szCs w:val="22"/>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003082"/>
              </w:rPr>
              <w:t>Total</w:t>
            </w:r>
          </w:p>
        </w:tc>
        <w:tc>
          <w:tcPr>
            <w:tcW w:w="1560" w:type="dxa"/>
            <w:vAlign w:val="bottom"/>
            <w:tcBorders>
              <w:top w:val="single" w:sz="8" w:color="3D5588"/>
              <w:bottom w:val="single" w:sz="8" w:color="3D5588"/>
            </w:tcBorders>
          </w:tcPr>
          <w:p>
            <w:pPr>
              <w:jc w:val="right"/>
              <w:ind w:right="14"/>
              <w:spacing w:after="0"/>
              <w:rPr>
                <w:sz w:val="20"/>
                <w:szCs w:val="20"/>
                <w:color w:val="auto"/>
              </w:rPr>
            </w:pPr>
            <w:r>
              <w:rPr>
                <w:rFonts w:ascii="Arial" w:cs="Arial" w:eastAsia="Arial" w:hAnsi="Arial"/>
                <w:sz w:val="18"/>
                <w:szCs w:val="18"/>
                <w:color w:val="003082"/>
              </w:rPr>
              <w:t>17,500,000</w:t>
            </w:r>
          </w:p>
        </w:tc>
      </w:tr>
      <w:tr>
        <w:trPr>
          <w:trHeight w:val="20"/>
        </w:trPr>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156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We have granted to the underwriters an option, exercisable for 30 days from the date of this prospectus, to purchase up to 2,625,000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following table shows the per ADS and total public offering price, underwriting discounts and commissions, and proceeds before expenses to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003082"/>
        </w:rPr>
        <w:t>These amounts are shown assuming both no exercise and full exercise of the underwriters’ option to purchase up to an additional 2,625,000 ADSs.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3D5588"/>
            </w:tcBorders>
          </w:tcPr>
          <w:p>
            <w:pPr>
              <w:spacing w:after="0"/>
              <w:rPr>
                <w:sz w:val="16"/>
                <w:szCs w:val="16"/>
                <w:color w:val="auto"/>
              </w:rPr>
            </w:pPr>
          </w:p>
        </w:tc>
        <w:tc>
          <w:tcPr>
            <w:tcW w:w="1380" w:type="dxa"/>
            <w:vAlign w:val="bottom"/>
            <w:tcBorders>
              <w:bottom w:val="single" w:sz="8" w:color="3D5588"/>
            </w:tcBorders>
          </w:tcPr>
          <w:p>
            <w:pPr>
              <w:spacing w:after="0"/>
              <w:rPr>
                <w:sz w:val="16"/>
                <w:szCs w:val="16"/>
                <w:color w:val="auto"/>
              </w:rPr>
            </w:pPr>
          </w:p>
        </w:tc>
        <w:tc>
          <w:tcPr>
            <w:tcW w:w="680" w:type="dxa"/>
            <w:vAlign w:val="bottom"/>
            <w:tcBorders>
              <w:bottom w:val="single" w:sz="8" w:color="3D5588"/>
            </w:tcBorders>
            <w:gridSpan w:val="3"/>
          </w:tcPr>
          <w:p>
            <w:pPr>
              <w:ind w:left="20"/>
              <w:spacing w:after="0"/>
              <w:rPr>
                <w:sz w:val="20"/>
                <w:szCs w:val="20"/>
                <w:color w:val="auto"/>
              </w:rPr>
            </w:pPr>
            <w:r>
              <w:rPr>
                <w:rFonts w:ascii="Arial" w:cs="Arial" w:eastAsia="Arial" w:hAnsi="Arial"/>
                <w:sz w:val="14"/>
                <w:szCs w:val="14"/>
                <w:b w:val="1"/>
                <w:bCs w:val="1"/>
                <w:color w:val="003082"/>
              </w:rPr>
              <w:t>Total</w:t>
            </w:r>
          </w:p>
        </w:tc>
        <w:tc>
          <w:tcPr>
            <w:tcW w:w="1500" w:type="dxa"/>
            <w:vAlign w:val="bottom"/>
            <w:tcBorders>
              <w:bottom w:val="single" w:sz="8" w:color="3D5588"/>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1320" w:type="dxa"/>
            <w:vAlign w:val="bottom"/>
            <w:tcBorders>
              <w:bottom w:val="single" w:sz="8" w:color="3D5588"/>
            </w:tcBorders>
          </w:tcPr>
          <w:p>
            <w:pPr>
              <w:ind w:left="700"/>
              <w:spacing w:after="0"/>
              <w:rPr>
                <w:sz w:val="20"/>
                <w:szCs w:val="20"/>
                <w:color w:val="auto"/>
              </w:rPr>
            </w:pPr>
            <w:r>
              <w:rPr>
                <w:rFonts w:ascii="Arial" w:cs="Arial" w:eastAsia="Arial" w:hAnsi="Arial"/>
                <w:sz w:val="14"/>
                <w:szCs w:val="14"/>
                <w:b w:val="1"/>
                <w:bCs w:val="1"/>
                <w:color w:val="003082"/>
              </w:rPr>
              <w:t>Per ADS</w:t>
            </w:r>
          </w:p>
        </w:tc>
        <w:tc>
          <w:tcPr>
            <w:tcW w:w="60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3D5588"/>
            </w:tcBorders>
          </w:tcPr>
          <w:p>
            <w:pPr>
              <w:spacing w:after="0"/>
              <w:rPr>
                <w:sz w:val="22"/>
                <w:szCs w:val="22"/>
                <w:color w:val="auto"/>
              </w:rPr>
            </w:pPr>
          </w:p>
        </w:tc>
        <w:tc>
          <w:tcPr>
            <w:tcW w:w="1380" w:type="dxa"/>
            <w:vAlign w:val="bottom"/>
            <w:tcBorders>
              <w:bottom w:val="single" w:sz="8" w:color="3D5588"/>
            </w:tcBorders>
          </w:tcPr>
          <w:p>
            <w:pPr>
              <w:jc w:val="right"/>
              <w:ind w:right="435"/>
              <w:spacing w:after="0"/>
              <w:rPr>
                <w:sz w:val="20"/>
                <w:szCs w:val="20"/>
                <w:color w:val="auto"/>
              </w:rPr>
            </w:pPr>
            <w:r>
              <w:rPr>
                <w:rFonts w:ascii="Arial" w:cs="Arial" w:eastAsia="Arial" w:hAnsi="Arial"/>
                <w:sz w:val="14"/>
                <w:szCs w:val="14"/>
                <w:b w:val="1"/>
                <w:bCs w:val="1"/>
                <w:color w:val="003082"/>
              </w:rPr>
              <w:t>No Exercise</w:t>
            </w:r>
          </w:p>
        </w:tc>
        <w:tc>
          <w:tcPr>
            <w:tcW w:w="100" w:type="dxa"/>
            <w:vAlign w:val="bottom"/>
            <w:tcBorders>
              <w:bottom w:val="single" w:sz="8" w:color="3D5588"/>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3D5588"/>
            </w:tcBorders>
          </w:tcPr>
          <w:p>
            <w:pPr>
              <w:spacing w:after="0"/>
              <w:rPr>
                <w:sz w:val="22"/>
                <w:szCs w:val="22"/>
                <w:color w:val="auto"/>
              </w:rPr>
            </w:pPr>
          </w:p>
        </w:tc>
        <w:tc>
          <w:tcPr>
            <w:tcW w:w="1500" w:type="dxa"/>
            <w:vAlign w:val="bottom"/>
            <w:tcBorders>
              <w:bottom w:val="single" w:sz="8" w:color="3D5588"/>
            </w:tcBorders>
          </w:tcPr>
          <w:p>
            <w:pPr>
              <w:jc w:val="right"/>
              <w:ind w:right="495"/>
              <w:spacing w:after="0"/>
              <w:rPr>
                <w:sz w:val="20"/>
                <w:szCs w:val="20"/>
                <w:color w:val="auto"/>
              </w:rPr>
            </w:pPr>
            <w:r>
              <w:rPr>
                <w:rFonts w:ascii="Arial" w:cs="Arial" w:eastAsia="Arial" w:hAnsi="Arial"/>
                <w:sz w:val="14"/>
                <w:szCs w:val="14"/>
                <w:b w:val="1"/>
                <w:bCs w:val="1"/>
                <w:color w:val="003082"/>
              </w:rPr>
              <w:t>Full Exercise</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Public offering price</w:t>
            </w:r>
          </w:p>
        </w:tc>
        <w:tc>
          <w:tcPr>
            <w:tcW w:w="1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US$</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US$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350,000,000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US$</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402,500,000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003082"/>
              </w:rPr>
              <w:t>Underwriting discounts and commissions to be paid by us</w:t>
            </w:r>
          </w:p>
        </w:tc>
        <w:tc>
          <w:tcPr>
            <w:tcW w:w="13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003082"/>
              </w:rPr>
              <w:t>1.40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003082"/>
              </w:rPr>
              <w:t>24,500,000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00" w:type="dxa"/>
            <w:vAlign w:val="bottom"/>
          </w:tcPr>
          <w:p>
            <w:pPr>
              <w:jc w:val="right"/>
              <w:ind w:right="15"/>
              <w:spacing w:after="0"/>
              <w:rPr>
                <w:sz w:val="20"/>
                <w:szCs w:val="20"/>
                <w:color w:val="auto"/>
              </w:rPr>
            </w:pPr>
            <w:r>
              <w:rPr>
                <w:rFonts w:ascii="Arial" w:cs="Arial" w:eastAsia="Arial" w:hAnsi="Arial"/>
                <w:sz w:val="18"/>
                <w:szCs w:val="18"/>
                <w:color w:val="003082"/>
              </w:rPr>
              <w:t>28,175,000</w:t>
            </w:r>
          </w:p>
        </w:tc>
      </w:tr>
      <w:tr>
        <w:trPr>
          <w:trHeight w:val="27"/>
        </w:trPr>
        <w:tc>
          <w:tcPr>
            <w:tcW w:w="5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Proceeds, before expenses, to us</w:t>
            </w:r>
          </w:p>
        </w:tc>
        <w:tc>
          <w:tcPr>
            <w:tcW w:w="13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003082"/>
              </w:rPr>
              <w:t>18.60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325,500,000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374,325,000</w:t>
            </w:r>
          </w:p>
        </w:tc>
      </w:tr>
      <w:tr>
        <w:trPr>
          <w:trHeight w:val="27"/>
        </w:trPr>
        <w:tc>
          <w:tcPr>
            <w:tcW w:w="5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estimated offering expenses payable by us, exclusive of the underwriting discounts and commissions, are approximately US$2.7 million. We have agreed to reimburse the underwriters for expenses relating to clearance of this offering with the Financial Industry Regulatory Authority up to US$25,000. The underwriters have agreed to reimburse us for approximately US$2.0 million of our expenses.</w:t>
      </w:r>
    </w:p>
    <w:p>
      <w:pPr>
        <w:spacing w:after="0" w:line="130" w:lineRule="exact"/>
        <w:rPr>
          <w:sz w:val="20"/>
          <w:szCs w:val="20"/>
          <w:color w:val="auto"/>
        </w:rPr>
      </w:pPr>
    </w:p>
    <w:p>
      <w:pPr>
        <w:ind w:left="340" w:right="140"/>
        <w:spacing w:after="0" w:line="465" w:lineRule="auto"/>
        <w:rPr>
          <w:sz w:val="20"/>
          <w:szCs w:val="20"/>
          <w:color w:val="auto"/>
        </w:rPr>
      </w:pPr>
      <w:r>
        <w:rPr>
          <w:rFonts w:ascii="Arial" w:cs="Arial" w:eastAsia="Arial" w:hAnsi="Arial"/>
          <w:sz w:val="18"/>
          <w:szCs w:val="18"/>
          <w:color w:val="003082"/>
        </w:rPr>
        <w:t>The underwriters have informed us that they do not intend sales to discretionary accounts to exceed 5% of the total number of ADSs offered by them. The ADSs have been approved for listing on the Nasdaq Global Select Market under the symbol “API.”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193</w:t>
      </w:r>
    </w:p>
    <w:p>
      <w:pPr>
        <w:sectPr>
          <w:pgSz w:w="11900" w:h="16838" w:orient="portrait"/>
          <w:cols w:equalWidth="0" w:num="1">
            <w:col w:w="11240"/>
          </w:cols>
          <w:pgMar w:left="320" w:top="445" w:right="339" w:bottom="1440" w:gutter="0" w:footer="0" w:header="0"/>
        </w:sectPr>
      </w:pPr>
    </w:p>
    <w:bookmarkStart w:id="198" w:name="page199"/>
    <w:bookmarkEnd w:id="198"/>
    <w:p>
      <w:pPr>
        <w:jc w:val="both"/>
        <w:ind w:right="20" w:firstLine="324"/>
        <w:spacing w:after="0" w:line="263" w:lineRule="auto"/>
        <w:rPr>
          <w:sz w:val="20"/>
          <w:szCs w:val="20"/>
          <w:color w:val="auto"/>
        </w:rPr>
      </w:pPr>
      <w:r>
        <w:rPr>
          <w:rFonts w:ascii="Arial" w:cs="Arial" w:eastAsia="Arial" w:hAnsi="Arial"/>
          <w:sz w:val="18"/>
          <w:szCs w:val="18"/>
          <w:color w:val="003082"/>
        </w:rPr>
        <w:t>In connection with this offering, we, our directors and executive officers, and all of our existing shareholders and the concurrent private placement purchasers have agreed that, subject to certain exceptions, without the prior written consent of the representatives on behalf of the underwriters, we and they will not, during the period ending 180 days after the date of this prospectus, or the restricted period:</w:t>
      </w:r>
    </w:p>
    <w:p>
      <w:pPr>
        <w:spacing w:after="0" w:line="130" w:lineRule="exact"/>
        <w:rPr>
          <w:sz w:val="20"/>
          <w:szCs w:val="20"/>
          <w:color w:val="auto"/>
        </w:rPr>
      </w:pPr>
    </w:p>
    <w:p>
      <w:pPr>
        <w:jc w:val="both"/>
        <w:ind w:left="660" w:hanging="328"/>
        <w:spacing w:after="0" w:line="263" w:lineRule="auto"/>
        <w:tabs>
          <w:tab w:leader="none" w:pos="660" w:val="left"/>
        </w:tabs>
        <w:numPr>
          <w:ilvl w:val="0"/>
          <w:numId w:val="116"/>
        </w:numPr>
        <w:rPr>
          <w:rFonts w:ascii="Arial" w:cs="Arial" w:eastAsia="Arial" w:hAnsi="Arial"/>
          <w:sz w:val="18"/>
          <w:szCs w:val="18"/>
          <w:color w:val="003082"/>
        </w:rPr>
      </w:pPr>
      <w:r>
        <w:rPr>
          <w:rFonts w:ascii="Arial" w:cs="Arial" w:eastAsia="Arial" w:hAnsi="Arial"/>
          <w:sz w:val="18"/>
          <w:szCs w:val="18"/>
          <w:color w:val="003082"/>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75"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6"/>
        </w:numPr>
        <w:rPr>
          <w:rFonts w:ascii="Arial" w:cs="Arial" w:eastAsia="Arial" w:hAnsi="Arial"/>
          <w:sz w:val="18"/>
          <w:szCs w:val="18"/>
          <w:color w:val="003082"/>
        </w:rPr>
      </w:pPr>
      <w:r>
        <w:rPr>
          <w:rFonts w:ascii="Arial" w:cs="Arial" w:eastAsia="Arial" w:hAnsi="Arial"/>
          <w:sz w:val="18"/>
          <w:szCs w:val="18"/>
          <w:color w:val="003082"/>
        </w:rPr>
        <w:t>file any registration statement with the SEC relating to the offering of any ordinary shares, ADSs or any securities convertible into or exercisable or exchangeable for ordinary shares or ADSs; or</w:t>
      </w:r>
    </w:p>
    <w:p>
      <w:pPr>
        <w:spacing w:after="0" w:line="62"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6"/>
        </w:numPr>
        <w:rPr>
          <w:rFonts w:ascii="Arial" w:cs="Arial" w:eastAsia="Arial" w:hAnsi="Arial"/>
          <w:sz w:val="18"/>
          <w:szCs w:val="18"/>
          <w:color w:val="003082"/>
        </w:rPr>
      </w:pPr>
      <w:r>
        <w:rPr>
          <w:rFonts w:ascii="Arial" w:cs="Arial" w:eastAsia="Arial" w:hAnsi="Arial"/>
          <w:sz w:val="18"/>
          <w:szCs w:val="18"/>
          <w:color w:val="003082"/>
        </w:rPr>
        <w:t>enter into any swap or other arrangement that transfers to another, in whole or in part, any of the economic consequences of ownership of the ordinary shares or ADSs,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003082"/>
        </w:rPr>
        <w:t>whether any such transaction described above is to be settled by delivery of ordinary shares, ADSs, or such other securities, in cash or otherwise. In addition, we and each such person have agreed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 Further, we will not authorize or permit The Bank of New York Mellon, as depositary, to accept any deposit of any Class A ordinary shares or issue any ADSs for 180 days after the date of this prospectus unless we expressly consent to such deposit or issuance and we have agreed not to provide such consent without the prior written consent of the representatives on behalf of the underwriters.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restrictions described in the immediately preceding paragraph do not apply to:</w:t>
      </w:r>
    </w:p>
    <w:p>
      <w:pPr>
        <w:spacing w:after="0" w:line="171"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003082"/>
        </w:rPr>
      </w:pPr>
      <w:r>
        <w:rPr>
          <w:rFonts w:ascii="Arial" w:cs="Arial" w:eastAsia="Arial" w:hAnsi="Arial"/>
          <w:sz w:val="18"/>
          <w:szCs w:val="18"/>
          <w:color w:val="003082"/>
        </w:rPr>
        <w:t>the sale of the ADSs and the underlying shares to the underwriters pursuant to the underwriting agreement;</w:t>
      </w:r>
    </w:p>
    <w:p>
      <w:pPr>
        <w:spacing w:after="0" w:line="117" w:lineRule="exact"/>
        <w:rPr>
          <w:rFonts w:ascii="Arial" w:cs="Arial" w:eastAsia="Arial" w:hAnsi="Arial"/>
          <w:sz w:val="18"/>
          <w:szCs w:val="18"/>
          <w:color w:val="003082"/>
        </w:rPr>
      </w:pPr>
    </w:p>
    <w:p>
      <w:pPr>
        <w:ind w:left="660" w:hanging="328"/>
        <w:spacing w:after="0"/>
        <w:tabs>
          <w:tab w:leader="none" w:pos="660" w:val="left"/>
        </w:tabs>
        <w:numPr>
          <w:ilvl w:val="0"/>
          <w:numId w:val="117"/>
        </w:numPr>
        <w:rPr>
          <w:rFonts w:ascii="Arial" w:cs="Arial" w:eastAsia="Arial" w:hAnsi="Arial"/>
          <w:sz w:val="17"/>
          <w:szCs w:val="17"/>
          <w:color w:val="003082"/>
        </w:rPr>
      </w:pPr>
      <w:r>
        <w:rPr>
          <w:rFonts w:ascii="Arial" w:cs="Arial" w:eastAsia="Arial" w:hAnsi="Arial"/>
          <w:sz w:val="17"/>
          <w:szCs w:val="17"/>
          <w:color w:val="003082"/>
        </w:rPr>
        <w:t>the issuance and sale of the Class A ordinary shares to the concurrent private placement purchasers as described in this prospectus;</w:t>
      </w:r>
    </w:p>
    <w:p>
      <w:pPr>
        <w:spacing w:after="0" w:line="128" w:lineRule="exact"/>
        <w:rPr>
          <w:rFonts w:ascii="Arial" w:cs="Arial" w:eastAsia="Arial" w:hAnsi="Arial"/>
          <w:sz w:val="17"/>
          <w:szCs w:val="17"/>
          <w:color w:val="003082"/>
        </w:rPr>
      </w:pPr>
    </w:p>
    <w:p>
      <w:pPr>
        <w:jc w:val="both"/>
        <w:ind w:left="660" w:hanging="328"/>
        <w:spacing w:after="0" w:line="263" w:lineRule="auto"/>
        <w:tabs>
          <w:tab w:leader="none" w:pos="660" w:val="left"/>
        </w:tabs>
        <w:numPr>
          <w:ilvl w:val="0"/>
          <w:numId w:val="117"/>
        </w:numPr>
        <w:rPr>
          <w:rFonts w:ascii="Arial" w:cs="Arial" w:eastAsia="Arial" w:hAnsi="Arial"/>
          <w:sz w:val="18"/>
          <w:szCs w:val="18"/>
          <w:color w:val="003082"/>
        </w:rPr>
      </w:pPr>
      <w:r>
        <w:rPr>
          <w:rFonts w:ascii="Arial" w:cs="Arial" w:eastAsia="Arial" w:hAnsi="Arial"/>
          <w:sz w:val="18"/>
          <w:szCs w:val="18"/>
          <w:color w:val="003082"/>
        </w:rPr>
        <w:t>the issuance by us of ordinary shares or ADSs pursuant to equity incentive plans existing on, or upon the exercise, conversion or exchange of exercisable, convertible or exchangeable securities outstanding as of, the date of the underwriting agreement and in each case described in this prospectus;</w:t>
      </w:r>
    </w:p>
    <w:p>
      <w:pPr>
        <w:spacing w:after="0" w:line="75" w:lineRule="exact"/>
        <w:rPr>
          <w:rFonts w:ascii="Arial" w:cs="Arial" w:eastAsia="Arial" w:hAnsi="Arial"/>
          <w:sz w:val="18"/>
          <w:szCs w:val="18"/>
          <w:color w:val="003082"/>
        </w:rPr>
      </w:pPr>
    </w:p>
    <w:p>
      <w:pPr>
        <w:jc w:val="both"/>
        <w:ind w:left="660" w:hanging="328"/>
        <w:spacing w:after="0" w:line="301" w:lineRule="auto"/>
        <w:tabs>
          <w:tab w:leader="none" w:pos="660" w:val="left"/>
        </w:tabs>
        <w:numPr>
          <w:ilvl w:val="0"/>
          <w:numId w:val="117"/>
        </w:numPr>
        <w:rPr>
          <w:rFonts w:ascii="Arial" w:cs="Arial" w:eastAsia="Arial" w:hAnsi="Arial"/>
          <w:sz w:val="16"/>
          <w:szCs w:val="16"/>
          <w:color w:val="003082"/>
        </w:rPr>
      </w:pPr>
      <w:r>
        <w:rPr>
          <w:rFonts w:ascii="Arial" w:cs="Arial" w:eastAsia="Arial" w:hAnsi="Arial"/>
          <w:sz w:val="16"/>
          <w:szCs w:val="16"/>
          <w:color w:val="003082"/>
        </w:rPr>
        <w:t>the conversion or reclassification of the outstanding preferred shares or other classes of our ordinary shares into Class A ordinary shares or Class B ordinary shares in connection with the consummation of this offering and in accordance with our amended and restated memorandum and articles of association that will become effective upon the completion of this offering, provided that any such Class A ordinary shares or Class B ordinary shares received upon such conversion or reclassification shall remain subject to the restrictions described above;</w:t>
      </w:r>
    </w:p>
    <w:p>
      <w:pPr>
        <w:spacing w:after="0" w:line="49" w:lineRule="exact"/>
        <w:rPr>
          <w:rFonts w:ascii="Arial" w:cs="Arial" w:eastAsia="Arial" w:hAnsi="Arial"/>
          <w:sz w:val="16"/>
          <w:szCs w:val="16"/>
          <w:color w:val="003082"/>
        </w:rPr>
      </w:pPr>
    </w:p>
    <w:p>
      <w:pPr>
        <w:jc w:val="both"/>
        <w:ind w:left="660" w:hanging="328"/>
        <w:spacing w:after="0" w:line="301" w:lineRule="auto"/>
        <w:tabs>
          <w:tab w:leader="none" w:pos="660" w:val="left"/>
        </w:tabs>
        <w:numPr>
          <w:ilvl w:val="0"/>
          <w:numId w:val="117"/>
        </w:numPr>
        <w:rPr>
          <w:rFonts w:ascii="Arial" w:cs="Arial" w:eastAsia="Arial" w:hAnsi="Arial"/>
          <w:sz w:val="16"/>
          <w:szCs w:val="16"/>
          <w:color w:val="003082"/>
        </w:rPr>
      </w:pPr>
      <w:r>
        <w:rPr>
          <w:rFonts w:ascii="Arial" w:cs="Arial" w:eastAsia="Arial" w:hAnsi="Arial"/>
          <w:sz w:val="16"/>
          <w:szCs w:val="16"/>
          <w:color w:val="003082"/>
        </w:rPr>
        <w:t>the establishment of a trading plan pursuant to Rule 10b5-1 under the Exchange Act for the transfer of ordinary shares or ADSs, provided that (1) such plan does not provide for the transfer of ordinary shares or ADSs during the restricted period and (2)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w:t>
      </w:r>
    </w:p>
    <w:p>
      <w:pPr>
        <w:spacing w:after="0" w:line="49" w:lineRule="exact"/>
        <w:rPr>
          <w:rFonts w:ascii="Arial" w:cs="Arial" w:eastAsia="Arial" w:hAnsi="Arial"/>
          <w:sz w:val="16"/>
          <w:szCs w:val="16"/>
          <w:color w:val="003082"/>
        </w:rPr>
      </w:pPr>
    </w:p>
    <w:p>
      <w:pPr>
        <w:ind w:left="660" w:hanging="328"/>
        <w:spacing w:after="0" w:line="277" w:lineRule="auto"/>
        <w:tabs>
          <w:tab w:leader="none" w:pos="660" w:val="left"/>
        </w:tabs>
        <w:numPr>
          <w:ilvl w:val="0"/>
          <w:numId w:val="117"/>
        </w:numPr>
        <w:rPr>
          <w:rFonts w:ascii="Arial" w:cs="Arial" w:eastAsia="Arial" w:hAnsi="Arial"/>
          <w:sz w:val="18"/>
          <w:szCs w:val="18"/>
          <w:color w:val="003082"/>
        </w:rPr>
      </w:pPr>
      <w:r>
        <w:rPr>
          <w:rFonts w:ascii="Arial" w:cs="Arial" w:eastAsia="Arial" w:hAnsi="Arial"/>
          <w:sz w:val="18"/>
          <w:szCs w:val="18"/>
          <w:color w:val="003082"/>
        </w:rPr>
        <w:t>the filing of any registration statement on Form S-8 relating to securities granted or to be granted pursuant to our equity incentive plans that are described in this prospectus;</w:t>
      </w:r>
    </w:p>
    <w:p>
      <w:pPr>
        <w:spacing w:after="0" w:line="62" w:lineRule="exact"/>
        <w:rPr>
          <w:rFonts w:ascii="Arial" w:cs="Arial" w:eastAsia="Arial" w:hAnsi="Arial"/>
          <w:sz w:val="18"/>
          <w:szCs w:val="18"/>
          <w:color w:val="003082"/>
        </w:rPr>
      </w:pPr>
    </w:p>
    <w:p>
      <w:pPr>
        <w:jc w:val="both"/>
        <w:ind w:left="660" w:hanging="328"/>
        <w:spacing w:after="0" w:line="257" w:lineRule="auto"/>
        <w:tabs>
          <w:tab w:leader="none" w:pos="660" w:val="left"/>
        </w:tabs>
        <w:numPr>
          <w:ilvl w:val="0"/>
          <w:numId w:val="117"/>
        </w:numPr>
        <w:rPr>
          <w:rFonts w:ascii="Arial" w:cs="Arial" w:eastAsia="Arial" w:hAnsi="Arial"/>
          <w:sz w:val="18"/>
          <w:szCs w:val="18"/>
          <w:color w:val="003082"/>
        </w:rPr>
      </w:pPr>
      <w:r>
        <w:rPr>
          <w:rFonts w:ascii="Arial" w:cs="Arial" w:eastAsia="Arial" w:hAnsi="Arial"/>
          <w:sz w:val="18"/>
          <w:szCs w:val="18"/>
          <w:color w:val="003082"/>
        </w:rPr>
        <w:t>the issuance by us of any class of ordinary shares or any securities convertible into or exercisable or exchangeable for any class of ordinary shares issued under a registration statement or pursuant to an exemption from registration in connection with one or more acquisitions by us or any of our subsidiaries of a company or a business, securities, property or assets of another person or entity or pursuant to an employee benefit plan assumed by us in connection with such acquisition, or a joint venture, commercial relationship or strategic alliance (or the entering into of an agreement or agreements with respect thereto), provided that the aggregate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194</w:t>
      </w:r>
    </w:p>
    <w:p>
      <w:pPr>
        <w:sectPr>
          <w:pgSz w:w="11900" w:h="16838" w:orient="portrait"/>
          <w:cols w:equalWidth="0" w:num="1">
            <w:col w:w="11240"/>
          </w:cols>
          <w:pgMar w:left="320" w:top="341" w:right="339" w:bottom="1440" w:gutter="0" w:footer="0" w:header="0"/>
        </w:sectPr>
      </w:pPr>
    </w:p>
    <w:bookmarkStart w:id="199" w:name="page200"/>
    <w:bookmarkEnd w:id="199"/>
    <w:p>
      <w:pPr>
        <w:jc w:val="both"/>
        <w:ind w:left="660"/>
        <w:spacing w:after="0" w:line="263" w:lineRule="auto"/>
        <w:rPr>
          <w:sz w:val="20"/>
          <w:szCs w:val="20"/>
          <w:color w:val="auto"/>
        </w:rPr>
      </w:pPr>
      <w:r>
        <w:rPr>
          <w:rFonts w:ascii="Arial" w:cs="Arial" w:eastAsia="Arial" w:hAnsi="Arial"/>
          <w:sz w:val="18"/>
          <w:szCs w:val="18"/>
          <w:color w:val="003082"/>
        </w:rPr>
        <w:t>number of ordinary shares that we may sell or issue or agree to sell or issue pursuant to this exception shall not exceed 5% of the total number of ordinary shares outstanding immediately following the completion of this offering and each recipient of such securities shall have, on or prior to the issuance of such securities, executed and delivered a lock-up agreement;</w:t>
      </w:r>
    </w:p>
    <w:p>
      <w:pPr>
        <w:spacing w:after="0" w:line="76" w:lineRule="exact"/>
        <w:rPr>
          <w:sz w:val="20"/>
          <w:szCs w:val="20"/>
          <w:color w:val="auto"/>
        </w:rPr>
      </w:pPr>
    </w:p>
    <w:p>
      <w:pPr>
        <w:jc w:val="both"/>
        <w:ind w:left="660" w:hanging="328"/>
        <w:spacing w:after="0" w:line="263" w:lineRule="auto"/>
        <w:tabs>
          <w:tab w:leader="none" w:pos="660" w:val="left"/>
        </w:tabs>
        <w:numPr>
          <w:ilvl w:val="0"/>
          <w:numId w:val="118"/>
        </w:numPr>
        <w:rPr>
          <w:rFonts w:ascii="Arial" w:cs="Arial" w:eastAsia="Arial" w:hAnsi="Arial"/>
          <w:sz w:val="18"/>
          <w:szCs w:val="18"/>
          <w:color w:val="003082"/>
        </w:rPr>
      </w:pPr>
      <w:r>
        <w:rPr>
          <w:rFonts w:ascii="Arial" w:cs="Arial" w:eastAsia="Arial" w:hAnsi="Arial"/>
          <w:sz w:val="18"/>
          <w:szCs w:val="18"/>
          <w:color w:val="003082"/>
        </w:rPr>
        <w:t>securities acquired in open market transactions after the completion of this offering, provided that no filing under Section 16(a) of the Exchange Act shall be required or shall be voluntarily made in connection with subsequent sales of ordinary shares or other securities acquired in such open market transactions;</w:t>
      </w:r>
    </w:p>
    <w:p>
      <w:pPr>
        <w:spacing w:after="0" w:line="75" w:lineRule="exact"/>
        <w:rPr>
          <w:rFonts w:ascii="Arial" w:cs="Arial" w:eastAsia="Arial" w:hAnsi="Arial"/>
          <w:sz w:val="18"/>
          <w:szCs w:val="18"/>
          <w:color w:val="003082"/>
        </w:rPr>
      </w:pPr>
    </w:p>
    <w:p>
      <w:pPr>
        <w:jc w:val="both"/>
        <w:ind w:left="660" w:hanging="328"/>
        <w:spacing w:after="0" w:line="255" w:lineRule="auto"/>
        <w:tabs>
          <w:tab w:leader="none" w:pos="660" w:val="left"/>
        </w:tabs>
        <w:numPr>
          <w:ilvl w:val="0"/>
          <w:numId w:val="118"/>
        </w:numPr>
        <w:rPr>
          <w:rFonts w:ascii="Arial" w:cs="Arial" w:eastAsia="Arial" w:hAnsi="Arial"/>
          <w:sz w:val="18"/>
          <w:szCs w:val="18"/>
          <w:color w:val="003082"/>
        </w:rPr>
      </w:pPr>
      <w:r>
        <w:rPr>
          <w:rFonts w:ascii="Arial" w:cs="Arial" w:eastAsia="Arial" w:hAnsi="Arial"/>
          <w:sz w:val="18"/>
          <w:szCs w:val="18"/>
          <w:color w:val="003082"/>
        </w:rPr>
        <w:t>transfers of ordinary shares or any security convertible into or exercisable or exchangeable for ordinary shares (1) as a bona fide gift or charitable contribution; (2) to an immediate family member or a trust for the direct or indirect benefit of the security holder or one or more immediate family members of the security holder; (3) by will or intestacy; (4) pursuant to a domestic relations order, divorce decree or court order; (5) to limited partners, general partners, members, stockholders or holders of similar equity interests, or other business entity that controls, is controlled by or managed by or is under common control with the undersigned; or (6) if the security holder is a trust, to a trustor or beneficiary of the trust or to the estate of a beneficiary of such trust;</w:t>
      </w:r>
    </w:p>
    <w:p>
      <w:pPr>
        <w:spacing w:after="0" w:line="84"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118"/>
        </w:numPr>
        <w:rPr>
          <w:rFonts w:ascii="Arial" w:cs="Arial" w:eastAsia="Arial" w:hAnsi="Arial"/>
          <w:sz w:val="18"/>
          <w:szCs w:val="18"/>
          <w:color w:val="003082"/>
        </w:rPr>
      </w:pPr>
      <w:r>
        <w:rPr>
          <w:rFonts w:ascii="Arial" w:cs="Arial" w:eastAsia="Arial" w:hAnsi="Arial"/>
          <w:sz w:val="18"/>
          <w:szCs w:val="18"/>
          <w:color w:val="003082"/>
        </w:rPr>
        <w:t>transfers of ordinary shares or any security convertible into or exercisable or exchangeable for ordinary shares to us pursuant to agreements under which we have the option to repurchase the security holder’s securities or a right of first refusal with respect to transfers of the security holder’s securities;</w:t>
      </w:r>
    </w:p>
    <w:p>
      <w:pPr>
        <w:spacing w:after="0" w:line="75" w:lineRule="exact"/>
        <w:rPr>
          <w:rFonts w:ascii="Arial" w:cs="Arial" w:eastAsia="Arial" w:hAnsi="Arial"/>
          <w:sz w:val="18"/>
          <w:szCs w:val="18"/>
          <w:color w:val="003082"/>
        </w:rPr>
      </w:pPr>
    </w:p>
    <w:p>
      <w:pPr>
        <w:jc w:val="both"/>
        <w:ind w:left="660" w:hanging="328"/>
        <w:spacing w:after="0" w:line="259" w:lineRule="auto"/>
        <w:tabs>
          <w:tab w:leader="none" w:pos="660" w:val="left"/>
        </w:tabs>
        <w:numPr>
          <w:ilvl w:val="0"/>
          <w:numId w:val="118"/>
        </w:numPr>
        <w:rPr>
          <w:rFonts w:ascii="Arial" w:cs="Arial" w:eastAsia="Arial" w:hAnsi="Arial"/>
          <w:sz w:val="18"/>
          <w:szCs w:val="18"/>
          <w:color w:val="003082"/>
        </w:rPr>
      </w:pPr>
      <w:r>
        <w:rPr>
          <w:rFonts w:ascii="Arial" w:cs="Arial" w:eastAsia="Arial" w:hAnsi="Arial"/>
          <w:sz w:val="18"/>
          <w:szCs w:val="18"/>
          <w:color w:val="003082"/>
        </w:rPr>
        <w:t>the exercise of a stock option granted under a stock incentive plan or stock purchase plan described in this prospectus, and the receipt by the security holder of ordinary shares upon such exercise, insofar as such option is outstanding as of the date of this prospectus and the exercise period for such option expires during the restricted period, provided that the underlying ordinary shares shall continue to be subject to the restrictions on transfer set forth in the lock-up agreement; or</w:t>
      </w:r>
    </w:p>
    <w:p>
      <w:pPr>
        <w:spacing w:after="0" w:line="78" w:lineRule="exact"/>
        <w:rPr>
          <w:rFonts w:ascii="Arial" w:cs="Arial" w:eastAsia="Arial" w:hAnsi="Arial"/>
          <w:sz w:val="18"/>
          <w:szCs w:val="18"/>
          <w:color w:val="003082"/>
        </w:rPr>
      </w:pPr>
    </w:p>
    <w:p>
      <w:pPr>
        <w:jc w:val="both"/>
        <w:ind w:left="660" w:hanging="328"/>
        <w:spacing w:after="0" w:line="257" w:lineRule="auto"/>
        <w:tabs>
          <w:tab w:leader="none" w:pos="660" w:val="left"/>
        </w:tabs>
        <w:numPr>
          <w:ilvl w:val="0"/>
          <w:numId w:val="118"/>
        </w:numPr>
        <w:rPr>
          <w:rFonts w:ascii="Arial" w:cs="Arial" w:eastAsia="Arial" w:hAnsi="Arial"/>
          <w:sz w:val="18"/>
          <w:szCs w:val="18"/>
          <w:color w:val="003082"/>
        </w:rPr>
      </w:pPr>
      <w:r>
        <w:rPr>
          <w:rFonts w:ascii="Arial" w:cs="Arial" w:eastAsia="Arial" w:hAnsi="Arial"/>
          <w:sz w:val="18"/>
          <w:szCs w:val="18"/>
          <w:color w:val="003082"/>
        </w:rPr>
        <w:t>through the disposition or forfeiture of the security holder’s securities to us to satisfy any income, employment or tax withholding and remittance obligations of the security holder or us in connection with the vesting of restricted stock, restricted stock units or other incentive awards settled in ordinary shares held by the security holder, provided that such restricted stock, restricted stock units or other incentive awards were granted under a stock incentive plan, stock purchase plan or pursuant to a contractual employment arrangement described in this prospectus and were outstanding as of the date of this prospectus,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003082"/>
        </w:rPr>
        <w:t>provided that in the case of transfers described in the ninth bullet in this paragraph, it shall be a condition to such transfer that each transferee, donee or distributee sign and deliver a lock-up letter agreement in substantially the same form as the transferring security holder’s lock-up agreement, and in the case of transfers described in the ninth through the twelfth bullets in this paragraph, it shall be a condition to such transfer that no filing under Section 16(a) of the Exchange Act, reporting a reduction in beneficial ownership of ordinary shares, shall be required or shall be voluntarily made during the restricted period.</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The representatives, in their sole discretion, may release the ordinary shares, ADSs and other securities subject to the lock-up agreements described above in whole or in part at any time. Subject to compliance with the notification requirements under FINRA Rule 5131 applicable to lock-up agreements with our directors or officers, if the representatives , in their sole discretion, agree to release or waive the restrictions set forth in a lock-up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 allotment option. The underwriters can close out a covered short sale by exercising the over-allotment option or purchasing ADSs in the open market. In determining the source of ADSs to close out a covered short sale, the underwriters will consider, among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195</w:t>
      </w:r>
    </w:p>
    <w:p>
      <w:pPr>
        <w:sectPr>
          <w:pgSz w:w="11900" w:h="16838" w:orient="portrait"/>
          <w:cols w:equalWidth="0" w:num="1">
            <w:col w:w="11240"/>
          </w:cols>
          <w:pgMar w:left="320" w:top="341" w:right="339" w:bottom="1440" w:gutter="0" w:footer="0" w:header="0"/>
        </w:sectPr>
      </w:pPr>
    </w:p>
    <w:bookmarkStart w:id="200" w:name="page201"/>
    <w:bookmarkEnd w:id="200"/>
    <w:p>
      <w:pPr>
        <w:jc w:val="both"/>
        <w:spacing w:after="0" w:line="272" w:lineRule="auto"/>
        <w:rPr>
          <w:sz w:val="20"/>
          <w:szCs w:val="20"/>
          <w:color w:val="auto"/>
        </w:rPr>
      </w:pPr>
      <w:r>
        <w:rPr>
          <w:rFonts w:ascii="Arial" w:cs="Arial" w:eastAsia="Arial" w:hAnsi="Arial"/>
          <w:sz w:val="17"/>
          <w:szCs w:val="17"/>
          <w:color w:val="003082"/>
        </w:rPr>
        <w:t>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We and the underwriters have agreed to indemnify each other against certain liabilities, including liabilities under the Securities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Certain of the underwriters are expected to make offers and sales both inside and outside the United States through their respective selling agents. Any offers or sales in the United States will be conducted by broker-dealers registered with the SEC.</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The address of Morgan Stanley &amp; Co. LLC is 1585 Broadway, New York, New York 10036, United States. The address of BofA Securities, Inc. is One Bryant Park, New York, NY 10036, United States. The address of Needham &amp; Company, LLC is 250 Park Avenue, New York, NY 10177,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Pricing of the Offering</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Directed ADS Program</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At our request, the underwriters have reserved up to 5% of the ADSs offered by this prospectus, for sale at the initial public offering price to our directors, non-executive employees and customers, to the extent permitted by local securities laws and regulations. If purchased by these persons, these ADSs will not be subject to a lock-up restriction except in the case of ADSs purchased by any director, which will be subject to a 180-day lock-up restriction.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196</w:t>
      </w:r>
    </w:p>
    <w:p>
      <w:pPr>
        <w:sectPr>
          <w:pgSz w:w="11900" w:h="16838" w:orient="portrait"/>
          <w:cols w:equalWidth="0" w:num="1">
            <w:col w:w="11240"/>
          </w:cols>
          <w:pgMar w:left="320" w:top="341" w:right="339" w:bottom="1440" w:gutter="0" w:footer="0" w:header="0"/>
        </w:sectPr>
      </w:pPr>
    </w:p>
    <w:bookmarkStart w:id="201" w:name="page202"/>
    <w:bookmarkEnd w:id="201"/>
    <w:p>
      <w:pPr>
        <w:jc w:val="both"/>
        <w:spacing w:after="0" w:line="273" w:lineRule="auto"/>
        <w:rPr>
          <w:sz w:val="20"/>
          <w:szCs w:val="20"/>
          <w:color w:val="auto"/>
        </w:rPr>
      </w:pPr>
      <w:r>
        <w:rPr>
          <w:rFonts w:ascii="Arial" w:cs="Arial" w:eastAsia="Arial" w:hAnsi="Arial"/>
          <w:sz w:val="17"/>
          <w:szCs w:val="17"/>
          <w:color w:val="003082"/>
        </w:rPr>
        <w:t>directed ADS program will be administered by Morgan Stanley &amp; Co. LLC. We do not know if these individuals will choose to purchase all or any portion of these reserved ADSs, but any purchases they do make will reduce the number of ADSs that are available to the general public. Any reserved ADSs that are not so purchased will be offered by the underwriters to the general public on the same terms as the other ADSs offered by this prospectus. We have agreed to indemnify Morgan Stanley &amp; Co. LLC and its affiliates against certain liabilities, including liabilities under the Securities Act, in connection with sales of the reserved ADSs. Other than the underwriting discount described on the front cover of this prospectus, the underwriters will not be entitled to any commission with respect to the ADSs sold pursuant to the directed ADS program.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Selling Restrictions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 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This prospectus:</w:t>
      </w:r>
    </w:p>
    <w:p>
      <w:pPr>
        <w:spacing w:after="0" w:line="171" w:lineRule="exact"/>
        <w:rPr>
          <w:sz w:val="20"/>
          <w:szCs w:val="20"/>
          <w:color w:val="auto"/>
        </w:rPr>
      </w:pPr>
    </w:p>
    <w:p>
      <w:pPr>
        <w:ind w:left="660" w:hanging="328"/>
        <w:spacing w:after="0" w:line="277" w:lineRule="auto"/>
        <w:tabs>
          <w:tab w:leader="none" w:pos="660" w:val="left"/>
        </w:tabs>
        <w:numPr>
          <w:ilvl w:val="0"/>
          <w:numId w:val="119"/>
        </w:numPr>
        <w:rPr>
          <w:rFonts w:ascii="Arial" w:cs="Arial" w:eastAsia="Arial" w:hAnsi="Arial"/>
          <w:sz w:val="18"/>
          <w:szCs w:val="18"/>
          <w:color w:val="003082"/>
        </w:rPr>
      </w:pPr>
      <w:r>
        <w:rPr>
          <w:rFonts w:ascii="Arial" w:cs="Arial" w:eastAsia="Arial" w:hAnsi="Arial"/>
          <w:sz w:val="18"/>
          <w:szCs w:val="18"/>
          <w:color w:val="003082"/>
        </w:rPr>
        <w:t>does not constitute a product disclosure document or a prospectus under Chapter 6D.2 of the Corporations Act 2001 (Cth), or the Corporations Act;</w:t>
      </w:r>
    </w:p>
    <w:p>
      <w:pPr>
        <w:spacing w:after="0" w:line="116"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119"/>
        </w:numPr>
        <w:rPr>
          <w:rFonts w:ascii="Arial" w:cs="Arial" w:eastAsia="Arial" w:hAnsi="Arial"/>
          <w:sz w:val="18"/>
          <w:szCs w:val="18"/>
          <w:color w:val="003082"/>
        </w:rPr>
      </w:pPr>
      <w:r>
        <w:rPr>
          <w:rFonts w:ascii="Arial" w:cs="Arial" w:eastAsia="Arial" w:hAnsi="Arial"/>
          <w:sz w:val="18"/>
          <w:szCs w:val="18"/>
          <w:color w:val="003082"/>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29" w:lineRule="exact"/>
        <w:rPr>
          <w:rFonts w:ascii="Arial" w:cs="Arial" w:eastAsia="Arial" w:hAnsi="Arial"/>
          <w:sz w:val="18"/>
          <w:szCs w:val="18"/>
          <w:color w:val="003082"/>
        </w:rPr>
      </w:pPr>
    </w:p>
    <w:p>
      <w:pPr>
        <w:jc w:val="both"/>
        <w:ind w:left="660" w:hanging="328"/>
        <w:spacing w:after="0" w:line="263" w:lineRule="auto"/>
        <w:tabs>
          <w:tab w:leader="none" w:pos="660" w:val="left"/>
        </w:tabs>
        <w:numPr>
          <w:ilvl w:val="0"/>
          <w:numId w:val="119"/>
        </w:numPr>
        <w:rPr>
          <w:rFonts w:ascii="Arial" w:cs="Arial" w:eastAsia="Arial" w:hAnsi="Arial"/>
          <w:sz w:val="18"/>
          <w:szCs w:val="18"/>
          <w:color w:val="003082"/>
        </w:rPr>
      </w:pPr>
      <w:r>
        <w:rPr>
          <w:rFonts w:ascii="Arial" w:cs="Arial" w:eastAsia="Arial" w:hAnsi="Arial"/>
          <w:sz w:val="18"/>
          <w:szCs w:val="18"/>
          <w:color w:val="003082"/>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29"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19"/>
        </w:numPr>
        <w:rPr>
          <w:rFonts w:ascii="Arial" w:cs="Arial" w:eastAsia="Arial" w:hAnsi="Arial"/>
          <w:sz w:val="18"/>
          <w:szCs w:val="18"/>
          <w:color w:val="003082"/>
        </w:rPr>
      </w:pPr>
      <w:r>
        <w:rPr>
          <w:rFonts w:ascii="Arial" w:cs="Arial" w:eastAsia="Arial" w:hAnsi="Arial"/>
          <w:sz w:val="18"/>
          <w:szCs w:val="18"/>
          <w:color w:val="003082"/>
        </w:rPr>
        <w:t>may only be provided in Australia to select investors who are able to demonstrate that they fall within one or more of the categories of investors, or Exempt Investors, available under section 708 of the Corporations Act.</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As any offer of ADSs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Canada</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The ADSs may be sold only to purchasers resident or located in the Provinces of Ontario, Québec, Alberta and British 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197</w:t>
      </w:r>
    </w:p>
    <w:p>
      <w:pPr>
        <w:sectPr>
          <w:pgSz w:w="11900" w:h="16838" w:orient="portrait"/>
          <w:cols w:equalWidth="0" w:num="1">
            <w:col w:w="11240"/>
          </w:cols>
          <w:pgMar w:left="320" w:top="341" w:right="339" w:bottom="1440" w:gutter="0" w:footer="0" w:header="0"/>
        </w:sectPr>
      </w:pPr>
    </w:p>
    <w:bookmarkStart w:id="202" w:name="page203"/>
    <w:bookmarkEnd w:id="202"/>
    <w:p>
      <w:pPr>
        <w:jc w:val="both"/>
        <w:spacing w:after="0" w:line="277" w:lineRule="auto"/>
        <w:rPr>
          <w:sz w:val="20"/>
          <w:szCs w:val="20"/>
          <w:color w:val="auto"/>
        </w:rPr>
      </w:pPr>
      <w:r>
        <w:rPr>
          <w:rFonts w:ascii="Arial" w:cs="Arial" w:eastAsia="Arial" w:hAnsi="Arial"/>
          <w:sz w:val="18"/>
          <w:szCs w:val="18"/>
          <w:color w:val="003082"/>
        </w:rPr>
        <w:t>Registrant Obligations. Any resale of the ADSs must be made in accordance with an exemption from, or in a transaction not subject to, the prospectus requirements of applicable securities laws.</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Cayman Islands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003082"/>
        </w:rPr>
        <w:t>This prospectus does not constitute a public offer of the ADSs or ordinary shares, whether by way of sale or subscription, in the Cayman Islands.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3082"/>
        </w:rPr>
        <w:t>ADSs or ordinary shares have not been offered or sold, and will not be offered or sold, directly or indirectly, in the Cayman Islands.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Dubai International Financial Centre, or DIFC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This prospectus relates to an Exempt Offer in accordance with the Markets Rules 2012 of the Dubai Financial Services Authority, or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European Economic Area and the United Kingdom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ADSs at any time under the following exemptions under the Prospectus Regulation:</w:t>
      </w:r>
    </w:p>
    <w:p>
      <w:pPr>
        <w:spacing w:after="0" w:line="134"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003082"/>
        </w:rPr>
      </w:pPr>
      <w:r>
        <w:rPr>
          <w:rFonts w:ascii="Arial" w:cs="Arial" w:eastAsia="Arial" w:hAnsi="Arial"/>
          <w:sz w:val="18"/>
          <w:szCs w:val="18"/>
          <w:color w:val="003082"/>
        </w:rPr>
        <w:t>to any legal entity which is a qualified investor as defined under the Prospectus Regulation;</w:t>
      </w:r>
    </w:p>
    <w:p>
      <w:pPr>
        <w:spacing w:after="0" w:line="171" w:lineRule="exact"/>
        <w:rPr>
          <w:rFonts w:ascii="Arial" w:cs="Arial" w:eastAsia="Arial" w:hAnsi="Arial"/>
          <w:sz w:val="18"/>
          <w:szCs w:val="18"/>
          <w:color w:val="003082"/>
        </w:rPr>
      </w:pPr>
    </w:p>
    <w:p>
      <w:pPr>
        <w:ind w:left="660" w:hanging="328"/>
        <w:spacing w:after="0" w:line="277" w:lineRule="auto"/>
        <w:tabs>
          <w:tab w:leader="none" w:pos="660" w:val="left"/>
        </w:tabs>
        <w:numPr>
          <w:ilvl w:val="0"/>
          <w:numId w:val="120"/>
        </w:numPr>
        <w:rPr>
          <w:rFonts w:ascii="Arial" w:cs="Arial" w:eastAsia="Arial" w:hAnsi="Arial"/>
          <w:sz w:val="18"/>
          <w:szCs w:val="18"/>
          <w:color w:val="003082"/>
        </w:rPr>
      </w:pPr>
      <w:r>
        <w:rPr>
          <w:rFonts w:ascii="Arial" w:cs="Arial" w:eastAsia="Arial" w:hAnsi="Arial"/>
          <w:sz w:val="18"/>
          <w:szCs w:val="18"/>
          <w:color w:val="003082"/>
        </w:rPr>
        <w:t>to fewer than 150 natural or legal persons (other than qualified investors as defined in the Prospectus Regulation), subject to obtaining the prior consent of the underwriters or the underwriters nominated by us for any such offer; or</w:t>
      </w:r>
    </w:p>
    <w:p>
      <w:pPr>
        <w:spacing w:after="0" w:line="116" w:lineRule="exact"/>
        <w:rPr>
          <w:rFonts w:ascii="Arial" w:cs="Arial" w:eastAsia="Arial" w:hAnsi="Arial"/>
          <w:sz w:val="18"/>
          <w:szCs w:val="18"/>
          <w:color w:val="003082"/>
        </w:rPr>
      </w:pPr>
    </w:p>
    <w:p>
      <w:pPr>
        <w:ind w:left="660" w:hanging="328"/>
        <w:spacing w:after="0"/>
        <w:tabs>
          <w:tab w:leader="none" w:pos="660" w:val="left"/>
        </w:tabs>
        <w:numPr>
          <w:ilvl w:val="0"/>
          <w:numId w:val="120"/>
        </w:numPr>
        <w:rPr>
          <w:rFonts w:ascii="Arial" w:cs="Arial" w:eastAsia="Arial" w:hAnsi="Arial"/>
          <w:sz w:val="18"/>
          <w:szCs w:val="18"/>
          <w:color w:val="003082"/>
        </w:rPr>
      </w:pPr>
      <w:r>
        <w:rPr>
          <w:rFonts w:ascii="Arial" w:cs="Arial" w:eastAsia="Arial" w:hAnsi="Arial"/>
          <w:sz w:val="18"/>
          <w:szCs w:val="18"/>
          <w:color w:val="003082"/>
        </w:rPr>
        <w:t>in any other circumstances falling within Article 1(4) of the Prospectus Regulation,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003082"/>
        </w:rPr>
        <w:t>provided that no such offer of securities described in this prospectus shall require us or any underwriter to publish a prospectus pursuant to Article 3 of the Prospectus Regulation or supplement a prospectus pursuant to Article 23 of the Prospectus Regulation.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198</w:t>
      </w:r>
    </w:p>
    <w:p>
      <w:pPr>
        <w:sectPr>
          <w:pgSz w:w="11900" w:h="16838" w:orient="portrait"/>
          <w:cols w:equalWidth="0" w:num="1">
            <w:col w:w="11240"/>
          </w:cols>
          <w:pgMar w:left="320" w:top="341" w:right="339" w:bottom="1440" w:gutter="0" w:footer="0" w:header="0"/>
        </w:sectPr>
      </w:pPr>
    </w:p>
    <w:bookmarkStart w:id="203" w:name="page204"/>
    <w:bookmarkEnd w:id="203"/>
    <w:p>
      <w:pPr>
        <w:jc w:val="both"/>
        <w:ind w:firstLine="324"/>
        <w:spacing w:after="0" w:line="286" w:lineRule="auto"/>
        <w:rPr>
          <w:sz w:val="20"/>
          <w:szCs w:val="20"/>
          <w:color w:val="auto"/>
        </w:rPr>
      </w:pPr>
      <w:r>
        <w:rPr>
          <w:rFonts w:ascii="Arial" w:cs="Arial" w:eastAsia="Arial" w:hAnsi="Arial"/>
          <w:sz w:val="17"/>
          <w:szCs w:val="17"/>
          <w:color w:val="003082"/>
        </w:rPr>
        <w:t>For the purposes of this provision, the expression “an offer of the ADSs to the public” in relation to any ADS in any Relevant State means the communication in any form and by any means of sufficient information on the terms of the offer and the ADSs to be offered so as to enable an investor to decide to purchase or subscribe for the ADSs, and the expression “Prospectus Regulation” means Regulation (EU) 2017/1129.</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Hong Kong</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The ADSs may not be offered or sold by means of any document other than (1) in circumstances which do not constitute an offer to the public within the meaning of the Companies Ordinance (Cap.32, Laws of Hong Kong), (2) to “professional investors” within the meaning of the Securities and Futures Ordinance (Cap.571, Laws of Hong Kong) and any rules promulgated thereunder or (3) in other circumstances which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promulgated thereunder.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Indonesia</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The offer contained herein does not constitute a public offering in Indonesia under Law No. 8 of 1995 on Capital Market. This prospectus may not be distributed in Indonesia and the ADSs may not be offered to more than 100 Indonesian parties or sold to more than 50 Indonesian parties or to Indonesian citizen wherever they are domiciled, or to Indonesian residents, in a manner which constitutes a public offering under the laws and regulations of Indonesia.</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Japan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The ADSs will not be offered or sold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rules and regulations of Japan. For purposes of this paragraph, “Japanese person” means any person resident in Japan, including any corporation or other entity organized under the laws of Japan.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Kuwait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Malaysia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(1) a closed end fund approved by the Commission, (2) a holder of a Capital Markets Services License, (3) a person who acquires the ADSs, as principal, if the offer is on terms that the ADSs may only be acquired at a consideration of not less than RM250,000 (or its equivalent in foreign currencies) for each transaction, (4) an individual whose total net personal assets or total net joint assets with his or her spouse exceeds RM3 million (or its equivalent in foreign currencies), excluding the value of the primary residence of</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199</w:t>
      </w:r>
    </w:p>
    <w:p>
      <w:pPr>
        <w:sectPr>
          <w:pgSz w:w="11900" w:h="16838" w:orient="portrait"/>
          <w:cols w:equalWidth="0" w:num="1">
            <w:col w:w="11240"/>
          </w:cols>
          <w:pgMar w:left="320" w:top="341" w:right="339" w:bottom="1440" w:gutter="0" w:footer="0" w:header="0"/>
        </w:sectPr>
      </w:pPr>
    </w:p>
    <w:bookmarkStart w:id="204" w:name="page205"/>
    <w:bookmarkEnd w:id="204"/>
    <w:p>
      <w:pPr>
        <w:jc w:val="both"/>
        <w:spacing w:after="0" w:line="288" w:lineRule="auto"/>
        <w:rPr>
          <w:sz w:val="20"/>
          <w:szCs w:val="20"/>
          <w:color w:val="auto"/>
        </w:rPr>
      </w:pPr>
      <w:r>
        <w:rPr>
          <w:rFonts w:ascii="Arial" w:cs="Arial" w:eastAsia="Arial" w:hAnsi="Arial"/>
          <w:sz w:val="16"/>
          <w:szCs w:val="16"/>
          <w:color w:val="003082"/>
        </w:rPr>
        <w:t>the individual, (5) an individual who has a gross annual income exceeding RM300,000 (or its equivalent in foreign currencies) per annum in the preceding twelve months, (6) an individual who, jointly with his or her spouse, has a gross annual income of RM400,000 (or its equivalent in foreign currencies), per annum in the preceding twelve months, (7) a corporation with total net assets exceeding RM10 million (or its equivalent in a foreign currencies) based on the last audited accounts, (8) a partnership with total net assets exceeding RM10 million (or its equivalent in foreign currencies), (9) a bank licensee or insurance licensee as defined in the Labuan Financial Services and Securities Act 2010, (10) an Islamic bank licensee or takaful licensee as defined in the Labuan Financial Services and Securities Act 2010 and (11) any other person as may be specified by the Commission; provided that, in the each of the preceding categories (1) to (11), the distribution of the ADSs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People’s Republic of China</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003082"/>
        </w:rPr>
        <w:t>This prospectus may not be circulated or distributed in the PRC and the ADSs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Qatar</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 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Saudi Arabia</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Singapore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This prospectus or any other offering material relating to our ADSs has not been registered as a prospectus with the Monetary Authority of Singapore under the Securities and Futures Act, Chapter 289 of Singapore, or the SFA. Accordingly, (1) our ADSs have not been, and will not be, offered or sold or made the subject of an invitation for subscription or purchase of such ADSs in Singapore and (2) this prospectus or any other document or material in connection with the offer or sale, or invitation for subscription or purchase, of our ADSs have not been and will not be circulated or distributed, whether directly or indirectly, to the public or any member of the public in Singapore other than (a) to an institutional investor as specified in Section 274 of the SFA, (b) to a relevant person (as defined in Section 275 of the SFA) and in accordance with the conditions specified in Section 275 of the SFA or (c) otherwise pursuant to, and in accordance with the conditions of, any other applicable provision of the SFA.</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South Korea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ADSs may not be offered, sold and delivered directly or indirectly, or offered or sold to any person for reoffering or resale, directly or indirectly, in South Korea or to any resident of South Korea except pursuant to the applicable laws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200</w:t>
      </w:r>
    </w:p>
    <w:p>
      <w:pPr>
        <w:sectPr>
          <w:pgSz w:w="11900" w:h="16838" w:orient="portrait"/>
          <w:cols w:equalWidth="0" w:num="1">
            <w:col w:w="11240"/>
          </w:cols>
          <w:pgMar w:left="320" w:top="341" w:right="339" w:bottom="1440" w:gutter="0" w:footer="0" w:header="0"/>
        </w:sectPr>
      </w:pPr>
    </w:p>
    <w:bookmarkStart w:id="205" w:name="page206"/>
    <w:bookmarkEnd w:id="205"/>
    <w:p>
      <w:pPr>
        <w:jc w:val="both"/>
        <w:ind w:right="20"/>
        <w:spacing w:after="0" w:line="342" w:lineRule="auto"/>
        <w:rPr>
          <w:sz w:val="20"/>
          <w:szCs w:val="20"/>
          <w:color w:val="auto"/>
        </w:rPr>
      </w:pPr>
      <w:r>
        <w:rPr>
          <w:rFonts w:ascii="Arial" w:cs="Arial" w:eastAsia="Arial" w:hAnsi="Arial"/>
          <w:sz w:val="16"/>
          <w:szCs w:val="16"/>
          <w:color w:val="003082"/>
        </w:rPr>
        <w:t>and regulations of South Korea, including the South Korea Securities and Exchange Act and the Foreign Exchange Transaction Law and the decrees and regulations thereunder. The ADSs have not been registered with the Financial Services Commission of South Korea for public offering in South Korea.</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Furthermore, the ADSs may not be resold to South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Switzerland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This prospectus is not intended to constitute an offer or solicitation to purchase or invest in the ADSs described herein. The ADSs may not be publicly offered, directly or indirectly, in Switzerland within the meaning of the Swiss Financial Services Act (“FinSA”) and no application has or will be made to admit the ADSs to trading on any trading venue (exchange or multilateral trading facility) in Switzerland. Neither this prospectus nor any other offering or marketing material relating to the ADSs constitutes a prospectus pursuant to the FinSA, and neither this prospectus nor any other offering or marketing material relating to the ADSs may be publicly distributed or otherwise made publicly available in Switzerland.</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Taiwan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Thailand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United Arab Emirates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United Kingdom</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003082"/>
        </w:rPr>
        <w:t>(1)-(3) together being referred to as “relevant persons”). The ADSs are only available to, and any invitation, offer or agreement to subscribe, purchase or otherwise acquire the ADSs will be engaged in only with, relevant persons. Any person who is not a relevant person should not act or rely on this prospectus or any of its contents.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201</w:t>
      </w:r>
    </w:p>
    <w:p>
      <w:pPr>
        <w:sectPr>
          <w:pgSz w:w="11900" w:h="16838" w:orient="portrait"/>
          <w:cols w:equalWidth="0" w:num="1">
            <w:col w:w="11240"/>
          </w:cols>
          <w:pgMar w:left="320" w:top="341" w:right="33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color w:val="003082"/>
        </w:rPr>
        <w:t>EXPENSES RELATED TO THIS OFFERING</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Set forth below is an itemization of the total expenses, excluding underwriting discounts and commissions, which are expected to be incurred in connection with the offer and sale of the ADSs by us. With the exception of the SEC registration fee and the Financial Industry Regulatory Authority filing fee, all amounts are estimates. The underwriters have agreed to reimburse us for approximately US$2.0 million of these expenses.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003082"/>
              </w:rPr>
              <w:t>SEC registration fee</w:t>
            </w:r>
          </w:p>
        </w:tc>
        <w:tc>
          <w:tcPr>
            <w:tcW w:w="484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US$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47,021</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003082"/>
              </w:rPr>
              <w:t>Nasdaq Global Select Market listing fee</w:t>
            </w:r>
          </w:p>
        </w:tc>
        <w:tc>
          <w:tcPr>
            <w:tcW w:w="4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150,000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Financial Industry Regulatory Authority filing fee</w:t>
            </w:r>
          </w:p>
        </w:tc>
        <w:tc>
          <w:tcPr>
            <w:tcW w:w="4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54,838</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003082"/>
              </w:rPr>
              <w:t>Printing and engraving expenses</w:t>
            </w:r>
          </w:p>
        </w:tc>
        <w:tc>
          <w:tcPr>
            <w:tcW w:w="4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160,000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Legal fees and expenses</w:t>
            </w:r>
          </w:p>
        </w:tc>
        <w:tc>
          <w:tcPr>
            <w:tcW w:w="48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1,720,913</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003082"/>
              </w:rPr>
              <w:t>Accounting fees and expenses</w:t>
            </w:r>
          </w:p>
        </w:tc>
        <w:tc>
          <w:tcPr>
            <w:tcW w:w="4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451,652</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Miscellaneous</w:t>
            </w:r>
          </w:p>
        </w:tc>
        <w:tc>
          <w:tcPr>
            <w:tcW w:w="48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102,261</w:t>
            </w:r>
          </w:p>
        </w:tc>
        <w:tc>
          <w:tcPr>
            <w:tcW w:w="0" w:type="dxa"/>
            <w:vAlign w:val="bottom"/>
          </w:tcPr>
          <w:p>
            <w:pPr>
              <w:spacing w:after="0"/>
              <w:rPr>
                <w:sz w:val="1"/>
                <w:szCs w:val="1"/>
                <w:color w:val="auto"/>
              </w:rPr>
            </w:pPr>
          </w:p>
        </w:tc>
      </w:tr>
      <w:tr>
        <w:trPr>
          <w:trHeight w:val="237"/>
        </w:trPr>
        <w:tc>
          <w:tcPr>
            <w:tcW w:w="4560" w:type="dxa"/>
            <w:vAlign w:val="bottom"/>
          </w:tcPr>
          <w:p>
            <w:pPr>
              <w:ind w:left="300"/>
              <w:spacing w:after="0"/>
              <w:rPr>
                <w:sz w:val="20"/>
                <w:szCs w:val="20"/>
                <w:color w:val="auto"/>
              </w:rPr>
            </w:pPr>
            <w:r>
              <w:rPr>
                <w:rFonts w:ascii="Arial" w:cs="Arial" w:eastAsia="Arial" w:hAnsi="Arial"/>
                <w:sz w:val="18"/>
                <w:szCs w:val="18"/>
                <w:color w:val="003082"/>
              </w:rPr>
              <w:t>Total</w:t>
            </w:r>
          </w:p>
        </w:tc>
        <w:tc>
          <w:tcPr>
            <w:tcW w:w="4840" w:type="dxa"/>
            <w:vAlign w:val="bottom"/>
          </w:tcPr>
          <w:p>
            <w:pPr>
              <w:spacing w:after="0"/>
              <w:rPr>
                <w:sz w:val="20"/>
                <w:szCs w:val="20"/>
                <w:color w:val="auto"/>
              </w:rPr>
            </w:pPr>
          </w:p>
        </w:tc>
        <w:tc>
          <w:tcPr>
            <w:tcW w:w="700" w:type="dxa"/>
            <w:vAlign w:val="bottom"/>
            <w:tcBorders>
              <w:top w:val="single" w:sz="8" w:color="3D5588"/>
            </w:tcBorders>
          </w:tcPr>
          <w:p>
            <w:pPr>
              <w:ind w:left="40"/>
              <w:spacing w:after="0"/>
              <w:rPr>
                <w:sz w:val="20"/>
                <w:szCs w:val="20"/>
                <w:color w:val="auto"/>
              </w:rPr>
            </w:pPr>
            <w:r>
              <w:rPr>
                <w:rFonts w:ascii="Arial" w:cs="Arial" w:eastAsia="Arial" w:hAnsi="Arial"/>
                <w:sz w:val="18"/>
                <w:szCs w:val="18"/>
                <w:color w:val="003082"/>
              </w:rPr>
              <w:t>US$</w:t>
            </w:r>
          </w:p>
        </w:tc>
        <w:tc>
          <w:tcPr>
            <w:tcW w:w="108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2,686,685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4840" w:type="dxa"/>
            <w:vAlign w:val="bottom"/>
            <w:vMerge w:val="restart"/>
          </w:tcPr>
          <w:p>
            <w:pPr>
              <w:jc w:val="right"/>
              <w:ind w:right="3550"/>
              <w:spacing w:after="0"/>
              <w:rPr>
                <w:sz w:val="20"/>
                <w:szCs w:val="20"/>
                <w:color w:val="auto"/>
              </w:rPr>
            </w:pPr>
            <w:r>
              <w:rPr>
                <w:rFonts w:ascii="Arial" w:cs="Arial" w:eastAsia="Arial" w:hAnsi="Arial"/>
                <w:sz w:val="18"/>
                <w:szCs w:val="18"/>
                <w:color w:val="003082"/>
              </w:rPr>
              <w:t>202</w:t>
            </w:r>
          </w:p>
        </w:tc>
        <w:tc>
          <w:tcPr>
            <w:tcW w:w="700" w:type="dxa"/>
            <w:vAlign w:val="bottom"/>
            <w:tcBorders>
              <w:bottom w:val="single" w:sz="8" w:color="3D5588"/>
            </w:tcBorders>
          </w:tcPr>
          <w:p>
            <w:pPr>
              <w:spacing w:after="0"/>
              <w:rPr>
                <w:sz w:val="2"/>
                <w:szCs w:val="2"/>
                <w:color w:val="auto"/>
              </w:rPr>
            </w:pPr>
          </w:p>
        </w:tc>
        <w:tc>
          <w:tcPr>
            <w:tcW w:w="10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840" w:type="dxa"/>
            <w:vAlign w:val="bottom"/>
            <w:vMerge w:val="continue"/>
          </w:tcPr>
          <w:p>
            <w:pPr>
              <w:spacing w:after="0" w:line="20" w:lineRule="exact"/>
              <w:rPr>
                <w:sz w:val="1"/>
                <w:szCs w:val="1"/>
                <w:color w:val="auto"/>
              </w:rPr>
            </w:pPr>
          </w:p>
        </w:tc>
        <w:tc>
          <w:tcPr>
            <w:tcW w:w="70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56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003082"/>
        </w:rPr>
        <w:t>CONCURRENT PRIVATE PLACEMENT</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003082"/>
        </w:rPr>
        <w:t>Immediately following the closing of this offering, Coatue CPP 10 LLC, which is an affiliate of one of our existing shareholders, Neumann Capital and an entity affiliated with Vitruvian Partners have agreed to purchase US$50.0 million, US$30.0 million and US$30.0 million of our Class A ordinary shares, respectively, from us in a private placement at a price per share equal to the initial public offering price adjusted for the ADS-to-Class A ordinary share ratio. Based on the initial public offering price of US$20.00 per ADS, Coatue CPP 10 LLC, Neumann Capital and an entity affiliated with Vitruvian Partners will purchase 10,000,000, 6,000,000 and 6,000,000 of our Class A ordinary shares, respectively, or 22,000,000 Class A ordinary shares in the aggregate. We will receive the full proceeds and will not pay any underwriting discounts or commissions with respect to the Class A ordinary shares that we sell in the concurrent private placement. The sale of the Class A ordinary shares in the concurrent private placement is contingent upon the completion of this offering but will not be registered in this offering. The Class A ordinary shares we sell in the concurrent private placement will be subject to lock-up agreements with the underwriters for a period of 180 days after the date of this prospectus.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203</w:t>
      </w:r>
    </w:p>
    <w:p>
      <w:pPr>
        <w:sectPr>
          <w:pgSz w:w="11900" w:h="16838" w:orient="portrait"/>
          <w:cols w:equalWidth="0" w:num="1">
            <w:col w:w="11240"/>
          </w:cols>
          <w:pgMar w:left="320" w:top="445"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003082"/>
        </w:rPr>
        <w:t>LEGAL MATTERS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We are being represented by Wilson Sonsini Goodrich &amp; Rosati, Professional Corporation, with respect to certain legal matters as to U.S. federal securities and New York State law. The underwriters are being represented by Simpson Thacher &amp; Bartlett LLP with respect to certain legal matters as to U.S. federal securities and New York State law. The validity of the Class A ordinary shares represented by the ADSs offered in this offering will be passed upon for us by Maples and Calder (Hong Kong) LLP. Certain legal matters as to PRC law will be passed upon for us by King &amp; Wood Mallesons and for the underwriters by Fangda Partners. Wilson Sonsini Goodrich &amp; Rosati, Professional Corporation may rely upon Maples and Calder (Hong Kong) LLP with respect to matters governed by Cayman Islands law and King &amp; Wood Mallesons with respect to matters governed by PRC law. Simpson Thacher &amp; Bartlett LLP may rely upon Fangda Partners with respect to matters governed by PRC law.</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EXPERTS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consolidated financial statements as of December 31, 2018 and 2019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office of PricewaterhouseCoopers Zhong Tian LLP is located at 11/F, PricewaterhouseCoopers Center, Link Square 2, 202 Hu Bin Road, Huangpu District, Shanghai 200021, the People’s Republic of China.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WHERE YOU CAN FIND ADDITIONAL INFORMATION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for further information with respect to us and the ADSs.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 xml:space="preserve">We are subject to periodic reporting and other informational requirements of the Exchange Act as applicable to foreign private issuers. Accordingly, we are required to file reports, including annual reports on Form 20-F, and other information with the SEC. Information regarding issuers that file electronically with the SEC, including reports, proxy and information statements and other information, can be obtained over the internet at the SEC’s website at </w:t>
      </w:r>
      <w:r>
        <w:rPr>
          <w:rFonts w:ascii="Arial" w:cs="Arial" w:eastAsia="Arial" w:hAnsi="Arial"/>
          <w:sz w:val="17"/>
          <w:szCs w:val="17"/>
          <w:i w:val="1"/>
          <w:iCs w:val="1"/>
          <w:color w:val="003082"/>
        </w:rPr>
        <w:t>www.sec.gov</w:t>
      </w:r>
      <w:r>
        <w:rPr>
          <w:rFonts w:ascii="Arial" w:cs="Arial" w:eastAsia="Arial" w:hAnsi="Arial"/>
          <w:sz w:val="17"/>
          <w:szCs w:val="17"/>
          <w:color w:val="003082"/>
        </w:rPr>
        <w:t>. You can request copies of documents, upon payment of a duplicating fee, by writing to the SEC.</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204</w:t>
      </w:r>
    </w:p>
    <w:p>
      <w:pPr>
        <w:sectPr>
          <w:pgSz w:w="11900" w:h="16838" w:orient="portrait"/>
          <w:cols w:equalWidth="0" w:num="1">
            <w:col w:w="11240"/>
          </w:cols>
          <w:pgMar w:left="320" w:top="445" w:right="339" w:bottom="1440" w:gutter="0" w:footer="0" w:header="0"/>
        </w:sectPr>
      </w:pPr>
    </w:p>
    <w:bookmarkStart w:id="209" w:name="page210"/>
    <w:bookmarkEnd w:id="209"/>
    <w:p>
      <w:pPr>
        <w:jc w:val="center"/>
        <w:ind w:right="40"/>
        <w:spacing w:after="0"/>
        <w:rPr>
          <w:sz w:val="20"/>
          <w:szCs w:val="20"/>
          <w:color w:val="auto"/>
        </w:rPr>
      </w:pPr>
      <w:r>
        <w:rPr>
          <w:rFonts w:ascii="Arial" w:cs="Arial" w:eastAsia="Arial" w:hAnsi="Arial"/>
          <w:sz w:val="18"/>
          <w:szCs w:val="18"/>
          <w:b w:val="1"/>
          <w:bCs w:val="1"/>
          <w:color w:val="003082"/>
        </w:rPr>
        <w:t>INDEX TO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560" w:type="dxa"/>
            <w:vAlign w:val="bottom"/>
            <w:tcBorders>
              <w:bottom w:val="single" w:sz="8" w:color="3D5588"/>
            </w:tcBorders>
          </w:tcPr>
          <w:p>
            <w:pPr>
              <w:jc w:val="right"/>
              <w:spacing w:after="0"/>
              <w:rPr>
                <w:sz w:val="20"/>
                <w:szCs w:val="20"/>
                <w:color w:val="auto"/>
              </w:rPr>
            </w:pPr>
            <w:r>
              <w:rPr>
                <w:rFonts w:ascii="Arial" w:cs="Arial" w:eastAsia="Arial" w:hAnsi="Arial"/>
                <w:sz w:val="14"/>
                <w:szCs w:val="14"/>
                <w:b w:val="1"/>
                <w:bCs w:val="1"/>
                <w:color w:val="003082"/>
              </w:rPr>
              <w:t>Page</w:t>
            </w:r>
          </w:p>
        </w:tc>
      </w:tr>
      <w:tr>
        <w:trPr>
          <w:trHeight w:val="243"/>
        </w:trPr>
        <w:tc>
          <w:tcPr>
            <w:tcW w:w="4920" w:type="dxa"/>
            <w:vAlign w:val="bottom"/>
          </w:tcPr>
          <w:p>
            <w:pPr>
              <w:spacing w:after="0"/>
              <w:rPr>
                <w:rFonts w:ascii="Arial" w:cs="Arial" w:eastAsia="Arial" w:hAnsi="Arial"/>
                <w:sz w:val="18"/>
                <w:szCs w:val="18"/>
                <w:color w:val="3D5588"/>
              </w:rPr>
            </w:pPr>
            <w:hyperlink w:anchor="page211">
              <w:r>
                <w:rPr>
                  <w:rFonts w:ascii="Arial" w:cs="Arial" w:eastAsia="Arial" w:hAnsi="Arial"/>
                  <w:sz w:val="18"/>
                  <w:szCs w:val="18"/>
                  <w:color w:val="3D5588"/>
                </w:rPr>
                <w:t>Report of Independent Registered Public Accounting Firm</w:t>
              </w:r>
            </w:hyperlink>
          </w:p>
        </w:tc>
        <w:tc>
          <w:tcPr>
            <w:tcW w:w="5720" w:type="dxa"/>
            <w:vAlign w:val="bottom"/>
          </w:tcPr>
          <w:p>
            <w:pPr>
              <w:spacing w:after="0"/>
              <w:rPr>
                <w:sz w:val="21"/>
                <w:szCs w:val="21"/>
                <w:color w:val="auto"/>
              </w:rPr>
            </w:pPr>
          </w:p>
        </w:tc>
        <w:tc>
          <w:tcPr>
            <w:tcW w:w="560" w:type="dxa"/>
            <w:vAlign w:val="bottom"/>
          </w:tcPr>
          <w:p>
            <w:pPr>
              <w:jc w:val="right"/>
              <w:spacing w:after="0"/>
              <w:rPr>
                <w:rFonts w:ascii="Arial" w:cs="Arial" w:eastAsia="Arial" w:hAnsi="Arial"/>
                <w:sz w:val="18"/>
                <w:szCs w:val="18"/>
                <w:color w:val="3D5588"/>
              </w:rPr>
            </w:pPr>
            <w:hyperlink w:anchor="page211">
              <w:r>
                <w:rPr>
                  <w:rFonts w:ascii="Arial" w:cs="Arial" w:eastAsia="Arial" w:hAnsi="Arial"/>
                  <w:sz w:val="18"/>
                  <w:szCs w:val="18"/>
                  <w:color w:val="3D5588"/>
                </w:rPr>
                <w:t>F-2</w:t>
              </w:r>
            </w:hyperlink>
          </w:p>
        </w:tc>
      </w:tr>
      <w:tr>
        <w:trPr>
          <w:trHeight w:val="270"/>
        </w:trPr>
        <w:tc>
          <w:tcPr>
            <w:tcW w:w="4920" w:type="dxa"/>
            <w:vAlign w:val="bottom"/>
          </w:tcPr>
          <w:p>
            <w:pPr>
              <w:spacing w:after="0"/>
              <w:rPr>
                <w:rFonts w:ascii="Arial" w:cs="Arial" w:eastAsia="Arial" w:hAnsi="Arial"/>
                <w:sz w:val="18"/>
                <w:szCs w:val="18"/>
                <w:color w:val="3D5588"/>
              </w:rPr>
            </w:pPr>
            <w:hyperlink w:anchor="page212">
              <w:r>
                <w:rPr>
                  <w:rFonts w:ascii="Arial" w:cs="Arial" w:eastAsia="Arial" w:hAnsi="Arial"/>
                  <w:sz w:val="18"/>
                  <w:szCs w:val="18"/>
                  <w:color w:val="3D5588"/>
                </w:rPr>
                <w:t>Consolidated Balance Sheets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3D5588"/>
              </w:rPr>
            </w:pPr>
            <w:hyperlink w:anchor="page212">
              <w:r>
                <w:rPr>
                  <w:rFonts w:ascii="Arial" w:cs="Arial" w:eastAsia="Arial" w:hAnsi="Arial"/>
                  <w:sz w:val="18"/>
                  <w:szCs w:val="18"/>
                  <w:color w:val="3D5588"/>
                </w:rPr>
                <w:t>F-3</w:t>
              </w:r>
            </w:hyperlink>
          </w:p>
        </w:tc>
      </w:tr>
      <w:tr>
        <w:trPr>
          <w:trHeight w:val="270"/>
        </w:trPr>
        <w:tc>
          <w:tcPr>
            <w:tcW w:w="4920" w:type="dxa"/>
            <w:vAlign w:val="bottom"/>
          </w:tcPr>
          <w:p>
            <w:pPr>
              <w:spacing w:after="0"/>
              <w:rPr>
                <w:rFonts w:ascii="Arial" w:cs="Arial" w:eastAsia="Arial" w:hAnsi="Arial"/>
                <w:sz w:val="18"/>
                <w:szCs w:val="18"/>
                <w:color w:val="3D5588"/>
              </w:rPr>
            </w:pPr>
            <w:hyperlink w:anchor="page214">
              <w:r>
                <w:rPr>
                  <w:rFonts w:ascii="Arial" w:cs="Arial" w:eastAsia="Arial" w:hAnsi="Arial"/>
                  <w:sz w:val="18"/>
                  <w:szCs w:val="18"/>
                  <w:color w:val="3D5588"/>
                </w:rPr>
                <w:t>Consolidated Statements of Comprehensive Income (Loss)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3D5588"/>
              </w:rPr>
            </w:pPr>
            <w:hyperlink w:anchor="page214">
              <w:r>
                <w:rPr>
                  <w:rFonts w:ascii="Arial" w:cs="Arial" w:eastAsia="Arial" w:hAnsi="Arial"/>
                  <w:sz w:val="18"/>
                  <w:szCs w:val="18"/>
                  <w:color w:val="3D5588"/>
                </w:rPr>
                <w:t>F-5</w:t>
              </w:r>
            </w:hyperlink>
          </w:p>
        </w:tc>
      </w:tr>
      <w:tr>
        <w:trPr>
          <w:trHeight w:val="270"/>
        </w:trPr>
        <w:tc>
          <w:tcPr>
            <w:tcW w:w="4920" w:type="dxa"/>
            <w:vAlign w:val="bottom"/>
          </w:tcPr>
          <w:p>
            <w:pPr>
              <w:spacing w:after="0"/>
              <w:rPr>
                <w:rFonts w:ascii="Arial" w:cs="Arial" w:eastAsia="Arial" w:hAnsi="Arial"/>
                <w:sz w:val="18"/>
                <w:szCs w:val="18"/>
                <w:color w:val="3D5588"/>
              </w:rPr>
            </w:pPr>
            <w:hyperlink w:anchor="page215">
              <w:r>
                <w:rPr>
                  <w:rFonts w:ascii="Arial" w:cs="Arial" w:eastAsia="Arial" w:hAnsi="Arial"/>
                  <w:sz w:val="18"/>
                  <w:szCs w:val="18"/>
                  <w:color w:val="3D5588"/>
                </w:rPr>
                <w:t>Consolidated Statements of Changes in Shareholders' Deficit</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3D5588"/>
              </w:rPr>
            </w:pPr>
            <w:hyperlink w:anchor="page215">
              <w:r>
                <w:rPr>
                  <w:rFonts w:ascii="Arial" w:cs="Arial" w:eastAsia="Arial" w:hAnsi="Arial"/>
                  <w:sz w:val="18"/>
                  <w:szCs w:val="18"/>
                  <w:color w:val="3D5588"/>
                </w:rPr>
                <w:t>F-6</w:t>
              </w:r>
            </w:hyperlink>
          </w:p>
        </w:tc>
      </w:tr>
      <w:tr>
        <w:trPr>
          <w:trHeight w:val="270"/>
        </w:trPr>
        <w:tc>
          <w:tcPr>
            <w:tcW w:w="4920" w:type="dxa"/>
            <w:vAlign w:val="bottom"/>
          </w:tcPr>
          <w:p>
            <w:pPr>
              <w:spacing w:after="0"/>
              <w:rPr>
                <w:rFonts w:ascii="Arial" w:cs="Arial" w:eastAsia="Arial" w:hAnsi="Arial"/>
                <w:sz w:val="18"/>
                <w:szCs w:val="18"/>
                <w:color w:val="3D5588"/>
              </w:rPr>
            </w:pPr>
            <w:hyperlink w:anchor="page216">
              <w:r>
                <w:rPr>
                  <w:rFonts w:ascii="Arial" w:cs="Arial" w:eastAsia="Arial" w:hAnsi="Arial"/>
                  <w:sz w:val="18"/>
                  <w:szCs w:val="18"/>
                  <w:color w:val="3D5588"/>
                </w:rPr>
                <w:t>Consolidated Statements of Cash Flows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3D5588"/>
              </w:rPr>
            </w:pPr>
            <w:hyperlink w:anchor="page216">
              <w:r>
                <w:rPr>
                  <w:rFonts w:ascii="Arial" w:cs="Arial" w:eastAsia="Arial" w:hAnsi="Arial"/>
                  <w:sz w:val="18"/>
                  <w:szCs w:val="18"/>
                  <w:color w:val="3D5588"/>
                </w:rPr>
                <w:t>F-7</w:t>
              </w:r>
            </w:hyperlink>
          </w:p>
        </w:tc>
      </w:tr>
      <w:tr>
        <w:trPr>
          <w:trHeight w:val="270"/>
        </w:trPr>
        <w:tc>
          <w:tcPr>
            <w:tcW w:w="4920" w:type="dxa"/>
            <w:vAlign w:val="bottom"/>
          </w:tcPr>
          <w:p>
            <w:pPr>
              <w:spacing w:after="0"/>
              <w:rPr>
                <w:rFonts w:ascii="Arial" w:cs="Arial" w:eastAsia="Arial" w:hAnsi="Arial"/>
                <w:sz w:val="18"/>
                <w:szCs w:val="18"/>
                <w:color w:val="3D5588"/>
              </w:rPr>
            </w:pPr>
            <w:hyperlink w:anchor="page217">
              <w:r>
                <w:rPr>
                  <w:rFonts w:ascii="Arial" w:cs="Arial" w:eastAsia="Arial" w:hAnsi="Arial"/>
                  <w:sz w:val="18"/>
                  <w:szCs w:val="18"/>
                  <w:color w:val="3D5588"/>
                </w:rPr>
                <w:t>Notes to the Consolidated Financial Statements</w:t>
              </w:r>
            </w:hyperlink>
          </w:p>
        </w:tc>
        <w:tc>
          <w:tcPr>
            <w:tcW w:w="5720" w:type="dxa"/>
            <w:vAlign w:val="bottom"/>
          </w:tcPr>
          <w:p>
            <w:pPr>
              <w:spacing w:after="0"/>
              <w:rPr>
                <w:sz w:val="23"/>
                <w:szCs w:val="23"/>
                <w:color w:val="auto"/>
              </w:rPr>
            </w:pPr>
          </w:p>
        </w:tc>
        <w:tc>
          <w:tcPr>
            <w:tcW w:w="560" w:type="dxa"/>
            <w:vAlign w:val="bottom"/>
          </w:tcPr>
          <w:p>
            <w:pPr>
              <w:jc w:val="right"/>
              <w:spacing w:after="0"/>
              <w:rPr>
                <w:rFonts w:ascii="Arial" w:cs="Arial" w:eastAsia="Arial" w:hAnsi="Arial"/>
                <w:sz w:val="18"/>
                <w:szCs w:val="18"/>
                <w:color w:val="3D5588"/>
              </w:rPr>
            </w:pPr>
            <w:hyperlink w:anchor="page217">
              <w:r>
                <w:rPr>
                  <w:rFonts w:ascii="Arial" w:cs="Arial" w:eastAsia="Arial" w:hAnsi="Arial"/>
                  <w:sz w:val="18"/>
                  <w:szCs w:val="18"/>
                  <w:color w:val="3D5588"/>
                </w:rPr>
                <w:t>F-8</w:t>
              </w:r>
            </w:hyperlink>
          </w:p>
        </w:tc>
      </w:tr>
      <w:tr>
        <w:trPr>
          <w:trHeight w:val="621"/>
        </w:trPr>
        <w:tc>
          <w:tcPr>
            <w:tcW w:w="4920" w:type="dxa"/>
            <w:vAlign w:val="bottom"/>
          </w:tcPr>
          <w:p>
            <w:pPr>
              <w:spacing w:after="0"/>
              <w:rPr>
                <w:sz w:val="24"/>
                <w:szCs w:val="24"/>
                <w:color w:val="auto"/>
              </w:rPr>
            </w:pPr>
          </w:p>
        </w:tc>
        <w:tc>
          <w:tcPr>
            <w:tcW w:w="6280" w:type="dxa"/>
            <w:vAlign w:val="bottom"/>
            <w:gridSpan w:val="2"/>
          </w:tcPr>
          <w:p>
            <w:pPr>
              <w:jc w:val="right"/>
              <w:ind w:right="5413"/>
              <w:spacing w:after="0"/>
              <w:rPr>
                <w:sz w:val="20"/>
                <w:szCs w:val="20"/>
                <w:color w:val="auto"/>
              </w:rPr>
            </w:pPr>
            <w:r>
              <w:rPr>
                <w:rFonts w:ascii="Arial" w:cs="Arial" w:eastAsia="Arial" w:hAnsi="Arial"/>
                <w:sz w:val="18"/>
                <w:szCs w:val="18"/>
                <w:color w:val="003082"/>
              </w:rPr>
              <w:t>F-1</w:t>
            </w:r>
          </w:p>
        </w:tc>
      </w:tr>
    </w:tbl>
    <w:p>
      <w:pPr>
        <w:sectPr>
          <w:pgSz w:w="11900" w:h="16838" w:orient="portrait"/>
          <w:cols w:equalWidth="0" w:num="1">
            <w:col w:w="11200"/>
          </w:cols>
          <w:pgMar w:left="360" w:top="445"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003082"/>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003082"/>
        </w:rPr>
        <w:t>To the Board of Directors and Shareholders of Agora,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Opinion on the Financial Statements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We have audited the accompanying consolidated balance sheets of Agora, Inc. and its subsidiaries (the “Company”) as of December 31, 2019 and 2018, and the related consolidated statements of comprehensive income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3082"/>
        </w:rPr>
        <w:t>Basis for Opinion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003082"/>
        </w:rPr>
        <w:t>/s/ 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03082"/>
        </w:rPr>
        <w:t>Shanghai, the People’s Republic of China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003082"/>
        </w:rPr>
        <w:t>March 9,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003082"/>
        </w:rPr>
        <w:t>We have served as the Company’s auditor since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w:t>
      </w:r>
    </w:p>
    <w:p>
      <w:pPr>
        <w:sectPr>
          <w:pgSz w:w="11900" w:h="16838" w:orient="portrait"/>
          <w:cols w:equalWidth="0" w:num="1">
            <w:col w:w="11240"/>
          </w:cols>
          <w:pgMar w:left="320" w:top="445"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AS OF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1880" w:type="dxa"/>
            <w:vAlign w:val="bottom"/>
            <w:tcBorders>
              <w:bottom w:val="single" w:sz="8" w:color="3D5588"/>
            </w:tcBorders>
            <w:gridSpan w:val="3"/>
          </w:tcPr>
          <w:p>
            <w:pPr>
              <w:jc w:val="right"/>
              <w:spacing w:after="0"/>
              <w:rPr>
                <w:sz w:val="20"/>
                <w:szCs w:val="20"/>
                <w:color w:val="auto"/>
              </w:rPr>
            </w:pPr>
            <w:r>
              <w:rPr>
                <w:rFonts w:ascii="Arial" w:cs="Arial" w:eastAsia="Arial" w:hAnsi="Arial"/>
                <w:sz w:val="14"/>
                <w:szCs w:val="14"/>
                <w:b w:val="1"/>
                <w:bCs w:val="1"/>
                <w:color w:val="003082"/>
              </w:rPr>
              <w:t>As of December 31,</w:t>
            </w:r>
          </w:p>
        </w:tc>
        <w:tc>
          <w:tcPr>
            <w:tcW w:w="102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3D5588"/>
            </w:tcBorders>
          </w:tcPr>
          <w:p>
            <w:pPr>
              <w:spacing w:after="0"/>
              <w:rPr>
                <w:sz w:val="22"/>
                <w:szCs w:val="22"/>
                <w:color w:val="auto"/>
              </w:rPr>
            </w:pPr>
          </w:p>
        </w:tc>
        <w:tc>
          <w:tcPr>
            <w:tcW w:w="1020" w:type="dxa"/>
            <w:vAlign w:val="bottom"/>
            <w:tcBorders>
              <w:bottom w:val="single" w:sz="8" w:color="3D5588"/>
            </w:tcBorders>
          </w:tcPr>
          <w:p>
            <w:pPr>
              <w:jc w:val="right"/>
              <w:ind w:right="551"/>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Current assets: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108,518,039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003082"/>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w w:val="89"/>
              </w:rPr>
              <w:t>105,603,153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Short-term investments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1,457,046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11,659,275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w w:val="99"/>
              </w:rPr>
              <w:t>16,247,565</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Prepayments and other current assets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1,608,018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003082"/>
              </w:rPr>
              <w:t>1,381,037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10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123,242,378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w w:val="89"/>
              </w:rPr>
              <w:t>123,231,755</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Non-current assets: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Borders>
              <w:top w:val="single" w:sz="8" w:color="3D5588"/>
            </w:tcBorders>
          </w:tcPr>
          <w:p>
            <w:pPr>
              <w:spacing w:after="0"/>
              <w:rPr>
                <w:sz w:val="20"/>
                <w:szCs w:val="20"/>
                <w:color w:val="auto"/>
              </w:rPr>
            </w:pPr>
          </w:p>
        </w:tc>
        <w:tc>
          <w:tcPr>
            <w:tcW w:w="1020" w:type="dxa"/>
            <w:vAlign w:val="bottom"/>
            <w:tcBorders>
              <w:top w:val="single" w:sz="8" w:color="3D5588"/>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3,124,571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6,281,990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Deferred tax assets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512,093</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003082"/>
              </w:rPr>
              <w:t>836,514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429,089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808,862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non-current assets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4,065,753</w:t>
            </w:r>
          </w:p>
        </w:tc>
        <w:tc>
          <w:tcPr>
            <w:tcW w:w="120" w:type="dxa"/>
            <w:vAlign w:val="bottom"/>
          </w:tcPr>
          <w:p>
            <w:pPr>
              <w:spacing w:after="0"/>
              <w:rPr>
                <w:sz w:val="20"/>
                <w:szCs w:val="20"/>
                <w:color w:val="auto"/>
              </w:rPr>
            </w:pPr>
          </w:p>
        </w:tc>
        <w:tc>
          <w:tcPr>
            <w:tcW w:w="540" w:type="dxa"/>
            <w:vAlign w:val="bottom"/>
            <w:tcBorders>
              <w:top w:val="single" w:sz="8" w:color="3D5588"/>
            </w:tcBorders>
          </w:tcPr>
          <w:p>
            <w:pPr>
              <w:spacing w:after="0"/>
              <w:rPr>
                <w:sz w:val="20"/>
                <w:szCs w:val="20"/>
                <w:color w:val="auto"/>
              </w:rPr>
            </w:pPr>
          </w:p>
        </w:tc>
        <w:tc>
          <w:tcPr>
            <w:tcW w:w="102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7,927,366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10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assets</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127,308,131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3D5588"/>
            </w:tcBorders>
            <w:shd w:val="clear" w:color="auto" w:fill="CCEEFF"/>
          </w:tcPr>
          <w:p>
            <w:pPr>
              <w:jc w:val="right"/>
              <w:ind w:right="330"/>
              <w:spacing w:after="0"/>
              <w:rPr>
                <w:sz w:val="20"/>
                <w:szCs w:val="20"/>
                <w:color w:val="auto"/>
              </w:rPr>
            </w:pPr>
            <w:r>
              <w:rPr>
                <w:rFonts w:ascii="Arial" w:cs="Arial" w:eastAsia="Arial" w:hAnsi="Arial"/>
                <w:sz w:val="18"/>
                <w:szCs w:val="18"/>
                <w:color w:val="003082"/>
                <w:w w:val="99"/>
              </w:rPr>
              <w:t>$</w:t>
            </w:r>
          </w:p>
        </w:tc>
        <w:tc>
          <w:tcPr>
            <w:tcW w:w="1020" w:type="dxa"/>
            <w:vAlign w:val="bottom"/>
            <w:tcBorders>
              <w:bottom w:val="single" w:sz="8" w:color="3D5588"/>
            </w:tcBorders>
            <w:shd w:val="clear" w:color="auto" w:fill="CCEEFF"/>
          </w:tcPr>
          <w:p>
            <w:pPr>
              <w:jc w:val="right"/>
              <w:ind w:right="11"/>
              <w:spacing w:after="0"/>
              <w:rPr>
                <w:sz w:val="20"/>
                <w:szCs w:val="20"/>
                <w:color w:val="auto"/>
              </w:rPr>
            </w:pPr>
            <w:r>
              <w:rPr>
                <w:rFonts w:ascii="Arial" w:cs="Arial" w:eastAsia="Arial" w:hAnsi="Arial"/>
                <w:sz w:val="18"/>
                <w:szCs w:val="18"/>
                <w:color w:val="003082"/>
                <w:w w:val="89"/>
              </w:rPr>
              <w:t>131,159,121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003082"/>
              </w:rPr>
              <w:t>Liabilities, mezzanine equity and shareholders’ equity (deficit)</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c>
          <w:tcPr>
            <w:tcW w:w="10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00"/>
              <w:spacing w:after="0"/>
              <w:rPr>
                <w:sz w:val="20"/>
                <w:szCs w:val="20"/>
                <w:color w:val="auto"/>
              </w:rPr>
            </w:pPr>
            <w:r>
              <w:rPr>
                <w:rFonts w:ascii="Arial" w:cs="Arial" w:eastAsia="Arial" w:hAnsi="Arial"/>
                <w:sz w:val="18"/>
                <w:szCs w:val="18"/>
                <w:color w:val="003082"/>
                <w:w w:val="95"/>
              </w:rPr>
              <w:t>Accounts payable (including accounts payable of the variable interest entity (“VIE”) without recourse to</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003082"/>
                <w:w w:val="94"/>
              </w:rPr>
              <w:t>the Company of US$1,964,857 and US$2,992,628 as of December 31, 2018 and 2019, respectively)</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2,765,825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003082"/>
              </w:rPr>
              <w:t>4,088,283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003082"/>
              </w:rPr>
              <w:t>Advances from customers (including advances from customers of the VIE without recourse to the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Company of US$473,327 and US$733,518 as of December 31, 2018 and 2019,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628,954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920,925</w:t>
            </w:r>
          </w:p>
        </w:tc>
        <w:tc>
          <w:tcPr>
            <w:tcW w:w="0" w:type="dxa"/>
            <w:vAlign w:val="bottom"/>
          </w:tcPr>
          <w:p>
            <w:pPr>
              <w:spacing w:after="0"/>
              <w:rPr>
                <w:sz w:val="1"/>
                <w:szCs w:val="1"/>
                <w:color w:val="auto"/>
              </w:rPr>
            </w:pPr>
          </w:p>
        </w:tc>
      </w:tr>
      <w:tr>
        <w:trPr>
          <w:trHeight w:val="229"/>
        </w:trPr>
        <w:tc>
          <w:tcPr>
            <w:tcW w:w="7980" w:type="dxa"/>
            <w:vAlign w:val="bottom"/>
          </w:tcPr>
          <w:p>
            <w:pPr>
              <w:ind w:left="200"/>
              <w:spacing w:after="0"/>
              <w:rPr>
                <w:sz w:val="20"/>
                <w:szCs w:val="20"/>
                <w:color w:val="auto"/>
              </w:rPr>
            </w:pPr>
            <w:r>
              <w:rPr>
                <w:rFonts w:ascii="Arial" w:cs="Arial" w:eastAsia="Arial" w:hAnsi="Arial"/>
                <w:sz w:val="18"/>
                <w:szCs w:val="18"/>
                <w:color w:val="003082"/>
                <w:w w:val="93"/>
              </w:rPr>
              <w:t>Taxes payable (including taxes payable of the VIE without recourse to the Company of US$371,749 and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Arial" w:cs="Arial" w:eastAsia="Arial" w:hAnsi="Arial"/>
                <w:sz w:val="18"/>
                <w:szCs w:val="18"/>
                <w:color w:val="003082"/>
              </w:rPr>
              <w:t>US$756,020 as of December 31, 2018 and 2019, respectively)</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1,313,002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003082"/>
              </w:rPr>
              <w:t>2,493,137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3"/>
              </w:rPr>
              <w:t>Accrued expenses and other current liabilities (including accrued expenses and other current liabilities of</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003082"/>
                <w:w w:val="91"/>
              </w:rPr>
              <w:t>the VIE without recourse to the Company of US$2,195,527 and US$3,440,748 as of December 31, 2018</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and 2019,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6,586,884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w w:val="99"/>
              </w:rPr>
              <w:t>10,978,932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current liabilities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11,294,665</w:t>
            </w:r>
          </w:p>
        </w:tc>
        <w:tc>
          <w:tcPr>
            <w:tcW w:w="120" w:type="dxa"/>
            <w:vAlign w:val="bottom"/>
          </w:tcPr>
          <w:p>
            <w:pPr>
              <w:spacing w:after="0"/>
              <w:rPr>
                <w:sz w:val="20"/>
                <w:szCs w:val="20"/>
                <w:color w:val="auto"/>
              </w:rPr>
            </w:pPr>
          </w:p>
        </w:tc>
        <w:tc>
          <w:tcPr>
            <w:tcW w:w="540" w:type="dxa"/>
            <w:vAlign w:val="bottom"/>
            <w:tcBorders>
              <w:top w:val="single" w:sz="8" w:color="3D5588"/>
            </w:tcBorders>
          </w:tcPr>
          <w:p>
            <w:pPr>
              <w:spacing w:after="0"/>
              <w:rPr>
                <w:sz w:val="20"/>
                <w:szCs w:val="20"/>
                <w:color w:val="auto"/>
              </w:rPr>
            </w:pPr>
          </w:p>
        </w:tc>
        <w:tc>
          <w:tcPr>
            <w:tcW w:w="102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w w:val="99"/>
              </w:rPr>
              <w:t>18,481,277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3D5588"/>
            </w:tcBorders>
          </w:tcPr>
          <w:p>
            <w:pPr>
              <w:spacing w:after="0"/>
              <w:rPr>
                <w:sz w:val="2"/>
                <w:szCs w:val="2"/>
                <w:color w:val="auto"/>
              </w:rPr>
            </w:pPr>
          </w:p>
        </w:tc>
        <w:tc>
          <w:tcPr>
            <w:tcW w:w="10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11,294,665</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3D5588"/>
            </w:tcBorders>
            <w:shd w:val="clear" w:color="auto" w:fill="CCEEFF"/>
          </w:tcPr>
          <w:p>
            <w:pPr>
              <w:jc w:val="right"/>
              <w:ind w:right="330"/>
              <w:spacing w:after="0"/>
              <w:rPr>
                <w:sz w:val="20"/>
                <w:szCs w:val="20"/>
                <w:color w:val="auto"/>
              </w:rPr>
            </w:pPr>
            <w:r>
              <w:rPr>
                <w:rFonts w:ascii="Arial" w:cs="Arial" w:eastAsia="Arial" w:hAnsi="Arial"/>
                <w:sz w:val="18"/>
                <w:szCs w:val="18"/>
                <w:color w:val="003082"/>
                <w:w w:val="99"/>
              </w:rPr>
              <w:t>$</w:t>
            </w:r>
          </w:p>
        </w:tc>
        <w:tc>
          <w:tcPr>
            <w:tcW w:w="1020" w:type="dxa"/>
            <w:vAlign w:val="bottom"/>
            <w:tcBorders>
              <w:bottom w:val="single" w:sz="8" w:color="3D5588"/>
            </w:tcBorders>
            <w:shd w:val="clear" w:color="auto" w:fill="CCEEFF"/>
          </w:tcPr>
          <w:p>
            <w:pPr>
              <w:jc w:val="right"/>
              <w:ind w:right="11"/>
              <w:spacing w:after="0"/>
              <w:rPr>
                <w:sz w:val="20"/>
                <w:szCs w:val="20"/>
                <w:color w:val="auto"/>
              </w:rPr>
            </w:pPr>
            <w:r>
              <w:rPr>
                <w:rFonts w:ascii="Arial" w:cs="Arial" w:eastAsia="Arial" w:hAnsi="Arial"/>
                <w:sz w:val="18"/>
                <w:szCs w:val="18"/>
                <w:color w:val="003082"/>
                <w:w w:val="99"/>
              </w:rPr>
              <w:t>18,481,277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003082"/>
              </w:rPr>
              <w:t>Commitments and contingencies (Note 15)</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3D5588"/>
            </w:tcBorders>
          </w:tcPr>
          <w:p>
            <w:pPr>
              <w:spacing w:after="0" w:line="20" w:lineRule="exact"/>
              <w:rPr>
                <w:sz w:val="1"/>
                <w:szCs w:val="1"/>
                <w:color w:val="auto"/>
              </w:rPr>
            </w:pPr>
          </w:p>
        </w:tc>
        <w:tc>
          <w:tcPr>
            <w:tcW w:w="10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003082"/>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F-3</w:t>
      </w:r>
    </w:p>
    <w:p>
      <w:pPr>
        <w:sectPr>
          <w:pgSz w:w="11900" w:h="16838" w:orient="portrait"/>
          <w:cols w:equalWidth="0" w:num="1">
            <w:col w:w="11240"/>
          </w:cols>
          <w:pgMar w:left="320" w:top="553"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AS OF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932"/>
              <w:spacing w:after="0"/>
              <w:rPr>
                <w:sz w:val="20"/>
                <w:szCs w:val="20"/>
                <w:color w:val="auto"/>
              </w:rPr>
            </w:pPr>
            <w:r>
              <w:rPr>
                <w:rFonts w:ascii="Arial" w:cs="Arial" w:eastAsia="Arial" w:hAnsi="Arial"/>
                <w:sz w:val="14"/>
                <w:szCs w:val="14"/>
                <w:b w:val="1"/>
                <w:bCs w:val="1"/>
                <w:color w:val="003082"/>
              </w:rPr>
              <w:t>As of December 31,</w:t>
            </w:r>
          </w:p>
        </w:tc>
      </w:tr>
      <w:tr>
        <w:trPr>
          <w:trHeight w:val="264"/>
        </w:trPr>
        <w:tc>
          <w:tcPr>
            <w:tcW w:w="7980" w:type="dxa"/>
            <w:vAlign w:val="bottom"/>
            <w:tcBorders>
              <w:bottom w:val="single" w:sz="8" w:color="CCEEFF"/>
            </w:tcBorders>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3D5588"/>
            </w:tcBorders>
          </w:tcPr>
          <w:p>
            <w:pPr>
              <w:spacing w:after="0"/>
              <w:rPr>
                <w:sz w:val="22"/>
                <w:szCs w:val="22"/>
                <w:color w:val="auto"/>
              </w:rPr>
            </w:pPr>
          </w:p>
        </w:tc>
        <w:tc>
          <w:tcPr>
            <w:tcW w:w="126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Mezzanine equity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003082"/>
                <w:w w:val="91"/>
              </w:rPr>
              <w:t>Series A convertible redeemable preferred shares ($0.0001 par value, 55,626,960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003082"/>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45,578,868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003082"/>
              </w:rPr>
              <w:t>90,049,774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003082"/>
                <w:w w:val="91"/>
              </w:rPr>
              <w:t>Series B convertible redeemable preferred shares ($0.0001 par value, 50,783,698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29,955,293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30,045,929</w:t>
            </w: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003082"/>
                <w:w w:val="90"/>
              </w:rPr>
              <w:t>Series B+ convertible redeemable preferred shares ($0.0001 par value, 26,651,410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003082"/>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45,876,440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003082"/>
              </w:rPr>
              <w:t>46,274,560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003082"/>
                <w:w w:val="98"/>
              </w:rPr>
              <w:t>Series C convertible redeemable preferred shares ($0.0001 par value, 36,533,085 shares authorized,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7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34,793,413 issued and outstanding as of December 31, 2018 and 2019)</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67,844,843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73,600,134</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Mezzanine equity</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rPr>
              <w:t>189,255,444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ind w:right="12"/>
              <w:spacing w:after="0"/>
              <w:rPr>
                <w:sz w:val="20"/>
                <w:szCs w:val="20"/>
                <w:color w:val="auto"/>
              </w:rPr>
            </w:pPr>
            <w:r>
              <w:rPr>
                <w:rFonts w:ascii="Arial" w:cs="Arial" w:eastAsia="Arial" w:hAnsi="Arial"/>
                <w:sz w:val="18"/>
                <w:szCs w:val="18"/>
                <w:color w:val="003082"/>
              </w:rPr>
              <w:t>239,970,397</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Shareholders’ equity (deficit)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7980" w:type="dxa"/>
            <w:vAlign w:val="bottom"/>
          </w:tcPr>
          <w:p>
            <w:pPr>
              <w:ind w:left="40"/>
              <w:spacing w:after="0"/>
              <w:rPr>
                <w:sz w:val="20"/>
                <w:szCs w:val="20"/>
                <w:color w:val="auto"/>
              </w:rPr>
            </w:pPr>
            <w:r>
              <w:rPr>
                <w:rFonts w:ascii="Arial" w:cs="Arial" w:eastAsia="Arial" w:hAnsi="Arial"/>
                <w:sz w:val="18"/>
                <w:szCs w:val="18"/>
                <w:color w:val="003082"/>
                <w:w w:val="95"/>
              </w:rPr>
              <w:t>Ordinary shares ($0.0001 par value; 330,404,847 shares authorized as of December 31, 2018 and 2019;</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7980" w:type="dxa"/>
            <w:vAlign w:val="bottom"/>
          </w:tcPr>
          <w:p>
            <w:pPr>
              <w:ind w:left="200"/>
              <w:spacing w:after="0"/>
              <w:rPr>
                <w:sz w:val="20"/>
                <w:szCs w:val="20"/>
                <w:color w:val="auto"/>
              </w:rPr>
            </w:pPr>
            <w:r>
              <w:rPr>
                <w:rFonts w:ascii="Arial" w:cs="Arial" w:eastAsia="Arial" w:hAnsi="Arial"/>
                <w:sz w:val="18"/>
                <w:szCs w:val="18"/>
                <w:color w:val="003082"/>
                <w:w w:val="99"/>
              </w:rPr>
              <w:t>112,441,049 and 119,074,382 shares issued and outstanding as of December 31, 2018 and 2019,</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003082"/>
              </w:rPr>
              <w:t>respectively)</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11,244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003082"/>
              </w:rPr>
              <w:t>11,907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Accumulated other comprehensive loss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(630,334)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3082"/>
              </w:rPr>
              <w:t>(988,417)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(72,622,888)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(126,316,043)</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shareholders’ equity (deficit)</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(73,241,978)</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(127,292,553)</w:t>
            </w: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 mezzanine equity and shareholders’ equity (deficit)</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rPr>
              <w:t>127,308,131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3D5588"/>
            </w:tcBorders>
            <w:shd w:val="clear" w:color="auto" w:fill="CCEEFF"/>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131,159,121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3D5588"/>
            </w:tcBorders>
          </w:tcPr>
          <w:p>
            <w:pPr>
              <w:spacing w:after="0" w:line="20" w:lineRule="exact"/>
              <w:rPr>
                <w:sz w:val="1"/>
                <w:szCs w:val="1"/>
                <w:color w:val="auto"/>
              </w:rPr>
            </w:pPr>
          </w:p>
        </w:tc>
        <w:tc>
          <w:tcPr>
            <w:tcW w:w="1260" w:type="dxa"/>
            <w:vAlign w:val="bottom"/>
            <w:tcBorders>
              <w:bottom w:val="single" w:sz="8" w:color="3D5588"/>
            </w:tcBorders>
          </w:tcPr>
          <w:p>
            <w:pPr>
              <w:spacing w:after="0" w:line="20" w:lineRule="exact"/>
              <w:rPr>
                <w:sz w:val="1"/>
                <w:szCs w:val="1"/>
                <w:color w:val="auto"/>
              </w:rPr>
            </w:pPr>
          </w:p>
        </w:tc>
      </w:tr>
    </w:tbl>
    <w:p>
      <w:pPr>
        <w:spacing w:after="0" w:line="364" w:lineRule="exact"/>
        <w:rPr>
          <w:sz w:val="20"/>
          <w:szCs w:val="20"/>
          <w:color w:val="auto"/>
        </w:rPr>
      </w:pPr>
    </w:p>
    <w:p>
      <w:pPr>
        <w:ind w:left="2480"/>
        <w:spacing w:after="0"/>
        <w:rPr>
          <w:sz w:val="20"/>
          <w:szCs w:val="20"/>
          <w:color w:val="auto"/>
        </w:rPr>
      </w:pPr>
      <w:r>
        <w:rPr>
          <w:rFonts w:ascii="Arial" w:cs="Arial" w:eastAsia="Arial" w:hAnsi="Arial"/>
          <w:sz w:val="18"/>
          <w:szCs w:val="18"/>
          <w:color w:val="003082"/>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F-4</w:t>
      </w:r>
    </w:p>
    <w:p>
      <w:pPr>
        <w:sectPr>
          <w:pgSz w:w="11900" w:h="16838" w:orient="portrait"/>
          <w:cols w:equalWidth="0" w:num="1">
            <w:col w:w="11240"/>
          </w:cols>
          <w:pgMar w:left="320" w:top="553" w:right="339" w:bottom="1440" w:gutter="0" w:footer="0" w:header="0"/>
        </w:sectPr>
      </w:pPr>
    </w:p>
    <w:bookmarkStart w:id="213" w:name="page214"/>
    <w:bookmarkEnd w:id="213"/>
    <w:p>
      <w:pPr>
        <w:jc w:val="center"/>
        <w:ind w:right="-339"/>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003082"/>
        </w:rPr>
        <w:t>CONSOLIDATED STATEMENTS OF COMPREHENSIVE INCOME (LOSS)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003082"/>
        </w:rPr>
        <w:t>FOR THE YEARS ENDED DECEMBER 31, 2018 and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731"/>
              <w:spacing w:after="0"/>
              <w:rPr>
                <w:sz w:val="20"/>
                <w:szCs w:val="20"/>
                <w:color w:val="auto"/>
              </w:rPr>
            </w:pPr>
            <w:r>
              <w:rPr>
                <w:rFonts w:ascii="Arial" w:cs="Arial" w:eastAsia="Arial" w:hAnsi="Arial"/>
                <w:sz w:val="14"/>
                <w:szCs w:val="14"/>
                <w:b w:val="1"/>
                <w:bCs w:val="1"/>
                <w:color w:val="003082"/>
              </w:rPr>
              <w:t>Year Ended December 31,</w:t>
            </w: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1"/>
              <w:spacing w:after="0"/>
              <w:rPr>
                <w:sz w:val="20"/>
                <w:szCs w:val="20"/>
                <w:color w:val="auto"/>
              </w:rPr>
            </w:pPr>
            <w:r>
              <w:rPr>
                <w:rFonts w:ascii="Arial" w:cs="Arial" w:eastAsia="Arial" w:hAnsi="Arial"/>
                <w:sz w:val="14"/>
                <w:szCs w:val="14"/>
                <w:b w:val="1"/>
                <w:bCs w:val="1"/>
                <w:color w:val="003082"/>
              </w:rPr>
              <w:t>2019</w:t>
            </w:r>
          </w:p>
        </w:tc>
      </w:tr>
      <w:tr>
        <w:trPr>
          <w:trHeight w:val="244"/>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003082"/>
              </w:rPr>
              <w:t>(US$)</w:t>
            </w:r>
          </w:p>
        </w:tc>
        <w:tc>
          <w:tcPr>
            <w:tcW w:w="1220" w:type="dxa"/>
            <w:vAlign w:val="bottom"/>
          </w:tcPr>
          <w:p>
            <w:pPr>
              <w:spacing w:after="0"/>
              <w:rPr>
                <w:sz w:val="21"/>
                <w:szCs w:val="21"/>
                <w:color w:val="auto"/>
              </w:rPr>
            </w:pPr>
          </w:p>
        </w:tc>
      </w:tr>
      <w:tr>
        <w:trPr>
          <w:trHeight w:val="282"/>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Real-time engagement service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43,199,085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63,925,303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Other revenues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457,869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503,387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43,656,954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64,428,690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Cost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(12,634,565)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(20,417,464)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31,022,389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44,011,226</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Operating expenses: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(14,425,536)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(23,622,830)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Sales and marketing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(11,986,444)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(19,408,377)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(5,372,990)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(7,176,816)</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operating expenses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(31,784,970)</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(50,208,023)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1,025,148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107,852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Income (loss) from operations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262,567</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(6,088,945)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Exchange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(20,549)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86,874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Interest income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239,176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625,970</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481,194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(5,376,101)</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Income taxes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(105,078)</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(801,337)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376,116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(6,177,438)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Less: cumulative undeclared dividends on convertible redeemable preferred shares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(9,961,473)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(9,961,473)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Less: accretion on convertible redeemable preferred shares to redemption value</w:t>
            </w:r>
          </w:p>
        </w:tc>
        <w:tc>
          <w:tcPr>
            <w:tcW w:w="360" w:type="dxa"/>
            <w:vAlign w:val="bottom"/>
            <w:tcBorders>
              <w:bottom w:val="single" w:sz="8" w:color="3D5588"/>
            </w:tcBorders>
            <w:shd w:val="clear" w:color="auto" w:fill="CCEEFF"/>
          </w:tcPr>
          <w:p>
            <w:pPr>
              <w:spacing w:after="0"/>
              <w:rPr>
                <w:sz w:val="22"/>
                <w:szCs w:val="22"/>
                <w:color w:val="auto"/>
              </w:rPr>
            </w:pP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(33,234,811)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spacing w:after="0"/>
              <w:rPr>
                <w:sz w:val="22"/>
                <w:szCs w:val="22"/>
                <w:color w:val="auto"/>
              </w:rPr>
            </w:pP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(50,714,953)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r>
      <w:tr>
        <w:trPr>
          <w:trHeight w:val="29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Net loss attributable to Agora, Inc.’s ordinary shareholders</w:t>
            </w:r>
          </w:p>
        </w:tc>
        <w:tc>
          <w:tcPr>
            <w:tcW w:w="360" w:type="dxa"/>
            <w:vAlign w:val="bottom"/>
            <w:tcBorders>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(42,820,168)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3D5588"/>
            </w:tcBorders>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(66,853,864)</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comprehensive loss: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Foreign currency translation adjustments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(749,030)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(358,083)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comprehensive loss attributable to Agora, Inc.’s ordinary shareholders</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(43,569,198)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(67,211,947)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r>
      <w:tr>
        <w:trPr>
          <w:trHeight w:val="257"/>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loss per share attributable to Agora, Inc.’s ordinary shareholders—basic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(0.58)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Weighted average number of ordinary shares—basic and diluted</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109,141,311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115,716,392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003082"/>
              </w:rPr>
              <w:t>Share-based compensation expenses included in: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49,893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79,552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Research and development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919,773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1,472,528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Sales and marketing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975,297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1,653,717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905,389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1,046,372</w:t>
            </w: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003082"/>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F-5</w:t>
      </w:r>
    </w:p>
    <w:p>
      <w:pPr>
        <w:sectPr>
          <w:pgSz w:w="11900" w:h="16838" w:orient="portrait"/>
          <w:cols w:equalWidth="0" w:num="1">
            <w:col w:w="11240"/>
          </w:cols>
          <w:pgMar w:left="320" w:top="553" w:right="339" w:bottom="1440" w:gutter="0" w:footer="0" w:header="0"/>
        </w:sectPr>
      </w:pPr>
    </w:p>
    <w:bookmarkStart w:id="214" w:name="page215"/>
    <w:bookmarkEnd w:id="214"/>
    <w:p>
      <w:pPr>
        <w:jc w:val="center"/>
        <w:ind w:right="-339"/>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003082"/>
        </w:rPr>
        <w:t>CONSOLIDATED STATEMENTS OF CHANGES IN SHAREHOLDERS’ DEFICIT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003082"/>
        </w:rPr>
        <w:t>FOR THE YEARS ENDED DECEMBER 31, 2018 and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003082"/>
              </w:rPr>
              <w:t>Ordinary shares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3082"/>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840" w:type="dxa"/>
            <w:vAlign w:val="bottom"/>
          </w:tcPr>
          <w:p>
            <w:pPr>
              <w:spacing w:after="0"/>
              <w:rPr>
                <w:sz w:val="9"/>
                <w:szCs w:val="9"/>
                <w:color w:val="auto"/>
              </w:rPr>
            </w:pPr>
          </w:p>
        </w:tc>
        <w:tc>
          <w:tcPr>
            <w:tcW w:w="2320" w:type="dxa"/>
            <w:vAlign w:val="bottom"/>
            <w:tcBorders>
              <w:bottom w:val="single" w:sz="8" w:color="3D5588"/>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003082"/>
              </w:rPr>
              <w:t>other</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33"/>
              <w:spacing w:after="0" w:line="111" w:lineRule="exact"/>
              <w:rPr>
                <w:sz w:val="20"/>
                <w:szCs w:val="20"/>
                <w:color w:val="auto"/>
              </w:rPr>
            </w:pPr>
            <w:r>
              <w:rPr>
                <w:rFonts w:ascii="Arial" w:cs="Arial" w:eastAsia="Arial" w:hAnsi="Arial"/>
                <w:sz w:val="12"/>
                <w:szCs w:val="12"/>
                <w:b w:val="1"/>
                <w:bCs w:val="1"/>
                <w:color w:val="003082"/>
              </w:rPr>
              <w:t>Total</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003082"/>
              </w:rPr>
              <w:t>Number of</w:t>
            </w:r>
          </w:p>
        </w:tc>
        <w:tc>
          <w:tcPr>
            <w:tcW w:w="200" w:type="dxa"/>
            <w:vAlign w:val="bottom"/>
          </w:tcPr>
          <w:p>
            <w:pPr>
              <w:spacing w:after="0"/>
              <w:rPr>
                <w:sz w:val="14"/>
                <w:szCs w:val="14"/>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003082"/>
              </w:rPr>
              <w:t>Amount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003082"/>
                <w:w w:val="96"/>
              </w:rPr>
              <w:t>Additional</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003082"/>
                <w:w w:val="89"/>
              </w:rPr>
              <w:t>comprehensive</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003082"/>
              </w:rPr>
              <w:t>Accumulated</w:t>
            </w:r>
          </w:p>
        </w:tc>
        <w:tc>
          <w:tcPr>
            <w:tcW w:w="120" w:type="dxa"/>
            <w:vAlign w:val="bottom"/>
          </w:tcPr>
          <w:p>
            <w:pPr>
              <w:spacing w:after="0"/>
              <w:rPr>
                <w:sz w:val="14"/>
                <w:szCs w:val="14"/>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003082"/>
                <w:w w:val="91"/>
              </w:rPr>
              <w:t>shareholders’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100" w:type="dxa"/>
            <w:vAlign w:val="bottom"/>
            <w:tcBorders>
              <w:bottom w:val="single" w:sz="8" w:color="3D5588"/>
            </w:tcBorders>
          </w:tcPr>
          <w:p>
            <w:pPr>
              <w:jc w:val="right"/>
              <w:ind w:right="253"/>
              <w:spacing w:after="0"/>
              <w:rPr>
                <w:sz w:val="20"/>
                <w:szCs w:val="20"/>
                <w:color w:val="auto"/>
              </w:rPr>
            </w:pPr>
            <w:r>
              <w:rPr>
                <w:rFonts w:ascii="Arial" w:cs="Arial" w:eastAsia="Arial" w:hAnsi="Arial"/>
                <w:sz w:val="14"/>
                <w:szCs w:val="14"/>
                <w:b w:val="1"/>
                <w:bCs w:val="1"/>
                <w:color w:val="003082"/>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900" w:type="dxa"/>
            <w:vAlign w:val="bottom"/>
            <w:tcBorders>
              <w:bottom w:val="single" w:sz="8" w:color="3D5588"/>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3D5588"/>
            </w:tcBorders>
            <w:gridSpan w:val="2"/>
          </w:tcPr>
          <w:p>
            <w:pPr>
              <w:jc w:val="center"/>
              <w:spacing w:after="0"/>
              <w:rPr>
                <w:sz w:val="20"/>
                <w:szCs w:val="20"/>
                <w:color w:val="auto"/>
              </w:rPr>
            </w:pPr>
            <w:r>
              <w:rPr>
                <w:rFonts w:ascii="Arial" w:cs="Arial" w:eastAsia="Arial" w:hAnsi="Arial"/>
                <w:sz w:val="14"/>
                <w:szCs w:val="14"/>
                <w:b w:val="1"/>
                <w:bCs w:val="1"/>
                <w:color w:val="003082"/>
                <w:w w:val="95"/>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980" w:type="dxa"/>
            <w:vAlign w:val="bottom"/>
            <w:tcBorders>
              <w:bottom w:val="single" w:sz="8" w:color="3D5588"/>
            </w:tcBorders>
          </w:tcPr>
          <w:p>
            <w:pPr>
              <w:jc w:val="center"/>
              <w:ind w:right="53"/>
              <w:spacing w:after="0"/>
              <w:rPr>
                <w:sz w:val="20"/>
                <w:szCs w:val="20"/>
                <w:color w:val="auto"/>
              </w:rPr>
            </w:pPr>
            <w:r>
              <w:rPr>
                <w:rFonts w:ascii="Arial" w:cs="Arial" w:eastAsia="Arial" w:hAnsi="Arial"/>
                <w:sz w:val="14"/>
                <w:szCs w:val="14"/>
                <w:b w:val="1"/>
                <w:bCs w:val="1"/>
                <w:color w:val="003082"/>
                <w:w w:val="88"/>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080" w:type="dxa"/>
            <w:vAlign w:val="bottom"/>
            <w:tcBorders>
              <w:bottom w:val="single" w:sz="8" w:color="3D5588"/>
            </w:tcBorders>
          </w:tcPr>
          <w:p>
            <w:pPr>
              <w:jc w:val="right"/>
              <w:ind w:right="332"/>
              <w:spacing w:after="0"/>
              <w:rPr>
                <w:sz w:val="20"/>
                <w:szCs w:val="20"/>
                <w:color w:val="auto"/>
              </w:rPr>
            </w:pPr>
            <w:r>
              <w:rPr>
                <w:rFonts w:ascii="Arial" w:cs="Arial" w:eastAsia="Arial" w:hAnsi="Arial"/>
                <w:sz w:val="14"/>
                <w:szCs w:val="14"/>
                <w:b w:val="1"/>
                <w:bCs w:val="1"/>
                <w:color w:val="003082"/>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1080" w:type="dxa"/>
            <w:vAlign w:val="bottom"/>
            <w:tcBorders>
              <w:bottom w:val="single" w:sz="8" w:color="3D5588"/>
            </w:tcBorders>
          </w:tcPr>
          <w:p>
            <w:pPr>
              <w:jc w:val="center"/>
              <w:ind w:right="33"/>
              <w:spacing w:after="0"/>
              <w:rPr>
                <w:sz w:val="20"/>
                <w:szCs w:val="20"/>
                <w:color w:val="auto"/>
              </w:rPr>
            </w:pPr>
            <w:r>
              <w:rPr>
                <w:rFonts w:ascii="Arial" w:cs="Arial" w:eastAsia="Arial" w:hAnsi="Arial"/>
                <w:sz w:val="14"/>
                <w:szCs w:val="14"/>
                <w:b w:val="1"/>
                <w:bCs w:val="1"/>
                <w:color w:val="003082"/>
                <w:w w:val="96"/>
              </w:rPr>
              <w:t>deficit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Balance as of January 1, 2018</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w w:val="97"/>
              </w:rPr>
              <w:t>106,527,778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10,653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118,696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7"/>
              </w:rPr>
              <w:t>(41,397,864)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(41,268,515)</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003082"/>
              </w:rPr>
              <w:t>Repurchase of ordinary shares (Note 10)</w:t>
            </w:r>
          </w:p>
        </w:tc>
        <w:tc>
          <w:tcPr>
            <w:tcW w:w="1100" w:type="dxa"/>
            <w:vAlign w:val="bottom"/>
          </w:tcPr>
          <w:p>
            <w:pPr>
              <w:jc w:val="right"/>
              <w:spacing w:after="0"/>
              <w:rPr>
                <w:sz w:val="20"/>
                <w:szCs w:val="20"/>
                <w:color w:val="auto"/>
              </w:rPr>
            </w:pPr>
            <w:r>
              <w:rPr>
                <w:rFonts w:ascii="Arial" w:cs="Arial" w:eastAsia="Arial" w:hAnsi="Arial"/>
                <w:sz w:val="18"/>
                <w:szCs w:val="18"/>
                <w:color w:val="003082"/>
              </w:rPr>
              <w:t>(820,062)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003082"/>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(784,717)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(784,799)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Vesting of restricted shares (Note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6,733,333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003082"/>
              </w:rPr>
              <w:t>165,038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165,711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003082"/>
                <w:w w:val="97"/>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003082"/>
              </w:rPr>
              <w:t>2,253,350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2,253,350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003082"/>
                <w:w w:val="98"/>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003082"/>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5"/>
              </w:rPr>
              <w:t>(2,418,388)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7"/>
              </w:rPr>
              <w:t>(30,816,423)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(33,234,811)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003082"/>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003082"/>
              </w:rPr>
              <w:t>376,116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376,116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(749,030)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(749,030)</w:t>
            </w:r>
          </w:p>
        </w:tc>
        <w:tc>
          <w:tcPr>
            <w:tcW w:w="0" w:type="dxa"/>
            <w:vAlign w:val="bottom"/>
          </w:tcPr>
          <w:p>
            <w:pPr>
              <w:spacing w:after="0"/>
              <w:rPr>
                <w:sz w:val="1"/>
                <w:szCs w:val="1"/>
                <w:color w:val="auto"/>
              </w:rPr>
            </w:pPr>
          </w:p>
        </w:tc>
      </w:tr>
      <w:tr>
        <w:trPr>
          <w:trHeight w:val="297"/>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Balance as of December 31, 2018</w:t>
            </w:r>
          </w:p>
        </w:tc>
        <w:tc>
          <w:tcPr>
            <w:tcW w:w="110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w w:val="97"/>
              </w:rPr>
              <w:t>112,441,049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3D5588"/>
              <w:bottom w:val="single" w:sz="8" w:color="3D5588"/>
            </w:tcBorders>
          </w:tcPr>
          <w:p>
            <w:pPr>
              <w:spacing w:after="0"/>
              <w:rPr>
                <w:sz w:val="24"/>
                <w:szCs w:val="24"/>
                <w:color w:val="auto"/>
              </w:rPr>
            </w:pPr>
          </w:p>
        </w:tc>
        <w:tc>
          <w:tcPr>
            <w:tcW w:w="900" w:type="dxa"/>
            <w:vAlign w:val="bottom"/>
            <w:tcBorders>
              <w:top w:val="single" w:sz="8" w:color="3D5588"/>
              <w:bottom w:val="single" w:sz="8" w:color="3D5588"/>
            </w:tcBorders>
          </w:tcPr>
          <w:p>
            <w:pPr>
              <w:jc w:val="right"/>
              <w:ind w:right="11"/>
              <w:spacing w:after="0"/>
              <w:rPr>
                <w:sz w:val="20"/>
                <w:szCs w:val="20"/>
                <w:color w:val="auto"/>
              </w:rPr>
            </w:pPr>
            <w:r>
              <w:rPr>
                <w:rFonts w:ascii="Arial" w:cs="Arial" w:eastAsia="Arial" w:hAnsi="Arial"/>
                <w:sz w:val="18"/>
                <w:szCs w:val="18"/>
                <w:color w:val="003082"/>
              </w:rPr>
              <w:t>11,244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3D5588"/>
              <w:bottom w:val="single" w:sz="8" w:color="3D5588"/>
            </w:tcBorders>
          </w:tcPr>
          <w:p>
            <w:pPr>
              <w:spacing w:after="0"/>
              <w:rPr>
                <w:sz w:val="24"/>
                <w:szCs w:val="24"/>
                <w:color w:val="auto"/>
              </w:rPr>
            </w:pPr>
          </w:p>
        </w:tc>
        <w:tc>
          <w:tcPr>
            <w:tcW w:w="960" w:type="dxa"/>
            <w:vAlign w:val="bottom"/>
            <w:tcBorders>
              <w:top w:val="single" w:sz="8" w:color="3D5588"/>
              <w:bottom w:val="single" w:sz="8" w:color="3D5588"/>
            </w:tcBorders>
          </w:tcPr>
          <w:p>
            <w:pPr>
              <w:jc w:val="right"/>
              <w:ind w:right="31"/>
              <w:spacing w:after="0"/>
              <w:rPr>
                <w:sz w:val="20"/>
                <w:szCs w:val="20"/>
                <w:color w:val="auto"/>
              </w:rPr>
            </w:pPr>
            <w:r>
              <w:rPr>
                <w:rFonts w:ascii="Arial" w:cs="Arial" w:eastAsia="Arial" w:hAnsi="Arial"/>
                <w:sz w:val="18"/>
                <w:szCs w:val="18"/>
                <w:color w:val="003082"/>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3D5588"/>
              <w:bottom w:val="single" w:sz="8" w:color="3D5588"/>
            </w:tcBorders>
          </w:tcPr>
          <w:p>
            <w:pPr>
              <w:spacing w:after="0"/>
              <w:rPr>
                <w:sz w:val="24"/>
                <w:szCs w:val="24"/>
                <w:color w:val="auto"/>
              </w:rPr>
            </w:pPr>
          </w:p>
        </w:tc>
        <w:tc>
          <w:tcPr>
            <w:tcW w:w="9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(630,334)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3D5588"/>
              <w:bottom w:val="single" w:sz="8" w:color="3D5588"/>
            </w:tcBorders>
          </w:tcPr>
          <w:p>
            <w:pPr>
              <w:spacing w:after="0"/>
              <w:rPr>
                <w:sz w:val="24"/>
                <w:szCs w:val="24"/>
                <w:color w:val="auto"/>
              </w:rPr>
            </w:pPr>
          </w:p>
        </w:tc>
        <w:tc>
          <w:tcPr>
            <w:tcW w:w="10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7"/>
              </w:rPr>
              <w:t>(72,622,888)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3D5588"/>
              <w:bottom w:val="single" w:sz="8" w:color="3D5588"/>
            </w:tcBorders>
          </w:tcPr>
          <w:p>
            <w:pPr>
              <w:spacing w:after="0"/>
              <w:rPr>
                <w:sz w:val="24"/>
                <w:szCs w:val="24"/>
                <w:color w:val="auto"/>
              </w:rPr>
            </w:pPr>
          </w:p>
        </w:tc>
        <w:tc>
          <w:tcPr>
            <w:tcW w:w="10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(73,241,978)</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Vesting of restricted shares (Note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6,733,333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003082"/>
              </w:rPr>
              <w:t>76,768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77,441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003082"/>
                <w:w w:val="97"/>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003082"/>
              </w:rPr>
              <w:t>3,158,886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3,158,886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Repurchase of restricted shares (Note 11)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(84,430)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(84,440)</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003082"/>
                <w:w w:val="99"/>
              </w:rPr>
              <w:t>Reclassification of liability-classified awards to</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003082"/>
              </w:rPr>
              <w:t>equity-classified awards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003082"/>
              </w:rPr>
              <w:t>48,012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48,012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003082"/>
                <w:w w:val="98"/>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003082"/>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5"/>
              </w:rPr>
              <w:t>(3,199,236)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7"/>
              </w:rPr>
              <w:t>(47,515,717)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(50,714,953)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003082"/>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(6,177,438)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(6,177,438)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(358,083)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(358,083)</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003082"/>
              </w:rPr>
              <w:t>Balance as of December 31, 2019</w:t>
            </w:r>
          </w:p>
        </w:tc>
        <w:tc>
          <w:tcPr>
            <w:tcW w:w="110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w w:val="97"/>
              </w:rPr>
              <w:t>119,074,382</w:t>
            </w:r>
          </w:p>
        </w:tc>
        <w:tc>
          <w:tcPr>
            <w:tcW w:w="120" w:type="dxa"/>
            <w:vAlign w:val="bottom"/>
          </w:tcPr>
          <w:p>
            <w:pPr>
              <w:spacing w:after="0"/>
              <w:rPr>
                <w:sz w:val="22"/>
                <w:szCs w:val="22"/>
                <w:color w:val="auto"/>
              </w:rPr>
            </w:pPr>
          </w:p>
        </w:tc>
        <w:tc>
          <w:tcPr>
            <w:tcW w:w="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900" w:type="dxa"/>
            <w:vAlign w:val="bottom"/>
            <w:tcBorders>
              <w:top w:val="single" w:sz="8" w:color="3D5588"/>
              <w:bottom w:val="single" w:sz="8" w:color="3D5588"/>
            </w:tcBorders>
          </w:tcPr>
          <w:p>
            <w:pPr>
              <w:jc w:val="right"/>
              <w:ind w:right="11"/>
              <w:spacing w:after="0"/>
              <w:rPr>
                <w:sz w:val="20"/>
                <w:szCs w:val="20"/>
                <w:color w:val="auto"/>
              </w:rPr>
            </w:pPr>
            <w:r>
              <w:rPr>
                <w:rFonts w:ascii="Arial" w:cs="Arial" w:eastAsia="Arial" w:hAnsi="Arial"/>
                <w:sz w:val="18"/>
                <w:szCs w:val="18"/>
                <w:color w:val="003082"/>
              </w:rPr>
              <w:t>11,907</w:t>
            </w:r>
          </w:p>
        </w:tc>
        <w:tc>
          <w:tcPr>
            <w:tcW w:w="120" w:type="dxa"/>
            <w:vAlign w:val="bottom"/>
          </w:tcPr>
          <w:p>
            <w:pPr>
              <w:spacing w:after="0"/>
              <w:rPr>
                <w:sz w:val="22"/>
                <w:szCs w:val="22"/>
                <w:color w:val="auto"/>
              </w:rPr>
            </w:pPr>
          </w:p>
        </w:tc>
        <w:tc>
          <w:tcPr>
            <w:tcW w:w="1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79"/>
              </w:rPr>
              <w:t>$</w:t>
            </w:r>
          </w:p>
        </w:tc>
        <w:tc>
          <w:tcPr>
            <w:tcW w:w="960" w:type="dxa"/>
            <w:vAlign w:val="bottom"/>
            <w:tcBorders>
              <w:top w:val="single" w:sz="8" w:color="3D5588"/>
              <w:bottom w:val="single" w:sz="8" w:color="3D5588"/>
            </w:tcBorders>
          </w:tcPr>
          <w:p>
            <w:pPr>
              <w:jc w:val="right"/>
              <w:ind w:right="31"/>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2"/>
                <w:szCs w:val="22"/>
                <w:color w:val="auto"/>
              </w:rPr>
            </w:pPr>
          </w:p>
        </w:tc>
        <w:tc>
          <w:tcPr>
            <w:tcW w:w="14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(988,417)</w:t>
            </w:r>
          </w:p>
        </w:tc>
        <w:tc>
          <w:tcPr>
            <w:tcW w:w="100" w:type="dxa"/>
            <w:vAlign w:val="bottom"/>
          </w:tcPr>
          <w:p>
            <w:pPr>
              <w:spacing w:after="0"/>
              <w:rPr>
                <w:sz w:val="22"/>
                <w:szCs w:val="22"/>
                <w:color w:val="auto"/>
              </w:rPr>
            </w:pPr>
          </w:p>
        </w:tc>
        <w:tc>
          <w:tcPr>
            <w:tcW w:w="14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89"/>
              </w:rPr>
              <w:t>(126,316,043)</w:t>
            </w:r>
          </w:p>
        </w:tc>
        <w:tc>
          <w:tcPr>
            <w:tcW w:w="100" w:type="dxa"/>
            <w:vAlign w:val="bottom"/>
          </w:tcPr>
          <w:p>
            <w:pPr>
              <w:spacing w:after="0"/>
              <w:rPr>
                <w:sz w:val="22"/>
                <w:szCs w:val="22"/>
                <w:color w:val="auto"/>
              </w:rPr>
            </w:pPr>
          </w:p>
        </w:tc>
        <w:tc>
          <w:tcPr>
            <w:tcW w:w="1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0"/>
              </w:rPr>
              <w:t>(127,292,553)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480"/>
        <w:spacing w:after="0"/>
        <w:rPr>
          <w:sz w:val="20"/>
          <w:szCs w:val="20"/>
          <w:color w:val="auto"/>
        </w:rPr>
      </w:pPr>
      <w:r>
        <w:rPr>
          <w:rFonts w:ascii="Arial" w:cs="Arial" w:eastAsia="Arial" w:hAnsi="Arial"/>
          <w:sz w:val="18"/>
          <w:szCs w:val="18"/>
          <w:color w:val="003082"/>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F-6</w:t>
      </w:r>
    </w:p>
    <w:p>
      <w:pPr>
        <w:sectPr>
          <w:pgSz w:w="11900" w:h="16838" w:orient="portrait"/>
          <w:cols w:equalWidth="0" w:num="1">
            <w:col w:w="11240"/>
          </w:cols>
          <w:pgMar w:left="320" w:top="553"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FOR THE YEARS ENDED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731"/>
              <w:spacing w:after="0"/>
              <w:rPr>
                <w:sz w:val="20"/>
                <w:szCs w:val="20"/>
                <w:color w:val="auto"/>
              </w:rPr>
            </w:pPr>
            <w:r>
              <w:rPr>
                <w:rFonts w:ascii="Arial" w:cs="Arial" w:eastAsia="Arial" w:hAnsi="Arial"/>
                <w:sz w:val="14"/>
                <w:szCs w:val="14"/>
                <w:b w:val="1"/>
                <w:bCs w:val="1"/>
                <w:color w:val="003082"/>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1"/>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003082"/>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376,116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3082"/>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2,850,352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3,405,084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Depreciation of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922,351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1,867,734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Accounts receivable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(5,614,028)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(4,807,207)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Prepayments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47,809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206,559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Deferred tax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(358,071)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(336,463)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(338,478)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(135,120)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Accounts payable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806,508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1,121,563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Advances from customers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292,655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302,655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Taxes payable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(1,134,236)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1,214,926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Accrued expenses and 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2,685,123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4,044,130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Net cash generated from operating activities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536,101</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706,423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Purchase of short-term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(1,511,800)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(97,558,282)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Proceeds from sale and maturity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99,007,872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Purchase of property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(2,260,791)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(4,802,253)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(3,772,591)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(3,352,663)</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Cash flows from financing activities: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Repurchase of ordinary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(784,799)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003082"/>
                <w:w w:val="92"/>
              </w:rPr>
              <w:t>Proceeds from issuance of Series C convertible redeemable preferred shares, net of the issuance costs of</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003082"/>
              </w:rPr>
              <w:t>$110,059</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66,556,608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65,771,809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Effect of foreign exchange rate changes on cash, cash equivalents and restricted cash</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(555,985)</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(268,646)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61,979,334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(2,914,886)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Cash, cash equivalents and restricted cash at beginning of year</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46,618,705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108,598,039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Cash, cash equivalents and restricted cash at end of year</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108,598,039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ind w:right="11"/>
              <w:spacing w:after="0"/>
              <w:rPr>
                <w:sz w:val="20"/>
                <w:szCs w:val="20"/>
                <w:color w:val="auto"/>
              </w:rPr>
            </w:pPr>
            <w:r>
              <w:rPr>
                <w:rFonts w:ascii="Arial" w:cs="Arial" w:eastAsia="Arial" w:hAnsi="Arial"/>
                <w:sz w:val="18"/>
                <w:szCs w:val="18"/>
                <w:color w:val="003082"/>
              </w:rPr>
              <w:t>105,683,153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003082"/>
              </w:rPr>
              <w:t>Supplemental disclosure of cash flow information:</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Income taxes paid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421,560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411,068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Non-cash financing and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Accretion to redemption value of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33,234,811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50,714,953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Payables for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366,503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613,463</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003082"/>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003082"/>
        </w:rPr>
        <w:t>F-7</w:t>
      </w:r>
    </w:p>
    <w:p>
      <w:pPr>
        <w:sectPr>
          <w:pgSz w:w="11900" w:h="16838" w:orient="portrait"/>
          <w:cols w:equalWidth="0" w:num="1">
            <w:col w:w="11240"/>
          </w:cols>
          <w:pgMar w:left="320" w:top="553"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 Organization and Nature of Operations</w:t>
      </w:r>
    </w:p>
    <w:p>
      <w:pPr>
        <w:spacing w:after="0" w:line="283" w:lineRule="exact"/>
        <w:rPr>
          <w:sz w:val="20"/>
          <w:szCs w:val="20"/>
          <w:color w:val="auto"/>
        </w:rPr>
      </w:pPr>
    </w:p>
    <w:p>
      <w:pPr>
        <w:ind w:left="860" w:hanging="528"/>
        <w:spacing w:after="0"/>
        <w:tabs>
          <w:tab w:leader="none" w:pos="860" w:val="left"/>
        </w:tabs>
        <w:numPr>
          <w:ilvl w:val="0"/>
          <w:numId w:val="121"/>
        </w:numPr>
        <w:rPr>
          <w:rFonts w:ascii="Arial" w:cs="Arial" w:eastAsia="Arial" w:hAnsi="Arial"/>
          <w:sz w:val="18"/>
          <w:szCs w:val="18"/>
          <w:b w:val="1"/>
          <w:bCs w:val="1"/>
          <w:i w:val="1"/>
          <w:iCs w:val="1"/>
          <w:color w:val="003082"/>
        </w:rPr>
      </w:pPr>
      <w:r>
        <w:rPr>
          <w:rFonts w:ascii="Arial" w:cs="Arial" w:eastAsia="Arial" w:hAnsi="Arial"/>
          <w:sz w:val="18"/>
          <w:szCs w:val="18"/>
          <w:b w:val="1"/>
          <w:bCs w:val="1"/>
          <w:i w:val="1"/>
          <w:iCs w:val="1"/>
          <w:color w:val="003082"/>
        </w:rPr>
        <w:t>Principal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Agora, Inc. (the “Company”), an exempted company with limited liability, was incorporated in Cayman Islands on November 29, 2013. The Company, through its consolidated subsidiaries and variable interest entity (“VIE”) (collectively referred to as the “Group”) engages primarily in providing Real-Time Engagement Platform-as-a-Service (“RTE-PaaS”), which offers developers software tools to embed real-time video, voice and messaging capabilities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spacing w:after="0" w:line="232" w:lineRule="exact"/>
        <w:rPr>
          <w:sz w:val="20"/>
          <w:szCs w:val="20"/>
          <w:color w:val="auto"/>
        </w:rPr>
      </w:pPr>
    </w:p>
    <w:p>
      <w:pPr>
        <w:ind w:left="860" w:hanging="528"/>
        <w:spacing w:after="0"/>
        <w:tabs>
          <w:tab w:leader="none" w:pos="860" w:val="left"/>
        </w:tabs>
        <w:numPr>
          <w:ilvl w:val="0"/>
          <w:numId w:val="122"/>
        </w:numPr>
        <w:rPr>
          <w:rFonts w:ascii="Arial" w:cs="Arial" w:eastAsia="Arial" w:hAnsi="Arial"/>
          <w:sz w:val="18"/>
          <w:szCs w:val="18"/>
          <w:b w:val="1"/>
          <w:bCs w:val="1"/>
          <w:i w:val="1"/>
          <w:iCs w:val="1"/>
          <w:color w:val="003082"/>
        </w:rPr>
      </w:pPr>
      <w:r>
        <w:rPr>
          <w:rFonts w:ascii="Arial" w:cs="Arial" w:eastAsia="Arial" w:hAnsi="Arial"/>
          <w:sz w:val="18"/>
          <w:szCs w:val="18"/>
          <w:b w:val="1"/>
          <w:bCs w:val="1"/>
          <w:i w:val="1"/>
          <w:iCs w:val="1"/>
          <w:color w:val="003082"/>
        </w:rPr>
        <w:t>Reorganization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Group commenced its operations in 2014 through Agora Lab, Inc. and Shanghai Zhaoyan Network Technology Co., Ltd. (the “VIE”), both of which were established and controlled by Bin (Tony) Zhao (the “Founder”). In December 2014, Agora IO, Inc was formed as part of a reorganization through which the Company, Agora IO, Inc and their respective shareholders entered into a share swap arrangement resulting in the Company along with its subsidiary, Agora Lab, Inc., becoming Agora IO, Inc’s subsidiaries. Further, Agora IO Hongkong Limited and Dayin Network Technology Co., Ltd. (the “WFOE”) were established. The Group then entered into a series of contractual arrangements among the WFOE, the VIE and the VIE’s shareholders in June 2015, and thereafter the VIE became the variable interest entity of the Group (collectively referred to as the “Historical Reorganization”).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In January 2020, the Group underwent another reorganization (the “Corporate Reorganization”) which ultimately resulted in Agora, Inc. becoming the parent company of the Group and the issuer in connection with its planned initial public offering in the following steps: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First, Agora IO, Inc contributed 100% of the shares of Agora IO Hongkong Limited into Agora, Inc., after which Agora, Inc. held 100% of the equity securities of Agora IO Hongkong, Limited. Second, the Company obtained shares of Agora IO, Inc by having the shareholders swap their current Agora IO, Inc shares for the same number of shares in Agora, Inc., which mirrored the restrictions, rights, preferences and privileges as stipulated in the current shareholder agreements governing Agora IO, Inc. Agora IO, Inc became a wholly owned subsidiary of Agora, Inc., and in return, the shareholders of Agora IO, Inc became shareholders of Agora, Inc. As a result of the Corporate Reorganization, Agora, Inc. became wholly owned by the former shareholders of Agora IO, Inc while Agora IO, Inc became wholly owned by Agora, Inc.</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Corporate Reorganization was completed on January 19, 2020. Through the Historical Reorganization and the Corporate Reorganization, the Group’s business continued to be carried out by Agora Lab, Inc. and the VIE without a change in control. The Historical Reorganization and the Corporate Reorganization were accounted for as transactions under common control and therefore, the carryover basis was used to record assets and liabilities of Agora Lab, Inc. and the VIE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F-8</w:t>
      </w:r>
    </w:p>
    <w:p>
      <w:pPr>
        <w:sectPr>
          <w:pgSz w:w="11900" w:h="16838" w:orient="portrait"/>
          <w:cols w:equalWidth="0" w:num="1">
            <w:col w:w="11240"/>
          </w:cols>
          <w:pgMar w:left="320" w:top="553"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After the completion of the Corporate Reorganization, the Group’s consolidated financial statements include the financial statements of the Company, its subsidiaries and the consolidated VIE. The Company’s subsidiaries and VIE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003082"/>
                <w:w w:val="94"/>
              </w:rPr>
              <w:t>Date of Incorporation</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03082"/>
                <w:w w:val="93"/>
              </w:rPr>
              <w:t>Place of Incorporation</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88"/>
              </w:rPr>
              <w:t>Percentage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4"/>
              </w:rPr>
              <w:t>Principal Activities</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4"/>
              </w:rPr>
              <w:t>Direct or Indirect Ownership</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003082"/>
              </w:rPr>
              <w:t>Subsidiaries:</w:t>
            </w:r>
          </w:p>
        </w:tc>
        <w:tc>
          <w:tcPr>
            <w:tcW w:w="1920" w:type="dxa"/>
            <w:vAlign w:val="bottom"/>
            <w:tcBorders>
              <w:top w:val="single" w:sz="8" w:color="3D5588"/>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3D5588"/>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3D5588"/>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3D5588"/>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60" w:type="dxa"/>
            <w:vAlign w:val="bottom"/>
          </w:tcPr>
          <w:p>
            <w:pPr>
              <w:ind w:left="180"/>
              <w:spacing w:after="0"/>
              <w:rPr>
                <w:sz w:val="20"/>
                <w:szCs w:val="20"/>
                <w:color w:val="auto"/>
              </w:rPr>
            </w:pPr>
            <w:r>
              <w:rPr>
                <w:rFonts w:ascii="Arial" w:cs="Arial" w:eastAsia="Arial" w:hAnsi="Arial"/>
                <w:sz w:val="16"/>
                <w:szCs w:val="16"/>
                <w:color w:val="003082"/>
              </w:rPr>
              <w:t>Agora Lab, Inc.</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003082"/>
                <w:w w:val="88"/>
              </w:rPr>
              <w:t>January 13, 2014</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003082"/>
                <w:w w:val="93"/>
              </w:rPr>
              <w:t>California, United States</w:t>
            </w:r>
          </w:p>
        </w:tc>
        <w:tc>
          <w:tcPr>
            <w:tcW w:w="1900" w:type="dxa"/>
            <w:vAlign w:val="bottom"/>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003082"/>
                <w:w w:val="92"/>
              </w:rPr>
              <w:t>Provision of services</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003082"/>
              </w:rPr>
              <w:t>Agora IO, Inc</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003082"/>
                <w:w w:val="89"/>
              </w:rPr>
              <w:t>December 2, 2014</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0"/>
              </w:rPr>
              <w:t>Cayman Islands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3"/>
              </w:rPr>
              <w:t>Investment holding</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003082"/>
              </w:rPr>
              <w:t>Agora IO Hongkong Limited</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003082"/>
                <w:w w:val="89"/>
              </w:rPr>
              <w:t>December 12, 2014</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003082"/>
                <w:w w:val="94"/>
              </w:rPr>
              <w:t>Hong Kong</w:t>
            </w:r>
          </w:p>
        </w:tc>
        <w:tc>
          <w:tcPr>
            <w:tcW w:w="1900" w:type="dxa"/>
            <w:vAlign w:val="bottom"/>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003082"/>
                <w:w w:val="93"/>
              </w:rPr>
              <w:t>Investment holding</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003082"/>
              </w:rPr>
              <w:t>Dayin Network Technology Co., Ltd.</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003082"/>
              </w:rPr>
              <w:t>(“WFOE”)</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003082"/>
                <w:w w:val="95"/>
              </w:rPr>
              <w:t>April 30, 2015</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003082"/>
                <w:w w:val="88"/>
              </w:rPr>
              <w:t>PRC</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2"/>
              </w:rPr>
              <w:t>Provision of services</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003082"/>
              </w:rPr>
              <w:t>Agora.IO Ltd</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003082"/>
                <w:w w:val="92"/>
              </w:rPr>
              <w:t>July 25, 2019</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003082"/>
                <w:w w:val="96"/>
              </w:rPr>
              <w:t>United Kingdom</w:t>
            </w:r>
          </w:p>
        </w:tc>
        <w:tc>
          <w:tcPr>
            <w:tcW w:w="1900" w:type="dxa"/>
            <w:vAlign w:val="bottom"/>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003082"/>
                <w:w w:val="89"/>
              </w:rPr>
              <w:t>Startup</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003082"/>
              </w:rPr>
              <w:t>VIE:</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003082"/>
                <w:w w:val="92"/>
              </w:rPr>
              <w:t>Shanghai Zhaoyan Network Technology Co.,</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340"/>
              <w:spacing w:after="0"/>
              <w:rPr>
                <w:sz w:val="20"/>
                <w:szCs w:val="20"/>
                <w:color w:val="auto"/>
              </w:rPr>
            </w:pPr>
            <w:r>
              <w:rPr>
                <w:rFonts w:ascii="Arial" w:cs="Arial" w:eastAsia="Arial" w:hAnsi="Arial"/>
                <w:sz w:val="16"/>
                <w:szCs w:val="16"/>
                <w:color w:val="003082"/>
              </w:rPr>
              <w:t>Ltd. (“VIE”)</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003082"/>
                <w:w w:val="91"/>
              </w:rPr>
              <w:t>March 28, 2014</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003082"/>
                <w:w w:val="88"/>
              </w:rPr>
              <w:t>PRC</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2"/>
              </w:rPr>
              <w:t>Provision of services</w:t>
            </w:r>
          </w:p>
        </w:tc>
        <w:tc>
          <w:tcPr>
            <w:tcW w:w="0" w:type="dxa"/>
            <w:vAlign w:val="bottom"/>
          </w:tcPr>
          <w:p>
            <w:pPr>
              <w:spacing w:after="0"/>
              <w:rPr>
                <w:sz w:val="1"/>
                <w:szCs w:val="1"/>
                <w:color w:val="auto"/>
              </w:rPr>
            </w:pPr>
          </w:p>
        </w:tc>
      </w:tr>
      <w:tr>
        <w:trPr>
          <w:trHeight w:val="33"/>
        </w:trPr>
        <w:tc>
          <w:tcPr>
            <w:tcW w:w="3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  Consolidated Variable Interest Entities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order to comply with the PRC laws and regulations which prohibit or restrict foreign control of companies involved in the internet sector, the Group operates its businesses in the PRC through the VIE, whose equity interests are controlled by the Founder of the Group. The Company obtained control over the VIE by entering into a series of contractual arrangements with the legal shareholders who are also referred to as nominee shareholders. These nominee shareholders are the legal owners of the VIE. However, the rights of those nominee shareholders have been transferred to the Company through a series of contractual arrangements.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principal terms of the contractual arrangements entered into by and among the WFOE, the VIE and the nominee shareholders of the VIE are described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Exclusive Technology Consulting and Services Agreement</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Under the Exclusive Technology Consulting and Services Agreement between the WFOE and the VIE, dated June 18, 2015, the WFOE has the exclusive right to provide the VIE consulting services related to, among other things, information consulting, assisting in information collection and market research, and providing training to personnel. The WFOE has the exclusive ownership of intellectual property rights created as a result of the performance of this agreement. The VIE shall pay to the WFOE an annual service fee, which may only be adjusted with the approval of the WFOE and Agora IO Hongkong Limited. Unless otherwise agreed pursuant to the agreement, this agreement will remain effective until the earlier of: (1) the end of a ten-year term, which will automatically extend annually unless the WFOE provides 30 days’ prior written notice to the VIE; (2) the WFOE terminates the agreement because of the VIE’s breach of the agreement; and (3) termination of the term of operation of the VIE. For the years ended December 31, 2018 and 2019, the service fee is US$20,034,954 and US$32,889,678, respectively.</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Voting Rights Proxy Agreement and Irrevocable Powers of Attorney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Under the Voting Rights Proxy Agreement dated as of June 18, 2015, by and among the VIE, the WFOE and each of the shareholders of the VIE, and the related irrevocable powers of attorney executed by the VIE’s shareholders on the same date pursuant to the Voting Rights Proxy Agreement, each of the shareholders of the VIE irrevocably granted the WFOE’s designated representative full power of attorney to exercise his or her rights as a shareholder of the VIE including rights to convene and attend shareholders’ meeting, nominate and elect directors, and appoint and dismiss the senior management of the VIE. Unless otherwise agreed pursuant to the Voting Rights Proxy Agreement, it will remain effective until the earlier of: (1) the end of a ten-year term, which will automatically extend annually unless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F-9</w:t>
      </w:r>
    </w:p>
    <w:p>
      <w:pPr>
        <w:sectPr>
          <w:pgSz w:w="11900" w:h="16838" w:orient="portrait"/>
          <w:cols w:equalWidth="0" w:num="1">
            <w:col w:w="11240"/>
          </w:cols>
          <w:pgMar w:left="320" w:top="553"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003082"/>
        </w:rPr>
        <w:t>WFOE provides 30 days’ prior written notice to the VIE and the VIE’s shareholders; and (2) the termination of the term of operation of the VIE. The related irrevocable powers of attorney will remain effective until the expiration or early termination of the Voting Rights Proxy Agreement.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Share Pledge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Pursuant to the Share Pledge Agreement dated June 18, 2015, among the WFOE, the VIE and the VIE’s shareholders, the shareholders of the VIE pledged all of their equity interests in the VIE to the WFOE to guarantee their and the VIE’s performance of their obligations under the contractual arrangements. In the event of a breach by the VIE or the VIE’s shareholders of contractual obligations under these agreements, the WFOE, as pledgee, will be entitled the right to dispose of the pledged equity interests in the VIE. The shareholders of the VIE also undertake that, during the term of the share pledge agreement, without the prior written consent to the WFOE, they shall not dispose of the pledged equity interests or create or allow any encumbrance on the pledged equity interests or increase the registered capital of the VIE. If there is any increased registered capital pursuant to the terms of this agreement, such increased registered capital would also be deemed as pledged equity interest. Following the terms of the Share Pledge Agreement, the shareholders of the VIE have registered the pledge at the State Administration for Market Regulation (“SAMR”) on July 29, 2015. The pledge will remain binding until the VIE and their shareholders discharge all their obligations under the contractual arrangements and the de-registration at SAMR is completed.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Exclusive Option Agreement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Pursuant to the Exclusive Option Agreement dated June 18, 2015, among the WFOE, the VIE and the VIE’s shareholders, each of the shareholders of the VIE irrevocably granted the WFOE an exclusive option to purchase, or have its designated person to purchase, at its discretion, to the extent permitted under PRC law, all or part of their equity interests in the VIE, and the purchase price shall be the registered capital of the VIE pro rata to the VIE’s shareholders’ shareholdings or the lowest price permitted by applicable PRC law. The shareholders of the VIE undertakes that, without the prior written consent of the WFOE, they shall not, among other things, increase or decrease the registered capital of the VIE, dispose of its assets, incur any debts or guarantee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the WFOE gives the VIE a termination notice 30 days before the term ends; (2) all equity interests in the VIE held by the VIE’s shareholders are transferred or assigned to the WFOE or its designated representatives; and (3) the termination of the term of operation of the VIE.</w:t>
      </w:r>
    </w:p>
    <w:p>
      <w:pPr>
        <w:spacing w:after="0" w:line="12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 contractual arrangements cannot be unilaterally terminated. Management concluded that the Company, through the WFOE and the contractual arrangements, has the power and control to direct the activities that most significantly impact the VIE’s economic performance, bears the risks and enjoys the rewards normally associated with ownership of the VIE, receive substantially all of the economic benefits and residual returns, and absorb substantially all the risks and expected losses from the VIE as if it was their sole shareholder and therefore the Company is the ultimate primary beneficiary of the VIE. As such, the Group consolidates the financial results of the VIE which are prepared in accordance with the basis of presentation as stated in Note 2 below.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F-10</w:t>
      </w:r>
    </w:p>
    <w:p>
      <w:pPr>
        <w:sectPr>
          <w:pgSz w:w="11900" w:h="16838" w:orient="portrait"/>
          <w:cols w:equalWidth="0" w:num="1">
            <w:col w:w="11240"/>
          </w:cols>
          <w:pgMar w:left="320" w:top="553"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3082"/>
        </w:rPr>
        <w:t>The following financial information of the Group’s VIE as of and for the years ended December 31, 2018 and 2019 set forth the assets, liabilities, results of operations and changes in cash and cash equivalents of the consolidated VIE taken as a whole, which was included in the accompanying consolidated financial statements of the Group with intercompany transactions eliminated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center"/>
              <w:ind w:left="555"/>
              <w:spacing w:after="0"/>
              <w:rPr>
                <w:sz w:val="20"/>
                <w:szCs w:val="20"/>
                <w:color w:val="auto"/>
              </w:rPr>
            </w:pPr>
            <w:r>
              <w:rPr>
                <w:rFonts w:ascii="Arial" w:cs="Arial" w:eastAsia="Arial" w:hAnsi="Arial"/>
                <w:sz w:val="14"/>
                <w:szCs w:val="14"/>
                <w:b w:val="1"/>
                <w:bCs w:val="1"/>
                <w:color w:val="003082"/>
                <w:w w:val="90"/>
              </w:rPr>
              <w:t>As of December 31,</w:t>
            </w:r>
          </w:p>
        </w:tc>
        <w:tc>
          <w:tcPr>
            <w:tcW w:w="980" w:type="dxa"/>
            <w:vAlign w:val="bottom"/>
            <w:tcBorders>
              <w:bottom w:val="single" w:sz="8" w:color="3D5588"/>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8,917,074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w w:val="95"/>
              </w:rPr>
              <w:t>17,308,887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1,457,046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10,143,800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w w:val="95"/>
              </w:rPr>
              <w:t>14,827,841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Amounts due from related parties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1,891,165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2,445,447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1,189,673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886,022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current assets</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23,598,758</w:t>
            </w:r>
          </w:p>
        </w:tc>
        <w:tc>
          <w:tcPr>
            <w:tcW w:w="120" w:type="dxa"/>
            <w:vAlign w:val="bottom"/>
          </w:tcPr>
          <w:p>
            <w:pPr>
              <w:spacing w:after="0"/>
              <w:rPr>
                <w:sz w:val="20"/>
                <w:szCs w:val="20"/>
                <w:color w:val="auto"/>
              </w:rPr>
            </w:pPr>
          </w:p>
        </w:tc>
        <w:tc>
          <w:tcPr>
            <w:tcW w:w="58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w w:val="95"/>
              </w:rPr>
              <w:t>35,468,197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Property and equipment, net</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1,506,939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3,292,978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277,533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387,950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Other non-current assets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50,882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69,968</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non-current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1,835,354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3,750,896</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assets</w:t>
            </w:r>
          </w:p>
        </w:tc>
        <w:tc>
          <w:tcPr>
            <w:tcW w:w="380" w:type="dxa"/>
            <w:vAlign w:val="bottom"/>
            <w:tcBorders>
              <w:top w:val="single" w:sz="8" w:color="3D5588"/>
              <w:bottom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25,434,112</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3D5588"/>
              <w:bottom w:val="single" w:sz="8" w:color="3D5588"/>
            </w:tcBorders>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bottom w:val="single" w:sz="8" w:color="3D5588"/>
            </w:tcBorders>
          </w:tcPr>
          <w:p>
            <w:pPr>
              <w:jc w:val="right"/>
              <w:ind w:right="12"/>
              <w:spacing w:after="0"/>
              <w:rPr>
                <w:sz w:val="20"/>
                <w:szCs w:val="20"/>
                <w:color w:val="auto"/>
              </w:rPr>
            </w:pPr>
            <w:r>
              <w:rPr>
                <w:rFonts w:ascii="Arial" w:cs="Arial" w:eastAsia="Arial" w:hAnsi="Arial"/>
                <w:sz w:val="18"/>
                <w:szCs w:val="18"/>
                <w:color w:val="003082"/>
                <w:w w:val="95"/>
              </w:rPr>
              <w:t>39,219,093</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Current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1,964,857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2,992,628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Amounts due to related parties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18,188,331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w w:val="95"/>
              </w:rPr>
              <w:t>27,780,440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Advances from customers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473,327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733,518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Taxes payable</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371,749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756,020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Accrued expenses and 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2,195,527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3,440,748</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current liabilities</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23,193,791</w:t>
            </w:r>
          </w:p>
        </w:tc>
        <w:tc>
          <w:tcPr>
            <w:tcW w:w="120" w:type="dxa"/>
            <w:vAlign w:val="bottom"/>
          </w:tcPr>
          <w:p>
            <w:pPr>
              <w:spacing w:after="0"/>
              <w:rPr>
                <w:sz w:val="20"/>
                <w:szCs w:val="20"/>
                <w:color w:val="auto"/>
              </w:rPr>
            </w:pPr>
          </w:p>
        </w:tc>
        <w:tc>
          <w:tcPr>
            <w:tcW w:w="58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w w:val="95"/>
              </w:rPr>
              <w:t>35,703,354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w:t>
            </w:r>
          </w:p>
        </w:tc>
        <w:tc>
          <w:tcPr>
            <w:tcW w:w="380" w:type="dxa"/>
            <w:vAlign w:val="bottom"/>
            <w:tcBorders>
              <w:bottom w:val="single" w:sz="8" w:color="3D5588"/>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23,193,791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3D5588"/>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w w:val="95"/>
              </w:rPr>
              <w:t>35,703,354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3D5588"/>
            </w:tcBorders>
            <w:gridSpan w:val="2"/>
          </w:tcPr>
          <w:p>
            <w:pPr>
              <w:spacing w:after="0" w:line="20" w:lineRule="exact"/>
              <w:rPr>
                <w:sz w:val="1"/>
                <w:szCs w:val="1"/>
                <w:color w:val="auto"/>
              </w:rPr>
            </w:pPr>
          </w:p>
        </w:tc>
      </w:tr>
      <w:tr>
        <w:trPr>
          <w:trHeight w:val="548"/>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72"/>
              <w:spacing w:after="0"/>
              <w:rPr>
                <w:sz w:val="20"/>
                <w:szCs w:val="20"/>
                <w:color w:val="auto"/>
              </w:rPr>
            </w:pPr>
            <w:r>
              <w:rPr>
                <w:rFonts w:ascii="Arial" w:cs="Arial" w:eastAsia="Arial" w:hAnsi="Arial"/>
                <w:sz w:val="14"/>
                <w:szCs w:val="14"/>
                <w:b w:val="1"/>
                <w:bCs w:val="1"/>
                <w:color w:val="003082"/>
                <w:w w:val="93"/>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37,172,123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w w:val="95"/>
              </w:rPr>
              <w:t>57,444,924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income (loss)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(146,806)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224,905</w:t>
            </w:r>
          </w:p>
        </w:tc>
      </w:tr>
      <w:tr>
        <w:trPr>
          <w:trHeight w:val="588"/>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72"/>
              <w:spacing w:after="0"/>
              <w:rPr>
                <w:sz w:val="20"/>
                <w:szCs w:val="20"/>
                <w:color w:val="auto"/>
              </w:rPr>
            </w:pPr>
            <w:r>
              <w:rPr>
                <w:rFonts w:ascii="Arial" w:cs="Arial" w:eastAsia="Arial" w:hAnsi="Arial"/>
                <w:sz w:val="14"/>
                <w:szCs w:val="14"/>
                <w:b w:val="1"/>
                <w:bCs w:val="1"/>
                <w:color w:val="003082"/>
                <w:w w:val="93"/>
              </w:rPr>
              <w:t>Year Ended December 31,</w:t>
            </w: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and cash equivalents generated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2,774,063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9,389,954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cash and cash equivalents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(2,251,153)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(998,141)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Net cash and cash equivalents used in financing activities</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3082"/>
        </w:rPr>
        <w:t>F-11</w:t>
      </w:r>
    </w:p>
    <w:p>
      <w:pPr>
        <w:sectPr>
          <w:pgSz w:w="11900" w:h="16838" w:orient="portrait"/>
          <w:cols w:equalWidth="0" w:num="1">
            <w:col w:w="11240"/>
          </w:cols>
          <w:pgMar w:left="320" w:top="553" w:right="339" w:bottom="1440" w:gutter="0" w:footer="0" w:header="0"/>
          <w:type w:val="continuous"/>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In accordance with the aforementioned agreements, the Company has power to direct activities of the VIE, and can have assets transferred out of the VIE. Therefore the Company considers that there is no asset in the VIE that can be used only to settle obligations of the VIE, except for registered capital, as of December 31, 2018 and 2019. As the VIE was formed as a limited liability company under the PRC Company Law, the creditors do not have recourse to the general credit of the Company for all the liabilities of the VIE.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There is no variable interest entity where the Company has variable interest but is not the primary beneficiary.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Group believes that the contractual arrangements among the VIE shareholders, the VIE and the WFOE comply with PRC law and are legally enforceable. However, uncertainties in the PRC legal system could limit the Company’s ability to enforce these contractual arrangements and if the shareholders of the VIE were to reduce their interest in the Company, their interests may diverge from that of the Company and that may potentially increase the risk that they would seek to act contrary to the contractual terms.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Company’s ability to control the VIE also depends on the voting rights proxy and the effect of the share pledge under the Share Pledge Agreement and the WFOE has to vote on all matters requiring shareholders’ approval in the VIE. As noted above, the Company believes this voting right proxy is legally enforceable but may not be as effective as direct equity ownership.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2. Principal Accounting Policies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 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accompanying consolidated financial statements have been prepared in accordance with accounting principles generally accepted in the United States of America (“U.S. GAAP”).</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The Corporate Reorganization was a recapitalization with no substantial changes in the shareholding of the Company. Accordingly, the accompanying consolidated financial statements have been prepared as if the current corporate structure had been in existence throughout the periods.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Principal accounting policies followed by the Company in the preparation of the accompanying consolidated financial statements are summarized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(b) Basis of Consolidation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The Group’s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The Company applies the guidance codified in Accounting Standard Codification (“ASC”) 810, </w:t>
      </w:r>
      <w:r>
        <w:rPr>
          <w:rFonts w:ascii="Arial" w:cs="Arial" w:eastAsia="Arial" w:hAnsi="Arial"/>
          <w:sz w:val="18"/>
          <w:szCs w:val="18"/>
          <w:i w:val="1"/>
          <w:iCs w:val="1"/>
          <w:color w:val="003082"/>
        </w:rPr>
        <w:t>Consolidations</w:t>
      </w:r>
      <w:r>
        <w:rPr>
          <w:rFonts w:ascii="Arial" w:cs="Arial" w:eastAsia="Arial" w:hAnsi="Arial"/>
          <w:sz w:val="18"/>
          <w:szCs w:val="18"/>
          <w:color w:val="003082"/>
        </w:rPr>
        <w:t>, which contains guidance of accounting for VIEs.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F-12</w:t>
      </w:r>
    </w:p>
    <w:p>
      <w:pPr>
        <w:sectPr>
          <w:pgSz w:w="11900" w:h="16838" w:orient="portrait"/>
          <w:cols w:equalWidth="0" w:num="1">
            <w:col w:w="11240"/>
          </w:cols>
          <w:pgMar w:left="320" w:top="553" w:right="339"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  Use of Estimates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 and the reported revenues and expenses during the reporting periods in the consolidated financial statements and accompanying notes. The Company believes that the valuation of the Company’s preferred shares and share-based awards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(d) Functional Currencies and Foreign Currency Translation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The Group uses U.S. dollars (“US$”) as its reporting currency. The functional currency of the Company and its subsidiaries incorporated outside of PRC is US$, while the functional currency of the PRC entities in the Group is Renminbi (“RMB”) as determined based on the criteria of ASC 830, </w:t>
      </w:r>
      <w:r>
        <w:rPr>
          <w:rFonts w:ascii="Arial" w:cs="Arial" w:eastAsia="Arial" w:hAnsi="Arial"/>
          <w:sz w:val="18"/>
          <w:szCs w:val="18"/>
          <w:i w:val="1"/>
          <w:iCs w:val="1"/>
          <w:color w:val="003082"/>
        </w:rPr>
        <w:t>Foreign</w:t>
      </w:r>
      <w:r>
        <w:rPr>
          <w:rFonts w:ascii="Arial" w:cs="Arial" w:eastAsia="Arial" w:hAnsi="Arial"/>
          <w:sz w:val="18"/>
          <w:szCs w:val="18"/>
          <w:color w:val="003082"/>
        </w:rPr>
        <w:t xml:space="preserve"> </w:t>
      </w:r>
      <w:r>
        <w:rPr>
          <w:rFonts w:ascii="Arial" w:cs="Arial" w:eastAsia="Arial" w:hAnsi="Arial"/>
          <w:sz w:val="18"/>
          <w:szCs w:val="18"/>
          <w:i w:val="1"/>
          <w:iCs w:val="1"/>
          <w:color w:val="003082"/>
        </w:rPr>
        <w:t>Currency Matters</w:t>
      </w:r>
      <w:r>
        <w:rPr>
          <w:rFonts w:ascii="Arial" w:cs="Arial" w:eastAsia="Arial" w:hAnsi="Arial"/>
          <w:sz w:val="18"/>
          <w:szCs w:val="18"/>
          <w:color w:val="003082"/>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income (loss) as foreign exchange related gain or loss.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income (loss) on the consolidated financial statement.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  Concentration of Credit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Financial instruments that potentially subject the Group to concentration of credit risk consist of cash and cash equivalents, short-term investments and accounts receivable.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Group deposits its cash and cash equivalents and short-term investments with major financial institutions which the Group believes that no significant credit risk with high credit quality. For the years ended December 31, 2018 and 2019, the amount of cash and cash equivalents held in banks in the PRC, as well as cash and cash equivalents denominated in RMB, were both $10.1 million and $19.0 million, respectively.</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 The Group offers payment terms in the range of 30 to 45 days to its customers. The Group also periodically determines an allowance for doubtful accounts based on the accounting policy indicated in Note 2(j) - Accounts Receivable.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summarizes customers with greater than 10% of the accounts receivables: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Borders>
              <w:bottom w:val="single" w:sz="8" w:color="CCEEFF"/>
            </w:tcBorders>
          </w:tcPr>
          <w:p>
            <w:pPr>
              <w:spacing w:after="0"/>
              <w:rPr>
                <w:sz w:val="16"/>
                <w:szCs w:val="16"/>
                <w:color w:val="auto"/>
              </w:rPr>
            </w:pPr>
          </w:p>
        </w:tc>
        <w:tc>
          <w:tcPr>
            <w:tcW w:w="1120" w:type="dxa"/>
            <w:vAlign w:val="bottom"/>
            <w:tcBorders>
              <w:bottom w:val="single" w:sz="8" w:color="3D5588"/>
            </w:tcBorders>
          </w:tcPr>
          <w:p>
            <w:pPr>
              <w:jc w:val="right"/>
              <w:ind w:right="88"/>
              <w:spacing w:after="0"/>
              <w:rPr>
                <w:sz w:val="20"/>
                <w:szCs w:val="20"/>
                <w:color w:val="auto"/>
              </w:rPr>
            </w:pPr>
            <w:r>
              <w:rPr>
                <w:rFonts w:ascii="Arial" w:cs="Arial" w:eastAsia="Arial" w:hAnsi="Arial"/>
                <w:sz w:val="14"/>
                <w:szCs w:val="14"/>
                <w:b w:val="1"/>
                <w:bCs w:val="1"/>
                <w:color w:val="003082"/>
              </w:rPr>
              <w:t>2018</w:t>
            </w:r>
          </w:p>
        </w:tc>
        <w:tc>
          <w:tcPr>
            <w:tcW w:w="520" w:type="dxa"/>
            <w:vAlign w:val="bottom"/>
            <w:tcBorders>
              <w:bottom w:val="single" w:sz="8" w:color="3D5588"/>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3D5588"/>
            </w:tcBorders>
          </w:tcPr>
          <w:p>
            <w:pPr>
              <w:jc w:val="right"/>
              <w:ind w:right="596"/>
              <w:spacing w:after="0"/>
              <w:rPr>
                <w:sz w:val="20"/>
                <w:szCs w:val="20"/>
                <w:color w:val="auto"/>
              </w:rPr>
            </w:pPr>
            <w:r>
              <w:rPr>
                <w:rFonts w:ascii="Arial" w:cs="Arial" w:eastAsia="Arial" w:hAnsi="Arial"/>
                <w:sz w:val="14"/>
                <w:szCs w:val="14"/>
                <w:b w:val="1"/>
                <w:bCs w:val="1"/>
                <w:color w:val="003082"/>
              </w:rPr>
              <w:t>2019</w:t>
            </w:r>
          </w:p>
        </w:tc>
      </w:tr>
      <w:tr>
        <w:trPr>
          <w:trHeight w:val="250"/>
        </w:trPr>
        <w:tc>
          <w:tcPr>
            <w:tcW w:w="8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Customer A — Social media platform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003082"/>
              </w:rPr>
              <w:t>*</w:t>
            </w:r>
          </w:p>
        </w:tc>
      </w:tr>
      <w:tr>
        <w:trPr>
          <w:trHeight w:val="243"/>
        </w:trPr>
        <w:tc>
          <w:tcPr>
            <w:tcW w:w="8980" w:type="dxa"/>
            <w:vAlign w:val="bottom"/>
            <w:gridSpan w:val="2"/>
          </w:tcPr>
          <w:p>
            <w:pPr>
              <w:ind w:left="40"/>
              <w:spacing w:after="0"/>
              <w:rPr>
                <w:sz w:val="20"/>
                <w:szCs w:val="20"/>
                <w:color w:val="auto"/>
              </w:rPr>
            </w:pPr>
            <w:r>
              <w:rPr>
                <w:rFonts w:ascii="Arial" w:cs="Arial" w:eastAsia="Arial" w:hAnsi="Arial"/>
                <w:sz w:val="18"/>
                <w:szCs w:val="18"/>
                <w:color w:val="003082"/>
              </w:rPr>
              <w:t>Customer B — Social media platform</w:t>
            </w:r>
          </w:p>
        </w:tc>
        <w:tc>
          <w:tcPr>
            <w:tcW w:w="520" w:type="dxa"/>
            <w:vAlign w:val="bottom"/>
          </w:tcPr>
          <w:p>
            <w:pPr>
              <w:jc w:val="right"/>
              <w:ind w:right="110"/>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003082"/>
              </w:rPr>
              <w:t>24%</w:t>
            </w:r>
          </w:p>
        </w:tc>
      </w:tr>
      <w:tr>
        <w:trPr>
          <w:trHeight w:val="206"/>
        </w:trPr>
        <w:tc>
          <w:tcPr>
            <w:tcW w:w="7860" w:type="dxa"/>
            <w:vAlign w:val="bottom"/>
          </w:tcPr>
          <w:p>
            <w:pPr>
              <w:spacing w:after="0"/>
              <w:rPr>
                <w:sz w:val="20"/>
                <w:szCs w:val="20"/>
                <w:color w:val="auto"/>
              </w:rPr>
            </w:pPr>
            <w:r>
              <w:rPr>
                <w:rFonts w:ascii="Arial" w:cs="Arial" w:eastAsia="Arial" w:hAnsi="Arial"/>
                <w:sz w:val="16"/>
                <w:szCs w:val="16"/>
                <w:color w:val="003082"/>
              </w:rPr>
              <w:t>________________</w:t>
            </w: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8980" w:type="dxa"/>
            <w:vAlign w:val="bottom"/>
            <w:gridSpan w:val="2"/>
          </w:tcPr>
          <w:p>
            <w:pPr>
              <w:spacing w:after="0"/>
              <w:rPr>
                <w:sz w:val="20"/>
                <w:szCs w:val="20"/>
                <w:color w:val="auto"/>
              </w:rPr>
            </w:pPr>
            <w:r>
              <w:rPr>
                <w:rFonts w:ascii="Arial" w:cs="Arial" w:eastAsia="Arial" w:hAnsi="Arial"/>
                <w:sz w:val="16"/>
                <w:szCs w:val="16"/>
                <w:color w:val="003082"/>
              </w:rPr>
              <w:t>*   Less than 10%.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586"/>
        </w:trPr>
        <w:tc>
          <w:tcPr>
            <w:tcW w:w="8980" w:type="dxa"/>
            <w:vAlign w:val="bottom"/>
            <w:gridSpan w:val="2"/>
          </w:tcPr>
          <w:p>
            <w:pPr>
              <w:ind w:left="5460"/>
              <w:spacing w:after="0"/>
              <w:rPr>
                <w:sz w:val="20"/>
                <w:szCs w:val="20"/>
                <w:color w:val="auto"/>
              </w:rPr>
            </w:pPr>
            <w:r>
              <w:rPr>
                <w:rFonts w:ascii="Arial" w:cs="Arial" w:eastAsia="Arial" w:hAnsi="Arial"/>
                <w:sz w:val="18"/>
                <w:szCs w:val="18"/>
                <w:color w:val="003082"/>
              </w:rPr>
              <w:t>F-13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For the year ended December 31, 2018, Customer A contributed 16% of total revenue of the Group.</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Borders>
              <w:bottom w:val="single" w:sz="8" w:color="CCEEFF"/>
            </w:tcBorders>
          </w:tcPr>
          <w:p>
            <w:pPr>
              <w:spacing w:after="0"/>
              <w:rPr>
                <w:sz w:val="16"/>
                <w:szCs w:val="16"/>
                <w:color w:val="auto"/>
              </w:rPr>
            </w:pPr>
          </w:p>
        </w:tc>
        <w:tc>
          <w:tcPr>
            <w:tcW w:w="1120" w:type="dxa"/>
            <w:vAlign w:val="bottom"/>
            <w:tcBorders>
              <w:bottom w:val="single" w:sz="8" w:color="3D5588"/>
            </w:tcBorders>
          </w:tcPr>
          <w:p>
            <w:pPr>
              <w:jc w:val="right"/>
              <w:ind w:right="88"/>
              <w:spacing w:after="0"/>
              <w:rPr>
                <w:sz w:val="20"/>
                <w:szCs w:val="20"/>
                <w:color w:val="auto"/>
              </w:rPr>
            </w:pPr>
            <w:r>
              <w:rPr>
                <w:rFonts w:ascii="Arial" w:cs="Arial" w:eastAsia="Arial" w:hAnsi="Arial"/>
                <w:sz w:val="14"/>
                <w:szCs w:val="14"/>
                <w:b w:val="1"/>
                <w:bCs w:val="1"/>
                <w:color w:val="003082"/>
              </w:rPr>
              <w:t>2018</w:t>
            </w:r>
          </w:p>
        </w:tc>
        <w:tc>
          <w:tcPr>
            <w:tcW w:w="520" w:type="dxa"/>
            <w:vAlign w:val="bottom"/>
            <w:tcBorders>
              <w:bottom w:val="single" w:sz="8" w:color="3D5588"/>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3D5588"/>
            </w:tcBorders>
          </w:tcPr>
          <w:p>
            <w:pPr>
              <w:jc w:val="right"/>
              <w:ind w:right="559"/>
              <w:spacing w:after="0"/>
              <w:rPr>
                <w:sz w:val="20"/>
                <w:szCs w:val="20"/>
                <w:color w:val="auto"/>
              </w:rPr>
            </w:pPr>
            <w:r>
              <w:rPr>
                <w:rFonts w:ascii="Arial" w:cs="Arial" w:eastAsia="Arial" w:hAnsi="Arial"/>
                <w:sz w:val="14"/>
                <w:szCs w:val="14"/>
                <w:b w:val="1"/>
                <w:bCs w:val="1"/>
                <w:color w:val="003082"/>
              </w:rPr>
              <w:t>2019</w:t>
            </w:r>
          </w:p>
        </w:tc>
      </w:tr>
      <w:tr>
        <w:trPr>
          <w:trHeight w:val="249"/>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Customer A — Social media platform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w:t>
            </w: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003082"/>
              </w:rPr>
              <w:t>________________</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6"/>
        </w:trPr>
        <w:tc>
          <w:tcPr>
            <w:tcW w:w="9040" w:type="dxa"/>
            <w:vAlign w:val="bottom"/>
            <w:gridSpan w:val="2"/>
          </w:tcPr>
          <w:p>
            <w:pPr>
              <w:spacing w:after="0"/>
              <w:rPr>
                <w:sz w:val="20"/>
                <w:szCs w:val="20"/>
                <w:color w:val="auto"/>
              </w:rPr>
            </w:pPr>
            <w:r>
              <w:rPr>
                <w:rFonts w:ascii="Arial" w:cs="Arial" w:eastAsia="Arial" w:hAnsi="Arial"/>
                <w:sz w:val="16"/>
                <w:szCs w:val="16"/>
                <w:color w:val="003082"/>
              </w:rPr>
              <w:t>*   Less than 10%.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(f)</w:t>
      </w:r>
      <w:r>
        <w:rPr>
          <w:sz w:val="20"/>
          <w:szCs w:val="20"/>
          <w:color w:val="auto"/>
        </w:rPr>
        <w:tab/>
      </w:r>
      <w:r>
        <w:rPr>
          <w:rFonts w:ascii="Arial" w:cs="Arial" w:eastAsia="Arial" w:hAnsi="Arial"/>
          <w:sz w:val="15"/>
          <w:szCs w:val="15"/>
          <w:b w:val="1"/>
          <w:bCs w:val="1"/>
          <w:i w:val="1"/>
          <w:iCs w:val="1"/>
          <w:color w:val="003082"/>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130"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003082"/>
        </w:rPr>
      </w:pPr>
      <w:r>
        <w:rPr>
          <w:rFonts w:ascii="Arial" w:cs="Arial" w:eastAsia="Arial" w:hAnsi="Arial"/>
          <w:sz w:val="18"/>
          <w:szCs w:val="18"/>
          <w:color w:val="003082"/>
        </w:rPr>
        <w:t>Level 1: Quoted prices (unadjusted) in active markets for identical assets or liabilities.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23"/>
        </w:numPr>
        <w:rPr>
          <w:rFonts w:ascii="Arial" w:cs="Arial" w:eastAsia="Arial" w:hAnsi="Arial"/>
          <w:sz w:val="18"/>
          <w:szCs w:val="18"/>
          <w:color w:val="003082"/>
        </w:rPr>
      </w:pPr>
      <w:r>
        <w:rPr>
          <w:rFonts w:ascii="Arial" w:cs="Arial" w:eastAsia="Arial" w:hAnsi="Arial"/>
          <w:sz w:val="18"/>
          <w:szCs w:val="18"/>
          <w:color w:val="003082"/>
        </w:rPr>
        <w:t>Level 2: Observable, market-based inputs, other than quoted prices, in active markets for identical assets or liabilities.</w:t>
      </w:r>
    </w:p>
    <w:p>
      <w:pPr>
        <w:spacing w:after="0" w:line="171" w:lineRule="exact"/>
        <w:rPr>
          <w:rFonts w:ascii="Arial" w:cs="Arial" w:eastAsia="Arial" w:hAnsi="Arial"/>
          <w:sz w:val="18"/>
          <w:szCs w:val="18"/>
          <w:color w:val="003082"/>
        </w:rPr>
      </w:pPr>
    </w:p>
    <w:p>
      <w:pPr>
        <w:ind w:left="660" w:hanging="328"/>
        <w:spacing w:after="0"/>
        <w:tabs>
          <w:tab w:leader="none" w:pos="660" w:val="left"/>
        </w:tabs>
        <w:numPr>
          <w:ilvl w:val="0"/>
          <w:numId w:val="123"/>
        </w:numPr>
        <w:rPr>
          <w:rFonts w:ascii="Arial" w:cs="Arial" w:eastAsia="Arial" w:hAnsi="Arial"/>
          <w:sz w:val="17"/>
          <w:szCs w:val="17"/>
          <w:color w:val="003082"/>
        </w:rPr>
      </w:pPr>
      <w:r>
        <w:rPr>
          <w:rFonts w:ascii="Arial" w:cs="Arial" w:eastAsia="Arial" w:hAnsi="Arial"/>
          <w:sz w:val="17"/>
          <w:szCs w:val="17"/>
          <w:color w:val="003082"/>
        </w:rPr>
        <w:t>Level 3: Unobservable inputs to the valuation methodology that are significant to the measurement of the fair value of the assets or liabilities.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Company’s financial instruments include cash and cash equivalents, short-term investments, accounts receivable, accounts payable, certain accrued expenses and other current liabilities. The carrying amounts of short-term financial instruments, approximate their fair values due to the short-term maturity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following table sets forth the Group’s assets and liabilities that are measured at fair value on a recurring basis and are categorized using the fair value hierarchy: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980" w:type="dxa"/>
            <w:vAlign w:val="bottom"/>
            <w:tcBorders>
              <w:bottom w:val="single" w:sz="8" w:color="3D5588"/>
            </w:tcBorders>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ind w:left="640"/>
              <w:spacing w:after="0"/>
              <w:rPr>
                <w:sz w:val="20"/>
                <w:szCs w:val="20"/>
                <w:color w:val="auto"/>
              </w:rPr>
            </w:pPr>
            <w:r>
              <w:rPr>
                <w:rFonts w:ascii="Arial" w:cs="Arial" w:eastAsia="Arial" w:hAnsi="Arial"/>
                <w:sz w:val="14"/>
                <w:szCs w:val="14"/>
                <w:b w:val="1"/>
                <w:bCs w:val="1"/>
                <w:color w:val="003082"/>
              </w:rPr>
              <w:t>As of December 31, 2018</w:t>
            </w:r>
          </w:p>
        </w:tc>
        <w:tc>
          <w:tcPr>
            <w:tcW w:w="134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20" w:type="dxa"/>
            <w:vAlign w:val="bottom"/>
          </w:tcPr>
          <w:p>
            <w:pPr>
              <w:spacing w:after="0"/>
              <w:rPr>
                <w:sz w:val="13"/>
                <w:szCs w:val="13"/>
                <w:color w:val="auto"/>
              </w:rPr>
            </w:pPr>
          </w:p>
        </w:tc>
        <w:tc>
          <w:tcPr>
            <w:tcW w:w="980" w:type="dxa"/>
            <w:vAlign w:val="bottom"/>
            <w:vMerge w:val="restart"/>
          </w:tcPr>
          <w:p>
            <w:pPr>
              <w:ind w:left="460"/>
              <w:spacing w:after="0"/>
              <w:rPr>
                <w:sz w:val="20"/>
                <w:szCs w:val="20"/>
                <w:color w:val="auto"/>
              </w:rPr>
            </w:pPr>
            <w:r>
              <w:rPr>
                <w:rFonts w:ascii="Arial" w:cs="Arial" w:eastAsia="Arial" w:hAnsi="Arial"/>
                <w:sz w:val="14"/>
                <w:szCs w:val="14"/>
                <w:b w:val="1"/>
                <w:bCs w:val="1"/>
                <w:color w:val="003082"/>
              </w:rPr>
              <w:t>Level 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003082"/>
              </w:rPr>
              <w:t>Level 2</w:t>
            </w:r>
          </w:p>
        </w:tc>
        <w:tc>
          <w:tcPr>
            <w:tcW w:w="100" w:type="dxa"/>
            <w:vAlign w:val="bottom"/>
            <w:vMerge w:val="restart"/>
          </w:tcPr>
          <w:p>
            <w:pPr>
              <w:spacing w:after="0"/>
              <w:rPr>
                <w:sz w:val="13"/>
                <w:szCs w:val="13"/>
                <w:color w:val="auto"/>
              </w:rPr>
            </w:pPr>
          </w:p>
        </w:tc>
        <w:tc>
          <w:tcPr>
            <w:tcW w:w="1340" w:type="dxa"/>
            <w:vAlign w:val="bottom"/>
            <w:vMerge w:val="restart"/>
          </w:tcPr>
          <w:p>
            <w:pPr>
              <w:ind w:left="440"/>
              <w:spacing w:after="0"/>
              <w:rPr>
                <w:sz w:val="20"/>
                <w:szCs w:val="20"/>
                <w:color w:val="auto"/>
              </w:rPr>
            </w:pPr>
            <w:r>
              <w:rPr>
                <w:rFonts w:ascii="Arial" w:cs="Arial" w:eastAsia="Arial" w:hAnsi="Arial"/>
                <w:sz w:val="14"/>
                <w:szCs w:val="14"/>
                <w:b w:val="1"/>
                <w:bCs w:val="1"/>
                <w:color w:val="003082"/>
              </w:rPr>
              <w:t>Level 3</w:t>
            </w:r>
          </w:p>
        </w:tc>
        <w:tc>
          <w:tcPr>
            <w:tcW w:w="100" w:type="dxa"/>
            <w:vAlign w:val="bottom"/>
            <w:vMerge w:val="restart"/>
          </w:tcPr>
          <w:p>
            <w:pPr>
              <w:spacing w:after="0"/>
              <w:rPr>
                <w:sz w:val="13"/>
                <w:szCs w:val="13"/>
                <w:color w:val="auto"/>
              </w:rPr>
            </w:pPr>
          </w:p>
        </w:tc>
        <w:tc>
          <w:tcPr>
            <w:tcW w:w="1340" w:type="dxa"/>
            <w:vAlign w:val="bottom"/>
          </w:tcPr>
          <w:p>
            <w:pPr>
              <w:ind w:left="360"/>
              <w:spacing w:after="0" w:line="153" w:lineRule="exact"/>
              <w:rPr>
                <w:sz w:val="20"/>
                <w:szCs w:val="20"/>
                <w:color w:val="auto"/>
              </w:rPr>
            </w:pPr>
            <w:r>
              <w:rPr>
                <w:rFonts w:ascii="Arial" w:cs="Arial" w:eastAsia="Arial" w:hAnsi="Arial"/>
                <w:sz w:val="14"/>
                <w:szCs w:val="14"/>
                <w:b w:val="1"/>
                <w:bCs w:val="1"/>
                <w:color w:val="003082"/>
              </w:rPr>
              <w:t>Balance at</w:t>
            </w:r>
          </w:p>
        </w:tc>
        <w:tc>
          <w:tcPr>
            <w:tcW w:w="0" w:type="dxa"/>
            <w:vAlign w:val="bottom"/>
          </w:tcPr>
          <w:p>
            <w:pPr>
              <w:spacing w:after="0"/>
              <w:rPr>
                <w:sz w:val="1"/>
                <w:szCs w:val="1"/>
                <w:color w:val="auto"/>
              </w:rPr>
            </w:pPr>
          </w:p>
        </w:tc>
      </w:tr>
      <w:tr>
        <w:trPr>
          <w:trHeight w:val="192"/>
        </w:trPr>
        <w:tc>
          <w:tcPr>
            <w:tcW w:w="5520" w:type="dxa"/>
            <w:vAlign w:val="bottom"/>
            <w:tcBorders>
              <w:bottom w:val="single" w:sz="8" w:color="CCEEFF"/>
            </w:tcBorders>
          </w:tcPr>
          <w:p>
            <w:pPr>
              <w:spacing w:after="0"/>
              <w:rPr>
                <w:sz w:val="16"/>
                <w:szCs w:val="16"/>
                <w:color w:val="auto"/>
              </w:rPr>
            </w:pPr>
          </w:p>
        </w:tc>
        <w:tc>
          <w:tcPr>
            <w:tcW w:w="980" w:type="dxa"/>
            <w:vAlign w:val="bottom"/>
            <w:tcBorders>
              <w:bottom w:val="single" w:sz="8" w:color="3D5588"/>
            </w:tcBorders>
            <w:vMerge w:val="continue"/>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3D5588"/>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3D5588"/>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3D5588"/>
            </w:tcBorders>
          </w:tcPr>
          <w:p>
            <w:pPr>
              <w:ind w:left="360"/>
              <w:spacing w:after="0"/>
              <w:rPr>
                <w:sz w:val="20"/>
                <w:szCs w:val="20"/>
                <w:color w:val="auto"/>
              </w:rPr>
            </w:pPr>
            <w:r>
              <w:rPr>
                <w:rFonts w:ascii="Arial" w:cs="Arial" w:eastAsia="Arial" w:hAnsi="Arial"/>
                <w:sz w:val="14"/>
                <w:szCs w:val="14"/>
                <w:b w:val="1"/>
                <w:bCs w:val="1"/>
                <w:color w:val="003082"/>
              </w:rPr>
              <w:t>Fair value</w:t>
            </w:r>
          </w:p>
        </w:tc>
        <w:tc>
          <w:tcPr>
            <w:tcW w:w="0" w:type="dxa"/>
            <w:vAlign w:val="bottom"/>
          </w:tcPr>
          <w:p>
            <w:pPr>
              <w:spacing w:after="0"/>
              <w:rPr>
                <w:sz w:val="1"/>
                <w:szCs w:val="1"/>
                <w:color w:val="auto"/>
              </w:rPr>
            </w:pPr>
          </w:p>
        </w:tc>
      </w:tr>
      <w:tr>
        <w:trPr>
          <w:trHeight w:val="243"/>
        </w:trPr>
        <w:tc>
          <w:tcPr>
            <w:tcW w:w="6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003082"/>
              </w:rPr>
              <w:t>Short-term investments — Structured deposits</w:t>
            </w:r>
          </w:p>
        </w:tc>
        <w:tc>
          <w:tcPr>
            <w:tcW w:w="5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0030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1,457,046</w:t>
            </w:r>
          </w:p>
        </w:tc>
        <w:tc>
          <w:tcPr>
            <w:tcW w:w="1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0030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1,457,046</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Group did not hold short-term investments as of December 31,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(g) Cash and Cash Equivalents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Cash and cash equivalents include cash in bank and time deposits placed with banks or other financial institutions which have original maturities of three months or less at the time of purchase and are readily convertible to known amounts of cash. As of December 31, 2018 and 2019, the amount of cash equivalents was nil in the consolidated balance sheets.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F-14</w:t>
      </w:r>
    </w:p>
    <w:p>
      <w:pPr>
        <w:sectPr>
          <w:pgSz w:w="11900" w:h="16838" w:orient="portrait"/>
          <w:cols w:equalWidth="0" w:num="1">
            <w:col w:w="11240"/>
          </w:cols>
          <w:pgMar w:left="320" w:top="553" w:right="339"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 Restricted Cash</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Group’s restricted cash mainly represents secured deposits held in designated bank accounts to secure a letter of credit, and is included within prepayments and other current assets. See Note 4—Prepayments and Other Current Assets.</w:t>
      </w:r>
    </w:p>
    <w:p>
      <w:pPr>
        <w:spacing w:after="0" w:line="2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(i)</w:t>
      </w:r>
      <w:r>
        <w:rPr>
          <w:sz w:val="20"/>
          <w:szCs w:val="20"/>
          <w:color w:val="auto"/>
        </w:rPr>
        <w:tab/>
      </w:r>
      <w:r>
        <w:rPr>
          <w:rFonts w:ascii="Arial" w:cs="Arial" w:eastAsia="Arial" w:hAnsi="Arial"/>
          <w:sz w:val="15"/>
          <w:szCs w:val="15"/>
          <w:b w:val="1"/>
          <w:bCs w:val="1"/>
          <w:i w:val="1"/>
          <w:iCs w:val="1"/>
          <w:color w:val="003082"/>
        </w:rPr>
        <w:t>Short-term Investment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Short-term investments are comprised of structured deposits issued by certain banks whose interest is indexed to the fluctuation of gold price, with original maturities between three months and one year with banks in the PRC. The Company measures the short-term investments at fair value using the quoted subscription or redemption prices published by these banks.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change in fair value is recorded as interest income in the consolidated statements of comprehensive income (loss) for the years ended December 31, 2018 and 2019, respectively.</w:t>
      </w:r>
    </w:p>
    <w:p>
      <w:pPr>
        <w:spacing w:after="0" w:line="2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(j)</w:t>
      </w:r>
      <w:r>
        <w:rPr>
          <w:sz w:val="20"/>
          <w:szCs w:val="20"/>
          <w:color w:val="auto"/>
        </w:rPr>
        <w:tab/>
      </w:r>
      <w:r>
        <w:rPr>
          <w:rFonts w:ascii="Arial" w:cs="Arial" w:eastAsia="Arial" w:hAnsi="Arial"/>
          <w:sz w:val="15"/>
          <w:szCs w:val="15"/>
          <w:b w:val="1"/>
          <w:bCs w:val="1"/>
          <w:i w:val="1"/>
          <w:iCs w:val="1"/>
          <w:color w:val="003082"/>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Accounts receivable are presented net of allowance for doubtful accounts. The Company maintains an allowance for doubtful accounts which reflects its best estimate of amounts that potentially will not be collected. The Company determines the allowance for doubtful accounts by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003082"/>
        </w:rPr>
        <w:t>(k) Property and Equipment, Net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003082"/>
        </w:rPr>
        <w:t>Property and equipment are carried at cost less accumulated depreciation. Depreciation is calculated on a straight-line basis over the following estimated useful lives, taking into account any estimated residual value. Expenditures for maintenance and repairs are expensed as incurred.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estimated useful lives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Borders>
              <w:bottom w:val="single" w:sz="8" w:color="CCEEFF"/>
            </w:tcBorders>
          </w:tcPr>
          <w:p>
            <w:pPr>
              <w:spacing w:after="0"/>
              <w:rPr>
                <w:sz w:val="16"/>
                <w:szCs w:val="16"/>
                <w:color w:val="auto"/>
              </w:rPr>
            </w:pPr>
          </w:p>
        </w:tc>
        <w:tc>
          <w:tcPr>
            <w:tcW w:w="5160" w:type="dxa"/>
            <w:vAlign w:val="bottom"/>
            <w:tcBorders>
              <w:bottom w:val="single" w:sz="8" w:color="3D5588"/>
            </w:tcBorders>
          </w:tcPr>
          <w:p>
            <w:pPr>
              <w:ind w:left="1880"/>
              <w:spacing w:after="0"/>
              <w:rPr>
                <w:sz w:val="20"/>
                <w:szCs w:val="20"/>
                <w:color w:val="auto"/>
              </w:rPr>
            </w:pPr>
            <w:r>
              <w:rPr>
                <w:rFonts w:ascii="Arial" w:cs="Arial" w:eastAsia="Arial" w:hAnsi="Arial"/>
                <w:sz w:val="14"/>
                <w:szCs w:val="14"/>
                <w:b w:val="1"/>
                <w:bCs w:val="1"/>
                <w:color w:val="003082"/>
              </w:rPr>
              <w:t>Estimated Useful Lives</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Electronic equipment</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3 years</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003082"/>
              </w:rPr>
              <w:t>Furniture, computers and office equipment</w:t>
            </w:r>
          </w:p>
        </w:tc>
        <w:tc>
          <w:tcPr>
            <w:tcW w:w="5160" w:type="dxa"/>
            <w:vAlign w:val="bottom"/>
          </w:tcPr>
          <w:p>
            <w:pPr>
              <w:ind w:left="40"/>
              <w:spacing w:after="0"/>
              <w:rPr>
                <w:sz w:val="20"/>
                <w:szCs w:val="20"/>
                <w:color w:val="auto"/>
              </w:rPr>
            </w:pPr>
            <w:r>
              <w:rPr>
                <w:rFonts w:ascii="Arial" w:cs="Arial" w:eastAsia="Arial" w:hAnsi="Arial"/>
                <w:sz w:val="18"/>
                <w:szCs w:val="18"/>
                <w:color w:val="003082"/>
              </w:rPr>
              <w:t>3 years</w:t>
            </w:r>
          </w:p>
        </w:tc>
      </w:tr>
      <w:tr>
        <w:trPr>
          <w:trHeight w:val="27"/>
        </w:trPr>
        <w:tc>
          <w:tcPr>
            <w:tcW w:w="608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Network equipment</w:t>
            </w:r>
          </w:p>
        </w:tc>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3 years</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003082"/>
              </w:rPr>
              <w:t>Leasehold improvements</w:t>
            </w:r>
          </w:p>
        </w:tc>
        <w:tc>
          <w:tcPr>
            <w:tcW w:w="5160" w:type="dxa"/>
            <w:vAlign w:val="bottom"/>
          </w:tcPr>
          <w:p>
            <w:pPr>
              <w:ind w:left="40"/>
              <w:spacing w:after="0"/>
              <w:rPr>
                <w:sz w:val="20"/>
                <w:szCs w:val="20"/>
                <w:color w:val="auto"/>
              </w:rPr>
            </w:pPr>
            <w:r>
              <w:rPr>
                <w:rFonts w:ascii="Arial" w:cs="Arial" w:eastAsia="Arial" w:hAnsi="Arial"/>
                <w:sz w:val="18"/>
                <w:szCs w:val="18"/>
                <w:color w:val="003082"/>
              </w:rPr>
              <w:t>Shorter of the lease term or the estimated useful life</w:t>
            </w:r>
          </w:p>
        </w:tc>
      </w:tr>
    </w:tbl>
    <w:p>
      <w:pPr>
        <w:spacing w:after="0" w:line="2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(l)</w:t>
      </w:r>
      <w:r>
        <w:rPr>
          <w:sz w:val="20"/>
          <w:szCs w:val="20"/>
          <w:color w:val="auto"/>
        </w:rPr>
        <w:tab/>
      </w:r>
      <w:r>
        <w:rPr>
          <w:rFonts w:ascii="Arial" w:cs="Arial" w:eastAsia="Arial" w:hAnsi="Arial"/>
          <w:sz w:val="15"/>
          <w:szCs w:val="15"/>
          <w:b w:val="1"/>
          <w:bCs w:val="1"/>
          <w:i w:val="1"/>
          <w:iCs w:val="1"/>
          <w:color w:val="003082"/>
        </w:rPr>
        <w:t>Impairment of Long-lived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Long-lived assets are evaluated for impairment whenever events or changes in circumstances indicate that the carrying value of an asset may not be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charges were recognized for the years ended December 31, 2018 and 2019.</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(m) Advances from Customers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Certain customers pay in advance prior to the service usage. Payments received from customers are initially recorded as advances from customers and are recognized as revenues when revenue recognition criteria are met. See Note 2(q)—Revenue Recognition.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F-15</w:t>
      </w:r>
    </w:p>
    <w:p>
      <w:pPr>
        <w:sectPr>
          <w:pgSz w:w="11900" w:h="16838" w:orient="portrait"/>
          <w:cols w:equalWidth="0" w:num="1">
            <w:col w:w="11240"/>
          </w:cols>
          <w:pgMar w:left="320" w:top="553"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(n) Mezzanine Equity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Mezzanine equity represents the Series A, Series B, Series B+ and Series C convertible redeemable preferred shares (collectively, the “Preferred Shares”) issued by the Company. Preferred Shares are redeemable at the holders’ option any time after a certain date and were contingently redeemable upon the occurrence of certain liquidation events outside of the Company’s control. Therefore, the Group classifies the Preferred Shares as mezzanine equity. See Note 9—Convertible Redeemable Preferred Shares.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 Deferred Equity Offering Costs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 Or in the case that the equity financing is related to mezzanine equity, these costs are recorded as a reduction of mezzanine equity. Should the in-process equity financing be abandoned, the deferred offering costs will be expensed immediately as a charge to operating expenses in the consolidated statements of comprehensive (loss).</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Company did not record any deferred offering costs as of December 31, 2018. As of December 31, 2019, deferred offering costs of US$287,331 were recorded in the consolidated balance sheet. See Note 6—Other Non-current Assets.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 Value Added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Group’s WFOE and VIE in the PRC are subject to value-added taxes (“VAT”) at a rate of 6% on their services, less any deductible VAT the Group has already paid or borne. They are also subject to surcharges on VAT payments in accordance with PRC law. VAT is not included in the revenue recognized for the Group.</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WFOE qualified for and obtained its software enterprise certificate in 2018, which allows for an additional reduction in the VAT rate. As a result of the qualification in 2018, the Company received a reimbursement from the Chinese tax bureau for the VAT taxes previously paid at the higher rate. For the years ended December 31, 2018 and 2019, the Company recorded the VAT refund received of US$1,001,045 and nil in other operating income,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(q) 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The Group early adopted ASC Topic 606, </w:t>
      </w:r>
      <w:r>
        <w:rPr>
          <w:rFonts w:ascii="Arial" w:cs="Arial" w:eastAsia="Arial" w:hAnsi="Arial"/>
          <w:sz w:val="17"/>
          <w:szCs w:val="17"/>
          <w:i w:val="1"/>
          <w:iCs w:val="1"/>
          <w:color w:val="003082"/>
        </w:rPr>
        <w:t>Revenue from Contracts with Customers (ASC 606)</w:t>
      </w:r>
      <w:r>
        <w:rPr>
          <w:rFonts w:ascii="Arial" w:cs="Arial" w:eastAsia="Arial" w:hAnsi="Arial"/>
          <w:sz w:val="17"/>
          <w:szCs w:val="17"/>
          <w:color w:val="003082"/>
        </w:rPr>
        <w:t xml:space="preserve">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is recognized over time as the Group’s performance enhances an asset controlled by the customer. Revenue recognition is based on the measurement of progress toward complete satisfaction of the performance obligation, for which the Group utilizes the output method.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F-16</w:t>
      </w:r>
    </w:p>
    <w:p>
      <w:pPr>
        <w:sectPr>
          <w:pgSz w:w="11900" w:h="16838" w:orient="portrait"/>
          <w:cols w:equalWidth="0" w:num="1">
            <w:col w:w="11240"/>
          </w:cols>
          <w:pgMar w:left="320" w:top="553" w:right="33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Timing of revenue recognition may differ from the timing of invoicing to customers. The Group records a contract asset when the Group has a right to consideration in exchange for goods or services that it has transferred to a customer and when that right is conditioned on something other than the passage of time (for example, the entity’s future performance). Accounts receivables represent amounts invoiced and revenue recognized prior to invoicing, when the Group has satisfied its performance obligations and has the unconditional right to payment. As of December 31, 2018 and 2019, contract assets recorded in the Group’s consolidated balance sheets was immaterial.</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Due to the generally short-term duration of the contracts, the majority of the performance obligations are satisfied in the following reporting period. As of December 31, 2018 and 2019, contract liabilities recorded as advances from customers are US$628,954 and US$920,925 as of December 31, 2018 and 2019, respectively, in the Group’s consolidated balance sheets. Revenue recognized for the years ended December 31, 2018 and 2019 that was included in the contract liabilities balance at the beginning of the period was US$358,213 and US$628,954, respectively.</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Practical Expedients and Exemptions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2018 and 2019, no incremental contract obtaining cost was capitalized as assets due to short term of the amortization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(r)  Cost of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income (loss) as incurred.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(s)  Research and Development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w:t>
      </w:r>
      <w:r>
        <w:rPr>
          <w:rFonts w:ascii="Arial" w:cs="Arial" w:eastAsia="Arial" w:hAnsi="Arial"/>
          <w:sz w:val="18"/>
          <w:szCs w:val="18"/>
          <w:i w:val="1"/>
          <w:iCs w:val="1"/>
          <w:color w:val="003082"/>
        </w:rPr>
        <w:t>Research and Development</w:t>
      </w:r>
      <w:r>
        <w:rPr>
          <w:rFonts w:ascii="Arial" w:cs="Arial" w:eastAsia="Arial" w:hAnsi="Arial"/>
          <w:sz w:val="18"/>
          <w:szCs w:val="18"/>
          <w:color w:val="003082"/>
        </w:rPr>
        <w:t>.</w:t>
      </w:r>
    </w:p>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(t)</w:t>
      </w:r>
      <w:r>
        <w:rPr>
          <w:sz w:val="20"/>
          <w:szCs w:val="20"/>
          <w:color w:val="auto"/>
        </w:rPr>
        <w:tab/>
      </w:r>
      <w:r>
        <w:rPr>
          <w:rFonts w:ascii="Arial" w:cs="Arial" w:eastAsia="Arial" w:hAnsi="Arial"/>
          <w:sz w:val="15"/>
          <w:szCs w:val="15"/>
          <w:b w:val="1"/>
          <w:bCs w:val="1"/>
          <w:i w:val="1"/>
          <w:iCs w:val="1"/>
          <w:color w:val="003082"/>
        </w:rPr>
        <w:t>Software Development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The Group accounts for costs to develop or obtain internal use software in accordance with ASC 350-40, </w:t>
      </w:r>
      <w:r>
        <w:rPr>
          <w:rFonts w:ascii="Arial" w:cs="Arial" w:eastAsia="Arial" w:hAnsi="Arial"/>
          <w:sz w:val="18"/>
          <w:szCs w:val="18"/>
          <w:i w:val="1"/>
          <w:iCs w:val="1"/>
          <w:color w:val="003082"/>
        </w:rPr>
        <w:t>Internal-Use Software.</w:t>
      </w:r>
      <w:r>
        <w:rPr>
          <w:rFonts w:ascii="Arial" w:cs="Arial" w:eastAsia="Arial" w:hAnsi="Arial"/>
          <w:sz w:val="18"/>
          <w:szCs w:val="18"/>
          <w:color w:val="003082"/>
        </w:rPr>
        <w:t xml:space="preserve">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 and amortized on a straight-line basis over the estimated useful life. Development costs related to internal use software qualifying for capitalization have been immaterial, and as a result have been expensed as incurred.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(u) Sales and Marketing Expenses</w:t>
      </w:r>
    </w:p>
    <w:p>
      <w:pPr>
        <w:spacing w:after="0" w:line="17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003082"/>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years ended December 31, 2018 and 2019, advertising and marketing costs totaled US$580,342 and US$1,198,905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F-17</w:t>
      </w:r>
    </w:p>
    <w:p>
      <w:pPr>
        <w:sectPr>
          <w:pgSz w:w="11900" w:h="16838" w:orient="portrait"/>
          <w:cols w:equalWidth="0" w:num="1">
            <w:col w:w="11240"/>
          </w:cols>
          <w:pgMar w:left="320" w:top="553" w:right="3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(v)  General and Administrative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General and administrative expenses consist of employee wages and benefits for corporate employees, rental expenses, audit and legal fees, depreciation of property and equipment, and other corporate overhead costs.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(w) Operating Leases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leaser at the inception date. The Group had no capital leases for the years ended December 31, 2018 and 2019. Rental expense is recognized from the date of initial possession of the leased property on a straight-line basis over the term of the lease.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(x) Income Tax</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which temporary differences are expected to be received or settled. The effect on deferred tax assets and liabilities of changes in tax rates is recognized in the statement of comprehensive income (loss) in the period of the enactment of the change.</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classify interest and penalties recognized on the liability for unrecognized tax benefits as income tax expense. For the years ended December 31, 2018 and 2019, there were no uncertain tax position liabilities or deferred tax recognized.</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(y)  Share-based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All share-based awards are measured at fair value on the grant date. The share-based compensation expenses have been categorized as either cost of revenues, research and development expenses, sales and marketing expenses or general and administrative expenses, depending on the job functions of the grantees.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F-18</w:t>
      </w:r>
    </w:p>
    <w:p>
      <w:pPr>
        <w:sectPr>
          <w:pgSz w:w="11900" w:h="16838" w:orient="portrait"/>
          <w:cols w:equalWidth="0" w:num="1">
            <w:col w:w="11240"/>
          </w:cols>
          <w:pgMar w:left="320" w:top="553" w:right="339"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Share Options Granted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For the service condition only options granted to employees without a repurchase feature, the compensation expense is recognized using the straight-line method over the requisite service period. The Group early adopted Accounting Standards Update (“ASU”) 2016-09, </w:t>
      </w:r>
      <w:r>
        <w:rPr>
          <w:rFonts w:ascii="Arial" w:cs="Arial" w:eastAsia="Arial" w:hAnsi="Arial"/>
          <w:sz w:val="18"/>
          <w:szCs w:val="18"/>
          <w:i w:val="1"/>
          <w:iCs w:val="1"/>
          <w:color w:val="003082"/>
        </w:rPr>
        <w:t>Compensation</w:t>
      </w:r>
      <w:r>
        <w:rPr>
          <w:rFonts w:ascii="Arial" w:cs="Arial" w:eastAsia="Arial" w:hAnsi="Arial"/>
          <w:sz w:val="18"/>
          <w:szCs w:val="18"/>
          <w:color w:val="003082"/>
        </w:rPr>
        <w:t>—</w:t>
      </w:r>
      <w:r>
        <w:rPr>
          <w:rFonts w:ascii="Arial" w:cs="Arial" w:eastAsia="Arial" w:hAnsi="Arial"/>
          <w:sz w:val="18"/>
          <w:szCs w:val="18"/>
          <w:i w:val="1"/>
          <w:iCs w:val="1"/>
          <w:color w:val="003082"/>
        </w:rPr>
        <w:t>Stock</w:t>
      </w:r>
      <w:r>
        <w:rPr>
          <w:rFonts w:ascii="Arial" w:cs="Arial" w:eastAsia="Arial" w:hAnsi="Arial"/>
          <w:sz w:val="18"/>
          <w:szCs w:val="18"/>
          <w:color w:val="003082"/>
        </w:rPr>
        <w:t xml:space="preserve"> </w:t>
      </w:r>
      <w:r>
        <w:rPr>
          <w:rFonts w:ascii="Arial" w:cs="Arial" w:eastAsia="Arial" w:hAnsi="Arial"/>
          <w:sz w:val="18"/>
          <w:szCs w:val="18"/>
          <w:i w:val="1"/>
          <w:iCs w:val="1"/>
          <w:color w:val="003082"/>
        </w:rPr>
        <w:t xml:space="preserve">Compensation (Topic 718): Improvements to Employee Share-Based Payment Accounting </w:t>
      </w:r>
      <w:r>
        <w:rPr>
          <w:rFonts w:ascii="Arial" w:cs="Arial" w:eastAsia="Arial" w:hAnsi="Arial"/>
          <w:sz w:val="18"/>
          <w:szCs w:val="18"/>
          <w:color w:val="003082"/>
        </w:rPr>
        <w:t>from the earliest period presented to recognize the effect of</w:t>
      </w:r>
      <w:r>
        <w:rPr>
          <w:rFonts w:ascii="Arial" w:cs="Arial" w:eastAsia="Arial" w:hAnsi="Arial"/>
          <w:sz w:val="18"/>
          <w:szCs w:val="18"/>
          <w:i w:val="1"/>
          <w:iCs w:val="1"/>
          <w:color w:val="003082"/>
        </w:rPr>
        <w:t xml:space="preserve"> </w:t>
      </w:r>
      <w:r>
        <w:rPr>
          <w:rFonts w:ascii="Arial" w:cs="Arial" w:eastAsia="Arial" w:hAnsi="Arial"/>
          <w:sz w:val="18"/>
          <w:szCs w:val="18"/>
          <w:color w:val="003082"/>
        </w:rPr>
        <w:t>forfeiture in compensation cost when they occur. In determining the fair value of the Company’s share options, the binomial option pricing model has been applied.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Liability Classified Awards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For the service condition only awards that are liability classified due to the repurchase feature, the compensation cost is recognized using straight-line method over the requisite service period, using the grant date fair value of the award and begin to recognize compensation expense. The fair value of the award will be remeasured each reporting period until the award is settled, and the Group will true-up the compensation cost each reporting period for changes in fair value prorated for the portion of the requisite service period rendered. Once vested (that is, the requisite-service period is complete), the Group will immediately recognize compensation cost for any changes in fair value until settlement.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Restricted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For the restricted shares granted with service conditions, the awards are measured at fair value on the grant date. Share-based compensation expense is recognized using the straight-line method over the requisite service period. The fair value of the restricted shares was assessed using the income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Similar to options above, the Group recognizes the effect of forfeitures in compensation costs when they occur. For the restricted shares that the Company is obligated to repurchase at grantee’s election, they are classified as liability awards and are applied the accounting policy of liability classified awards as mentioned above. For the restricted shares granted by the Founder to the Company’s employees, the compensation expense of these awards is pushed down to the Company and recorded by the Company based on grant-date fair value with total compensation expense recognized over the grantee’s own requisite service period. See Note 11—Share-based Compensation.</w:t>
      </w:r>
    </w:p>
    <w:p>
      <w:pPr>
        <w:spacing w:after="0" w:line="1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Cancellation of an award accompanied by the grant of a replacement award is accounted for as a modification of the terms of the canceled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canceled award at the cancellation date. Therefore, in relation to the modification awards, the Group recognizes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(z)  Related Parties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003082"/>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F-19</w:t>
      </w:r>
    </w:p>
    <w:p>
      <w:pPr>
        <w:sectPr>
          <w:pgSz w:w="11900" w:h="16838" w:orient="portrait"/>
          <w:cols w:equalWidth="0" w:num="1">
            <w:col w:w="11240"/>
          </w:cols>
          <w:pgMar w:left="320" w:top="553"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003082"/>
        </w:rPr>
        <w:t>(aa)</w:t>
      </w:r>
      <w:r>
        <w:rPr>
          <w:sz w:val="20"/>
          <w:szCs w:val="20"/>
          <w:color w:val="auto"/>
        </w:rPr>
        <w:tab/>
      </w:r>
      <w:r>
        <w:rPr>
          <w:rFonts w:ascii="Arial" w:cs="Arial" w:eastAsia="Arial" w:hAnsi="Arial"/>
          <w:sz w:val="15"/>
          <w:szCs w:val="15"/>
          <w:b w:val="1"/>
          <w:bCs w:val="1"/>
          <w:i w:val="1"/>
          <w:iCs w:val="1"/>
          <w:color w:val="003082"/>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Dividends are recognized when declared. No dividends were declared for the years ended December 31, 2018 and 2019, respectively. The Group does not have any present plan to pay any dividends on ordinary shares in the foreseeable future. The Group currently intends to retain the available funds and any future earnings to operate and expand its business.</w:t>
      </w:r>
    </w:p>
    <w:p>
      <w:pPr>
        <w:spacing w:after="0" w:line="23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003082"/>
        </w:rPr>
        <w:t>(bb)</w:t>
      </w:r>
      <w:r>
        <w:rPr>
          <w:sz w:val="20"/>
          <w:szCs w:val="20"/>
          <w:color w:val="auto"/>
        </w:rPr>
        <w:tab/>
      </w:r>
      <w:r>
        <w:rPr>
          <w:rFonts w:ascii="Arial" w:cs="Arial" w:eastAsia="Arial" w:hAnsi="Arial"/>
          <w:sz w:val="15"/>
          <w:szCs w:val="15"/>
          <w:b w:val="1"/>
          <w:bCs w:val="1"/>
          <w:i w:val="1"/>
          <w:iCs w:val="1"/>
          <w:color w:val="003082"/>
        </w:rPr>
        <w:t>Earnings (Losses) Per Share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Basic earnings (losses) per share is computed by dividing net income (loss) attributable to holders of ordinary shares by the weighted average number of ordinary shares outstanding during the year using the two class method. The net loss will be adjusted by deducting (1) dividends declared in the period on preferred shares (if any), (2) cumulative dividends on preferred shares (whether or not declared) and (3) deemed dividends as required by U.S. GAAP. Using the two class method, net income (loss) is allocated between ordinary shares and other participating securities (that is, the Preferred Shares) based on their participating rights.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Diluted earnings (losses) per share is calculated by dividing net income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redeemable preferred shares using the if-converted method, and ordinary shares issuable upon the conversion of the stock options and restricted shares, using the treasury stock method.</w:t>
      </w:r>
    </w:p>
    <w:p>
      <w:pPr>
        <w:spacing w:after="0" w:line="230"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i w:val="1"/>
          <w:iCs w:val="1"/>
          <w:color w:val="003082"/>
        </w:rPr>
        <w:t>(cc)</w:t>
      </w:r>
      <w:r>
        <w:rPr>
          <w:sz w:val="20"/>
          <w:szCs w:val="20"/>
          <w:color w:val="auto"/>
        </w:rPr>
        <w:tab/>
      </w:r>
      <w:r>
        <w:rPr>
          <w:rFonts w:ascii="Arial" w:cs="Arial" w:eastAsia="Arial" w:hAnsi="Arial"/>
          <w:sz w:val="15"/>
          <w:szCs w:val="15"/>
          <w:b w:val="1"/>
          <w:bCs w:val="1"/>
          <w:i w:val="1"/>
          <w:iCs w:val="1"/>
          <w:color w:val="003082"/>
        </w:rPr>
        <w:t>Comprehensive Income (Loss)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Comprehensive income (loss) is defined to include all changes in equity (deficit) of the Group during a period arising from transactions and other events and circumstances excluding transactions resulting from investments by shareholders and distributions to shareholders. Other comprehensive income (loss), as presented in the consolidated balance sheets, consists of accumulated foreign currency translation adjustments.</w:t>
      </w:r>
    </w:p>
    <w:p>
      <w:pPr>
        <w:spacing w:after="0" w:line="21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003082"/>
        </w:rPr>
        <w:t>(dd)</w:t>
      </w:r>
      <w:r>
        <w:rPr>
          <w:sz w:val="20"/>
          <w:szCs w:val="20"/>
          <w:color w:val="auto"/>
        </w:rPr>
        <w:tab/>
      </w:r>
      <w:r>
        <w:rPr>
          <w:rFonts w:ascii="Arial" w:cs="Arial" w:eastAsia="Arial" w:hAnsi="Arial"/>
          <w:sz w:val="15"/>
          <w:szCs w:val="15"/>
          <w:b w:val="1"/>
          <w:bCs w:val="1"/>
          <w:i w:val="1"/>
          <w:iCs w:val="1"/>
          <w:color w:val="003082"/>
        </w:rPr>
        <w:t>Segment Reporting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ASC 280, Segment Reporting,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presents the Group’s revenues disaggregated by primary geographical markets: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right"/>
              <w:ind w:right="734"/>
              <w:spacing w:after="0"/>
              <w:rPr>
                <w:sz w:val="20"/>
                <w:szCs w:val="20"/>
                <w:color w:val="auto"/>
              </w:rPr>
            </w:pPr>
            <w:r>
              <w:rPr>
                <w:rFonts w:ascii="Arial" w:cs="Arial" w:eastAsia="Arial" w:hAnsi="Arial"/>
                <w:sz w:val="14"/>
                <w:szCs w:val="14"/>
                <w:b w:val="1"/>
                <w:bCs w:val="1"/>
                <w:color w:val="003082"/>
              </w:rPr>
              <w:t>Year Ended December 31,</w:t>
            </w:r>
          </w:p>
        </w:tc>
      </w:tr>
      <w:tr>
        <w:trPr>
          <w:trHeight w:val="263"/>
        </w:trPr>
        <w:tc>
          <w:tcPr>
            <w:tcW w:w="49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8"/>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r>
      <w:tr>
        <w:trPr>
          <w:trHeight w:val="250"/>
        </w:trPr>
        <w:tc>
          <w:tcPr>
            <w:tcW w:w="49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003082"/>
              </w:rPr>
              <w:t>(US$)</w:t>
            </w:r>
          </w:p>
        </w:tc>
        <w:tc>
          <w:tcPr>
            <w:tcW w:w="118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Primary geographical markets based on customers’ location</w:t>
            </w:r>
          </w:p>
        </w:tc>
        <w:tc>
          <w:tcPr>
            <w:tcW w:w="3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003082"/>
              </w:rPr>
              <w:t>PRC</w:t>
            </w:r>
          </w:p>
        </w:tc>
        <w:tc>
          <w:tcPr>
            <w:tcW w:w="3460" w:type="dxa"/>
            <w:vAlign w:val="bottom"/>
            <w:gridSpan w:val="2"/>
          </w:tcPr>
          <w:p>
            <w:pPr>
              <w:jc w:val="right"/>
              <w:ind w:right="170"/>
              <w:spacing w:after="0"/>
              <w:rPr>
                <w:sz w:val="20"/>
                <w:szCs w:val="20"/>
                <w:color w:val="auto"/>
              </w:rPr>
            </w:pPr>
            <w:r>
              <w:rPr>
                <w:rFonts w:ascii="Arial" w:cs="Arial" w:eastAsia="Arial" w:hAnsi="Arial"/>
                <w:sz w:val="18"/>
                <w:szCs w:val="18"/>
                <w:color w:val="003082"/>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003082"/>
              </w:rPr>
              <w:t>33,311,919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003082"/>
              </w:rPr>
              <w:t>50,583,684</w:t>
            </w:r>
          </w:p>
        </w:tc>
      </w:tr>
      <w:tr>
        <w:trPr>
          <w:trHeight w:val="27"/>
        </w:trPr>
        <w:tc>
          <w:tcPr>
            <w:tcW w:w="49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United States</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4,582,105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5,296,269</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003082"/>
              </w:rPr>
              <w:t>Others</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003082"/>
              </w:rPr>
              <w:t>5,762,930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003082"/>
              </w:rPr>
              <w:t>8,548,737</w:t>
            </w:r>
          </w:p>
        </w:tc>
      </w:tr>
      <w:tr>
        <w:trPr>
          <w:trHeight w:val="27"/>
        </w:trPr>
        <w:tc>
          <w:tcPr>
            <w:tcW w:w="49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43,656,954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64,428,690</w:t>
            </w:r>
          </w:p>
        </w:tc>
      </w:tr>
      <w:tr>
        <w:trPr>
          <w:trHeight w:val="588"/>
        </w:trPr>
        <w:tc>
          <w:tcPr>
            <w:tcW w:w="4900" w:type="dxa"/>
            <w:vAlign w:val="bottom"/>
          </w:tcPr>
          <w:p>
            <w:pPr>
              <w:spacing w:after="0"/>
              <w:rPr>
                <w:sz w:val="24"/>
                <w:szCs w:val="24"/>
                <w:color w:val="auto"/>
              </w:rPr>
            </w:pPr>
          </w:p>
        </w:tc>
        <w:tc>
          <w:tcPr>
            <w:tcW w:w="3080" w:type="dxa"/>
            <w:vAlign w:val="bottom"/>
          </w:tcPr>
          <w:p>
            <w:pPr>
              <w:ind w:left="560"/>
              <w:spacing w:after="0"/>
              <w:rPr>
                <w:sz w:val="20"/>
                <w:szCs w:val="20"/>
                <w:color w:val="auto"/>
              </w:rPr>
            </w:pPr>
            <w:r>
              <w:rPr>
                <w:rFonts w:ascii="Arial" w:cs="Arial" w:eastAsia="Arial" w:hAnsi="Arial"/>
                <w:sz w:val="18"/>
                <w:szCs w:val="18"/>
                <w:color w:val="003082"/>
              </w:rPr>
              <w:t>F-20</w:t>
            </w:r>
          </w:p>
        </w:tc>
        <w:tc>
          <w:tcPr>
            <w:tcW w:w="380" w:type="dxa"/>
            <w:vAlign w:val="bottom"/>
            <w:tcBorders>
              <w:top w:val="single" w:sz="8" w:color="3D5588"/>
            </w:tcBorders>
          </w:tcPr>
          <w:p>
            <w:pPr>
              <w:spacing w:after="0"/>
              <w:rPr>
                <w:sz w:val="24"/>
                <w:szCs w:val="24"/>
                <w:color w:val="auto"/>
              </w:rPr>
            </w:pPr>
          </w:p>
        </w:tc>
        <w:tc>
          <w:tcPr>
            <w:tcW w:w="1200" w:type="dxa"/>
            <w:vAlign w:val="bottom"/>
            <w:tcBorders>
              <w:top w:val="single" w:sz="8" w:color="3D5588"/>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3D5588"/>
            </w:tcBorders>
          </w:tcPr>
          <w:p>
            <w:pPr>
              <w:spacing w:after="0"/>
              <w:rPr>
                <w:sz w:val="24"/>
                <w:szCs w:val="24"/>
                <w:color w:val="auto"/>
              </w:rPr>
            </w:pPr>
          </w:p>
        </w:tc>
        <w:tc>
          <w:tcPr>
            <w:tcW w:w="1180" w:type="dxa"/>
            <w:vAlign w:val="bottom"/>
            <w:tcBorders>
              <w:top w:val="single" w:sz="8" w:color="3D5588"/>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majority of the Group’s long-lived assets are located and maintained within the PRC.</w:t>
      </w:r>
    </w:p>
    <w:p>
      <w:pPr>
        <w:spacing w:after="0" w:line="27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i w:val="1"/>
          <w:iCs w:val="1"/>
          <w:color w:val="003082"/>
        </w:rPr>
        <w:t>(ee)</w:t>
      </w:r>
      <w:r>
        <w:rPr>
          <w:sz w:val="20"/>
          <w:szCs w:val="20"/>
          <w:color w:val="auto"/>
        </w:rPr>
        <w:tab/>
      </w:r>
      <w:r>
        <w:rPr>
          <w:rFonts w:ascii="Arial" w:cs="Arial" w:eastAsia="Arial" w:hAnsi="Arial"/>
          <w:sz w:val="15"/>
          <w:szCs w:val="15"/>
          <w:b w:val="1"/>
          <w:bCs w:val="1"/>
          <w:i w:val="1"/>
          <w:iCs w:val="1"/>
          <w:color w:val="003082"/>
        </w:rPr>
        <w:t>Recently Issued Accounting Pronouncements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New and Amended Standards Adopted by the Group</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 xml:space="preserve">In May 2014, the Financial Accounting Standards Board (“FASB”) issued ASU 2014-09, </w:t>
      </w:r>
      <w:r>
        <w:rPr>
          <w:rFonts w:ascii="Arial" w:cs="Arial" w:eastAsia="Arial" w:hAnsi="Arial"/>
          <w:sz w:val="16"/>
          <w:szCs w:val="16"/>
          <w:i w:val="1"/>
          <w:iCs w:val="1"/>
          <w:color w:val="003082"/>
        </w:rPr>
        <w:t>Revenue from Contracts with Customers</w:t>
      </w:r>
      <w:r>
        <w:rPr>
          <w:rFonts w:ascii="Arial" w:cs="Arial" w:eastAsia="Arial" w:hAnsi="Arial"/>
          <w:sz w:val="16"/>
          <w:szCs w:val="16"/>
          <w:color w:val="003082"/>
        </w:rPr>
        <w:t>. This update contains new accounting literature relating to how and when a company recognizes revenue. Under ASU 2014-09, a company will recognize revenue when it transfers promised goods or services to customers in an amount that reflects the consideration to which the company expects to be entitled in exchange for those goods and services. ASU 2014-09 is effective for a public company’s annual reporting periods beginning after December 15, 2017 including interim periods therein, which reflects a one year deferral approved by the FASB in July 2015, with early application permitted provided that the effective date is not earlier than the original effective date (which would be a calendar year-end public company’s annual reporting periods beginning after January 1, 2017). In March 2016, the FASB issued an amendment (ASU 2016-08) to the new revenue recognition guidance clarifying how to determine if an entity is a principal or agent in a transaction. In April (ASU 2016-10), May (ASU 2016-12), and December (ASU 2016-20) of 2016, the FASB further amended the guidance to include performance obligation identification, licensing implementation, collectability assessment and other presentation and transition clarifications. The effective date and transition requirements for the amendments in this ASU are the same as the effective date and transition requirements for ASC 606 (and any other Topic amended by ASU 2014-09). The Company has early adopted the standard using the full retrospective transition method.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 xml:space="preserve">In November 2016, the FASB issued ASU 2016-18, </w:t>
      </w:r>
      <w:r>
        <w:rPr>
          <w:rFonts w:ascii="Arial" w:cs="Arial" w:eastAsia="Arial" w:hAnsi="Arial"/>
          <w:sz w:val="16"/>
          <w:szCs w:val="16"/>
          <w:i w:val="1"/>
          <w:iCs w:val="1"/>
          <w:color w:val="003082"/>
        </w:rPr>
        <w:t>Statement of Cash Flows: Restricted Cash (Topic 230)</w:t>
      </w:r>
      <w:r>
        <w:rPr>
          <w:rFonts w:ascii="Arial" w:cs="Arial" w:eastAsia="Arial" w:hAnsi="Arial"/>
          <w:sz w:val="16"/>
          <w:szCs w:val="16"/>
          <w:color w:val="003082"/>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Group has early adopted the standard for all periods presented.</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 xml:space="preserve">In June 2018, the FASB issued ASU 2018-07, </w:t>
      </w:r>
      <w:r>
        <w:rPr>
          <w:rFonts w:ascii="Arial" w:cs="Arial" w:eastAsia="Arial" w:hAnsi="Arial"/>
          <w:sz w:val="17"/>
          <w:szCs w:val="17"/>
          <w:i w:val="1"/>
          <w:iCs w:val="1"/>
          <w:color w:val="003082"/>
        </w:rPr>
        <w:t>Compensation</w:t>
      </w:r>
      <w:r>
        <w:rPr>
          <w:rFonts w:ascii="Arial" w:cs="Arial" w:eastAsia="Arial" w:hAnsi="Arial"/>
          <w:sz w:val="17"/>
          <w:szCs w:val="17"/>
          <w:color w:val="003082"/>
        </w:rPr>
        <w:t>—</w:t>
      </w:r>
      <w:r>
        <w:rPr>
          <w:rFonts w:ascii="Arial" w:cs="Arial" w:eastAsia="Arial" w:hAnsi="Arial"/>
          <w:sz w:val="17"/>
          <w:szCs w:val="17"/>
          <w:i w:val="1"/>
          <w:iCs w:val="1"/>
          <w:color w:val="003082"/>
        </w:rPr>
        <w:t>Stock Compensation (Topic 718)</w:t>
      </w:r>
      <w:r>
        <w:rPr>
          <w:rFonts w:ascii="Arial" w:cs="Arial" w:eastAsia="Arial" w:hAnsi="Arial"/>
          <w:sz w:val="17"/>
          <w:szCs w:val="17"/>
          <w:color w:val="003082"/>
        </w:rPr>
        <w:t>—</w:t>
      </w:r>
      <w:r>
        <w:rPr>
          <w:rFonts w:ascii="Arial" w:cs="Arial" w:eastAsia="Arial" w:hAnsi="Arial"/>
          <w:sz w:val="17"/>
          <w:szCs w:val="17"/>
          <w:i w:val="1"/>
          <w:iCs w:val="1"/>
          <w:color w:val="003082"/>
        </w:rPr>
        <w:t>Improvements to Nonemployee Share-Based</w:t>
      </w:r>
      <w:r>
        <w:rPr>
          <w:rFonts w:ascii="Arial" w:cs="Arial" w:eastAsia="Arial" w:hAnsi="Arial"/>
          <w:sz w:val="17"/>
          <w:szCs w:val="17"/>
          <w:color w:val="003082"/>
        </w:rPr>
        <w:t xml:space="preserve"> </w:t>
      </w:r>
      <w:r>
        <w:rPr>
          <w:rFonts w:ascii="Arial" w:cs="Arial" w:eastAsia="Arial" w:hAnsi="Arial"/>
          <w:sz w:val="17"/>
          <w:szCs w:val="17"/>
          <w:i w:val="1"/>
          <w:iCs w:val="1"/>
          <w:color w:val="003082"/>
        </w:rPr>
        <w:t>Payment Accounting</w:t>
      </w:r>
      <w:r>
        <w:rPr>
          <w:rFonts w:ascii="Arial" w:cs="Arial" w:eastAsia="Arial" w:hAnsi="Arial"/>
          <w:sz w:val="17"/>
          <w:szCs w:val="17"/>
          <w:color w:val="003082"/>
        </w:rPr>
        <w:t>, to align the accounting for share-based payment awards issued to nonemployees with the guidance applicable to grants to employees</w:t>
      </w:r>
      <w:r>
        <w:rPr>
          <w:rFonts w:ascii="Arial" w:cs="Arial" w:eastAsia="Arial" w:hAnsi="Arial"/>
          <w:sz w:val="17"/>
          <w:szCs w:val="17"/>
          <w:i w:val="1"/>
          <w:iCs w:val="1"/>
          <w:color w:val="003082"/>
        </w:rPr>
        <w:t xml:space="preserve"> </w:t>
      </w:r>
      <w:r>
        <w:rPr>
          <w:rFonts w:ascii="Arial" w:cs="Arial" w:eastAsia="Arial" w:hAnsi="Arial"/>
          <w:sz w:val="17"/>
          <w:szCs w:val="17"/>
          <w:color w:val="003082"/>
        </w:rPr>
        <w:t>and remove requirement to reassess classification of nonemployee awards under other literature upon vesting. ASU 2018-07 is effective for fiscal years beginning after December 15, 2019, and interim periods within fiscal years beginning after December 15, 2020, with early adoption permitted but no earlier than the entity’s adoption of ASC 606. The Company elected to early adopt ASU 2018-07 on January 1, 2017, consistent with its ASC 606 adoption date, and has presented retrospectively for all periods to reflect the accounting treatment under the new guidance. Based on ASU 2018-07, entities will generally apply the same guidance to both employee and nonemployee share-based awards, which nonemployee share-based payment equity awards are measured at the grant-date fair value of the equity instruments, similar to employee share-based payment equity awards. All awards to nonemployee and employee fall under the scope of ASC 718 since January 1, 2017 are measured under the same method and the awards granted to consultants whom are not employees under common law definition fell under the scope of ASC 505 until January 1, 2017 with transition impact to opening retained earnings on the adoption date. The impact of the adoption is not material.</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New and Amended Standards not yet Adopted by the Group</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In February 2016, the FASB issued ASU 2016-02</w:t>
      </w:r>
      <w:r>
        <w:rPr>
          <w:rFonts w:ascii="Arial" w:cs="Arial" w:eastAsia="Arial" w:hAnsi="Arial"/>
          <w:sz w:val="18"/>
          <w:szCs w:val="18"/>
          <w:i w:val="1"/>
          <w:iCs w:val="1"/>
          <w:color w:val="003082"/>
        </w:rPr>
        <w:t>, Leases (Topic 842)</w:t>
      </w:r>
      <w:r>
        <w:rPr>
          <w:rFonts w:ascii="Arial" w:cs="Arial" w:eastAsia="Arial" w:hAnsi="Arial"/>
          <w:sz w:val="18"/>
          <w:szCs w:val="18"/>
          <w:color w:val="003082"/>
        </w:rPr>
        <w:t>. Under the new guidance, lessees will be required to recognize a lease liability and a lease asset for all leases, including operating leases, with a term greater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F-21</w:t>
      </w:r>
    </w:p>
    <w:p>
      <w:pPr>
        <w:sectPr>
          <w:pgSz w:w="11900" w:h="16838" w:orient="portrait"/>
          <w:cols w:equalWidth="0" w:num="1">
            <w:col w:w="11240"/>
          </w:cols>
          <w:pgMar w:left="320" w:top="553" w:right="3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003082"/>
        </w:rPr>
        <w:t>than 12 months on its balance sheet. The update also expands the required quantitative and qualitative disclosures surrounding leases. The standard is effective for the Company beginning January 1, 2021 and interim periods within the following fiscal year, with early adoption permitted. The Company is currently evaluating the impact ASU 2016-02 will have on its consolidated financial statements and associated disclosures.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In June 2016, the FASB issued ASU 2016-13, </w:t>
      </w:r>
      <w:r>
        <w:rPr>
          <w:rFonts w:ascii="Arial" w:cs="Arial" w:eastAsia="Arial" w:hAnsi="Arial"/>
          <w:sz w:val="18"/>
          <w:szCs w:val="18"/>
          <w:i w:val="1"/>
          <w:iCs w:val="1"/>
          <w:color w:val="003082"/>
        </w:rPr>
        <w:t>Financial Instruments</w:t>
      </w:r>
      <w:r>
        <w:rPr>
          <w:rFonts w:ascii="Arial" w:cs="Arial" w:eastAsia="Arial" w:hAnsi="Arial"/>
          <w:sz w:val="18"/>
          <w:szCs w:val="18"/>
          <w:color w:val="003082"/>
        </w:rPr>
        <w:t>—</w:t>
      </w:r>
      <w:r>
        <w:rPr>
          <w:rFonts w:ascii="Arial" w:cs="Arial" w:eastAsia="Arial" w:hAnsi="Arial"/>
          <w:sz w:val="18"/>
          <w:szCs w:val="18"/>
          <w:i w:val="1"/>
          <w:iCs w:val="1"/>
          <w:color w:val="003082"/>
        </w:rPr>
        <w:t>Credit Losses (Topic 326)</w:t>
      </w:r>
      <w:r>
        <w:rPr>
          <w:rFonts w:ascii="Arial" w:cs="Arial" w:eastAsia="Arial" w:hAnsi="Arial"/>
          <w:sz w:val="18"/>
          <w:szCs w:val="18"/>
          <w:color w:val="003082"/>
        </w:rPr>
        <w:t>, to provide financial statement users with more useful information about expected credit losses. ASU 2016-13 also changes how entities measure credit losses on financial instruments and the timing of when such losses are recorded. ASU 2016-13 is effective for fiscal years and interim periods within those years beginning after December 15, 2023 for the Company, with early adoption permitted. The Company is currently evaluating the impact ASU 2016-13 will have on its consolidated financial statements and associated disclosures.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 xml:space="preserve">In August 2018, the FASB issued ASU 2018-13, </w:t>
      </w:r>
      <w:r>
        <w:rPr>
          <w:rFonts w:ascii="Arial" w:cs="Arial" w:eastAsia="Arial" w:hAnsi="Arial"/>
          <w:sz w:val="16"/>
          <w:szCs w:val="16"/>
          <w:i w:val="1"/>
          <w:iCs w:val="1"/>
          <w:color w:val="003082"/>
        </w:rPr>
        <w:t>Fair Value Measurement (Topic 820): Disclosure Framework</w:t>
      </w:r>
      <w:r>
        <w:rPr>
          <w:rFonts w:ascii="Arial" w:cs="Arial" w:eastAsia="Arial" w:hAnsi="Arial"/>
          <w:sz w:val="16"/>
          <w:szCs w:val="16"/>
          <w:color w:val="003082"/>
        </w:rPr>
        <w:t>—</w:t>
      </w:r>
      <w:r>
        <w:rPr>
          <w:rFonts w:ascii="Arial" w:cs="Arial" w:eastAsia="Arial" w:hAnsi="Arial"/>
          <w:sz w:val="16"/>
          <w:szCs w:val="16"/>
          <w:i w:val="1"/>
          <w:iCs w:val="1"/>
          <w:color w:val="003082"/>
        </w:rPr>
        <w:t>Changes to the Disclosure</w:t>
      </w:r>
      <w:r>
        <w:rPr>
          <w:rFonts w:ascii="Arial" w:cs="Arial" w:eastAsia="Arial" w:hAnsi="Arial"/>
          <w:sz w:val="16"/>
          <w:szCs w:val="16"/>
          <w:color w:val="003082"/>
        </w:rPr>
        <w:t xml:space="preserve"> </w:t>
      </w:r>
      <w:r>
        <w:rPr>
          <w:rFonts w:ascii="Arial" w:cs="Arial" w:eastAsia="Arial" w:hAnsi="Arial"/>
          <w:sz w:val="16"/>
          <w:szCs w:val="16"/>
          <w:i w:val="1"/>
          <w:iCs w:val="1"/>
          <w:color w:val="003082"/>
        </w:rPr>
        <w:t>Requirements for Fair Value Measurement</w:t>
      </w:r>
      <w:r>
        <w:rPr>
          <w:rFonts w:ascii="Arial" w:cs="Arial" w:eastAsia="Arial" w:hAnsi="Arial"/>
          <w:sz w:val="16"/>
          <w:szCs w:val="16"/>
          <w:color w:val="003082"/>
        </w:rPr>
        <w:t>, which eliminates, adds and modifies certain disclosure requirements for fair value measurements. Under the</w:t>
      </w:r>
      <w:r>
        <w:rPr>
          <w:rFonts w:ascii="Arial" w:cs="Arial" w:eastAsia="Arial" w:hAnsi="Arial"/>
          <w:sz w:val="16"/>
          <w:szCs w:val="16"/>
          <w:i w:val="1"/>
          <w:iCs w:val="1"/>
          <w:color w:val="003082"/>
        </w:rPr>
        <w:t xml:space="preserve"> </w:t>
      </w:r>
      <w:r>
        <w:rPr>
          <w:rFonts w:ascii="Arial" w:cs="Arial" w:eastAsia="Arial" w:hAnsi="Arial"/>
          <w:sz w:val="16"/>
          <w:szCs w:val="16"/>
          <w:color w:val="003082"/>
        </w:rPr>
        <w:t>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Company is currently in the process of evaluating the impact of the adoption of this guidance on its consolidated financial statements and associated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3. Accounts Receivable,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center"/>
              <w:ind w:left="558"/>
              <w:spacing w:after="0"/>
              <w:rPr>
                <w:sz w:val="20"/>
                <w:szCs w:val="20"/>
                <w:color w:val="auto"/>
              </w:rPr>
            </w:pPr>
            <w:r>
              <w:rPr>
                <w:rFonts w:ascii="Arial" w:cs="Arial" w:eastAsia="Arial" w:hAnsi="Arial"/>
                <w:sz w:val="14"/>
                <w:szCs w:val="14"/>
                <w:b w:val="1"/>
                <w:bCs w:val="1"/>
                <w:color w:val="003082"/>
                <w:w w:val="90"/>
              </w:rPr>
              <w:t>As of December 31,</w:t>
            </w: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8"/>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8"/>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Accounts receivable</w:t>
            </w:r>
          </w:p>
        </w:tc>
        <w:tc>
          <w:tcPr>
            <w:tcW w:w="3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12,026,319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w w:val="95"/>
              </w:rPr>
              <w:t>17,283,107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003082"/>
              </w:rPr>
              <w:t>Less: allowance for doubtful accounts</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(367,044)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w w:val="99"/>
              </w:rPr>
              <w:t>(1,035,542)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Accounts receivable, net</w:t>
            </w:r>
          </w:p>
        </w:tc>
        <w:tc>
          <w:tcPr>
            <w:tcW w:w="32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003082"/>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003082"/>
              </w:rPr>
              <w:t>11,659,275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003082"/>
                <w:w w:val="95"/>
              </w:rPr>
              <w:t>16,247,565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003082"/>
                <w:w w:val="98"/>
              </w:rPr>
              <w:t>Movement of allowance of doubtful accounts was as follows:</w:t>
            </w:r>
          </w:p>
        </w:tc>
        <w:tc>
          <w:tcPr>
            <w:tcW w:w="2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3D5588"/>
              <w:bottom w:val="single" w:sz="8" w:color="3D5588"/>
            </w:tcBorders>
          </w:tcPr>
          <w:p>
            <w:pPr>
              <w:spacing w:after="0" w:line="20" w:lineRule="exact"/>
              <w:rPr>
                <w:sz w:val="1"/>
                <w:szCs w:val="1"/>
                <w:color w:val="auto"/>
              </w:rPr>
            </w:pPr>
          </w:p>
        </w:tc>
        <w:tc>
          <w:tcPr>
            <w:tcW w:w="9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0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74"/>
              <w:spacing w:after="0"/>
              <w:rPr>
                <w:sz w:val="20"/>
                <w:szCs w:val="20"/>
                <w:color w:val="auto"/>
              </w:rPr>
            </w:pPr>
            <w:r>
              <w:rPr>
                <w:rFonts w:ascii="Arial" w:cs="Arial" w:eastAsia="Arial" w:hAnsi="Arial"/>
                <w:sz w:val="14"/>
                <w:szCs w:val="14"/>
                <w:b w:val="1"/>
                <w:bCs w:val="1"/>
                <w:color w:val="003082"/>
                <w:w w:val="92"/>
              </w:rPr>
              <w:t>Year-Ended December 31,</w:t>
            </w: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8"/>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8"/>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At beginning of the period</w:t>
            </w:r>
          </w:p>
        </w:tc>
        <w:tc>
          <w:tcPr>
            <w:tcW w:w="3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(119,336)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(367,044)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003082"/>
              </w:rPr>
              <w:t>Addition</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(314,019)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(779,671)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Write-off</w:t>
            </w:r>
          </w:p>
        </w:tc>
        <w:tc>
          <w:tcPr>
            <w:tcW w:w="2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52,259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100,276</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003082"/>
              </w:rPr>
              <w:t>Foreign currency translation impact</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003082"/>
              </w:rPr>
              <w:t>14,052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003082"/>
              </w:rPr>
              <w:t>10,897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At end of the period</w:t>
            </w:r>
          </w:p>
        </w:tc>
        <w:tc>
          <w:tcPr>
            <w:tcW w:w="2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3D5588"/>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(367,044)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3D5588"/>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(1,035,542)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00" w:type="dxa"/>
            <w:vAlign w:val="bottom"/>
          </w:tcPr>
          <w:p>
            <w:pPr>
              <w:spacing w:after="0"/>
              <w:rPr>
                <w:sz w:val="24"/>
                <w:szCs w:val="24"/>
                <w:color w:val="auto"/>
              </w:rPr>
            </w:pPr>
          </w:p>
        </w:tc>
        <w:tc>
          <w:tcPr>
            <w:tcW w:w="3260" w:type="dxa"/>
            <w:vAlign w:val="bottom"/>
            <w:gridSpan w:val="2"/>
          </w:tcPr>
          <w:p>
            <w:pPr>
              <w:jc w:val="right"/>
              <w:ind w:right="2470"/>
              <w:spacing w:after="0"/>
              <w:rPr>
                <w:sz w:val="20"/>
                <w:szCs w:val="20"/>
                <w:color w:val="auto"/>
              </w:rPr>
            </w:pPr>
            <w:r>
              <w:rPr>
                <w:rFonts w:ascii="Arial" w:cs="Arial" w:eastAsia="Arial" w:hAnsi="Arial"/>
                <w:sz w:val="18"/>
                <w:szCs w:val="18"/>
                <w:color w:val="003082"/>
              </w:rPr>
              <w:t>F-22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4. Prepayments and Other 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prepayments and other current assets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right"/>
              <w:spacing w:after="0"/>
              <w:rPr>
                <w:sz w:val="20"/>
                <w:szCs w:val="20"/>
                <w:color w:val="auto"/>
              </w:rPr>
            </w:pPr>
            <w:r>
              <w:rPr>
                <w:rFonts w:ascii="Arial" w:cs="Arial" w:eastAsia="Arial" w:hAnsi="Arial"/>
                <w:sz w:val="14"/>
                <w:szCs w:val="14"/>
                <w:b w:val="1"/>
                <w:bCs w:val="1"/>
                <w:color w:val="003082"/>
              </w:rPr>
              <w:t>As of December 31,</w:t>
            </w: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7"/>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00308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003082"/>
              </w:rPr>
              <w:t>VAT recoverable</w:t>
            </w:r>
            <w:r>
              <w:rPr>
                <w:rFonts w:ascii="Arial" w:cs="Arial" w:eastAsia="Arial" w:hAnsi="Arial"/>
                <w:sz w:val="25"/>
                <w:szCs w:val="25"/>
                <w:color w:val="003082"/>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003082"/>
              </w:rPr>
              <w:t>1,109,048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003082"/>
              </w:rPr>
              <w:t>776,141</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003082"/>
              </w:rPr>
              <w:t>Prepayments</w:t>
            </w:r>
            <w:r>
              <w:rPr>
                <w:rFonts w:ascii="Arial" w:cs="Arial" w:eastAsia="Arial" w:hAnsi="Arial"/>
                <w:sz w:val="25"/>
                <w:szCs w:val="25"/>
                <w:color w:val="003082"/>
                <w:vertAlign w:val="superscript"/>
              </w:rPr>
              <w:t>(2)</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267,715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419,376</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80,000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Others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151,255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105,520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1,608,018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1,381,037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003082"/>
              </w:rPr>
              <w:t>________________</w:t>
            </w: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3D5588"/>
              <w:bottom w:val="single" w:sz="8" w:color="3D5588"/>
            </w:tcBorders>
          </w:tcPr>
          <w:p>
            <w:pPr>
              <w:spacing w:after="0" w:line="20" w:lineRule="exact"/>
              <w:rPr>
                <w:sz w:val="1"/>
                <w:szCs w:val="1"/>
                <w:color w:val="auto"/>
              </w:rPr>
            </w:pPr>
          </w:p>
        </w:tc>
        <w:tc>
          <w:tcPr>
            <w:tcW w:w="9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4"/>
        </w:numPr>
        <w:rPr>
          <w:rFonts w:ascii="Arial" w:cs="Arial" w:eastAsia="Arial" w:hAnsi="Arial"/>
          <w:sz w:val="16"/>
          <w:szCs w:val="16"/>
          <w:color w:val="003082"/>
        </w:rPr>
      </w:pPr>
      <w:r>
        <w:rPr>
          <w:rFonts w:ascii="Arial" w:cs="Arial" w:eastAsia="Arial" w:hAnsi="Arial"/>
          <w:sz w:val="16"/>
          <w:szCs w:val="16"/>
          <w:color w:val="003082"/>
        </w:rPr>
        <w:t>VAT recoverable represented the balances that the Group can utilize to deduct its VAT liabilities within the next 12 months.</w:t>
      </w:r>
    </w:p>
    <w:p>
      <w:pPr>
        <w:spacing w:after="0" w:line="5" w:lineRule="exact"/>
        <w:rPr>
          <w:rFonts w:ascii="Arial" w:cs="Arial" w:eastAsia="Arial" w:hAnsi="Arial"/>
          <w:sz w:val="16"/>
          <w:szCs w:val="16"/>
          <w:color w:val="003082"/>
        </w:rPr>
      </w:pPr>
    </w:p>
    <w:p>
      <w:pPr>
        <w:ind w:left="340" w:hanging="332"/>
        <w:spacing w:after="0"/>
        <w:tabs>
          <w:tab w:leader="none" w:pos="340" w:val="left"/>
        </w:tabs>
        <w:numPr>
          <w:ilvl w:val="0"/>
          <w:numId w:val="124"/>
        </w:numPr>
        <w:rPr>
          <w:rFonts w:ascii="Arial" w:cs="Arial" w:eastAsia="Arial" w:hAnsi="Arial"/>
          <w:sz w:val="16"/>
          <w:szCs w:val="16"/>
          <w:color w:val="003082"/>
        </w:rPr>
      </w:pPr>
      <w:r>
        <w:rPr>
          <w:rFonts w:ascii="Arial" w:cs="Arial" w:eastAsia="Arial" w:hAnsi="Arial"/>
          <w:sz w:val="16"/>
          <w:szCs w:val="16"/>
          <w:color w:val="003082"/>
        </w:rPr>
        <w:t>Prepayments are primarily related to a prepayment for company events, prepaid rental expenses and other deposits.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5. Property and Equipment,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Property and equipment, net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right"/>
              <w:spacing w:after="0"/>
              <w:rPr>
                <w:sz w:val="20"/>
                <w:szCs w:val="20"/>
                <w:color w:val="auto"/>
              </w:rPr>
            </w:pPr>
            <w:r>
              <w:rPr>
                <w:rFonts w:ascii="Arial" w:cs="Arial" w:eastAsia="Arial" w:hAnsi="Arial"/>
                <w:sz w:val="14"/>
                <w:szCs w:val="14"/>
                <w:b w:val="1"/>
                <w:bCs w:val="1"/>
                <w:color w:val="003082"/>
              </w:rPr>
              <w:t>As of December 31,</w:t>
            </w:r>
          </w:p>
        </w:tc>
        <w:tc>
          <w:tcPr>
            <w:tcW w:w="980" w:type="dxa"/>
            <w:vAlign w:val="bottom"/>
            <w:tcBorders>
              <w:bottom w:val="single" w:sz="8" w:color="3D5588"/>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00308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Network equipment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2,574,060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6,976,107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Leasehold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1,077,271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1,089,970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Electronic equipment</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709,854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1,170,866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Furniture, computers and office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329,198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443,453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cost</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4,690,383</w:t>
            </w:r>
          </w:p>
        </w:tc>
        <w:tc>
          <w:tcPr>
            <w:tcW w:w="120" w:type="dxa"/>
            <w:vAlign w:val="bottom"/>
          </w:tcPr>
          <w:p>
            <w:pPr>
              <w:spacing w:after="0"/>
              <w:rPr>
                <w:sz w:val="20"/>
                <w:szCs w:val="20"/>
                <w:color w:val="auto"/>
              </w:rPr>
            </w:pPr>
          </w:p>
        </w:tc>
        <w:tc>
          <w:tcPr>
            <w:tcW w:w="58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9,680,396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(1,565,812)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(3,398,406)</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Property and equipment, net</w:t>
            </w:r>
          </w:p>
        </w:tc>
        <w:tc>
          <w:tcPr>
            <w:tcW w:w="380" w:type="dxa"/>
            <w:vAlign w:val="bottom"/>
            <w:tcBorders>
              <w:top w:val="single" w:sz="8" w:color="3D5588"/>
              <w:bottom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3,124,571</w:t>
            </w:r>
          </w:p>
        </w:tc>
        <w:tc>
          <w:tcPr>
            <w:tcW w:w="120" w:type="dxa"/>
            <w:vAlign w:val="bottom"/>
          </w:tcPr>
          <w:p>
            <w:pPr>
              <w:spacing w:after="0"/>
              <w:rPr>
                <w:sz w:val="22"/>
                <w:szCs w:val="22"/>
                <w:color w:val="auto"/>
              </w:rPr>
            </w:pPr>
          </w:p>
        </w:tc>
        <w:tc>
          <w:tcPr>
            <w:tcW w:w="580" w:type="dxa"/>
            <w:vAlign w:val="bottom"/>
            <w:tcBorders>
              <w:top w:val="single" w:sz="8" w:color="3D5588"/>
              <w:bottom w:val="single" w:sz="8" w:color="3D5588"/>
            </w:tcBorders>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bottom w:val="single" w:sz="8" w:color="3D5588"/>
            </w:tcBorders>
          </w:tcPr>
          <w:p>
            <w:pPr>
              <w:jc w:val="right"/>
              <w:ind w:right="12"/>
              <w:spacing w:after="0"/>
              <w:rPr>
                <w:sz w:val="20"/>
                <w:szCs w:val="20"/>
                <w:color w:val="auto"/>
              </w:rPr>
            </w:pPr>
            <w:r>
              <w:rPr>
                <w:rFonts w:ascii="Arial" w:cs="Arial" w:eastAsia="Arial" w:hAnsi="Arial"/>
                <w:sz w:val="18"/>
                <w:szCs w:val="18"/>
                <w:color w:val="003082"/>
              </w:rPr>
              <w:t>6,281,990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Depreciation expense recognized for the years ended December 31, 2018 and 2019 were US$922,351 and US$1,867,734,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6. Other Non-current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Other non-current assets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right"/>
              <w:spacing w:after="0"/>
              <w:rPr>
                <w:sz w:val="20"/>
                <w:szCs w:val="20"/>
                <w:color w:val="auto"/>
              </w:rPr>
            </w:pPr>
            <w:r>
              <w:rPr>
                <w:rFonts w:ascii="Arial" w:cs="Arial" w:eastAsia="Arial" w:hAnsi="Arial"/>
                <w:sz w:val="14"/>
                <w:szCs w:val="14"/>
                <w:b w:val="1"/>
                <w:bCs w:val="1"/>
                <w:color w:val="003082"/>
              </w:rPr>
              <w:t>As of December 31,</w:t>
            </w:r>
          </w:p>
        </w:tc>
        <w:tc>
          <w:tcPr>
            <w:tcW w:w="980" w:type="dxa"/>
            <w:vAlign w:val="bottom"/>
            <w:tcBorders>
              <w:bottom w:val="single" w:sz="8" w:color="3D5588"/>
            </w:tcBorders>
          </w:tcPr>
          <w:p>
            <w:pPr>
              <w:spacing w:after="0"/>
              <w:rPr>
                <w:sz w:val="16"/>
                <w:szCs w:val="16"/>
                <w:color w:val="auto"/>
              </w:rPr>
            </w:pPr>
          </w:p>
        </w:tc>
      </w:tr>
      <w:tr>
        <w:trPr>
          <w:trHeight w:val="264"/>
        </w:trPr>
        <w:tc>
          <w:tcPr>
            <w:tcW w:w="41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8"/>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r>
      <w:tr>
        <w:trPr>
          <w:trHeight w:val="250"/>
        </w:trPr>
        <w:tc>
          <w:tcPr>
            <w:tcW w:w="414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003082"/>
              </w:rPr>
              <w:t>(US$)</w:t>
            </w:r>
          </w:p>
        </w:tc>
        <w:tc>
          <w:tcPr>
            <w:tcW w:w="980" w:type="dxa"/>
            <w:vAlign w:val="bottom"/>
          </w:tcPr>
          <w:p>
            <w:pPr>
              <w:spacing w:after="0"/>
              <w:rPr>
                <w:sz w:val="21"/>
                <w:szCs w:val="21"/>
                <w:color w:val="auto"/>
              </w:rPr>
            </w:pPr>
          </w:p>
        </w:tc>
      </w:tr>
      <w:tr>
        <w:trPr>
          <w:trHeight w:val="256"/>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Long-term deposits</w:t>
            </w:r>
          </w:p>
        </w:tc>
        <w:tc>
          <w:tcPr>
            <w:tcW w:w="422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359,492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470,086</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003082"/>
              </w:rPr>
              <w:t>Deferral of initial public offering costs</w:t>
            </w:r>
          </w:p>
        </w:tc>
        <w:tc>
          <w:tcPr>
            <w:tcW w:w="3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5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003082"/>
              </w:rPr>
              <w:t>287,331</w:t>
            </w:r>
          </w:p>
        </w:tc>
      </w:tr>
      <w:tr>
        <w:trPr>
          <w:trHeight w:val="27"/>
        </w:trPr>
        <w:tc>
          <w:tcPr>
            <w:tcW w:w="4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Others</w:t>
            </w:r>
          </w:p>
        </w:tc>
        <w:tc>
          <w:tcPr>
            <w:tcW w:w="38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69,597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51,445</w:t>
            </w:r>
          </w:p>
        </w:tc>
      </w:tr>
      <w:tr>
        <w:trPr>
          <w:trHeight w:val="236"/>
        </w:trPr>
        <w:tc>
          <w:tcPr>
            <w:tcW w:w="41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 w:type="dxa"/>
            <w:vAlign w:val="bottom"/>
            <w:tcBorders>
              <w:top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tcBorders>
          </w:tcPr>
          <w:p>
            <w:pPr>
              <w:jc w:val="right"/>
              <w:ind w:right="18"/>
              <w:spacing w:after="0"/>
              <w:rPr>
                <w:sz w:val="20"/>
                <w:szCs w:val="20"/>
                <w:color w:val="auto"/>
              </w:rPr>
            </w:pPr>
            <w:r>
              <w:rPr>
                <w:rFonts w:ascii="Arial" w:cs="Arial" w:eastAsia="Arial" w:hAnsi="Arial"/>
                <w:sz w:val="18"/>
                <w:szCs w:val="18"/>
                <w:color w:val="003082"/>
              </w:rPr>
              <w:t>429,089</w:t>
            </w:r>
          </w:p>
        </w:tc>
        <w:tc>
          <w:tcPr>
            <w:tcW w:w="120" w:type="dxa"/>
            <w:vAlign w:val="bottom"/>
          </w:tcPr>
          <w:p>
            <w:pPr>
              <w:spacing w:after="0"/>
              <w:rPr>
                <w:sz w:val="20"/>
                <w:szCs w:val="20"/>
                <w:color w:val="auto"/>
              </w:rPr>
            </w:pPr>
          </w:p>
        </w:tc>
        <w:tc>
          <w:tcPr>
            <w:tcW w:w="580" w:type="dxa"/>
            <w:vAlign w:val="bottom"/>
            <w:tcBorders>
              <w:top w:val="single" w:sz="8" w:color="3D5588"/>
            </w:tcBorders>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tcBorders>
          </w:tcPr>
          <w:p>
            <w:pPr>
              <w:jc w:val="right"/>
              <w:ind w:right="14"/>
              <w:spacing w:after="0"/>
              <w:rPr>
                <w:sz w:val="20"/>
                <w:szCs w:val="20"/>
                <w:color w:val="auto"/>
              </w:rPr>
            </w:pPr>
            <w:r>
              <w:rPr>
                <w:rFonts w:ascii="Arial" w:cs="Arial" w:eastAsia="Arial" w:hAnsi="Arial"/>
                <w:sz w:val="18"/>
                <w:szCs w:val="18"/>
                <w:color w:val="003082"/>
              </w:rPr>
              <w:t>808,862</w:t>
            </w:r>
          </w:p>
        </w:tc>
      </w:tr>
      <w:tr>
        <w:trPr>
          <w:trHeight w:val="27"/>
        </w:trPr>
        <w:tc>
          <w:tcPr>
            <w:tcW w:w="41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r>
      <w:tr>
        <w:trPr>
          <w:trHeight w:val="20"/>
        </w:trPr>
        <w:tc>
          <w:tcPr>
            <w:tcW w:w="4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r>
      <w:tr>
        <w:trPr>
          <w:trHeight w:val="575"/>
        </w:trPr>
        <w:tc>
          <w:tcPr>
            <w:tcW w:w="4140" w:type="dxa"/>
            <w:vAlign w:val="bottom"/>
          </w:tcPr>
          <w:p>
            <w:pPr>
              <w:spacing w:after="0"/>
              <w:rPr>
                <w:sz w:val="24"/>
                <w:szCs w:val="24"/>
                <w:color w:val="auto"/>
              </w:rPr>
            </w:pPr>
          </w:p>
        </w:tc>
        <w:tc>
          <w:tcPr>
            <w:tcW w:w="4220" w:type="dxa"/>
            <w:vAlign w:val="bottom"/>
            <w:gridSpan w:val="2"/>
          </w:tcPr>
          <w:p>
            <w:pPr>
              <w:jc w:val="right"/>
              <w:ind w:right="2470"/>
              <w:spacing w:after="0"/>
              <w:rPr>
                <w:sz w:val="20"/>
                <w:szCs w:val="20"/>
                <w:color w:val="auto"/>
              </w:rPr>
            </w:pPr>
            <w:r>
              <w:rPr>
                <w:rFonts w:ascii="Arial" w:cs="Arial" w:eastAsia="Arial" w:hAnsi="Arial"/>
                <w:sz w:val="18"/>
                <w:szCs w:val="18"/>
                <w:color w:val="003082"/>
              </w:rPr>
              <w:t>F-23</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7. Taxes Payable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Taxes payable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center"/>
              <w:ind w:left="556"/>
              <w:spacing w:after="0"/>
              <w:rPr>
                <w:sz w:val="20"/>
                <w:szCs w:val="20"/>
                <w:color w:val="auto"/>
              </w:rPr>
            </w:pPr>
            <w:r>
              <w:rPr>
                <w:rFonts w:ascii="Arial" w:cs="Arial" w:eastAsia="Arial" w:hAnsi="Arial"/>
                <w:sz w:val="14"/>
                <w:szCs w:val="14"/>
                <w:b w:val="1"/>
                <w:bCs w:val="1"/>
                <w:color w:val="003082"/>
                <w:w w:val="90"/>
              </w:rPr>
              <w:t>As of December 31,</w:t>
            </w:r>
          </w:p>
        </w:tc>
        <w:tc>
          <w:tcPr>
            <w:tcW w:w="980" w:type="dxa"/>
            <w:vAlign w:val="bottom"/>
            <w:tcBorders>
              <w:bottom w:val="single" w:sz="8" w:color="3D5588"/>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VAT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647,072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868,270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Corporate income taxes payable</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003082"/>
              </w:rPr>
              <w:t>454,373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1,165,660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taxes payable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211,557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459,207</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380" w:type="dxa"/>
            <w:vAlign w:val="bottom"/>
            <w:tcBorders>
              <w:top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tcBorders>
          </w:tcPr>
          <w:p>
            <w:pPr>
              <w:jc w:val="right"/>
              <w:ind w:right="16"/>
              <w:spacing w:after="0"/>
              <w:rPr>
                <w:sz w:val="20"/>
                <w:szCs w:val="20"/>
                <w:color w:val="auto"/>
              </w:rPr>
            </w:pPr>
            <w:r>
              <w:rPr>
                <w:rFonts w:ascii="Arial" w:cs="Arial" w:eastAsia="Arial" w:hAnsi="Arial"/>
                <w:sz w:val="18"/>
                <w:szCs w:val="18"/>
                <w:color w:val="003082"/>
              </w:rPr>
              <w:t>1,313,002</w:t>
            </w:r>
          </w:p>
        </w:tc>
        <w:tc>
          <w:tcPr>
            <w:tcW w:w="120" w:type="dxa"/>
            <w:vAlign w:val="bottom"/>
          </w:tcPr>
          <w:p>
            <w:pPr>
              <w:spacing w:after="0"/>
              <w:rPr>
                <w:sz w:val="20"/>
                <w:szCs w:val="20"/>
                <w:color w:val="auto"/>
              </w:rPr>
            </w:pPr>
          </w:p>
        </w:tc>
        <w:tc>
          <w:tcPr>
            <w:tcW w:w="580" w:type="dxa"/>
            <w:vAlign w:val="bottom"/>
            <w:tcBorders>
              <w:top w:val="single" w:sz="8" w:color="3D5588"/>
            </w:tcBorders>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rPr>
              <w:t>2,493,137</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003082"/>
              </w:rPr>
              <w:t>8. Accrued Expenses and Other Current Liabilities</w:t>
            </w: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003082"/>
              </w:rPr>
              <w:t>Accrued expenses and other current liabilities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1900" w:type="dxa"/>
            <w:vAlign w:val="bottom"/>
            <w:tcBorders>
              <w:bottom w:val="single" w:sz="8" w:color="3D5588"/>
            </w:tcBorders>
            <w:gridSpan w:val="3"/>
          </w:tcPr>
          <w:p>
            <w:pPr>
              <w:jc w:val="center"/>
              <w:ind w:left="556"/>
              <w:spacing w:after="0"/>
              <w:rPr>
                <w:sz w:val="20"/>
                <w:szCs w:val="20"/>
                <w:color w:val="auto"/>
              </w:rPr>
            </w:pPr>
            <w:r>
              <w:rPr>
                <w:rFonts w:ascii="Arial" w:cs="Arial" w:eastAsia="Arial" w:hAnsi="Arial"/>
                <w:sz w:val="14"/>
                <w:szCs w:val="14"/>
                <w:b w:val="1"/>
                <w:bCs w:val="1"/>
                <w:color w:val="003082"/>
                <w:w w:val="90"/>
              </w:rPr>
              <w:t>As of December 31,</w:t>
            </w:r>
          </w:p>
        </w:tc>
        <w:tc>
          <w:tcPr>
            <w:tcW w:w="980" w:type="dxa"/>
            <w:vAlign w:val="bottom"/>
            <w:tcBorders>
              <w:bottom w:val="single" w:sz="8" w:color="3D558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color w:val="003082"/>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Accrued salary and social welfare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4,802,987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8,388,819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Liability classified awards for share-based compensation (Note 11)</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003082"/>
              </w:rPr>
              <w:t>667,188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Accrued professional service fees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158,432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788,313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Accrued staff reimbursements</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003082"/>
              </w:rPr>
              <w:t>187,208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332,578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Stock option deposit held on behalf of employees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177,015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400,680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Accrued rental fee</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003082"/>
              </w:rPr>
              <w:t>113,122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204,669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480,932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863,873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tcBorders>
          </w:tcPr>
          <w:p>
            <w:pPr>
              <w:jc w:val="right"/>
              <w:ind w:right="16"/>
              <w:spacing w:after="0"/>
              <w:rPr>
                <w:sz w:val="20"/>
                <w:szCs w:val="20"/>
                <w:color w:val="auto"/>
              </w:rPr>
            </w:pPr>
            <w:r>
              <w:rPr>
                <w:rFonts w:ascii="Arial" w:cs="Arial" w:eastAsia="Arial" w:hAnsi="Arial"/>
                <w:sz w:val="18"/>
                <w:szCs w:val="18"/>
                <w:color w:val="003082"/>
              </w:rPr>
              <w:t>6,586,884</w:t>
            </w:r>
          </w:p>
        </w:tc>
        <w:tc>
          <w:tcPr>
            <w:tcW w:w="120" w:type="dxa"/>
            <w:vAlign w:val="bottom"/>
          </w:tcPr>
          <w:p>
            <w:pPr>
              <w:spacing w:after="0"/>
              <w:rPr>
                <w:sz w:val="20"/>
                <w:szCs w:val="20"/>
                <w:color w:val="auto"/>
              </w:rPr>
            </w:pPr>
          </w:p>
        </w:tc>
        <w:tc>
          <w:tcPr>
            <w:tcW w:w="580" w:type="dxa"/>
            <w:vAlign w:val="bottom"/>
            <w:tcBorders>
              <w:top w:val="single" w:sz="8" w:color="3D5588"/>
            </w:tcBorders>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w w:val="95"/>
              </w:rPr>
              <w:t>10,978,932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9. Convertible Redeemable Preferred Shares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On December 16, 2013, Agora, Inc. issued 57,200,000 Series A Convertible Redeemable Preferred Shares (“Former Series A Preferred Shares”) for a total cash consideration of US$5,720,000. As part of the Historical Reorganization in December 2014, the Former Series A Preferred Shares were exchanged for Series A Convertible Redeemable Preferred Shares of Agora IO, Inc. (“Series A Preferred Shares”).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December 20, 2014, Agora IO, Inc. issued 50,783,698 Series B Convertible Redeemable Preferred Shares (“Series B Preferred Shares”) for cash consideration of US$20,250,000.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May 18, 2017, Agora IO, Inc. issued 26,651,410 Series B+ Convertible Redeemable Preferred Shares (“Series B+ Preferred Shares”) for a total cash consideration of US$31,881,749.</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On May 18, 2017, 1,573,040 Series A Preferred Shares were repurchased and retired by Agora IO, Inc. for a total cash consideration of US$1,599,487. On the same date, Agora IO, Inc. repurchased 2,777,778 Series A Preferred Shares for a total cash consideration of US$278 from the Founder and reissued the shares to a third party entity at the same nominal cash consideration. As the third party entity assisted the Group in finding a new investor to participate in the Series B+ Preferred Shares financing, the 2,777,778 Series A Preferred Shares were considered a commission to the third party entity, and were considered a Series B+ issuance cost that was net off the proceeds received during that round of financing.</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October 1, 2018 and October 23, 2018, Agora IO, Inc. issued an aggregate of 34,793,413 Series C Convertible Redeemable Preferred Shares (“Series C Preferred Shares”) for a total cash consideration of US$66,666,667.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F-24</w:t>
      </w:r>
    </w:p>
    <w:p>
      <w:pPr>
        <w:sectPr>
          <w:pgSz w:w="11900" w:h="16838" w:orient="portrait"/>
          <w:cols w:equalWidth="0" w:num="1">
            <w:col w:w="11240"/>
          </w:cols>
          <w:pgMar w:left="320" w:top="553" w:right="339" w:bottom="1440"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above mentioned Series A, Series B, Series B+ and Series C Preferred Shares are collectively referred as the “Preferred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As disclosed in Note 1(b), the Group had undergone two reorganizations and each reorganization changed the issuer of the Preferred Shares to be the reporting entity through share swaps. The major terms and number of shares of the Preferred Shares have remained the same. Thus, there is no accounting impact on the Preferred Shares as a result of the Historical Reorganization or the Corporate Reorganization at the consolidated level. As further discussed in Note 1(b), the Historical Reorganization and the Corporate Reorganization were transactions by Group entities under common control. The equity section of the Company after the Corporate Reorganization is assumed to have existed from the earliest period presented in the consolidated financial statements.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key terms of the Preferred Shares issued by the Company are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Optional Conversion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Each Series A, B, B+ or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A Preferred Shares, Series B Preferred Shares, Series B+ Preferred Shares or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Upon the closing of a Qualified IPO (as defined in the Company’s memorandum and articles of association), all outstanding Preferred Shares shall automatically be converted into Ordinary Shares, at the then effective conversion price.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Voting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Each holder of Series A, Series B, Series B+ and Series C Preferred Shares is entitled to cast the number of votes equal to the number of Ordinary Shares such Preferred Shares would be entitled to convert into at the then effective conversion price. There was a modification to the voting rights of the shares controlled by the Founder when the Series B and Series B+ Preferred Shares were issued as follows:</w:t>
      </w:r>
    </w:p>
    <w:p>
      <w:pPr>
        <w:spacing w:after="0" w:line="130"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6"/>
          <w:szCs w:val="16"/>
          <w:color w:val="003082"/>
        </w:rPr>
      </w:pPr>
      <w:r>
        <w:rPr>
          <w:rFonts w:ascii="Arial" w:cs="Arial" w:eastAsia="Arial" w:hAnsi="Arial"/>
          <w:sz w:val="16"/>
          <w:szCs w:val="16"/>
          <w:color w:val="003082"/>
        </w:rPr>
        <w:t>the voting rights of shares controlled by the Founder was modified to carry 2 votes in connection with the Series B Preferred Shares financing; and</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125"/>
        </w:numPr>
        <w:rPr>
          <w:rFonts w:ascii="Arial" w:cs="Arial" w:eastAsia="Arial" w:hAnsi="Arial"/>
          <w:sz w:val="16"/>
          <w:szCs w:val="16"/>
          <w:color w:val="003082"/>
        </w:rPr>
      </w:pPr>
      <w:r>
        <w:rPr>
          <w:rFonts w:ascii="Arial" w:cs="Arial" w:eastAsia="Arial" w:hAnsi="Arial"/>
          <w:sz w:val="16"/>
          <w:szCs w:val="16"/>
          <w:color w:val="003082"/>
        </w:rPr>
        <w:t>the voting rights of shares controlled by the Founder was modified to carry 3 votes in connection with the Series B+ Preferred Shares financing.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F-25</w:t>
      </w:r>
    </w:p>
    <w:p>
      <w:pPr>
        <w:sectPr>
          <w:pgSz w:w="11900" w:h="16838" w:orient="portrait"/>
          <w:cols w:equalWidth="0" w:num="1">
            <w:col w:w="11240"/>
          </w:cols>
          <w:pgMar w:left="320" w:top="553"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Dividend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First,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Second, after full payment of dividends to the holders of the Series C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Third, after full payment of dividends to the holders of the Series B+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Fourth, after full payment of dividends to the holders of the Series B Preferred Shares, each holder of the Series A Preferred Shares is entitled to receive cumulative dividends out of any funds legally available of the Company, at the simple rate per annum of 8% of the Series A issue price, payable if and when declared by the board of directors.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Lastly, if after the preferential dividends relating to the Preferred Shares as described above have been paid in full or declared and set apart for payment in any fiscal year of the Company, the board of directors shall decide to declare a dividend or similar distribution to the holders of Ordinary Shares, then, in each such case, the holders of Preferred Shares shall be entitled to a proportionate share of any such dividend or distribution as though the holders of Preferred Shares were holders of the number of Ordinary Shares into which their Preferred Shares are convertible as of the record date fixed for the determination of the holders of Ordinary Shares entitled to receive such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First,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Second,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Third,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Fourth, the holders of Series A Preferred Shares then outstanding shall be entitled to be paid an amount per share equal to 150% of the Series A issue price, plus all accrued or declared but unpaid dividends (if applicable) on such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F-26</w:t>
      </w:r>
    </w:p>
    <w:p>
      <w:pPr>
        <w:sectPr>
          <w:pgSz w:w="11900" w:h="16838" w:orient="portrait"/>
          <w:cols w:equalWidth="0" w:num="1">
            <w:col w:w="11240"/>
          </w:cols>
          <w:pgMar w:left="320" w:top="553" w:right="3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03082"/>
        </w:rPr>
        <w:t>Series A Preferred Shares, out of funds legally available of the Company (the “Series A Preference Amount”). If the legally available funds are insufficient to permit the payment to all holders of Series A Preferred Shares the full Series A Preference Amount, then the entire assets and funds of the Company legally available for distribution shall be distributed pro rata among the holders of the Series A Preferred Shares.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Lastly, if there are any assets or funds remaining after the aggregate of the Series C Preference Amount, Series B+ Preference Amount, Series B Preference Amount and Series A Preference Amount has been distributed or paid in full to the applicable holders of Series C Preferred Shares, Series B+ Preferred Shares, Series B Preferred Shares and Series A Preferred Shares, respectively, the remaining assets and funds of the Company available for distribution to the members shall be distributed pro rata among all members based on the number of Ordinary Shares held by such member (including Preferred Shares on as-converted basis).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Redemption Right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The Series C, Series B+, and Series B Preferred Shares can be redeemed (1) at any time and from time to time commencing on the fifth anniversary of the Series C Preferred Shares financing closing date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Series B+, and Series B Preferred Shares is entitled to, by written request to the Company, request the Company to redeem all or part of the Series C, Series B+, and Series B Preferred Shares then outstanding held by such holder. The redemption request shall be given by hand or by mail to the registered office of the Company at least 60 days prior to the date set forth therein on which the Series C, Series B+, or Series B Preferred Shares are to be redeemed.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 Series A Preferred Shares can be redeemed (1) at any time and from time to time commencing on the Maturity Date, if there has not occurred any Qualified IPO, or (2) on such earlier date as another series of Preferred Shares is redeemable. Upon the occurrence of an event described in (1) or (2) above, each holder of the then outstanding Series A Preferred Shares is entitled to, by written request to the Company, request the Company to redeem all or part of the Series A Preferred Shares then outstanding held by such holder. The redemption request shall be given by hand or by mail to the registered office of the Company at least 60 days prior to the date set forth therein on which the Series A Preferred Shares are to be redeemed.</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Maturity Date definition has been modified upon the issuance of Series C Preferred Shares. Previously, the applicable Maturity Date for Series B+, Series B and Series A Preferred Shares was the fifth anniversary of their respective issuance dates.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003082"/>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F-27</w:t>
      </w:r>
    </w:p>
    <w:p>
      <w:pPr>
        <w:sectPr>
          <w:pgSz w:w="11900" w:h="16838" w:orient="portrait"/>
          <w:cols w:equalWidth="0" w:num="1">
            <w:col w:w="11240"/>
          </w:cols>
          <w:pgMar w:left="320" w:top="553"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003082"/>
        </w:rPr>
        <w:t>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redemption price for each Series A Preferred Share redeemed (the “Series A Redemption Price”) shall be the greater of:</w:t>
      </w:r>
    </w:p>
    <w:p>
      <w:pPr>
        <w:spacing w:after="0" w:line="171" w:lineRule="exact"/>
        <w:rPr>
          <w:sz w:val="20"/>
          <w:szCs w:val="20"/>
          <w:color w:val="auto"/>
        </w:rPr>
      </w:pPr>
    </w:p>
    <w:p>
      <w:pPr>
        <w:jc w:val="both"/>
        <w:ind w:left="660" w:hanging="328"/>
        <w:spacing w:after="0" w:line="311" w:lineRule="auto"/>
        <w:tabs>
          <w:tab w:leader="none" w:pos="660" w:val="left"/>
        </w:tabs>
        <w:numPr>
          <w:ilvl w:val="0"/>
          <w:numId w:val="126"/>
        </w:numPr>
        <w:rPr>
          <w:rFonts w:ascii="Arial" w:cs="Arial" w:eastAsia="Arial" w:hAnsi="Arial"/>
          <w:sz w:val="16"/>
          <w:szCs w:val="16"/>
          <w:color w:val="003082"/>
        </w:rPr>
      </w:pPr>
      <w:r>
        <w:rPr>
          <w:rFonts w:ascii="Arial" w:cs="Arial" w:eastAsia="Arial" w:hAnsi="Arial"/>
          <w:sz w:val="16"/>
          <w:szCs w:val="16"/>
          <w:color w:val="003082"/>
        </w:rPr>
        <w:t>an amount equal to the Series A issue price, plus all accrued or declared but unpaid dividends on such Series A Preferred Share (for a partial year, the dividends shall be calculated proportionally), plus an amount that would accrue on the Series A issue price at a rate of 15% per annum, compounding annually, during the period commencing from December 16, 2013 and ending on the date of the Series A redemption notice, and</w:t>
      </w:r>
    </w:p>
    <w:p>
      <w:pPr>
        <w:spacing w:after="0" w:line="94" w:lineRule="exact"/>
        <w:rPr>
          <w:rFonts w:ascii="Arial" w:cs="Arial" w:eastAsia="Arial" w:hAnsi="Arial"/>
          <w:sz w:val="16"/>
          <w:szCs w:val="16"/>
          <w:color w:val="003082"/>
        </w:rPr>
      </w:pPr>
    </w:p>
    <w:p>
      <w:pPr>
        <w:jc w:val="both"/>
        <w:ind w:left="660" w:hanging="328"/>
        <w:spacing w:after="0" w:line="259" w:lineRule="auto"/>
        <w:tabs>
          <w:tab w:leader="none" w:pos="660" w:val="left"/>
        </w:tabs>
        <w:numPr>
          <w:ilvl w:val="0"/>
          <w:numId w:val="126"/>
        </w:numPr>
        <w:rPr>
          <w:rFonts w:ascii="Arial" w:cs="Arial" w:eastAsia="Arial" w:hAnsi="Arial"/>
          <w:sz w:val="18"/>
          <w:szCs w:val="18"/>
          <w:color w:val="003082"/>
        </w:rPr>
      </w:pPr>
      <w:r>
        <w:rPr>
          <w:rFonts w:ascii="Arial" w:cs="Arial" w:eastAsia="Arial" w:hAnsi="Arial"/>
          <w:sz w:val="18"/>
          <w:szCs w:val="18"/>
          <w:color w:val="003082"/>
        </w:rPr>
        <w:t>the fair market value of the Series A Preferred Share determined by an independent third party appraising firm selected jointly by the board of directors and the requesting holder, provided however, that any redemption of all or any part of Series A Preferred Shares held by a holder of Series A Preferred Shares at a price determined by an independent third party appraising firm shall not cause any material adverse effect to the Group companies taken as a whole.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Accounting for Preferred Shares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Company classifies the Preferred Shares as mezzanine equity in the consolidated balance sheets because they are redeemable at the holders’ option any time after a certain date or are contingently redeemable upon the occurrence of certain Deemed Liquidation Events outside of the Company’s control. The Preferred Shares are recorded initially at fair value, net of issuance costs. For the years ended December 31, 2018 and 2019, the issuance costs incurred were US$110,059 and nil, respectively. The aggregate amount of cumulative undeclared dividends in arrears on convertible redeemable preferred shares was US$21,280,013 and US$31,241,486 as of December 31, 2018 and 2019, respectively. The cumulative undeclared dividends are not recorded in the consolidated balance sheet as the Company does not have the obligation to pay the cumulative dividend before it is declared by the board of directors.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For each reporting period, the Company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accretion is recorded against retained earnings, or in the absence of retained earnings, by charges against additional paid-in-capital, or in the absence of additional paid-in-capital, by charges to accumulated deficit. The accretion of the Preferred Shares was US$33,234,811 and US$50,714,953 for the years ended December 31, 2018 and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Modification of Preferred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Company assesses whether an amendment to the terms of its Preferred Shares is an extinguishment or a modification based on a qualitative and quantitative evaluation of the amendment. The Company also assesses if the change in the terms results in value transfer between the Preferred Shareholders or between Preferred Shareholders and the Ordinary Shareholders.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F-28</w:t>
      </w:r>
    </w:p>
    <w:p>
      <w:pPr>
        <w:sectPr>
          <w:pgSz w:w="11900" w:h="16838" w:orient="portrait"/>
          <w:cols w:equalWidth="0" w:num="1">
            <w:col w:w="11240"/>
          </w:cols>
          <w:pgMar w:left="320" w:top="553" w:right="3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There were modifications of voting rights to shares held by Founder as mentioned in the Voting Rights section above. In addition, the redemption periods have been extended for Series B+, Series B and Series A Preferred Shares as mentioned in the Redemption Rights section above. The modifications were driven by the objective to obtain new round of financing or ensuring the control of the Company by the Founder.</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From both quantitative and qualitative perspectives, the Company assessed the impact of the above modifications and concluded that these amendments represent modifications rather than extinguishment of the Preferred Shares. The Company also evaluated and concluded the impact of above modifications had an overall immaterial impact for the years ended December 31, 2018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Company’s Preferred Shares activities for the years ended December 31, 2018 and 2019 are summarized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160" w:type="dxa"/>
            <w:vAlign w:val="bottom"/>
          </w:tcPr>
          <w:p>
            <w:pPr>
              <w:spacing w:after="0"/>
              <w:rPr>
                <w:sz w:val="14"/>
                <w:szCs w:val="14"/>
                <w:color w:val="auto"/>
              </w:rPr>
            </w:pPr>
          </w:p>
        </w:tc>
        <w:tc>
          <w:tcPr>
            <w:tcW w:w="1960" w:type="dxa"/>
            <w:vAlign w:val="bottom"/>
            <w:tcBorders>
              <w:bottom w:val="single" w:sz="8" w:color="3D5588"/>
            </w:tcBorders>
            <w:gridSpan w:val="4"/>
          </w:tcPr>
          <w:p>
            <w:pPr>
              <w:jc w:val="right"/>
              <w:ind w:right="262"/>
              <w:spacing w:after="0"/>
              <w:rPr>
                <w:sz w:val="20"/>
                <w:szCs w:val="20"/>
                <w:color w:val="auto"/>
              </w:rPr>
            </w:pPr>
            <w:r>
              <w:rPr>
                <w:rFonts w:ascii="Arial" w:cs="Arial" w:eastAsia="Arial" w:hAnsi="Arial"/>
                <w:sz w:val="12"/>
                <w:szCs w:val="12"/>
                <w:b w:val="1"/>
                <w:bCs w:val="1"/>
                <w:color w:val="003082"/>
              </w:rPr>
              <w:t>Series A Preferred Shares</w:t>
            </w:r>
          </w:p>
        </w:tc>
        <w:tc>
          <w:tcPr>
            <w:tcW w:w="120" w:type="dxa"/>
            <w:vAlign w:val="bottom"/>
          </w:tcPr>
          <w:p>
            <w:pPr>
              <w:spacing w:after="0"/>
              <w:rPr>
                <w:sz w:val="14"/>
                <w:szCs w:val="14"/>
                <w:color w:val="auto"/>
              </w:rPr>
            </w:pPr>
          </w:p>
        </w:tc>
        <w:tc>
          <w:tcPr>
            <w:tcW w:w="1920" w:type="dxa"/>
            <w:vAlign w:val="bottom"/>
            <w:tcBorders>
              <w:bottom w:val="single" w:sz="8" w:color="3D5588"/>
            </w:tcBorders>
            <w:gridSpan w:val="4"/>
          </w:tcPr>
          <w:p>
            <w:pPr>
              <w:jc w:val="right"/>
              <w:ind w:right="242"/>
              <w:spacing w:after="0"/>
              <w:rPr>
                <w:sz w:val="20"/>
                <w:szCs w:val="20"/>
                <w:color w:val="auto"/>
              </w:rPr>
            </w:pPr>
            <w:r>
              <w:rPr>
                <w:rFonts w:ascii="Arial" w:cs="Arial" w:eastAsia="Arial" w:hAnsi="Arial"/>
                <w:sz w:val="12"/>
                <w:szCs w:val="12"/>
                <w:b w:val="1"/>
                <w:bCs w:val="1"/>
                <w:color w:val="003082"/>
              </w:rPr>
              <w:t>Series B Preferred Shares</w:t>
            </w:r>
          </w:p>
        </w:tc>
        <w:tc>
          <w:tcPr>
            <w:tcW w:w="120" w:type="dxa"/>
            <w:vAlign w:val="bottom"/>
          </w:tcPr>
          <w:p>
            <w:pPr>
              <w:spacing w:after="0"/>
              <w:rPr>
                <w:sz w:val="14"/>
                <w:szCs w:val="14"/>
                <w:color w:val="auto"/>
              </w:rPr>
            </w:pPr>
          </w:p>
        </w:tc>
        <w:tc>
          <w:tcPr>
            <w:tcW w:w="1860" w:type="dxa"/>
            <w:vAlign w:val="bottom"/>
            <w:tcBorders>
              <w:bottom w:val="single" w:sz="8" w:color="3D5588"/>
            </w:tcBorders>
            <w:gridSpan w:val="4"/>
          </w:tcPr>
          <w:p>
            <w:pPr>
              <w:jc w:val="right"/>
              <w:ind w:right="182"/>
              <w:spacing w:after="0"/>
              <w:rPr>
                <w:sz w:val="20"/>
                <w:szCs w:val="20"/>
                <w:color w:val="auto"/>
              </w:rPr>
            </w:pPr>
            <w:r>
              <w:rPr>
                <w:rFonts w:ascii="Arial" w:cs="Arial" w:eastAsia="Arial" w:hAnsi="Arial"/>
                <w:sz w:val="12"/>
                <w:szCs w:val="12"/>
                <w:b w:val="1"/>
                <w:bCs w:val="1"/>
                <w:color w:val="003082"/>
              </w:rPr>
              <w:t>Series B+ Preferred Shares</w:t>
            </w:r>
          </w:p>
        </w:tc>
        <w:tc>
          <w:tcPr>
            <w:tcW w:w="120" w:type="dxa"/>
            <w:vAlign w:val="bottom"/>
          </w:tcPr>
          <w:p>
            <w:pPr>
              <w:spacing w:after="0"/>
              <w:rPr>
                <w:sz w:val="14"/>
                <w:szCs w:val="14"/>
                <w:color w:val="auto"/>
              </w:rPr>
            </w:pPr>
          </w:p>
        </w:tc>
        <w:tc>
          <w:tcPr>
            <w:tcW w:w="1880" w:type="dxa"/>
            <w:vAlign w:val="bottom"/>
            <w:tcBorders>
              <w:bottom w:val="single" w:sz="8" w:color="3D5588"/>
            </w:tcBorders>
            <w:gridSpan w:val="4"/>
          </w:tcPr>
          <w:p>
            <w:pPr>
              <w:jc w:val="right"/>
              <w:ind w:right="222"/>
              <w:spacing w:after="0"/>
              <w:rPr>
                <w:sz w:val="20"/>
                <w:szCs w:val="20"/>
                <w:color w:val="auto"/>
              </w:rPr>
            </w:pPr>
            <w:r>
              <w:rPr>
                <w:rFonts w:ascii="Arial" w:cs="Arial" w:eastAsia="Arial" w:hAnsi="Arial"/>
                <w:sz w:val="12"/>
                <w:szCs w:val="12"/>
                <w:b w:val="1"/>
                <w:bCs w:val="1"/>
                <w:color w:val="003082"/>
              </w:rPr>
              <w:t>Series C Preferred Shares</w:t>
            </w:r>
          </w:p>
        </w:tc>
        <w:tc>
          <w:tcPr>
            <w:tcW w:w="100" w:type="dxa"/>
            <w:vAlign w:val="bottom"/>
          </w:tcPr>
          <w:p>
            <w:pPr>
              <w:spacing w:after="0"/>
              <w:rPr>
                <w:sz w:val="14"/>
                <w:szCs w:val="14"/>
                <w:color w:val="auto"/>
              </w:rPr>
            </w:pPr>
          </w:p>
        </w:tc>
        <w:tc>
          <w:tcPr>
            <w:tcW w:w="200" w:type="dxa"/>
            <w:vAlign w:val="bottom"/>
            <w:tcBorders>
              <w:bottom w:val="single" w:sz="8" w:color="3D5588"/>
            </w:tcBorders>
          </w:tcPr>
          <w:p>
            <w:pPr>
              <w:spacing w:after="0"/>
              <w:rPr>
                <w:sz w:val="14"/>
                <w:szCs w:val="14"/>
                <w:color w:val="auto"/>
              </w:rPr>
            </w:pPr>
          </w:p>
        </w:tc>
        <w:tc>
          <w:tcPr>
            <w:tcW w:w="800" w:type="dxa"/>
            <w:vAlign w:val="bottom"/>
            <w:tcBorders>
              <w:bottom w:val="single" w:sz="8" w:color="3D5588"/>
            </w:tcBorders>
          </w:tcPr>
          <w:p>
            <w:pPr>
              <w:jc w:val="center"/>
              <w:ind w:right="142"/>
              <w:spacing w:after="0"/>
              <w:rPr>
                <w:sz w:val="20"/>
                <w:szCs w:val="20"/>
                <w:color w:val="auto"/>
              </w:rPr>
            </w:pPr>
            <w:r>
              <w:rPr>
                <w:rFonts w:ascii="Arial" w:cs="Arial" w:eastAsia="Arial" w:hAnsi="Arial"/>
                <w:sz w:val="12"/>
                <w:szCs w:val="12"/>
                <w:b w:val="1"/>
                <w:bCs w:val="1"/>
                <w:color w:val="003082"/>
                <w:w w:val="83"/>
              </w:rPr>
              <w:t>Total</w:t>
            </w:r>
          </w:p>
        </w:tc>
      </w:tr>
      <w:tr>
        <w:trPr>
          <w:trHeight w:val="154"/>
        </w:trPr>
        <w:tc>
          <w:tcPr>
            <w:tcW w:w="216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003082"/>
              </w:rPr>
              <w:t>Number of</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003082"/>
              </w:rPr>
              <w:t>Amount</w:t>
            </w: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003082"/>
              </w:rPr>
              <w:t>Number of</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003082"/>
              </w:rPr>
              <w:t>Amount</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003082"/>
              </w:rPr>
              <w:t>Number of</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003082"/>
              </w:rPr>
              <w:t>Amount</w:t>
            </w: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003082"/>
              </w:rPr>
              <w:t>Number of</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003082"/>
              </w:rPr>
              <w:t>Amount</w:t>
            </w:r>
          </w:p>
        </w:tc>
        <w:tc>
          <w:tcPr>
            <w:tcW w:w="200" w:type="dxa"/>
            <w:vAlign w:val="bottom"/>
          </w:tcPr>
          <w:p>
            <w:pPr>
              <w:spacing w:after="0"/>
              <w:rPr>
                <w:sz w:val="13"/>
                <w:szCs w:val="13"/>
                <w:color w:val="auto"/>
              </w:rPr>
            </w:pPr>
          </w:p>
        </w:tc>
        <w:tc>
          <w:tcPr>
            <w:tcW w:w="800" w:type="dxa"/>
            <w:vAlign w:val="bottom"/>
          </w:tcPr>
          <w:p>
            <w:pPr>
              <w:jc w:val="center"/>
              <w:ind w:right="142"/>
              <w:spacing w:after="0"/>
              <w:rPr>
                <w:sz w:val="20"/>
                <w:szCs w:val="20"/>
                <w:color w:val="auto"/>
              </w:rPr>
            </w:pPr>
            <w:r>
              <w:rPr>
                <w:rFonts w:ascii="Arial" w:cs="Arial" w:eastAsia="Arial" w:hAnsi="Arial"/>
                <w:sz w:val="12"/>
                <w:szCs w:val="12"/>
                <w:b w:val="1"/>
                <w:bCs w:val="1"/>
                <w:color w:val="003082"/>
                <w:w w:val="88"/>
              </w:rPr>
              <w:t>Amount</w:t>
            </w:r>
          </w:p>
        </w:tc>
      </w:tr>
      <w:tr>
        <w:trPr>
          <w:trHeight w:val="164"/>
        </w:trPr>
        <w:tc>
          <w:tcPr>
            <w:tcW w:w="2160" w:type="dxa"/>
            <w:vAlign w:val="bottom"/>
            <w:tcBorders>
              <w:bottom w:val="single" w:sz="8" w:color="CCEEFF"/>
            </w:tcBorders>
          </w:tcPr>
          <w:p>
            <w:pPr>
              <w:spacing w:after="0"/>
              <w:rPr>
                <w:sz w:val="14"/>
                <w:szCs w:val="14"/>
                <w:color w:val="auto"/>
              </w:rPr>
            </w:pPr>
          </w:p>
        </w:tc>
        <w:tc>
          <w:tcPr>
            <w:tcW w:w="920" w:type="dxa"/>
            <w:vAlign w:val="bottom"/>
            <w:tcBorders>
              <w:bottom w:val="single" w:sz="8" w:color="3D5588"/>
            </w:tcBorders>
          </w:tcPr>
          <w:p>
            <w:pPr>
              <w:jc w:val="right"/>
              <w:ind w:right="242"/>
              <w:spacing w:after="0"/>
              <w:rPr>
                <w:sz w:val="20"/>
                <w:szCs w:val="20"/>
                <w:color w:val="auto"/>
              </w:rPr>
            </w:pPr>
            <w:r>
              <w:rPr>
                <w:rFonts w:ascii="Arial" w:cs="Arial" w:eastAsia="Arial" w:hAnsi="Arial"/>
                <w:sz w:val="12"/>
                <w:szCs w:val="12"/>
                <w:b w:val="1"/>
                <w:bCs w:val="1"/>
                <w:color w:val="003082"/>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3D5588"/>
            </w:tcBorders>
          </w:tcPr>
          <w:p>
            <w:pPr>
              <w:spacing w:after="0"/>
              <w:rPr>
                <w:sz w:val="14"/>
                <w:szCs w:val="14"/>
                <w:color w:val="auto"/>
              </w:rPr>
            </w:pPr>
          </w:p>
        </w:tc>
        <w:tc>
          <w:tcPr>
            <w:tcW w:w="760" w:type="dxa"/>
            <w:vAlign w:val="bottom"/>
            <w:tcBorders>
              <w:bottom w:val="single" w:sz="8" w:color="3D5588"/>
            </w:tcBorders>
          </w:tcPr>
          <w:p>
            <w:pPr>
              <w:jc w:val="right"/>
              <w:ind w:right="262"/>
              <w:spacing w:after="0"/>
              <w:rPr>
                <w:sz w:val="20"/>
                <w:szCs w:val="20"/>
                <w:color w:val="auto"/>
              </w:rPr>
            </w:pPr>
            <w:r>
              <w:rPr>
                <w:rFonts w:ascii="Arial" w:cs="Arial" w:eastAsia="Arial" w:hAnsi="Arial"/>
                <w:sz w:val="12"/>
                <w:szCs w:val="12"/>
                <w:b w:val="1"/>
                <w:bCs w:val="1"/>
                <w:color w:val="003082"/>
              </w:rPr>
              <w:t>(US$)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3D5588"/>
            </w:tcBorders>
          </w:tcPr>
          <w:p>
            <w:pPr>
              <w:jc w:val="right"/>
              <w:ind w:right="242"/>
              <w:spacing w:after="0"/>
              <w:rPr>
                <w:sz w:val="20"/>
                <w:szCs w:val="20"/>
                <w:color w:val="auto"/>
              </w:rPr>
            </w:pPr>
            <w:r>
              <w:rPr>
                <w:rFonts w:ascii="Arial" w:cs="Arial" w:eastAsia="Arial" w:hAnsi="Arial"/>
                <w:sz w:val="12"/>
                <w:szCs w:val="12"/>
                <w:b w:val="1"/>
                <w:bCs w:val="1"/>
                <w:color w:val="003082"/>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3D5588"/>
            </w:tcBorders>
          </w:tcPr>
          <w:p>
            <w:pPr>
              <w:spacing w:after="0"/>
              <w:rPr>
                <w:sz w:val="14"/>
                <w:szCs w:val="14"/>
                <w:color w:val="auto"/>
              </w:rPr>
            </w:pPr>
          </w:p>
        </w:tc>
        <w:tc>
          <w:tcPr>
            <w:tcW w:w="720" w:type="dxa"/>
            <w:vAlign w:val="bottom"/>
            <w:tcBorders>
              <w:bottom w:val="single" w:sz="8" w:color="3D5588"/>
            </w:tcBorders>
          </w:tcPr>
          <w:p>
            <w:pPr>
              <w:jc w:val="right"/>
              <w:ind w:right="242"/>
              <w:spacing w:after="0"/>
              <w:rPr>
                <w:sz w:val="20"/>
                <w:szCs w:val="20"/>
                <w:color w:val="auto"/>
              </w:rPr>
            </w:pPr>
            <w:r>
              <w:rPr>
                <w:rFonts w:ascii="Arial" w:cs="Arial" w:eastAsia="Arial" w:hAnsi="Arial"/>
                <w:sz w:val="12"/>
                <w:szCs w:val="12"/>
                <w:b w:val="1"/>
                <w:bCs w:val="1"/>
                <w:color w:val="003082"/>
              </w:rPr>
              <w:t>(US$)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3D5588"/>
            </w:tcBorders>
          </w:tcPr>
          <w:p>
            <w:pPr>
              <w:jc w:val="right"/>
              <w:ind w:right="222"/>
              <w:spacing w:after="0"/>
              <w:rPr>
                <w:sz w:val="20"/>
                <w:szCs w:val="20"/>
                <w:color w:val="auto"/>
              </w:rPr>
            </w:pPr>
            <w:r>
              <w:rPr>
                <w:rFonts w:ascii="Arial" w:cs="Arial" w:eastAsia="Arial" w:hAnsi="Arial"/>
                <w:sz w:val="12"/>
                <w:szCs w:val="12"/>
                <w:b w:val="1"/>
                <w:bCs w:val="1"/>
                <w:color w:val="003082"/>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3D5588"/>
            </w:tcBorders>
          </w:tcPr>
          <w:p>
            <w:pPr>
              <w:spacing w:after="0"/>
              <w:rPr>
                <w:sz w:val="14"/>
                <w:szCs w:val="14"/>
                <w:color w:val="auto"/>
              </w:rPr>
            </w:pPr>
          </w:p>
        </w:tc>
        <w:tc>
          <w:tcPr>
            <w:tcW w:w="700" w:type="dxa"/>
            <w:vAlign w:val="bottom"/>
            <w:tcBorders>
              <w:bottom w:val="single" w:sz="8" w:color="3D5588"/>
            </w:tcBorders>
          </w:tcPr>
          <w:p>
            <w:pPr>
              <w:jc w:val="right"/>
              <w:ind w:right="222"/>
              <w:spacing w:after="0"/>
              <w:rPr>
                <w:sz w:val="20"/>
                <w:szCs w:val="20"/>
                <w:color w:val="auto"/>
              </w:rPr>
            </w:pPr>
            <w:r>
              <w:rPr>
                <w:rFonts w:ascii="Arial" w:cs="Arial" w:eastAsia="Arial" w:hAnsi="Arial"/>
                <w:sz w:val="12"/>
                <w:szCs w:val="12"/>
                <w:b w:val="1"/>
                <w:bCs w:val="1"/>
                <w:color w:val="003082"/>
              </w:rPr>
              <w:t>(US$)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3D5588"/>
            </w:tcBorders>
          </w:tcPr>
          <w:p>
            <w:pPr>
              <w:jc w:val="right"/>
              <w:ind w:right="222"/>
              <w:spacing w:after="0"/>
              <w:rPr>
                <w:sz w:val="20"/>
                <w:szCs w:val="20"/>
                <w:color w:val="auto"/>
              </w:rPr>
            </w:pPr>
            <w:r>
              <w:rPr>
                <w:rFonts w:ascii="Arial" w:cs="Arial" w:eastAsia="Arial" w:hAnsi="Arial"/>
                <w:sz w:val="12"/>
                <w:szCs w:val="12"/>
                <w:b w:val="1"/>
                <w:bCs w:val="1"/>
                <w:color w:val="003082"/>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3D5588"/>
            </w:tcBorders>
          </w:tcPr>
          <w:p>
            <w:pPr>
              <w:spacing w:after="0"/>
              <w:rPr>
                <w:sz w:val="14"/>
                <w:szCs w:val="14"/>
                <w:color w:val="auto"/>
              </w:rPr>
            </w:pPr>
          </w:p>
        </w:tc>
        <w:tc>
          <w:tcPr>
            <w:tcW w:w="720" w:type="dxa"/>
            <w:vAlign w:val="bottom"/>
            <w:tcBorders>
              <w:bottom w:val="single" w:sz="8" w:color="3D5588"/>
            </w:tcBorders>
          </w:tcPr>
          <w:p>
            <w:pPr>
              <w:jc w:val="right"/>
              <w:ind w:right="242"/>
              <w:spacing w:after="0"/>
              <w:rPr>
                <w:sz w:val="20"/>
                <w:szCs w:val="20"/>
                <w:color w:val="auto"/>
              </w:rPr>
            </w:pPr>
            <w:r>
              <w:rPr>
                <w:rFonts w:ascii="Arial" w:cs="Arial" w:eastAsia="Arial" w:hAnsi="Arial"/>
                <w:sz w:val="12"/>
                <w:szCs w:val="12"/>
                <w:b w:val="1"/>
                <w:bCs w:val="1"/>
                <w:color w:val="003082"/>
              </w:rPr>
              <w:t>(US$)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3D5588"/>
            </w:tcBorders>
          </w:tcPr>
          <w:p>
            <w:pPr>
              <w:spacing w:after="0"/>
              <w:rPr>
                <w:sz w:val="14"/>
                <w:szCs w:val="14"/>
                <w:color w:val="auto"/>
              </w:rPr>
            </w:pPr>
          </w:p>
        </w:tc>
        <w:tc>
          <w:tcPr>
            <w:tcW w:w="800" w:type="dxa"/>
            <w:vAlign w:val="bottom"/>
            <w:tcBorders>
              <w:bottom w:val="single" w:sz="8" w:color="3D5588"/>
            </w:tcBorders>
          </w:tcPr>
          <w:p>
            <w:pPr>
              <w:jc w:val="center"/>
              <w:ind w:right="142"/>
              <w:spacing w:after="0"/>
              <w:rPr>
                <w:sz w:val="20"/>
                <w:szCs w:val="20"/>
                <w:color w:val="auto"/>
              </w:rPr>
            </w:pPr>
            <w:r>
              <w:rPr>
                <w:rFonts w:ascii="Arial" w:cs="Arial" w:eastAsia="Arial" w:hAnsi="Arial"/>
                <w:sz w:val="12"/>
                <w:szCs w:val="12"/>
                <w:b w:val="1"/>
                <w:bCs w:val="1"/>
                <w:color w:val="003082"/>
                <w:w w:val="89"/>
              </w:rPr>
              <w:t>(US$)</w:t>
            </w:r>
          </w:p>
        </w:tc>
      </w:tr>
      <w:tr>
        <w:trPr>
          <w:trHeight w:val="237"/>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003082"/>
              </w:rPr>
              <w:t>Balances as of January 1, 2018</w:t>
            </w: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003082"/>
              </w:rPr>
              <w:t>55,626,960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003082"/>
                <w:w w:val="89"/>
              </w:rPr>
              <w:t>$</w:t>
            </w:r>
          </w:p>
        </w:tc>
        <w:tc>
          <w:tcPr>
            <w:tcW w:w="7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003082"/>
              </w:rPr>
              <w:t>25,409,604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003082"/>
              </w:rPr>
              <w:t>50,783,698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003082"/>
                <w:w w:val="89"/>
              </w:rPr>
              <w:t>$</w:t>
            </w:r>
          </w:p>
        </w:tc>
        <w:tc>
          <w:tcPr>
            <w:tcW w:w="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003082"/>
                <w:w w:val="99"/>
              </w:rPr>
              <w:t>27,493,192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003082"/>
              </w:rPr>
              <w:t>26,651,410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003082"/>
                <w:w w:val="89"/>
              </w:rPr>
              <w:t>$</w:t>
            </w: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003082"/>
                <w:w w:val="96"/>
              </w:rPr>
              <w:t>36,561,229</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003082"/>
              </w:rPr>
              <w:t>—</w:t>
            </w:r>
          </w:p>
        </w:tc>
        <w:tc>
          <w:tcPr>
            <w:tcW w:w="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003082"/>
                <w:w w:val="8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003082"/>
              </w:rPr>
              <w:t>—</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003082"/>
                <w:w w:val="8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003082"/>
              </w:rPr>
              <w:t>89,464,025</w:t>
            </w:r>
          </w:p>
        </w:tc>
      </w:tr>
      <w:tr>
        <w:trPr>
          <w:trHeight w:val="156"/>
        </w:trPr>
        <w:tc>
          <w:tcPr>
            <w:tcW w:w="2160" w:type="dxa"/>
            <w:vAlign w:val="bottom"/>
          </w:tcPr>
          <w:p>
            <w:pPr>
              <w:ind w:left="40"/>
              <w:spacing w:after="0"/>
              <w:rPr>
                <w:sz w:val="20"/>
                <w:szCs w:val="20"/>
                <w:color w:val="auto"/>
              </w:rPr>
            </w:pPr>
            <w:r>
              <w:rPr>
                <w:rFonts w:ascii="Arial" w:cs="Arial" w:eastAsia="Arial" w:hAnsi="Arial"/>
                <w:sz w:val="12"/>
                <w:szCs w:val="12"/>
                <w:color w:val="003082"/>
              </w:rPr>
              <w:t>Issuance of convertible redeemable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5"/>
        </w:trPr>
        <w:tc>
          <w:tcPr>
            <w:tcW w:w="2160" w:type="dxa"/>
            <w:vAlign w:val="bottom"/>
          </w:tcPr>
          <w:p>
            <w:pPr>
              <w:ind w:left="200"/>
              <w:spacing w:after="0" w:line="135" w:lineRule="exact"/>
              <w:rPr>
                <w:sz w:val="20"/>
                <w:szCs w:val="20"/>
                <w:color w:val="auto"/>
              </w:rPr>
            </w:pPr>
            <w:r>
              <w:rPr>
                <w:rFonts w:ascii="Arial" w:cs="Arial" w:eastAsia="Arial" w:hAnsi="Arial"/>
                <w:sz w:val="12"/>
                <w:szCs w:val="12"/>
                <w:color w:val="003082"/>
                <w:w w:val="88"/>
              </w:rPr>
              <w:t>preferred shares, net of issuance costs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160" w:type="dxa"/>
            <w:vAlign w:val="bottom"/>
          </w:tcPr>
          <w:p>
            <w:pPr>
              <w:ind w:left="200"/>
              <w:spacing w:after="0"/>
              <w:rPr>
                <w:sz w:val="20"/>
                <w:szCs w:val="20"/>
                <w:color w:val="auto"/>
              </w:rPr>
            </w:pPr>
            <w:r>
              <w:rPr>
                <w:rFonts w:ascii="Arial" w:cs="Arial" w:eastAsia="Arial" w:hAnsi="Arial"/>
                <w:sz w:val="12"/>
                <w:szCs w:val="12"/>
                <w:color w:val="003082"/>
              </w:rPr>
              <w:t>US$110,059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003082"/>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003082"/>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003082"/>
              </w:rPr>
              <w:t>—</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003082"/>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003082"/>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003082"/>
              </w:rPr>
              <w:t>—</w:t>
            </w:r>
          </w:p>
        </w:tc>
        <w:tc>
          <w:tcPr>
            <w:tcW w:w="880" w:type="dxa"/>
            <w:vAlign w:val="bottom"/>
          </w:tcPr>
          <w:p>
            <w:pPr>
              <w:jc w:val="right"/>
              <w:ind w:right="42"/>
              <w:spacing w:after="0"/>
              <w:rPr>
                <w:sz w:val="20"/>
                <w:szCs w:val="20"/>
                <w:color w:val="auto"/>
              </w:rPr>
            </w:pPr>
            <w:r>
              <w:rPr>
                <w:rFonts w:ascii="Arial" w:cs="Arial" w:eastAsia="Arial" w:hAnsi="Arial"/>
                <w:sz w:val="12"/>
                <w:szCs w:val="12"/>
                <w:color w:val="003082"/>
              </w:rPr>
              <w:t>34,793,413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003082"/>
                <w:w w:val="96"/>
              </w:rPr>
              <w:t>66,556,608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003082"/>
              </w:rPr>
              <w:t>66,556,608</w:t>
            </w:r>
          </w:p>
        </w:tc>
      </w:tr>
      <w:tr>
        <w:trPr>
          <w:trHeight w:val="20"/>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003082"/>
              </w:rPr>
              <w:t>Accretion on convertible redeemable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2160" w:type="dxa"/>
            <w:vAlign w:val="bottom"/>
            <w:shd w:val="clear" w:color="auto" w:fill="CCEEFF"/>
          </w:tcPr>
          <w:p>
            <w:pPr>
              <w:ind w:left="200"/>
              <w:spacing w:after="0"/>
              <w:rPr>
                <w:sz w:val="20"/>
                <w:szCs w:val="20"/>
                <w:color w:val="auto"/>
              </w:rPr>
            </w:pPr>
            <w:r>
              <w:rPr>
                <w:rFonts w:ascii="Arial" w:cs="Arial" w:eastAsia="Arial" w:hAnsi="Arial"/>
                <w:sz w:val="12"/>
                <w:szCs w:val="12"/>
                <w:color w:val="003082"/>
                <w:w w:val="98"/>
              </w:rPr>
              <w:t>preferred shares to 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003082"/>
              </w:rPr>
              <w:t>20,169,264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003082"/>
              </w:rPr>
              <w:t>2,462,101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003082"/>
              </w:rPr>
              <w:t>9,315,211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003082"/>
              </w:rPr>
              <w:t>1,288,235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003082"/>
              </w:rPr>
              <w:t>33,234,811</w:t>
            </w:r>
          </w:p>
        </w:tc>
      </w:tr>
      <w:tr>
        <w:trPr>
          <w:trHeight w:val="250"/>
        </w:trPr>
        <w:tc>
          <w:tcPr>
            <w:tcW w:w="216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2"/>
                <w:szCs w:val="12"/>
                <w:color w:val="003082"/>
              </w:rPr>
              <w:t>Balances as of December 31, 2018</w:t>
            </w:r>
          </w:p>
        </w:tc>
        <w:tc>
          <w:tcPr>
            <w:tcW w:w="92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rPr>
              <w:t>55,626,960</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6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rPr>
              <w:t>45,578,868</w:t>
            </w:r>
          </w:p>
        </w:tc>
        <w:tc>
          <w:tcPr>
            <w:tcW w:w="120" w:type="dxa"/>
            <w:vAlign w:val="bottom"/>
            <w:tcBorders>
              <w:top w:val="single" w:sz="8" w:color="CCEEFF"/>
              <w:bottom w:val="single" w:sz="8" w:color="CCEEFF"/>
            </w:tcBorders>
          </w:tcPr>
          <w:p>
            <w:pPr>
              <w:spacing w:after="0"/>
              <w:rPr>
                <w:sz w:val="21"/>
                <w:szCs w:val="21"/>
                <w:color w:val="auto"/>
              </w:rPr>
            </w:pPr>
          </w:p>
        </w:tc>
        <w:tc>
          <w:tcPr>
            <w:tcW w:w="92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rPr>
              <w:t>50,783,698</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2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w w:val="99"/>
              </w:rPr>
              <w:t>29,955,293</w:t>
            </w:r>
          </w:p>
        </w:tc>
        <w:tc>
          <w:tcPr>
            <w:tcW w:w="120" w:type="dxa"/>
            <w:vAlign w:val="bottom"/>
            <w:tcBorders>
              <w:top w:val="single" w:sz="8" w:color="CCEEFF"/>
              <w:bottom w:val="single" w:sz="8" w:color="CCEEFF"/>
            </w:tcBorders>
          </w:tcPr>
          <w:p>
            <w:pPr>
              <w:spacing w:after="0"/>
              <w:rPr>
                <w:sz w:val="21"/>
                <w:szCs w:val="21"/>
                <w:color w:val="auto"/>
              </w:rPr>
            </w:pPr>
          </w:p>
        </w:tc>
        <w:tc>
          <w:tcPr>
            <w:tcW w:w="88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rPr>
              <w:t>26,651,410</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0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w w:val="96"/>
              </w:rPr>
              <w:t>45,876,440</w:t>
            </w:r>
          </w:p>
        </w:tc>
        <w:tc>
          <w:tcPr>
            <w:tcW w:w="120" w:type="dxa"/>
            <w:vAlign w:val="bottom"/>
            <w:tcBorders>
              <w:top w:val="single" w:sz="8" w:color="CCEEFF"/>
              <w:bottom w:val="single" w:sz="8" w:color="CCEEFF"/>
            </w:tcBorders>
          </w:tcPr>
          <w:p>
            <w:pPr>
              <w:spacing w:after="0"/>
              <w:rPr>
                <w:sz w:val="21"/>
                <w:szCs w:val="21"/>
                <w:color w:val="auto"/>
              </w:rPr>
            </w:pPr>
          </w:p>
        </w:tc>
        <w:tc>
          <w:tcPr>
            <w:tcW w:w="88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rPr>
              <w:t>34,793,413</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2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w w:val="96"/>
              </w:rPr>
              <w:t>67,844,843</w:t>
            </w:r>
          </w:p>
        </w:tc>
        <w:tc>
          <w:tcPr>
            <w:tcW w:w="10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w w:val="89"/>
              </w:rPr>
              <w:t>$</w:t>
            </w:r>
          </w:p>
        </w:tc>
        <w:tc>
          <w:tcPr>
            <w:tcW w:w="80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rPr>
              <w:t>189,255,444</w:t>
            </w:r>
          </w:p>
        </w:tc>
      </w:tr>
      <w:tr>
        <w:trPr>
          <w:trHeight w:val="142"/>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003082"/>
              </w:rPr>
              <w:t>Accretion on convertible redeemable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2160" w:type="dxa"/>
            <w:vAlign w:val="bottom"/>
            <w:shd w:val="clear" w:color="auto" w:fill="CCEEFF"/>
          </w:tcPr>
          <w:p>
            <w:pPr>
              <w:ind w:left="200"/>
              <w:spacing w:after="0"/>
              <w:rPr>
                <w:sz w:val="20"/>
                <w:szCs w:val="20"/>
                <w:color w:val="auto"/>
              </w:rPr>
            </w:pPr>
            <w:r>
              <w:rPr>
                <w:rFonts w:ascii="Arial" w:cs="Arial" w:eastAsia="Arial" w:hAnsi="Arial"/>
                <w:sz w:val="12"/>
                <w:szCs w:val="12"/>
                <w:color w:val="003082"/>
                <w:w w:val="98"/>
              </w:rPr>
              <w:t>preferred shares to 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003082"/>
              </w:rPr>
              <w:t>44,470,906</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003082"/>
              </w:rPr>
              <w:t>90,636</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003082"/>
              </w:rPr>
              <w:t>398,120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003082"/>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003082"/>
              </w:rPr>
              <w:t>5,755,291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003082"/>
              </w:rPr>
              <w:t>50,714,953</w:t>
            </w:r>
          </w:p>
        </w:tc>
      </w:tr>
      <w:tr>
        <w:trPr>
          <w:trHeight w:val="240"/>
        </w:trPr>
        <w:tc>
          <w:tcPr>
            <w:tcW w:w="2160" w:type="dxa"/>
            <w:vAlign w:val="bottom"/>
            <w:tcBorders>
              <w:top w:val="single" w:sz="8" w:color="CCEEFF"/>
            </w:tcBorders>
          </w:tcPr>
          <w:p>
            <w:pPr>
              <w:ind w:left="40"/>
              <w:spacing w:after="0"/>
              <w:rPr>
                <w:sz w:val="20"/>
                <w:szCs w:val="20"/>
                <w:color w:val="auto"/>
              </w:rPr>
            </w:pPr>
            <w:r>
              <w:rPr>
                <w:rFonts w:ascii="Arial" w:cs="Arial" w:eastAsia="Arial" w:hAnsi="Arial"/>
                <w:sz w:val="12"/>
                <w:szCs w:val="12"/>
                <w:color w:val="003082"/>
              </w:rPr>
              <w:t>Balances as of December 31, 2019</w:t>
            </w:r>
          </w:p>
        </w:tc>
        <w:tc>
          <w:tcPr>
            <w:tcW w:w="92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rPr>
              <w:t>55,626,960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6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rPr>
              <w:t>90,049,774</w:t>
            </w:r>
          </w:p>
        </w:tc>
        <w:tc>
          <w:tcPr>
            <w:tcW w:w="120" w:type="dxa"/>
            <w:vAlign w:val="bottom"/>
            <w:tcBorders>
              <w:top w:val="single" w:sz="8" w:color="CCEEFF"/>
            </w:tcBorders>
          </w:tcPr>
          <w:p>
            <w:pPr>
              <w:spacing w:after="0"/>
              <w:rPr>
                <w:sz w:val="20"/>
                <w:szCs w:val="20"/>
                <w:color w:val="auto"/>
              </w:rPr>
            </w:pPr>
          </w:p>
        </w:tc>
        <w:tc>
          <w:tcPr>
            <w:tcW w:w="92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rPr>
              <w:t>50,783,698</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2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w w:val="99"/>
              </w:rPr>
              <w:t>30,045,929</w:t>
            </w: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rPr>
              <w:t>26,651,410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0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w w:val="96"/>
              </w:rPr>
              <w:t>46,274,560</w:t>
            </w: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rPr>
              <w:t>34,793,413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3D5588"/>
              <w:bottom w:val="single" w:sz="8" w:color="3D5588"/>
            </w:tcBorders>
          </w:tcPr>
          <w:p>
            <w:pPr>
              <w:jc w:val="right"/>
              <w:ind w:right="22"/>
              <w:spacing w:after="0"/>
              <w:rPr>
                <w:sz w:val="20"/>
                <w:szCs w:val="20"/>
                <w:color w:val="auto"/>
              </w:rPr>
            </w:pPr>
            <w:r>
              <w:rPr>
                <w:rFonts w:ascii="Arial" w:cs="Arial" w:eastAsia="Arial" w:hAnsi="Arial"/>
                <w:sz w:val="12"/>
                <w:szCs w:val="12"/>
                <w:color w:val="003082"/>
                <w:w w:val="89"/>
              </w:rPr>
              <w:t>$</w:t>
            </w:r>
          </w:p>
        </w:tc>
        <w:tc>
          <w:tcPr>
            <w:tcW w:w="72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w w:val="96"/>
              </w:rPr>
              <w:t>73,600,134</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3D5588"/>
              <w:bottom w:val="single" w:sz="8" w:color="3D5588"/>
            </w:tcBorders>
          </w:tcPr>
          <w:p>
            <w:pPr>
              <w:jc w:val="right"/>
              <w:ind w:right="62"/>
              <w:spacing w:after="0"/>
              <w:rPr>
                <w:sz w:val="20"/>
                <w:szCs w:val="20"/>
                <w:color w:val="auto"/>
              </w:rPr>
            </w:pPr>
            <w:r>
              <w:rPr>
                <w:rFonts w:ascii="Arial" w:cs="Arial" w:eastAsia="Arial" w:hAnsi="Arial"/>
                <w:sz w:val="12"/>
                <w:szCs w:val="12"/>
                <w:color w:val="003082"/>
                <w:w w:val="89"/>
              </w:rPr>
              <w:t>$</w:t>
            </w:r>
          </w:p>
        </w:tc>
        <w:tc>
          <w:tcPr>
            <w:tcW w:w="800" w:type="dxa"/>
            <w:vAlign w:val="bottom"/>
            <w:tcBorders>
              <w:top w:val="single" w:sz="8" w:color="3D5588"/>
              <w:bottom w:val="single" w:sz="8" w:color="3D5588"/>
            </w:tcBorders>
          </w:tcPr>
          <w:p>
            <w:pPr>
              <w:jc w:val="right"/>
              <w:ind w:right="42"/>
              <w:spacing w:after="0"/>
              <w:rPr>
                <w:sz w:val="20"/>
                <w:szCs w:val="20"/>
                <w:color w:val="auto"/>
              </w:rPr>
            </w:pPr>
            <w:r>
              <w:rPr>
                <w:rFonts w:ascii="Arial" w:cs="Arial" w:eastAsia="Arial" w:hAnsi="Arial"/>
                <w:sz w:val="12"/>
                <w:szCs w:val="12"/>
                <w:color w:val="003082"/>
              </w:rPr>
              <w:t>239,970,397</w:t>
            </w: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76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7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7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72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800" w:type="dxa"/>
            <w:vAlign w:val="bottom"/>
            <w:tcBorders>
              <w:bottom w:val="single" w:sz="8" w:color="3D5588"/>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10. Ordinary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As of January 1, 2018, the Company had ordinary shares 106,527,778 shares issued and outstanding, at a par value of $0.0001.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On February 5, 2018, the Company repurchased 820,062 ordinary shares with a total cash consideration of US $784,799 from a shareholder at fair value. On April 10, 2019, the Company repurchased 100,000 shares of liability-classified restricted shares that were already vested. During 2018 and 2019, there were also 6,733,333 restricted shares that vested each year pursuant to the amended restricted share agreement and became issued and outstanding. See Note 11—Share-based Compensation.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As of December 31, 2018 and 2019 the Company had in aggregate of 112,441,049 and 119,074,382 ordinary shares issued and outstanding,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F-29</w:t>
      </w:r>
    </w:p>
    <w:p>
      <w:pPr>
        <w:sectPr>
          <w:pgSz w:w="11900" w:h="16838" w:orient="portrait"/>
          <w:cols w:equalWidth="0" w:num="1">
            <w:col w:w="11240"/>
          </w:cols>
          <w:pgMar w:left="320" w:top="553" w:right="3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11. 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Compensation expenses recognized for share-based awards of the Company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center"/>
              <w:ind w:right="273"/>
              <w:spacing w:after="0"/>
              <w:rPr>
                <w:sz w:val="20"/>
                <w:szCs w:val="20"/>
                <w:color w:val="auto"/>
              </w:rPr>
            </w:pPr>
            <w:r>
              <w:rPr>
                <w:rFonts w:ascii="Arial" w:cs="Arial" w:eastAsia="Arial" w:hAnsi="Arial"/>
                <w:sz w:val="14"/>
                <w:szCs w:val="14"/>
                <w:b w:val="1"/>
                <w:bCs w:val="1"/>
                <w:color w:val="003082"/>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7"/>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7"/>
              <w:spacing w:after="0"/>
              <w:rPr>
                <w:sz w:val="20"/>
                <w:szCs w:val="20"/>
                <w:color w:val="auto"/>
              </w:rPr>
            </w:pPr>
            <w:r>
              <w:rPr>
                <w:rFonts w:ascii="Arial" w:cs="Arial" w:eastAsia="Arial" w:hAnsi="Arial"/>
                <w:sz w:val="14"/>
                <w:szCs w:val="14"/>
                <w:color w:val="003082"/>
                <w:w w:val="92"/>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49,893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79,552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Research and development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919,773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1,472,528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Sales and marketing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975,297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1,653,717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General and administrative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905,389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1,046,372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2,850,352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4,252,169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003082"/>
              </w:rPr>
              <w:t>Compensation expenses recognized for different awards were summarized as below:</w:t>
            </w: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73"/>
              <w:spacing w:after="0"/>
              <w:rPr>
                <w:sz w:val="20"/>
                <w:szCs w:val="20"/>
                <w:color w:val="auto"/>
              </w:rPr>
            </w:pPr>
            <w:r>
              <w:rPr>
                <w:rFonts w:ascii="Arial" w:cs="Arial" w:eastAsia="Arial" w:hAnsi="Arial"/>
                <w:sz w:val="14"/>
                <w:szCs w:val="14"/>
                <w:b w:val="1"/>
                <w:bCs w:val="1"/>
                <w:color w:val="003082"/>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7"/>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7"/>
              <w:spacing w:after="0"/>
              <w:rPr>
                <w:sz w:val="20"/>
                <w:szCs w:val="20"/>
                <w:color w:val="auto"/>
              </w:rPr>
            </w:pPr>
            <w:r>
              <w:rPr>
                <w:rFonts w:ascii="Arial" w:cs="Arial" w:eastAsia="Arial" w:hAnsi="Arial"/>
                <w:sz w:val="14"/>
                <w:szCs w:val="14"/>
                <w:color w:val="003082"/>
                <w:w w:val="92"/>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Equity award – share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1,250,676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2,177,975</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003082"/>
              </w:rPr>
              <w:t>Equity award – restricted shares</w:t>
            </w:r>
            <w:r>
              <w:rPr>
                <w:rFonts w:ascii="Arial" w:cs="Arial" w:eastAsia="Arial" w:hAnsi="Arial"/>
                <w:sz w:val="25"/>
                <w:szCs w:val="25"/>
                <w:color w:val="003082"/>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1,002,674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980,911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Liability award – share options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428,855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960,177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Liability award – restricted shares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168,147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133,106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2,850,352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4,252,169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003082"/>
              </w:rPr>
              <w:t>________________</w:t>
            </w: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127"/>
        </w:numPr>
        <w:rPr>
          <w:rFonts w:ascii="Arial" w:cs="Arial" w:eastAsia="Arial" w:hAnsi="Arial"/>
          <w:sz w:val="16"/>
          <w:szCs w:val="16"/>
          <w:color w:val="003082"/>
        </w:rPr>
      </w:pPr>
      <w:r>
        <w:rPr>
          <w:rFonts w:ascii="Arial" w:cs="Arial" w:eastAsia="Arial" w:hAnsi="Arial"/>
          <w:sz w:val="16"/>
          <w:szCs w:val="16"/>
          <w:color w:val="003082"/>
        </w:rPr>
        <w:t>Including restricted shares granted by the Founder for equity classified award of US$843,139 and US$790,643 for the years ended December 31, 2018 and 2019, respectively.</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income tax benefit recognized in the consolidated statements of comprehensive income (loss) for share-based compensation expenses is immaterial and the Company did not capitalize any of the share-based compensation expenses as part of the cost of any assets for the years ended December 31, 2018 and 2019,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Equity Incentive Plans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w:t>
      </w:r>
    </w:p>
    <w:p>
      <w:pPr>
        <w:spacing w:after="0" w:line="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Before the Corporate Reorganization plan was formed and implemented, the Group intended to use Agora IO, Inc. as the issuer in connection with the Group’s initial public offering. As such, in January 2019, the board of directors of Agora IO, Inc.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Agora IO, Inc.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Agora IO, Inc., each option granted under the 2018 Plan. As a result, the options to purchase shares of Agora IO, Inc. granted under the 2018 Plan became options to purchase shares of the Company, and the Company otherwise assumed the same obligations and duties in respect of such options while maintaining their respective terms and vesting schedules. This replacement of awards did not have any accounting consequence. The Company’s board of directors also resolved to amend the 2014 Plan to provide that the maximum number of shares of the Company which may be subject to awards granted under the 2014 Plan would be 34,613,165 ordinary shares minus the aggregate of (x) any shares issued pursuant to awards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F-30</w:t>
      </w:r>
    </w:p>
    <w:p>
      <w:pPr>
        <w:sectPr>
          <w:pgSz w:w="11900" w:h="16838" w:orient="portrait"/>
          <w:cols w:equalWidth="0" w:num="1">
            <w:col w:w="11240"/>
          </w:cols>
          <w:pgMar w:left="320" w:top="553" w:right="3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003082"/>
        </w:rPr>
        <w:t>granted under the 2018 Plan prior to shareholder approval of the amendment and (y) any shares subject to share options or similar awards granted under the 2018 Plan outstanding as of the date of shareholder approval of the amendment.</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An option granted under the 2014 Plan and 2018 Plan has a contractual term of ten years from the grant date, and will generally vest over a period of four years of continuous service, 25% of which vest upon the first anniversary of the stated vesting commencement date and the remaining vest ratably over the following 36 months.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Besides the continuous service condition, some options granted to the employees, directors and consultants in the Group’s PRC operations are not exercisable until (1) the earliest to occur of (a) the first sale of shares to the general public upon the closing of an underwritten public offering (x) pursuant to an effective registration statement filed under the Securities Act or (y) pursuant to a valid qualification or filing under the applicable laws of another jurisdiction under which such securities will be listed on an internationally recognized stock exchange (an “IPO”), (b) a change in control in which the successor entity has equity securities publicly traded on an internationally-recognized stock exchange, and (c) upon such date that the option may be legally exercised pursuant to applicable laws, as evidenced by a legal opinion provided to and approved by the board (each of (a), (b) and (c), a “Trigger Event”), and (2) following a Trigger Event, the completion by the Company of all relevant registrations, if any, required under PRC law with respect to the exercise of the option, including, without limitation, those required with the PRC State Administration of Foreign Exchange as determined to be necessary or desirable by the Company’s board of directors in its discretion (such date, the “Trigger Date”). The clause provides the PRC grantees a choice but not a hurdle to exercise the options in compliance with PRC laws and the exercise of the stock options is not contingent on the performance or achievement by the grantees but only based on the service condition, hence these conditions do not meet the definition of a performance condition as the vesting condition.</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As at the end of December 31, 2018 and 2019, the Company’s total outstanding granted options to the employees, directors and consultants are to purchase 34,811,741 and 38,011,964 of ordinary shares, respectively. Among all the options granted, a portion of the awards to three key employees (a defined percentage of their respective grants) were with repurchase obligation by the Company that these holders can request the Company to purchase back their share options upon unsuccessful IPO or acquisition by another company by December 31, 2018 at the fair market value on the request date. This repurchase clause is provided only within the option grant agreements to these three employees with specified amounts to incentivize them with special contributions to the business. Therefore, the portion of the awards subject to the repurchase obligation are liability-classified awards.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In April 2019, the Company repurchased a portion of share options subject to repurchase obligation from the three key employees with a total consideration of US$1,576,168. The repurchase right was also waived and terminated by the grantees for the remaining portion, if any, of the awards originally subject to repurchase. Accordingly, the classification of the liability-classified awards for the unexercised portion changed back to be equity-classified, and the related share-based award liability was reclassified to additional paid-in capital on the modification date. There was no other accounting impact as a result of the repurchase and termination of repurchase right on remaining portion. The Company recognized an additional compensation expense of US$788,236 for the excess amount of repurchase price over fair value of liability-classified awards on the repurchase date for the year ended December 31, 2019.</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F-31</w:t>
      </w:r>
    </w:p>
    <w:p>
      <w:pPr>
        <w:sectPr>
          <w:pgSz w:w="11900" w:h="16838" w:orient="portrait"/>
          <w:cols w:equalWidth="0" w:num="1">
            <w:col w:w="11240"/>
          </w:cols>
          <w:pgMar w:left="320" w:top="553" w:right="3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003082"/>
        </w:rPr>
        <w:t>The following table summarizes activities of the Company’s share options activity under the 2014 Plan and the 2018 Plan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003082"/>
        </w:rPr>
        <w:t>December 31, 2018 and 2019:</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Equity Classified Share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03082"/>
                <w:w w:val="91"/>
              </w:rPr>
              <w:t>Weighted Average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003082"/>
                <w:w w:val="91"/>
              </w:rPr>
              <w:t>Weighted</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4"/>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003082"/>
                <w:w w:val="91"/>
              </w:rPr>
              <w:t>Weighted Average</w:t>
            </w: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003082"/>
                <w:w w:val="94"/>
              </w:rPr>
              <w:t>Aggregate Intrinsic</w:t>
            </w: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003082"/>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5"/>
              </w:rPr>
              <w:t>Remaining Contractual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003082"/>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0"/>
              </w:rPr>
              <w:t>Options</w:t>
            </w:r>
          </w:p>
        </w:tc>
        <w:tc>
          <w:tcPr>
            <w:tcW w:w="120" w:type="dxa"/>
            <w:vAlign w:val="bottom"/>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400" w:type="dxa"/>
            <w:vAlign w:val="bottom"/>
            <w:tcBorders>
              <w:bottom w:val="single" w:sz="8" w:color="3D5588"/>
            </w:tcBorders>
          </w:tcPr>
          <w:p>
            <w:pPr>
              <w:jc w:val="center"/>
              <w:ind w:right="74"/>
              <w:spacing w:after="0"/>
              <w:rPr>
                <w:sz w:val="20"/>
                <w:szCs w:val="20"/>
                <w:color w:val="auto"/>
              </w:rPr>
            </w:pPr>
            <w:r>
              <w:rPr>
                <w:rFonts w:ascii="Arial" w:cs="Arial" w:eastAsia="Arial" w:hAnsi="Arial"/>
                <w:sz w:val="14"/>
                <w:szCs w:val="14"/>
                <w:b w:val="1"/>
                <w:bCs w:val="1"/>
                <w:color w:val="003082"/>
                <w:w w:val="91"/>
              </w:rPr>
              <w:t>Exercise Price</w:t>
            </w:r>
          </w:p>
        </w:tc>
        <w:tc>
          <w:tcPr>
            <w:tcW w:w="100" w:type="dxa"/>
            <w:vAlign w:val="bottom"/>
          </w:tcPr>
          <w:p>
            <w:pPr>
              <w:spacing w:after="0"/>
              <w:rPr>
                <w:sz w:val="16"/>
                <w:szCs w:val="16"/>
                <w:color w:val="auto"/>
              </w:rPr>
            </w:pPr>
          </w:p>
        </w:tc>
        <w:tc>
          <w:tcPr>
            <w:tcW w:w="158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rPr>
              <w:t>Life</w:t>
            </w:r>
          </w:p>
        </w:tc>
        <w:tc>
          <w:tcPr>
            <w:tcW w:w="100" w:type="dxa"/>
            <w:vAlign w:val="bottom"/>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400" w:type="dxa"/>
            <w:vAlign w:val="bottom"/>
            <w:tcBorders>
              <w:bottom w:val="single" w:sz="8" w:color="3D5588"/>
            </w:tcBorders>
          </w:tcPr>
          <w:p>
            <w:pPr>
              <w:jc w:val="center"/>
              <w:ind w:right="76"/>
              <w:spacing w:after="0"/>
              <w:rPr>
                <w:sz w:val="20"/>
                <w:szCs w:val="20"/>
                <w:color w:val="auto"/>
              </w:rPr>
            </w:pPr>
            <w:r>
              <w:rPr>
                <w:rFonts w:ascii="Arial" w:cs="Arial" w:eastAsia="Arial" w:hAnsi="Arial"/>
                <w:sz w:val="14"/>
                <w:szCs w:val="14"/>
                <w:b w:val="1"/>
                <w:bCs w:val="1"/>
                <w:color w:val="003082"/>
                <w:w w:val="96"/>
              </w:rPr>
              <w:t>Value</w:t>
            </w:r>
          </w:p>
        </w:tc>
        <w:tc>
          <w:tcPr>
            <w:tcW w:w="120" w:type="dxa"/>
            <w:vAlign w:val="bottom"/>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tcPr>
          <w:p>
            <w:pPr>
              <w:jc w:val="center"/>
              <w:ind w:right="178"/>
              <w:spacing w:after="0"/>
              <w:rPr>
                <w:sz w:val="20"/>
                <w:szCs w:val="20"/>
                <w:color w:val="auto"/>
              </w:rPr>
            </w:pPr>
            <w:r>
              <w:rPr>
                <w:rFonts w:ascii="Arial" w:cs="Arial" w:eastAsia="Arial" w:hAnsi="Arial"/>
                <w:sz w:val="14"/>
                <w:szCs w:val="14"/>
                <w:b w:val="1"/>
                <w:bCs w:val="1"/>
                <w:color w:val="003082"/>
                <w:w w:val="95"/>
              </w:rPr>
              <w:t>Fair Value</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003082"/>
                <w:w w:val="98"/>
              </w:rPr>
              <w:t>(US$)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003082"/>
                <w:w w:val="88"/>
              </w:rPr>
              <w:t>In Years</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003082"/>
                <w:w w:val="98"/>
              </w:rPr>
              <w:t>(US$)</w:t>
            </w:r>
          </w:p>
        </w:tc>
        <w:tc>
          <w:tcPr>
            <w:tcW w:w="260" w:type="dxa"/>
            <w:vAlign w:val="bottom"/>
          </w:tcPr>
          <w:p>
            <w:pPr>
              <w:spacing w:after="0"/>
              <w:rPr>
                <w:sz w:val="22"/>
                <w:szCs w:val="22"/>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2018</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20,412,350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3082"/>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5,087,933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3082"/>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0.12</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Pr>
          <w:p>
            <w:pPr>
              <w:jc w:val="right"/>
              <w:ind w:right="52"/>
              <w:spacing w:after="0"/>
              <w:rPr>
                <w:sz w:val="20"/>
                <w:szCs w:val="20"/>
                <w:color w:val="auto"/>
              </w:rPr>
            </w:pPr>
            <w:r>
              <w:rPr>
                <w:rFonts w:ascii="Arial" w:cs="Arial" w:eastAsia="Arial" w:hAnsi="Arial"/>
                <w:sz w:val="18"/>
                <w:szCs w:val="18"/>
                <w:color w:val="003082"/>
              </w:rPr>
              <w:t>14,689,473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0.37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(1,440,866)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003082"/>
              </w:rPr>
              <w:t>Outstanding at December 31, 2018</w:t>
            </w:r>
          </w:p>
        </w:tc>
        <w:tc>
          <w:tcPr>
            <w:tcW w:w="1600" w:type="dxa"/>
            <w:vAlign w:val="bottom"/>
            <w:tcBorders>
              <w:top w:val="single" w:sz="8" w:color="3D5588"/>
            </w:tcBorders>
          </w:tcPr>
          <w:p>
            <w:pPr>
              <w:jc w:val="right"/>
              <w:ind w:right="52"/>
              <w:spacing w:after="0"/>
              <w:rPr>
                <w:sz w:val="20"/>
                <w:szCs w:val="20"/>
                <w:color w:val="auto"/>
              </w:rPr>
            </w:pPr>
            <w:r>
              <w:rPr>
                <w:rFonts w:ascii="Arial" w:cs="Arial" w:eastAsia="Arial" w:hAnsi="Arial"/>
                <w:sz w:val="18"/>
                <w:szCs w:val="18"/>
                <w:color w:val="003082"/>
              </w:rPr>
              <w:t>33,660,957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3082"/>
              </w:rPr>
              <w:t>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003082"/>
              </w:rPr>
              <w:t>19,994,575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0.23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5,087,648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0.86</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Pr>
          <w:p>
            <w:pPr>
              <w:jc w:val="right"/>
              <w:spacing w:after="0"/>
              <w:rPr>
                <w:sz w:val="20"/>
                <w:szCs w:val="20"/>
                <w:color w:val="auto"/>
              </w:rPr>
            </w:pPr>
            <w:r>
              <w:rPr>
                <w:rFonts w:ascii="Arial" w:cs="Arial" w:eastAsia="Arial" w:hAnsi="Arial"/>
                <w:sz w:val="18"/>
                <w:szCs w:val="18"/>
                <w:color w:val="003082"/>
              </w:rPr>
              <w:t>(787,425)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Reclassified from liability award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50,784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Outstanding at December 31, 2019</w:t>
            </w:r>
          </w:p>
        </w:tc>
        <w:tc>
          <w:tcPr>
            <w:tcW w:w="1600" w:type="dxa"/>
            <w:vAlign w:val="bottom"/>
            <w:tcBorders>
              <w:top w:val="single" w:sz="8" w:color="3D5588"/>
              <w:bottom w:val="single" w:sz="8" w:color="3D5588"/>
            </w:tcBorders>
          </w:tcPr>
          <w:p>
            <w:pPr>
              <w:jc w:val="right"/>
              <w:ind w:right="52"/>
              <w:spacing w:after="0"/>
              <w:rPr>
                <w:sz w:val="20"/>
                <w:szCs w:val="20"/>
                <w:color w:val="auto"/>
              </w:rPr>
            </w:pPr>
            <w:r>
              <w:rPr>
                <w:rFonts w:ascii="Arial" w:cs="Arial" w:eastAsia="Arial" w:hAnsi="Arial"/>
                <w:sz w:val="18"/>
                <w:szCs w:val="18"/>
                <w:color w:val="003082"/>
              </w:rPr>
              <w:t>38,011,964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003082"/>
              </w:rPr>
              <w:t>0.12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003082"/>
              </w:rPr>
              <w:t>7.22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003082"/>
              </w:rPr>
              <w:t>51,303,638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003082"/>
              </w:rPr>
              <w:t>0.31</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003082"/>
              </w:rPr>
              <w:t>Vested and expected to vest at</w:t>
            </w:r>
          </w:p>
        </w:tc>
        <w:tc>
          <w:tcPr>
            <w:tcW w:w="16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003082"/>
              </w:rPr>
              <w:t>20,719,325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December 31, 2019</w:t>
            </w:r>
          </w:p>
        </w:tc>
        <w:tc>
          <w:tcPr>
            <w:tcW w:w="1600" w:type="dxa"/>
            <w:vAlign w:val="bottom"/>
            <w:tcBorders>
              <w:bottom w:val="single" w:sz="8" w:color="3D5588"/>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28,263,729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0.18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940" w:type="dxa"/>
            <w:vAlign w:val="bottom"/>
          </w:tcPr>
          <w:p>
            <w:pPr>
              <w:ind w:left="40"/>
              <w:spacing w:after="0"/>
              <w:rPr>
                <w:sz w:val="20"/>
                <w:szCs w:val="20"/>
                <w:color w:val="auto"/>
              </w:rPr>
            </w:pPr>
            <w:r>
              <w:rPr>
                <w:rFonts w:ascii="Arial" w:cs="Arial" w:eastAsia="Arial" w:hAnsi="Arial"/>
                <w:sz w:val="18"/>
                <w:szCs w:val="18"/>
                <w:color w:val="003082"/>
              </w:rPr>
              <w:t>Exercisable at December 31, 2019</w:t>
            </w:r>
          </w:p>
        </w:tc>
        <w:tc>
          <w:tcPr>
            <w:tcW w:w="1600" w:type="dxa"/>
            <w:vAlign w:val="bottom"/>
            <w:tcBorders>
              <w:bottom w:val="single" w:sz="8" w:color="3D5588"/>
            </w:tcBorders>
          </w:tcPr>
          <w:p>
            <w:pPr>
              <w:jc w:val="right"/>
              <w:ind w:right="52"/>
              <w:spacing w:after="0"/>
              <w:rPr>
                <w:sz w:val="20"/>
                <w:szCs w:val="20"/>
                <w:color w:val="auto"/>
              </w:rPr>
            </w:pPr>
            <w:r>
              <w:rPr>
                <w:rFonts w:ascii="Arial" w:cs="Arial" w:eastAsia="Arial" w:hAnsi="Arial"/>
                <w:sz w:val="18"/>
                <w:szCs w:val="18"/>
                <w:color w:val="003082"/>
              </w:rPr>
              <w:t>20,719,325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3082"/>
              </w:rPr>
              <w:t>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003082"/>
              </w:rPr>
              <w:t>28,263,729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0.18</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340"/>
              <w:spacing w:after="0"/>
              <w:rPr>
                <w:sz w:val="20"/>
                <w:szCs w:val="20"/>
                <w:color w:val="auto"/>
              </w:rPr>
            </w:pPr>
            <w:r>
              <w:rPr>
                <w:rFonts w:ascii="Arial" w:cs="Arial" w:eastAsia="Arial" w:hAnsi="Arial"/>
                <w:sz w:val="18"/>
                <w:szCs w:val="18"/>
                <w:i w:val="1"/>
                <w:iCs w:val="1"/>
                <w:color w:val="003082"/>
                <w:w w:val="98"/>
              </w:rPr>
              <w:t>Liability Classified Share Options</w:t>
            </w:r>
          </w:p>
        </w:tc>
        <w:tc>
          <w:tcPr>
            <w:tcW w:w="16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03082"/>
                <w:w w:val="91"/>
              </w:rPr>
              <w:t>Weighted Average</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003082"/>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003082"/>
                <w:w w:val="91"/>
              </w:rPr>
              <w:t>Weighted Average</w:t>
            </w: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003082"/>
                <w:w w:val="94"/>
              </w:rPr>
              <w:t>Aggregate Intrinsic</w:t>
            </w: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003082"/>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3"/>
              </w:rPr>
              <w:t>Number of 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5"/>
              </w:rPr>
              <w:t>Remaining Contractual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003082"/>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3D5588"/>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400" w:type="dxa"/>
            <w:vAlign w:val="bottom"/>
            <w:tcBorders>
              <w:bottom w:val="single" w:sz="8" w:color="3D5588"/>
            </w:tcBorders>
          </w:tcPr>
          <w:p>
            <w:pPr>
              <w:jc w:val="center"/>
              <w:ind w:right="74"/>
              <w:spacing w:after="0"/>
              <w:rPr>
                <w:sz w:val="20"/>
                <w:szCs w:val="20"/>
                <w:color w:val="auto"/>
              </w:rPr>
            </w:pPr>
            <w:r>
              <w:rPr>
                <w:rFonts w:ascii="Arial" w:cs="Arial" w:eastAsia="Arial" w:hAnsi="Arial"/>
                <w:sz w:val="14"/>
                <w:szCs w:val="14"/>
                <w:b w:val="1"/>
                <w:bCs w:val="1"/>
                <w:color w:val="003082"/>
                <w:w w:val="91"/>
              </w:rPr>
              <w:t>Exercise Price</w:t>
            </w:r>
          </w:p>
        </w:tc>
        <w:tc>
          <w:tcPr>
            <w:tcW w:w="100" w:type="dxa"/>
            <w:vAlign w:val="bottom"/>
          </w:tcPr>
          <w:p>
            <w:pPr>
              <w:spacing w:after="0"/>
              <w:rPr>
                <w:sz w:val="16"/>
                <w:szCs w:val="16"/>
                <w:color w:val="auto"/>
              </w:rPr>
            </w:pPr>
          </w:p>
        </w:tc>
        <w:tc>
          <w:tcPr>
            <w:tcW w:w="158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rPr>
              <w:t>Life</w:t>
            </w:r>
          </w:p>
        </w:tc>
        <w:tc>
          <w:tcPr>
            <w:tcW w:w="100" w:type="dxa"/>
            <w:vAlign w:val="bottom"/>
          </w:tcPr>
          <w:p>
            <w:pPr>
              <w:spacing w:after="0"/>
              <w:rPr>
                <w:sz w:val="16"/>
                <w:szCs w:val="16"/>
                <w:color w:val="auto"/>
              </w:rPr>
            </w:pPr>
          </w:p>
        </w:tc>
        <w:tc>
          <w:tcPr>
            <w:tcW w:w="160" w:type="dxa"/>
            <w:vAlign w:val="bottom"/>
            <w:tcBorders>
              <w:bottom w:val="single" w:sz="8" w:color="3D5588"/>
            </w:tcBorders>
          </w:tcPr>
          <w:p>
            <w:pPr>
              <w:spacing w:after="0"/>
              <w:rPr>
                <w:sz w:val="16"/>
                <w:szCs w:val="16"/>
                <w:color w:val="auto"/>
              </w:rPr>
            </w:pPr>
          </w:p>
        </w:tc>
        <w:tc>
          <w:tcPr>
            <w:tcW w:w="1400" w:type="dxa"/>
            <w:vAlign w:val="bottom"/>
            <w:tcBorders>
              <w:bottom w:val="single" w:sz="8" w:color="3D5588"/>
            </w:tcBorders>
          </w:tcPr>
          <w:p>
            <w:pPr>
              <w:jc w:val="center"/>
              <w:ind w:right="76"/>
              <w:spacing w:after="0"/>
              <w:rPr>
                <w:sz w:val="20"/>
                <w:szCs w:val="20"/>
                <w:color w:val="auto"/>
              </w:rPr>
            </w:pPr>
            <w:r>
              <w:rPr>
                <w:rFonts w:ascii="Arial" w:cs="Arial" w:eastAsia="Arial" w:hAnsi="Arial"/>
                <w:sz w:val="14"/>
                <w:szCs w:val="14"/>
                <w:b w:val="1"/>
                <w:bCs w:val="1"/>
                <w:color w:val="003082"/>
                <w:w w:val="96"/>
              </w:rPr>
              <w:t>Value</w:t>
            </w:r>
          </w:p>
        </w:tc>
        <w:tc>
          <w:tcPr>
            <w:tcW w:w="120" w:type="dxa"/>
            <w:vAlign w:val="bottom"/>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tcPr>
          <w:p>
            <w:pPr>
              <w:jc w:val="center"/>
              <w:ind w:right="178"/>
              <w:spacing w:after="0"/>
              <w:rPr>
                <w:sz w:val="20"/>
                <w:szCs w:val="20"/>
                <w:color w:val="auto"/>
              </w:rPr>
            </w:pPr>
            <w:r>
              <w:rPr>
                <w:rFonts w:ascii="Arial" w:cs="Arial" w:eastAsia="Arial" w:hAnsi="Arial"/>
                <w:sz w:val="14"/>
                <w:szCs w:val="14"/>
                <w:b w:val="1"/>
                <w:bCs w:val="1"/>
                <w:color w:val="003082"/>
                <w:w w:val="95"/>
              </w:rPr>
              <w:t>Fair Value</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003082"/>
                <w:w w:val="98"/>
              </w:rPr>
              <w:t>(US$)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003082"/>
                <w:w w:val="88"/>
              </w:rPr>
              <w:t>In Years</w:t>
            </w:r>
          </w:p>
        </w:tc>
        <w:tc>
          <w:tcPr>
            <w:tcW w:w="160" w:type="dxa"/>
            <w:vAlign w:val="bottom"/>
          </w:tcPr>
          <w:p>
            <w:pPr>
              <w:spacing w:after="0"/>
              <w:rPr>
                <w:sz w:val="22"/>
                <w:szCs w:val="22"/>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003082"/>
                <w:w w:val="98"/>
              </w:rPr>
              <w:t>(US$)</w:t>
            </w:r>
          </w:p>
        </w:tc>
        <w:tc>
          <w:tcPr>
            <w:tcW w:w="260" w:type="dxa"/>
            <w:vAlign w:val="bottom"/>
          </w:tcPr>
          <w:p>
            <w:pPr>
              <w:spacing w:after="0"/>
              <w:rPr>
                <w:sz w:val="22"/>
                <w:szCs w:val="22"/>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2018</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1,150,784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003082"/>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003082"/>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286,842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3082"/>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0.07</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Pr>
          <w:p>
            <w:pPr>
              <w:jc w:val="right"/>
              <w:ind w:right="52"/>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003082"/>
              </w:rPr>
              <w:t>Outstanding at December 31, 2018</w:t>
            </w:r>
          </w:p>
        </w:tc>
        <w:tc>
          <w:tcPr>
            <w:tcW w:w="1600" w:type="dxa"/>
            <w:vAlign w:val="bottom"/>
            <w:tcBorders>
              <w:top w:val="single" w:sz="8" w:color="3D5588"/>
            </w:tcBorders>
          </w:tcPr>
          <w:p>
            <w:pPr>
              <w:jc w:val="right"/>
              <w:ind w:right="52"/>
              <w:spacing w:after="0"/>
              <w:rPr>
                <w:sz w:val="20"/>
                <w:szCs w:val="20"/>
                <w:color w:val="auto"/>
              </w:rPr>
            </w:pPr>
            <w:r>
              <w:rPr>
                <w:rFonts w:ascii="Arial" w:cs="Arial" w:eastAsia="Arial" w:hAnsi="Arial"/>
                <w:sz w:val="18"/>
                <w:szCs w:val="18"/>
                <w:color w:val="003082"/>
              </w:rPr>
              <w:t>1,150,784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Pr>
          <w:p>
            <w:pPr>
              <w:spacing w:after="0"/>
              <w:rPr>
                <w:sz w:val="20"/>
                <w:szCs w:val="20"/>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003082"/>
              </w:rPr>
              <w:t>5.97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003082"/>
              </w:rPr>
              <w:t>689,258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0.07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Repurchased</w:t>
            </w:r>
          </w:p>
        </w:tc>
        <w:tc>
          <w:tcPr>
            <w:tcW w:w="1600" w:type="dxa"/>
            <w:vAlign w:val="bottom"/>
          </w:tcPr>
          <w:p>
            <w:pPr>
              <w:jc w:val="right"/>
              <w:spacing w:after="0"/>
              <w:rPr>
                <w:sz w:val="20"/>
                <w:szCs w:val="20"/>
                <w:color w:val="auto"/>
              </w:rPr>
            </w:pPr>
            <w:r>
              <w:rPr>
                <w:rFonts w:ascii="Arial" w:cs="Arial" w:eastAsia="Arial" w:hAnsi="Arial"/>
                <w:sz w:val="18"/>
                <w:szCs w:val="18"/>
                <w:color w:val="003082"/>
              </w:rPr>
              <w:t>(1,100,000)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Pr>
          <w:p>
            <w:pPr>
              <w:spacing w:after="0"/>
              <w:rPr>
                <w:sz w:val="21"/>
                <w:szCs w:val="21"/>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003082"/>
              </w:rPr>
              <w:t>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003082"/>
              </w:rPr>
              <w:t>818,845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0.07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w w:val="95"/>
              </w:rPr>
              <w:t>Reclassified to equity classified award</w:t>
            </w:r>
          </w:p>
        </w:tc>
        <w:tc>
          <w:tcPr>
            <w:tcW w:w="1600" w:type="dxa"/>
            <w:vAlign w:val="bottom"/>
          </w:tcPr>
          <w:p>
            <w:pPr>
              <w:jc w:val="right"/>
              <w:spacing w:after="0"/>
              <w:rPr>
                <w:sz w:val="20"/>
                <w:szCs w:val="20"/>
                <w:color w:val="auto"/>
              </w:rPr>
            </w:pPr>
            <w:r>
              <w:rPr>
                <w:rFonts w:ascii="Arial" w:cs="Arial" w:eastAsia="Arial" w:hAnsi="Arial"/>
                <w:sz w:val="18"/>
                <w:szCs w:val="18"/>
                <w:color w:val="003082"/>
              </w:rPr>
              <w:t>(50,784)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003082"/>
              </w:rPr>
              <w:t>0.10</w:t>
            </w:r>
          </w:p>
        </w:tc>
        <w:tc>
          <w:tcPr>
            <w:tcW w:w="100" w:type="dxa"/>
            <w:vAlign w:val="bottom"/>
          </w:tcPr>
          <w:p>
            <w:pPr>
              <w:spacing w:after="0"/>
              <w:rPr>
                <w:sz w:val="21"/>
                <w:szCs w:val="21"/>
                <w:color w:val="auto"/>
              </w:rPr>
            </w:pPr>
          </w:p>
        </w:tc>
        <w:tc>
          <w:tcPr>
            <w:tcW w:w="1580" w:type="dxa"/>
            <w:vAlign w:val="bottom"/>
          </w:tcPr>
          <w:p>
            <w:pPr>
              <w:jc w:val="right"/>
              <w:ind w:right="38"/>
              <w:spacing w:after="0"/>
              <w:rPr>
                <w:sz w:val="20"/>
                <w:szCs w:val="20"/>
                <w:color w:val="auto"/>
              </w:rPr>
            </w:pPr>
            <w:r>
              <w:rPr>
                <w:rFonts w:ascii="Arial" w:cs="Arial" w:eastAsia="Arial" w:hAnsi="Arial"/>
                <w:sz w:val="18"/>
                <w:szCs w:val="18"/>
                <w:color w:val="003082"/>
              </w:rPr>
              <w:t>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003082"/>
              </w:rPr>
              <w:t>37,804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003082"/>
              </w:rPr>
              <w:t>0.10</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December 31, 2019</w:t>
            </w:r>
          </w:p>
        </w:tc>
        <w:tc>
          <w:tcPr>
            <w:tcW w:w="1600" w:type="dxa"/>
            <w:vAlign w:val="bottom"/>
            <w:tcBorders>
              <w:bottom w:val="single" w:sz="8" w:color="3D5588"/>
            </w:tcBorders>
            <w:shd w:val="clear" w:color="auto" w:fill="CCEEFF"/>
          </w:tcPr>
          <w:p>
            <w:pPr>
              <w:jc w:val="right"/>
              <w:ind w:right="52"/>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aggregate intrinsic value is calculated as the difference between the exercise price of the options and the estimated fair value of the underlying shares of US$20,683,833 and US$51,303,638 at December 31, 2018 and 2019,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F-32</w:t>
      </w:r>
    </w:p>
    <w:p>
      <w:pPr>
        <w:sectPr>
          <w:pgSz w:w="11900" w:h="16838" w:orient="portrait"/>
          <w:cols w:equalWidth="0" w:num="1">
            <w:col w:w="11240"/>
          </w:cols>
          <w:pgMar w:left="320" w:top="553"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total fair value of share options vested during the years ended December 31, 2018 and 2019 was US$607,735 and US$2,275,531, respectively.</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003082"/>
        </w:rPr>
        <w:t>The shared-based compensation expenses in relation to the share option recognized for the years ended December 31, 2018 and 2019 were US$1,679,531 and US$3,138,152, respectively.</w:t>
      </w:r>
    </w:p>
    <w:p>
      <w:pPr>
        <w:spacing w:after="0" w:line="11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003082"/>
        </w:rPr>
        <w:t>As of December 31, 2018 and 2019, there were US$5,067,210 and US$7,157,467 of unrecognized share-based compensation expenses related to share options granted by the Company, which were expected to be recognized over a weighted-average vesting period of 1.8 and 1.4 years, respectively.</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The fair value of options granted under the Company’s Plans for the years ended December 31, 2018 and 2019 used the binomial option pricing model, with the assumptions (or ranges thereof) in the following table: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5160" w:type="dxa"/>
            <w:vAlign w:val="bottom"/>
            <w:tcBorders>
              <w:bottom w:val="single" w:sz="8" w:color="3D5588"/>
            </w:tcBorders>
            <w:gridSpan w:val="3"/>
          </w:tcPr>
          <w:p>
            <w:pPr>
              <w:jc w:val="right"/>
              <w:ind w:right="1672"/>
              <w:spacing w:after="0"/>
              <w:rPr>
                <w:sz w:val="20"/>
                <w:szCs w:val="20"/>
                <w:color w:val="auto"/>
              </w:rPr>
            </w:pPr>
            <w:r>
              <w:rPr>
                <w:rFonts w:ascii="Arial" w:cs="Arial" w:eastAsia="Arial" w:hAnsi="Arial"/>
                <w:sz w:val="14"/>
                <w:szCs w:val="14"/>
                <w:b w:val="1"/>
                <w:bCs w:val="1"/>
                <w:color w:val="003082"/>
              </w:rPr>
              <w:t>Year Ended December 31,</w:t>
            </w:r>
          </w:p>
        </w:tc>
      </w:tr>
      <w:tr>
        <w:trPr>
          <w:trHeight w:val="263"/>
        </w:trPr>
        <w:tc>
          <w:tcPr>
            <w:tcW w:w="6080" w:type="dxa"/>
            <w:vAlign w:val="bottom"/>
            <w:tcBorders>
              <w:bottom w:val="single" w:sz="8" w:color="CCEEFF"/>
            </w:tcBorders>
          </w:tcPr>
          <w:p>
            <w:pPr>
              <w:spacing w:after="0"/>
              <w:rPr>
                <w:sz w:val="22"/>
                <w:szCs w:val="22"/>
                <w:color w:val="auto"/>
              </w:rPr>
            </w:pPr>
          </w:p>
        </w:tc>
        <w:tc>
          <w:tcPr>
            <w:tcW w:w="2520" w:type="dxa"/>
            <w:vAlign w:val="bottom"/>
            <w:tcBorders>
              <w:bottom w:val="single" w:sz="8" w:color="3D5588"/>
            </w:tcBorders>
          </w:tcPr>
          <w:p>
            <w:pPr>
              <w:jc w:val="right"/>
              <w:ind w:right="1034"/>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3D5588"/>
            </w:tcBorders>
          </w:tcPr>
          <w:p>
            <w:pPr>
              <w:jc w:val="right"/>
              <w:ind w:right="1032"/>
              <w:spacing w:after="0"/>
              <w:rPr>
                <w:sz w:val="20"/>
                <w:szCs w:val="20"/>
                <w:color w:val="auto"/>
              </w:rPr>
            </w:pPr>
            <w:r>
              <w:rPr>
                <w:rFonts w:ascii="Arial" w:cs="Arial" w:eastAsia="Arial" w:hAnsi="Arial"/>
                <w:sz w:val="14"/>
                <w:szCs w:val="14"/>
                <w:b w:val="1"/>
                <w:bCs w:val="1"/>
                <w:color w:val="003082"/>
              </w:rPr>
              <w:t>2019</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Exercise price</w:t>
            </w:r>
          </w:p>
        </w:tc>
        <w:tc>
          <w:tcPr>
            <w:tcW w:w="2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003082"/>
              </w:rPr>
              <w:t>US$0.10- US$1.00</w:t>
            </w:r>
          </w:p>
        </w:tc>
        <w:tc>
          <w:tcPr>
            <w:tcW w:w="2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003082"/>
              </w:rPr>
              <w:t>US$0.10-US$0.50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003082"/>
              </w:rPr>
              <w:t>Fair value of the ordinary shares on the date of option grant</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003082"/>
              </w:rPr>
              <w:t>US$0.3493-US$0.6989</w:t>
            </w:r>
          </w:p>
        </w:tc>
        <w:tc>
          <w:tcPr>
            <w:tcW w:w="2520" w:type="dxa"/>
            <w:vAlign w:val="bottom"/>
          </w:tcPr>
          <w:p>
            <w:pPr>
              <w:jc w:val="right"/>
              <w:ind w:right="92"/>
              <w:spacing w:after="0"/>
              <w:rPr>
                <w:sz w:val="20"/>
                <w:szCs w:val="20"/>
                <w:color w:val="auto"/>
              </w:rPr>
            </w:pPr>
            <w:r>
              <w:rPr>
                <w:rFonts w:ascii="Arial" w:cs="Arial" w:eastAsia="Arial" w:hAnsi="Arial"/>
                <w:sz w:val="18"/>
                <w:szCs w:val="18"/>
                <w:color w:val="003082"/>
              </w:rPr>
              <w:t>US$0.6989-US$1.4751</w:t>
            </w:r>
          </w:p>
        </w:tc>
      </w:tr>
      <w:tr>
        <w:trPr>
          <w:trHeight w:val="27"/>
        </w:trPr>
        <w:tc>
          <w:tcPr>
            <w:tcW w:w="6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60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003082"/>
              </w:rPr>
              <w:t>Risk-free interest rate</w:t>
            </w:r>
            <w:r>
              <w:rPr>
                <w:rFonts w:ascii="Arial" w:cs="Arial" w:eastAsia="Arial" w:hAnsi="Arial"/>
                <w:sz w:val="25"/>
                <w:szCs w:val="25"/>
                <w:color w:val="003082"/>
                <w:vertAlign w:val="superscript"/>
              </w:rPr>
              <w:t>(1)</w:t>
            </w:r>
          </w:p>
        </w:tc>
        <w:tc>
          <w:tcPr>
            <w:tcW w:w="2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003082"/>
              </w:rPr>
              <w:t>2.54%-3.18%</w:t>
            </w:r>
          </w:p>
        </w:tc>
        <w:tc>
          <w:tcPr>
            <w:tcW w:w="12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003082"/>
              </w:rPr>
              <w:t>1.80%-2.83%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003082"/>
              </w:rPr>
              <w:t>Expected term (in years)</w:t>
            </w:r>
          </w:p>
        </w:tc>
        <w:tc>
          <w:tcPr>
            <w:tcW w:w="2520" w:type="dxa"/>
            <w:vAlign w:val="bottom"/>
          </w:tcPr>
          <w:p>
            <w:pPr>
              <w:jc w:val="right"/>
              <w:ind w:right="94"/>
              <w:spacing w:after="0"/>
              <w:rPr>
                <w:sz w:val="20"/>
                <w:szCs w:val="20"/>
                <w:color w:val="auto"/>
              </w:rPr>
            </w:pPr>
            <w:r>
              <w:rPr>
                <w:rFonts w:ascii="Arial" w:cs="Arial" w:eastAsia="Arial" w:hAnsi="Arial"/>
                <w:sz w:val="18"/>
                <w:szCs w:val="18"/>
                <w:color w:val="003082"/>
              </w:rPr>
              <w:t>10</w:t>
            </w:r>
          </w:p>
        </w:tc>
        <w:tc>
          <w:tcPr>
            <w:tcW w:w="120" w:type="dxa"/>
            <w:vAlign w:val="bottom"/>
          </w:tcPr>
          <w:p>
            <w:pPr>
              <w:spacing w:after="0"/>
              <w:rPr>
                <w:sz w:val="21"/>
                <w:szCs w:val="21"/>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003082"/>
              </w:rPr>
              <w:t>10</w:t>
            </w:r>
          </w:p>
        </w:tc>
      </w:tr>
      <w:tr>
        <w:trPr>
          <w:trHeight w:val="27"/>
        </w:trPr>
        <w:tc>
          <w:tcPr>
            <w:tcW w:w="6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60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003082"/>
              </w:rPr>
              <w:t>Expected dividend yield</w:t>
            </w:r>
            <w:r>
              <w:rPr>
                <w:rFonts w:ascii="Arial" w:cs="Arial" w:eastAsia="Arial" w:hAnsi="Arial"/>
                <w:sz w:val="25"/>
                <w:szCs w:val="25"/>
                <w:color w:val="003082"/>
                <w:vertAlign w:val="superscript"/>
              </w:rPr>
              <w:t>(2)</w:t>
            </w:r>
          </w:p>
        </w:tc>
        <w:tc>
          <w:tcPr>
            <w:tcW w:w="2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003082"/>
              </w:rPr>
              <w:t>0%</w:t>
            </w:r>
          </w:p>
        </w:tc>
        <w:tc>
          <w:tcPr>
            <w:tcW w:w="12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003082"/>
              </w:rPr>
              <w:t>0%</w:t>
            </w:r>
          </w:p>
        </w:tc>
      </w:tr>
      <w:tr>
        <w:trPr>
          <w:trHeight w:val="270"/>
        </w:trPr>
        <w:tc>
          <w:tcPr>
            <w:tcW w:w="6080" w:type="dxa"/>
            <w:vAlign w:val="bottom"/>
          </w:tcPr>
          <w:p>
            <w:pPr>
              <w:ind w:left="260"/>
              <w:spacing w:after="0" w:line="270" w:lineRule="exact"/>
              <w:rPr>
                <w:sz w:val="20"/>
                <w:szCs w:val="20"/>
                <w:color w:val="auto"/>
              </w:rPr>
            </w:pPr>
            <w:r>
              <w:rPr>
                <w:rFonts w:ascii="Arial" w:cs="Arial" w:eastAsia="Arial" w:hAnsi="Arial"/>
                <w:sz w:val="18"/>
                <w:szCs w:val="18"/>
                <w:color w:val="003082"/>
              </w:rPr>
              <w:t>Expected volatility</w:t>
            </w:r>
            <w:r>
              <w:rPr>
                <w:rFonts w:ascii="Arial" w:cs="Arial" w:eastAsia="Arial" w:hAnsi="Arial"/>
                <w:sz w:val="25"/>
                <w:szCs w:val="25"/>
                <w:color w:val="003082"/>
                <w:vertAlign w:val="superscript"/>
              </w:rPr>
              <w:t>(3)</w:t>
            </w:r>
          </w:p>
        </w:tc>
        <w:tc>
          <w:tcPr>
            <w:tcW w:w="2520" w:type="dxa"/>
            <w:vAlign w:val="bottom"/>
          </w:tcPr>
          <w:p>
            <w:pPr>
              <w:jc w:val="right"/>
              <w:ind w:right="94"/>
              <w:spacing w:after="0"/>
              <w:rPr>
                <w:sz w:val="20"/>
                <w:szCs w:val="20"/>
                <w:color w:val="auto"/>
              </w:rPr>
            </w:pPr>
            <w:r>
              <w:rPr>
                <w:rFonts w:ascii="Arial" w:cs="Arial" w:eastAsia="Arial" w:hAnsi="Arial"/>
                <w:sz w:val="18"/>
                <w:szCs w:val="18"/>
                <w:color w:val="003082"/>
              </w:rPr>
              <w:t>49.18%-50.36%</w:t>
            </w:r>
          </w:p>
        </w:tc>
        <w:tc>
          <w:tcPr>
            <w:tcW w:w="120" w:type="dxa"/>
            <w:vAlign w:val="bottom"/>
          </w:tcPr>
          <w:p>
            <w:pPr>
              <w:spacing w:after="0"/>
              <w:rPr>
                <w:sz w:val="23"/>
                <w:szCs w:val="23"/>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003082"/>
              </w:rPr>
              <w:t>47.54%-50.01%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Expected forfeiture rate (post-vesting)</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w:t>
            </w: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w:t>
            </w:r>
          </w:p>
        </w:tc>
      </w:tr>
      <w:tr>
        <w:trPr>
          <w:trHeight w:val="193"/>
        </w:trPr>
        <w:tc>
          <w:tcPr>
            <w:tcW w:w="6080" w:type="dxa"/>
            <w:vAlign w:val="bottom"/>
          </w:tcPr>
          <w:p>
            <w:pPr>
              <w:spacing w:after="0"/>
              <w:rPr>
                <w:sz w:val="20"/>
                <w:szCs w:val="20"/>
                <w:color w:val="auto"/>
              </w:rPr>
            </w:pPr>
            <w:r>
              <w:rPr>
                <w:rFonts w:ascii="Arial" w:cs="Arial" w:eastAsia="Arial" w:hAnsi="Arial"/>
                <w:sz w:val="16"/>
                <w:szCs w:val="16"/>
                <w:color w:val="003082"/>
              </w:rPr>
              <w:t>________________</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128"/>
        </w:numPr>
        <w:rPr>
          <w:rFonts w:ascii="Arial" w:cs="Arial" w:eastAsia="Arial" w:hAnsi="Arial"/>
          <w:sz w:val="16"/>
          <w:szCs w:val="16"/>
          <w:color w:val="003082"/>
        </w:rPr>
      </w:pPr>
      <w:r>
        <w:rPr>
          <w:rFonts w:ascii="Arial" w:cs="Arial" w:eastAsia="Arial" w:hAnsi="Arial"/>
          <w:sz w:val="16"/>
          <w:szCs w:val="16"/>
          <w:color w:val="003082"/>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128"/>
        </w:numPr>
        <w:rPr>
          <w:rFonts w:ascii="Arial" w:cs="Arial" w:eastAsia="Arial" w:hAnsi="Arial"/>
          <w:sz w:val="16"/>
          <w:szCs w:val="16"/>
          <w:color w:val="003082"/>
        </w:rPr>
      </w:pPr>
      <w:r>
        <w:rPr>
          <w:rFonts w:ascii="Arial" w:cs="Arial" w:eastAsia="Arial" w:hAnsi="Arial"/>
          <w:sz w:val="16"/>
          <w:szCs w:val="16"/>
          <w:color w:val="003082"/>
        </w:rPr>
        <w:t>The Company has no history or expectation of paying dividends on its ordinary shares.</w:t>
      </w:r>
    </w:p>
    <w:p>
      <w:pPr>
        <w:spacing w:after="0" w:line="5" w:lineRule="exact"/>
        <w:rPr>
          <w:rFonts w:ascii="Arial" w:cs="Arial" w:eastAsia="Arial" w:hAnsi="Arial"/>
          <w:sz w:val="16"/>
          <w:szCs w:val="16"/>
          <w:color w:val="003082"/>
        </w:rPr>
      </w:pPr>
    </w:p>
    <w:p>
      <w:pPr>
        <w:ind w:left="340" w:hanging="332"/>
        <w:spacing w:after="0"/>
        <w:tabs>
          <w:tab w:leader="none" w:pos="340" w:val="left"/>
        </w:tabs>
        <w:numPr>
          <w:ilvl w:val="0"/>
          <w:numId w:val="128"/>
        </w:numPr>
        <w:rPr>
          <w:rFonts w:ascii="Arial" w:cs="Arial" w:eastAsia="Arial" w:hAnsi="Arial"/>
          <w:sz w:val="16"/>
          <w:szCs w:val="16"/>
          <w:color w:val="003082"/>
        </w:rPr>
      </w:pPr>
      <w:r>
        <w:rPr>
          <w:rFonts w:ascii="Arial" w:cs="Arial" w:eastAsia="Arial" w:hAnsi="Arial"/>
          <w:sz w:val="16"/>
          <w:szCs w:val="16"/>
          <w:color w:val="003082"/>
        </w:rPr>
        <w:t>Expected volatility is estimated based on the average of historical volatilities of the comparable companies in the same industry as at the valuation dates.</w:t>
      </w:r>
    </w:p>
    <w:p>
      <w:pPr>
        <w:spacing w:after="0" w:line="256" w:lineRule="exact"/>
        <w:rPr>
          <w:rFonts w:ascii="Arial" w:cs="Arial" w:eastAsia="Arial" w:hAnsi="Arial"/>
          <w:sz w:val="16"/>
          <w:szCs w:val="16"/>
          <w:color w:val="003082"/>
        </w:rPr>
      </w:pPr>
    </w:p>
    <w:p>
      <w:pPr>
        <w:ind w:left="340" w:right="9100"/>
        <w:spacing w:after="0" w:line="563" w:lineRule="auto"/>
        <w:rPr>
          <w:rFonts w:ascii="Arial" w:cs="Arial" w:eastAsia="Arial" w:hAnsi="Arial"/>
          <w:sz w:val="16"/>
          <w:szCs w:val="16"/>
          <w:color w:val="003082"/>
        </w:rPr>
      </w:pPr>
      <w:r>
        <w:rPr>
          <w:rFonts w:ascii="Arial" w:cs="Arial" w:eastAsia="Arial" w:hAnsi="Arial"/>
          <w:sz w:val="16"/>
          <w:szCs w:val="16"/>
          <w:b w:val="1"/>
          <w:bCs w:val="1"/>
          <w:i w:val="1"/>
          <w:iCs w:val="1"/>
          <w:color w:val="003082"/>
        </w:rPr>
        <w:t xml:space="preserve">Restricted Shares </w:t>
      </w:r>
      <w:r>
        <w:rPr>
          <w:rFonts w:ascii="Arial" w:cs="Arial" w:eastAsia="Arial" w:hAnsi="Arial"/>
          <w:sz w:val="16"/>
          <w:szCs w:val="16"/>
          <w:i w:val="1"/>
          <w:iCs w:val="1"/>
          <w:color w:val="003082"/>
        </w:rPr>
        <w:t>Granted by the Company</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instalments commencing from the first anniversary of the December 16, 2013, provided that in each case that the holder remains as an employee on a continuing full time basis of any Group entity as of the date of such respective release.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Ten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F-33</w:t>
      </w:r>
    </w:p>
    <w:p>
      <w:pPr>
        <w:sectPr>
          <w:pgSz w:w="11900" w:h="16838" w:orient="portrait"/>
          <w:cols w:equalWidth="0" w:num="1">
            <w:col w:w="11240"/>
          </w:cols>
          <w:pgMar w:left="320" w:top="553" w:right="3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connection with the Historical Reorganization and the Corporate Reorganization, the above mentioned restricted shares were swapped to Agora IO, Inc. in December 2014, and swapped back to the Company in January 2020. There were no changes to the terms and conditions of the restricted shares arrangement and hence there was no accounting impact.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In April 2019, the Company repurchased 100,000 restricted shares subject to repurchase obligation but already vested by then from the management personnel for a total consideration of US$143,288.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 The Company recognized an additional compensation expense of US$58,849 for the excess amount of repurchase price over fair value of liability-classified awards on the repurchase date for the year ended December 31, 2019.</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summarizes the restricted shares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3082"/>
        </w:rPr>
        <w:t>Equity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003082"/>
              </w:rPr>
              <w:t>Numbers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b w:val="1"/>
                <w:bCs w:val="1"/>
                <w:color w:val="003082"/>
                <w:w w:val="93"/>
              </w:rPr>
              <w:t>Weighted-average Grant</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0" w:type="dxa"/>
            <w:vAlign w:val="bottom"/>
            <w:tcBorders>
              <w:bottom w:val="single" w:sz="8" w:color="3D5588"/>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tcPr>
          <w:p>
            <w:pPr>
              <w:jc w:val="center"/>
              <w:ind w:right="55"/>
              <w:spacing w:after="0"/>
              <w:rPr>
                <w:sz w:val="20"/>
                <w:szCs w:val="20"/>
                <w:color w:val="auto"/>
              </w:rPr>
            </w:pPr>
            <w:r>
              <w:rPr>
                <w:rFonts w:ascii="Arial" w:cs="Arial" w:eastAsia="Arial" w:hAnsi="Arial"/>
                <w:sz w:val="14"/>
                <w:szCs w:val="14"/>
                <w:b w:val="1"/>
                <w:bCs w:val="1"/>
                <w:color w:val="003082"/>
                <w:w w:val="94"/>
              </w:rPr>
              <w:t>Date Fair Value</w:t>
            </w:r>
          </w:p>
        </w:tc>
        <w:tc>
          <w:tcPr>
            <w:tcW w:w="0" w:type="dxa"/>
            <w:vAlign w:val="bottom"/>
          </w:tcPr>
          <w:p>
            <w:pPr>
              <w:spacing w:after="0"/>
              <w:rPr>
                <w:sz w:val="1"/>
                <w:szCs w:val="1"/>
                <w:color w:val="auto"/>
              </w:rPr>
            </w:pPr>
          </w:p>
        </w:tc>
      </w:tr>
      <w:tr>
        <w:trPr>
          <w:trHeight w:val="263"/>
        </w:trPr>
        <w:tc>
          <w:tcPr>
            <w:tcW w:w="46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2018</w:t>
            </w:r>
          </w:p>
        </w:tc>
        <w:tc>
          <w:tcPr>
            <w:tcW w:w="4680" w:type="dxa"/>
            <w:vAlign w:val="bottom"/>
            <w:tcBorders>
              <w:bottom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003082"/>
              </w:rPr>
              <w:t>16,121,181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003082"/>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003082"/>
              </w:rPr>
              <w:t>Granted</w:t>
            </w:r>
          </w:p>
        </w:tc>
        <w:tc>
          <w:tcPr>
            <w:tcW w:w="2880" w:type="dxa"/>
            <w:vAlign w:val="bottom"/>
          </w:tcPr>
          <w:p>
            <w:pPr>
              <w:spacing w:after="0"/>
              <w:rPr>
                <w:sz w:val="21"/>
                <w:szCs w:val="21"/>
                <w:color w:val="auto"/>
              </w:rPr>
            </w:pPr>
          </w:p>
        </w:tc>
        <w:tc>
          <w:tcPr>
            <w:tcW w:w="1800" w:type="dxa"/>
            <w:vAlign w:val="bottom"/>
          </w:tcPr>
          <w:p>
            <w:pPr>
              <w:jc w:val="right"/>
              <w:ind w:right="33"/>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Vested</w:t>
            </w:r>
          </w:p>
        </w:tc>
        <w:tc>
          <w:tcPr>
            <w:tcW w:w="28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(6,670,833)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36"/>
        </w:trPr>
        <w:tc>
          <w:tcPr>
            <w:tcW w:w="4660" w:type="dxa"/>
            <w:vAlign w:val="bottom"/>
          </w:tcPr>
          <w:p>
            <w:pPr>
              <w:ind w:left="40"/>
              <w:spacing w:after="0"/>
              <w:rPr>
                <w:sz w:val="20"/>
                <w:szCs w:val="20"/>
                <w:color w:val="auto"/>
              </w:rPr>
            </w:pPr>
            <w:r>
              <w:rPr>
                <w:rFonts w:ascii="Arial" w:cs="Arial" w:eastAsia="Arial" w:hAnsi="Arial"/>
                <w:sz w:val="18"/>
                <w:szCs w:val="18"/>
                <w:color w:val="003082"/>
              </w:rPr>
              <w:t>Outstanding at December 31, 2018</w:t>
            </w:r>
          </w:p>
        </w:tc>
        <w:tc>
          <w:tcPr>
            <w:tcW w:w="2880" w:type="dxa"/>
            <w:vAlign w:val="bottom"/>
          </w:tcPr>
          <w:p>
            <w:pPr>
              <w:spacing w:after="0"/>
              <w:rPr>
                <w:sz w:val="20"/>
                <w:szCs w:val="20"/>
                <w:color w:val="auto"/>
              </w:rPr>
            </w:pPr>
          </w:p>
        </w:tc>
        <w:tc>
          <w:tcPr>
            <w:tcW w:w="1800" w:type="dxa"/>
            <w:vAlign w:val="bottom"/>
            <w:tcBorders>
              <w:top w:val="single" w:sz="8" w:color="3D5588"/>
            </w:tcBorders>
          </w:tcPr>
          <w:p>
            <w:pPr>
              <w:jc w:val="right"/>
              <w:ind w:right="33"/>
              <w:spacing w:after="0"/>
              <w:rPr>
                <w:sz w:val="20"/>
                <w:szCs w:val="20"/>
                <w:color w:val="auto"/>
              </w:rPr>
            </w:pPr>
            <w:r>
              <w:rPr>
                <w:rFonts w:ascii="Arial" w:cs="Arial" w:eastAsia="Arial" w:hAnsi="Arial"/>
                <w:sz w:val="18"/>
                <w:szCs w:val="18"/>
                <w:color w:val="003082"/>
              </w:rPr>
              <w:t>9,450,348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Granted</w:t>
            </w:r>
          </w:p>
        </w:tc>
        <w:tc>
          <w:tcPr>
            <w:tcW w:w="28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003082"/>
              </w:rPr>
              <w:t>Reclassified from liability classified restricted shares</w:t>
            </w:r>
          </w:p>
        </w:tc>
        <w:tc>
          <w:tcPr>
            <w:tcW w:w="4680" w:type="dxa"/>
            <w:vAlign w:val="bottom"/>
            <w:gridSpan w:val="2"/>
          </w:tcPr>
          <w:p>
            <w:pPr>
              <w:jc w:val="right"/>
              <w:ind w:right="33"/>
              <w:spacing w:after="0"/>
              <w:rPr>
                <w:sz w:val="20"/>
                <w:szCs w:val="20"/>
                <w:color w:val="auto"/>
              </w:rPr>
            </w:pPr>
            <w:r>
              <w:rPr>
                <w:rFonts w:ascii="Arial" w:cs="Arial" w:eastAsia="Arial" w:hAnsi="Arial"/>
                <w:sz w:val="18"/>
                <w:szCs w:val="18"/>
                <w:color w:val="003082"/>
              </w:rPr>
              <w:t>26,042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Vested</w:t>
            </w:r>
          </w:p>
        </w:tc>
        <w:tc>
          <w:tcPr>
            <w:tcW w:w="28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(6,670,833)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003082"/>
              </w:rPr>
              <w:t>Outstanding at December 31, 2019</w:t>
            </w:r>
          </w:p>
        </w:tc>
        <w:tc>
          <w:tcPr>
            <w:tcW w:w="2880" w:type="dxa"/>
            <w:vAlign w:val="bottom"/>
          </w:tcPr>
          <w:p>
            <w:pPr>
              <w:spacing w:after="0"/>
              <w:rPr>
                <w:sz w:val="22"/>
                <w:szCs w:val="22"/>
                <w:color w:val="auto"/>
              </w:rPr>
            </w:pPr>
          </w:p>
        </w:tc>
        <w:tc>
          <w:tcPr>
            <w:tcW w:w="1800" w:type="dxa"/>
            <w:vAlign w:val="bottom"/>
            <w:tcBorders>
              <w:top w:val="single" w:sz="8" w:color="3D5588"/>
              <w:bottom w:val="single" w:sz="8" w:color="3D5588"/>
            </w:tcBorders>
          </w:tcPr>
          <w:p>
            <w:pPr>
              <w:jc w:val="right"/>
              <w:ind w:right="33"/>
              <w:spacing w:after="0"/>
              <w:rPr>
                <w:sz w:val="20"/>
                <w:szCs w:val="20"/>
                <w:color w:val="auto"/>
              </w:rPr>
            </w:pPr>
            <w:r>
              <w:rPr>
                <w:rFonts w:ascii="Arial" w:cs="Arial" w:eastAsia="Arial" w:hAnsi="Arial"/>
                <w:sz w:val="18"/>
                <w:szCs w:val="18"/>
                <w:color w:val="003082"/>
              </w:rPr>
              <w:t>2,805,557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660" w:type="dxa"/>
            <w:vAlign w:val="bottom"/>
          </w:tcPr>
          <w:p>
            <w:pPr>
              <w:spacing w:after="0"/>
              <w:rPr>
                <w:sz w:val="24"/>
                <w:szCs w:val="24"/>
                <w:color w:val="auto"/>
              </w:rPr>
            </w:pPr>
          </w:p>
        </w:tc>
        <w:tc>
          <w:tcPr>
            <w:tcW w:w="4680" w:type="dxa"/>
            <w:vAlign w:val="bottom"/>
            <w:gridSpan w:val="2"/>
          </w:tcPr>
          <w:p>
            <w:pPr>
              <w:jc w:val="right"/>
              <w:ind w:right="3453"/>
              <w:spacing w:after="0"/>
              <w:rPr>
                <w:sz w:val="20"/>
                <w:szCs w:val="20"/>
                <w:color w:val="auto"/>
              </w:rPr>
            </w:pPr>
            <w:r>
              <w:rPr>
                <w:rFonts w:ascii="Arial" w:cs="Arial" w:eastAsia="Arial" w:hAnsi="Arial"/>
                <w:sz w:val="18"/>
                <w:szCs w:val="18"/>
                <w:color w:val="003082"/>
              </w:rPr>
              <w:t>F-34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3082"/>
        </w:rPr>
        <w:t>Liability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003082"/>
              </w:rPr>
              <w:t>Numbers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b w:val="1"/>
                <w:bCs w:val="1"/>
                <w:color w:val="003082"/>
                <w:w w:val="93"/>
              </w:rPr>
              <w:t>Weighted-average Grant</w:t>
            </w:r>
          </w:p>
        </w:tc>
        <w:tc>
          <w:tcPr>
            <w:tcW w:w="0" w:type="dxa"/>
            <w:vAlign w:val="bottom"/>
          </w:tcPr>
          <w:p>
            <w:pPr>
              <w:spacing w:after="0"/>
              <w:rPr>
                <w:sz w:val="1"/>
                <w:szCs w:val="1"/>
                <w:color w:val="auto"/>
              </w:rPr>
            </w:pPr>
          </w:p>
        </w:tc>
      </w:tr>
      <w:tr>
        <w:trPr>
          <w:trHeight w:val="192"/>
        </w:trPr>
        <w:tc>
          <w:tcPr>
            <w:tcW w:w="7540" w:type="dxa"/>
            <w:vAlign w:val="bottom"/>
          </w:tcPr>
          <w:p>
            <w:pPr>
              <w:spacing w:after="0"/>
              <w:rPr>
                <w:sz w:val="16"/>
                <w:szCs w:val="16"/>
                <w:color w:val="auto"/>
              </w:rPr>
            </w:pPr>
          </w:p>
        </w:tc>
        <w:tc>
          <w:tcPr>
            <w:tcW w:w="1800" w:type="dxa"/>
            <w:vAlign w:val="bottom"/>
            <w:tcBorders>
              <w:bottom w:val="single" w:sz="8" w:color="3D5588"/>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tcPr>
          <w:p>
            <w:pPr>
              <w:jc w:val="center"/>
              <w:ind w:right="55"/>
              <w:spacing w:after="0"/>
              <w:rPr>
                <w:sz w:val="20"/>
                <w:szCs w:val="20"/>
                <w:color w:val="auto"/>
              </w:rPr>
            </w:pPr>
            <w:r>
              <w:rPr>
                <w:rFonts w:ascii="Arial" w:cs="Arial" w:eastAsia="Arial" w:hAnsi="Arial"/>
                <w:sz w:val="14"/>
                <w:szCs w:val="14"/>
                <w:b w:val="1"/>
                <w:bCs w:val="1"/>
                <w:color w:val="003082"/>
                <w:w w:val="94"/>
              </w:rPr>
              <w:t>Date Fair Value</w:t>
            </w:r>
          </w:p>
        </w:tc>
        <w:tc>
          <w:tcPr>
            <w:tcW w:w="0" w:type="dxa"/>
            <w:vAlign w:val="bottom"/>
          </w:tcPr>
          <w:p>
            <w:pPr>
              <w:spacing w:after="0"/>
              <w:rPr>
                <w:sz w:val="1"/>
                <w:szCs w:val="1"/>
                <w:color w:val="auto"/>
              </w:rPr>
            </w:pPr>
          </w:p>
        </w:tc>
      </w:tr>
      <w:tr>
        <w:trPr>
          <w:trHeight w:val="264"/>
        </w:trPr>
        <w:tc>
          <w:tcPr>
            <w:tcW w:w="7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2018</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151,042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003082"/>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003082"/>
              </w:rPr>
              <w:t>Granted</w:t>
            </w:r>
          </w:p>
        </w:tc>
        <w:tc>
          <w:tcPr>
            <w:tcW w:w="1800" w:type="dxa"/>
            <w:vAlign w:val="bottom"/>
          </w:tcPr>
          <w:p>
            <w:pPr>
              <w:jc w:val="right"/>
              <w:ind w:right="32"/>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(62,500)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003082"/>
              </w:rPr>
              <w:t>Outstanding at December 31, 2018</w:t>
            </w:r>
          </w:p>
        </w:tc>
        <w:tc>
          <w:tcPr>
            <w:tcW w:w="1800" w:type="dxa"/>
            <w:vAlign w:val="bottom"/>
            <w:tcBorders>
              <w:top w:val="single" w:sz="8" w:color="3D5588"/>
            </w:tcBorders>
          </w:tcPr>
          <w:p>
            <w:pPr>
              <w:jc w:val="right"/>
              <w:ind w:right="32"/>
              <w:spacing w:after="0"/>
              <w:rPr>
                <w:sz w:val="20"/>
                <w:szCs w:val="20"/>
                <w:color w:val="auto"/>
              </w:rPr>
            </w:pPr>
            <w:r>
              <w:rPr>
                <w:rFonts w:ascii="Arial" w:cs="Arial" w:eastAsia="Arial" w:hAnsi="Arial"/>
                <w:sz w:val="18"/>
                <w:szCs w:val="18"/>
                <w:color w:val="003082"/>
              </w:rPr>
              <w:t>88,542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Granted</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003082"/>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003082"/>
              </w:rPr>
              <w:t>Vested</w:t>
            </w:r>
          </w:p>
        </w:tc>
        <w:tc>
          <w:tcPr>
            <w:tcW w:w="1800" w:type="dxa"/>
            <w:vAlign w:val="bottom"/>
          </w:tcPr>
          <w:p>
            <w:pPr>
              <w:jc w:val="right"/>
              <w:spacing w:after="0"/>
              <w:rPr>
                <w:sz w:val="20"/>
                <w:szCs w:val="20"/>
                <w:color w:val="auto"/>
              </w:rPr>
            </w:pPr>
            <w:r>
              <w:rPr>
                <w:rFonts w:ascii="Arial" w:cs="Arial" w:eastAsia="Arial" w:hAnsi="Arial"/>
                <w:sz w:val="18"/>
                <w:szCs w:val="18"/>
                <w:color w:val="003082"/>
              </w:rPr>
              <w:t>(62,500)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Reclassified to equity classified restricted shares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(26,042)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003082"/>
              </w:rPr>
              <w:t>Outstanding at December 31, 2019</w:t>
            </w:r>
          </w:p>
        </w:tc>
        <w:tc>
          <w:tcPr>
            <w:tcW w:w="1800" w:type="dxa"/>
            <w:vAlign w:val="bottom"/>
            <w:tcBorders>
              <w:top w:val="single" w:sz="8" w:color="3D5588"/>
              <w:bottom w:val="single" w:sz="8" w:color="3D5588"/>
            </w:tcBorders>
          </w:tcPr>
          <w:p>
            <w:pPr>
              <w:jc w:val="right"/>
              <w:ind w:right="32"/>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shared-based compensation expenses in relation to the restricted shares granted by the Company recognized for the years ended December 31, 2018 and 2019 were US$327,682 and US$323,374, respectively.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As of December 31, 2018 and 2019, there were US$267,142 and US$76,874 of unrecognized shared-based compensation expenses related to restricted shares, which is expected to be recognized over a weighted-average period of 1.4 and 0.4 years,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Granted by the Founder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shared-based compensation expenses in relation to the restricted shares granted by the Founder recognized for the years ended December 31, 2018 and 2019 were US$843,139 and US$790,643,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12. Employee Benefits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full-time employees of the Company’s subsidiaries and the VIE that are incorporated in the PRC are entitled to staff welfare benefits including medical insurance, basic pensions, unemployment insurance, work injury 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income (loss). The total amounts charged to the consolidated statements of comprehensive income (loss) for such employee benefits amounted to US$3,003,978 and US$4,603,077 for the years ended December 31, 2018 and 2019, respectively. The PRC government is responsible for the welfare and medical benefits and ultimate pension liability to these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13. Income Taxes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Cayman Islands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Under the current laws of the Cayman Islands, the Company is not subject to tax on income or capital gain. Additionally, the Cayman Islands does not impose a withholding tax on payments of dividends to shareholders.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F-35</w:t>
      </w:r>
    </w:p>
    <w:p>
      <w:pPr>
        <w:sectPr>
          <w:pgSz w:w="11900" w:h="16838" w:orient="portrait"/>
          <w:cols w:equalWidth="0" w:num="1">
            <w:col w:w="11240"/>
          </w:cols>
          <w:pgMar w:left="320" w:top="553" w:right="3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Hong Kong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Company’s subsidiary in Hong Kong is subject to Hong Kong Profits Tax on the taxable income as reported in the statutory financial statements adjusted in accordance with relevant Hong Kong tax laws. The applicable tax rate is 16.5% in Hong Kong. Additionally, payments of dividends by the subsidiaries incorporated in Hong Kong to the Company are not subject to any Hong Kong withholding tax.</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PRC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March 16, 2007, the National People’s Congress of PRC enacted the Enterprise Income Tax Law (the “EIT Law”), under which foreign invested enterprises (“FIEs”) and domestic companies would be subject to enterprise income tax (“EIT ”) at a uniform rate of 25%.</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is incorporated, does not have such a tax treaty with China. According to the Arrangement between the Mainland of China and the Hong Kong Special Administrative Region for the Avoidance of Double Taxation and the Prevention of Fiscal Evasion with respect to Taxes on Income in August 2006, dividends paid by a FIE in China to its immediate holding company in Hong Kong will be subject to withholding tax at a rate of no more than 5% if the immediate holding company in Hong Kong owns directly at least 25% of the shares of the FIE and could be recognized as a beneficial owner of the dividend from a PRC tax perspective.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WFOE obtained a software company certificate in 2018. Pursuant to such certificate, the WFOE qualifies for a tax holiday during which it is entitled to an exemption from EIT for two years commencing from its first profit-making year of operation and a 50% reduction of EIT for the following three years. The WFOE qualifies for an exemption from EIT in 2018 and a 50% EIT reduction in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United States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in 2018 and 2019</w:t>
      </w:r>
      <w:r>
        <w:rPr>
          <w:rFonts w:ascii="Arial" w:cs="Arial" w:eastAsia="Arial" w:hAnsi="Arial"/>
          <w:sz w:val="18"/>
          <w:szCs w:val="18"/>
          <w:b w:val="1"/>
          <w:bCs w:val="1"/>
          <w:i w:val="1"/>
          <w:iCs w:val="1"/>
          <w:color w:val="003082"/>
        </w:rPr>
        <w:t>.</w:t>
      </w:r>
    </w:p>
    <w:p>
      <w:pPr>
        <w:spacing w:after="0" w:line="13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003082"/>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to 21%;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w:t>
      </w:r>
    </w:p>
    <w:p>
      <w:pPr>
        <w:spacing w:after="0" w:line="4" w:lineRule="exact"/>
        <w:rPr>
          <w:sz w:val="20"/>
          <w:szCs w:val="20"/>
          <w:color w:val="auto"/>
        </w:rPr>
      </w:pPr>
    </w:p>
    <w:p>
      <w:pPr>
        <w:jc w:val="both"/>
        <w:ind w:firstLine="8"/>
        <w:spacing w:after="0" w:line="255" w:lineRule="auto"/>
        <w:tabs>
          <w:tab w:leader="none" w:pos="263" w:val="left"/>
        </w:tabs>
        <w:numPr>
          <w:ilvl w:val="0"/>
          <w:numId w:val="129"/>
        </w:numPr>
        <w:rPr>
          <w:rFonts w:ascii="Arial" w:cs="Arial" w:eastAsia="Arial" w:hAnsi="Arial"/>
          <w:sz w:val="18"/>
          <w:szCs w:val="18"/>
          <w:color w:val="003082"/>
        </w:rPr>
      </w:pPr>
      <w:r>
        <w:rPr>
          <w:rFonts w:ascii="Arial" w:cs="Arial" w:eastAsia="Arial" w:hAnsi="Arial"/>
          <w:sz w:val="18"/>
          <w:szCs w:val="18"/>
          <w:color w:val="003082"/>
        </w:rPr>
        <w:t>changing rules related to uses and limitations of net operating loss carry-forwards created in tax years beginning after December 31, 2017. See the tax loss carry-forwards disclosure below for the impact of the Tax Act on the Group. In addition, the California corporate franchise tax remained the same after the enactment of the Tax Act.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F-36</w:t>
      </w:r>
    </w:p>
    <w:p>
      <w:pPr>
        <w:sectPr>
          <w:pgSz w:w="11900" w:h="16838" w:orient="portrait"/>
          <w:cols w:equalWidth="0" w:num="1">
            <w:col w:w="11240"/>
          </w:cols>
          <w:pgMar w:left="320" w:top="553"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003082"/>
        </w:rPr>
        <w:t>As the Group incurred income tax expense mainly from PRC tax jurisdictions, the following information is based mainly on PRC income taxes.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Pre-tax Income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presents the composition of pre-tax income (loss) for the years ended December 31, 2018 and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right"/>
              <w:ind w:right="735"/>
              <w:spacing w:after="0"/>
              <w:rPr>
                <w:sz w:val="20"/>
                <w:szCs w:val="20"/>
                <w:color w:val="auto"/>
              </w:rPr>
            </w:pPr>
            <w:r>
              <w:rPr>
                <w:rFonts w:ascii="Arial" w:cs="Arial" w:eastAsia="Arial" w:hAnsi="Arial"/>
                <w:sz w:val="14"/>
                <w:szCs w:val="14"/>
                <w:b w:val="1"/>
                <w:bCs w:val="1"/>
                <w:color w:val="003082"/>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9"/>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4"/>
                <w:szCs w:val="14"/>
                <w:color w:val="003082"/>
              </w:rPr>
              <w:t>(US$)</w:t>
            </w:r>
          </w:p>
        </w:tc>
        <w:tc>
          <w:tcPr>
            <w:tcW w:w="120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Pre-tax income from PRC entities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003082"/>
              </w:rPr>
              <w:t>4,813,122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6,790,182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Pre-tax loss from non-PRC entities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(4,331,928)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(12,166,283)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pre-tax loss</w:t>
            </w:r>
          </w:p>
        </w:tc>
        <w:tc>
          <w:tcPr>
            <w:tcW w:w="380" w:type="dxa"/>
            <w:vAlign w:val="bottom"/>
            <w:tcBorders>
              <w:bottom w:val="single" w:sz="8" w:color="3D5588"/>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3D5588"/>
            </w:tcBorders>
            <w:shd w:val="clear" w:color="auto" w:fill="CCEEFF"/>
          </w:tcPr>
          <w:p>
            <w:pPr>
              <w:jc w:val="right"/>
              <w:ind w:right="19"/>
              <w:spacing w:after="0"/>
              <w:rPr>
                <w:sz w:val="20"/>
                <w:szCs w:val="20"/>
                <w:color w:val="auto"/>
              </w:rPr>
            </w:pPr>
            <w:r>
              <w:rPr>
                <w:rFonts w:ascii="Arial" w:cs="Arial" w:eastAsia="Arial" w:hAnsi="Arial"/>
                <w:sz w:val="18"/>
                <w:szCs w:val="18"/>
                <w:color w:val="003082"/>
              </w:rPr>
              <w:t>481,194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(5,376,101)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Reconciliation of the Differences between Statutory Tax Rate and the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sets forth a reconciliation between the statutory PRC EIT rate of 25% and the effective tax rate: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3D5588"/>
            </w:tcBorders>
            <w:gridSpan w:val="4"/>
          </w:tcPr>
          <w:p>
            <w:pPr>
              <w:jc w:val="center"/>
              <w:spacing w:after="0"/>
              <w:rPr>
                <w:sz w:val="20"/>
                <w:szCs w:val="20"/>
                <w:color w:val="auto"/>
              </w:rPr>
            </w:pPr>
            <w:r>
              <w:rPr>
                <w:rFonts w:ascii="Arial" w:cs="Arial" w:eastAsia="Arial" w:hAnsi="Arial"/>
                <w:sz w:val="14"/>
                <w:szCs w:val="14"/>
                <w:b w:val="1"/>
                <w:bCs w:val="1"/>
                <w:color w:val="003082"/>
                <w:w w:val="93"/>
              </w:rPr>
              <w:t>Year Ended December 31,</w:t>
            </w:r>
          </w:p>
        </w:tc>
        <w:tc>
          <w:tcPr>
            <w:tcW w:w="0" w:type="dxa"/>
            <w:vAlign w:val="bottom"/>
          </w:tcPr>
          <w:p>
            <w:pPr>
              <w:spacing w:after="0"/>
              <w:rPr>
                <w:sz w:val="1"/>
                <w:szCs w:val="1"/>
                <w:color w:val="auto"/>
              </w:rPr>
            </w:pPr>
          </w:p>
        </w:tc>
      </w:tr>
      <w:tr>
        <w:trPr>
          <w:trHeight w:val="263"/>
        </w:trPr>
        <w:tc>
          <w:tcPr>
            <w:tcW w:w="7780" w:type="dxa"/>
            <w:vAlign w:val="bottom"/>
          </w:tcPr>
          <w:p>
            <w:pPr>
              <w:spacing w:after="0"/>
              <w:rPr>
                <w:sz w:val="22"/>
                <w:szCs w:val="22"/>
                <w:color w:val="auto"/>
              </w:rPr>
            </w:pPr>
          </w:p>
        </w:tc>
        <w:tc>
          <w:tcPr>
            <w:tcW w:w="1680" w:type="dxa"/>
            <w:vAlign w:val="bottom"/>
            <w:tcBorders>
              <w:bottom w:val="single" w:sz="8" w:color="3D5588"/>
            </w:tcBorders>
          </w:tcPr>
          <w:p>
            <w:pPr>
              <w:jc w:val="right"/>
              <w:ind w:right="615"/>
              <w:spacing w:after="0"/>
              <w:rPr>
                <w:sz w:val="20"/>
                <w:szCs w:val="20"/>
                <w:color w:val="auto"/>
              </w:rPr>
            </w:pPr>
            <w:r>
              <w:rPr>
                <w:rFonts w:ascii="Arial" w:cs="Arial" w:eastAsia="Arial" w:hAnsi="Arial"/>
                <w:sz w:val="14"/>
                <w:szCs w:val="14"/>
                <w:b w:val="1"/>
                <w:bCs w:val="1"/>
                <w:color w:val="003082"/>
              </w:rPr>
              <w:t>2018</w:t>
            </w:r>
          </w:p>
        </w:tc>
        <w:tc>
          <w:tcPr>
            <w:tcW w:w="100" w:type="dxa"/>
            <w:vAlign w:val="bottom"/>
            <w:tcBorders>
              <w:bottom w:val="single" w:sz="8" w:color="3D5588"/>
            </w:tcBorders>
          </w:tcPr>
          <w:p>
            <w:pPr>
              <w:spacing w:after="0"/>
              <w:rPr>
                <w:sz w:val="22"/>
                <w:szCs w:val="22"/>
                <w:color w:val="auto"/>
              </w:rPr>
            </w:pPr>
          </w:p>
        </w:tc>
        <w:tc>
          <w:tcPr>
            <w:tcW w:w="420" w:type="dxa"/>
            <w:vAlign w:val="bottom"/>
            <w:tcBorders>
              <w:bottom w:val="single" w:sz="8" w:color="3D5588"/>
            </w:tcBorders>
          </w:tcPr>
          <w:p>
            <w:pPr>
              <w:spacing w:after="0"/>
              <w:rPr>
                <w:sz w:val="22"/>
                <w:szCs w:val="22"/>
                <w:color w:val="auto"/>
              </w:rPr>
            </w:pPr>
          </w:p>
        </w:tc>
        <w:tc>
          <w:tcPr>
            <w:tcW w:w="1260" w:type="dxa"/>
            <w:vAlign w:val="bottom"/>
            <w:tcBorders>
              <w:bottom w:val="single" w:sz="8" w:color="3D5588"/>
            </w:tcBorders>
          </w:tcPr>
          <w:p>
            <w:pPr>
              <w:jc w:val="right"/>
              <w:ind w:right="612"/>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200" w:type="dxa"/>
            <w:vAlign w:val="bottom"/>
            <w:gridSpan w:val="3"/>
          </w:tcPr>
          <w:p>
            <w:pPr>
              <w:jc w:val="center"/>
              <w:ind w:left="1195"/>
              <w:spacing w:after="0"/>
              <w:rPr>
                <w:sz w:val="20"/>
                <w:szCs w:val="20"/>
                <w:color w:val="auto"/>
              </w:rPr>
            </w:pPr>
            <w:r>
              <w:rPr>
                <w:rFonts w:ascii="Arial" w:cs="Arial" w:eastAsia="Arial" w:hAnsi="Arial"/>
                <w:sz w:val="14"/>
                <w:szCs w:val="14"/>
                <w:color w:val="003082"/>
                <w:w w:val="98"/>
              </w:rPr>
              <w:t>(US$)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Statutory income tax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25.00 %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25.00 %</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003082"/>
              </w:rPr>
              <w:t>Permanent differences</w:t>
            </w:r>
            <w:r>
              <w:rPr>
                <w:rFonts w:ascii="Arial" w:cs="Arial" w:eastAsia="Arial" w:hAnsi="Arial"/>
                <w:sz w:val="25"/>
                <w:szCs w:val="25"/>
                <w:color w:val="003082"/>
                <w:vertAlign w:val="superscript"/>
              </w:rPr>
              <w:t>(1)</w:t>
            </w:r>
          </w:p>
        </w:tc>
        <w:tc>
          <w:tcPr>
            <w:tcW w:w="1680" w:type="dxa"/>
            <w:vAlign w:val="bottom"/>
          </w:tcPr>
          <w:p>
            <w:pPr>
              <w:jc w:val="right"/>
              <w:spacing w:after="0"/>
              <w:rPr>
                <w:sz w:val="20"/>
                <w:szCs w:val="20"/>
                <w:color w:val="auto"/>
              </w:rPr>
            </w:pPr>
            <w:r>
              <w:rPr>
                <w:rFonts w:ascii="Arial" w:cs="Arial" w:eastAsia="Arial" w:hAnsi="Arial"/>
                <w:sz w:val="18"/>
                <w:szCs w:val="18"/>
                <w:color w:val="003082"/>
              </w:rPr>
              <w:t>(105.06)%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3082"/>
              </w:rPr>
              <w:t>9.07 %</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Tax rate difference from statutory rate in other jurisdictions</w:t>
            </w:r>
            <w:r>
              <w:rPr>
                <w:rFonts w:ascii="Arial" w:cs="Arial" w:eastAsia="Arial" w:hAnsi="Arial"/>
                <w:sz w:val="25"/>
                <w:szCs w:val="25"/>
                <w:color w:val="003082"/>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(51.95)%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12.70 %</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003082"/>
              </w:rPr>
              <w:t>Change in valuation allowance</w:t>
            </w:r>
            <w:r>
              <w:rPr>
                <w:rFonts w:ascii="Arial" w:cs="Arial" w:eastAsia="Arial" w:hAnsi="Arial"/>
                <w:sz w:val="25"/>
                <w:szCs w:val="25"/>
                <w:color w:val="003082"/>
                <w:vertAlign w:val="superscript"/>
              </w:rPr>
              <w:t>(3)</w:t>
            </w:r>
          </w:p>
        </w:tc>
        <w:tc>
          <w:tcPr>
            <w:tcW w:w="1680" w:type="dxa"/>
            <w:vAlign w:val="bottom"/>
          </w:tcPr>
          <w:p>
            <w:pPr>
              <w:jc w:val="right"/>
              <w:spacing w:after="0"/>
              <w:rPr>
                <w:sz w:val="20"/>
                <w:szCs w:val="20"/>
                <w:color w:val="auto"/>
              </w:rPr>
            </w:pPr>
            <w:r>
              <w:rPr>
                <w:rFonts w:ascii="Arial" w:cs="Arial" w:eastAsia="Arial" w:hAnsi="Arial"/>
                <w:sz w:val="18"/>
                <w:szCs w:val="18"/>
                <w:color w:val="003082"/>
              </w:rPr>
              <w:t>236.64 %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3082"/>
              </w:rPr>
              <w:t>(64.00)%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Effect of tax holiday</w:t>
            </w:r>
            <w:r>
              <w:rPr>
                <w:rFonts w:ascii="Arial" w:cs="Arial" w:eastAsia="Arial" w:hAnsi="Arial"/>
                <w:sz w:val="25"/>
                <w:szCs w:val="25"/>
                <w:color w:val="003082"/>
                <w:vertAlign w:val="superscript"/>
              </w:rPr>
              <w:t>(4)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(82.96)%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2.34 %</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003082"/>
              </w:rPr>
              <w:t>Others</w:t>
            </w:r>
          </w:p>
        </w:tc>
        <w:tc>
          <w:tcPr>
            <w:tcW w:w="1680" w:type="dxa"/>
            <w:vAlign w:val="bottom"/>
          </w:tcPr>
          <w:p>
            <w:pPr>
              <w:jc w:val="right"/>
              <w:spacing w:after="0"/>
              <w:rPr>
                <w:sz w:val="20"/>
                <w:szCs w:val="20"/>
                <w:color w:val="auto"/>
              </w:rPr>
            </w:pPr>
            <w:r>
              <w:rPr>
                <w:rFonts w:ascii="Arial" w:cs="Arial" w:eastAsia="Arial" w:hAnsi="Arial"/>
                <w:sz w:val="18"/>
                <w:szCs w:val="18"/>
                <w:color w:val="003082"/>
              </w:rPr>
              <w:t>0.17 %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3082"/>
              </w:rPr>
              <w:t>(0.01)%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Effective tax rate</w:t>
            </w:r>
          </w:p>
        </w:tc>
        <w:tc>
          <w:tcPr>
            <w:tcW w:w="16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21.84 %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3D5588"/>
            </w:tcBorders>
            <w:shd w:val="clear" w:color="auto" w:fill="CCEEFF"/>
          </w:tcPr>
          <w:p>
            <w:pPr>
              <w:spacing w:after="0"/>
              <w:rPr>
                <w:sz w:val="22"/>
                <w:szCs w:val="22"/>
                <w:color w:val="auto"/>
              </w:rPr>
            </w:pPr>
          </w:p>
        </w:tc>
        <w:tc>
          <w:tcPr>
            <w:tcW w:w="126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(14.90)%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003082"/>
              </w:rPr>
              <w:t>________________</w:t>
            </w:r>
          </w:p>
        </w:tc>
        <w:tc>
          <w:tcPr>
            <w:tcW w:w="16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3D5588"/>
            </w:tcBorders>
          </w:tcPr>
          <w:p>
            <w:pPr>
              <w:spacing w:after="0" w:line="20" w:lineRule="exact"/>
              <w:rPr>
                <w:sz w:val="1"/>
                <w:szCs w:val="1"/>
                <w:color w:val="auto"/>
              </w:rPr>
            </w:pPr>
          </w:p>
        </w:tc>
        <w:tc>
          <w:tcPr>
            <w:tcW w:w="12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6" w:lineRule="auto"/>
        <w:tabs>
          <w:tab w:leader="none" w:pos="340" w:val="left"/>
        </w:tabs>
        <w:numPr>
          <w:ilvl w:val="0"/>
          <w:numId w:val="130"/>
        </w:numPr>
        <w:rPr>
          <w:rFonts w:ascii="Arial" w:cs="Arial" w:eastAsia="Arial" w:hAnsi="Arial"/>
          <w:sz w:val="16"/>
          <w:szCs w:val="16"/>
          <w:color w:val="003082"/>
        </w:rPr>
      </w:pPr>
      <w:r>
        <w:rPr>
          <w:rFonts w:ascii="Arial" w:cs="Arial" w:eastAsia="Arial" w:hAnsi="Arial"/>
          <w:sz w:val="16"/>
          <w:szCs w:val="16"/>
          <w:color w:val="003082"/>
        </w:rPr>
        <w:t>The permanent differences are primarily related to additional tax deductions for qualified research and development expenses offset by non-deductible share-based compensation expenses.</w:t>
      </w:r>
    </w:p>
    <w:p>
      <w:pPr>
        <w:ind w:left="340" w:hanging="332"/>
        <w:spacing w:after="0"/>
        <w:tabs>
          <w:tab w:leader="none" w:pos="340" w:val="left"/>
        </w:tabs>
        <w:numPr>
          <w:ilvl w:val="0"/>
          <w:numId w:val="130"/>
        </w:numPr>
        <w:rPr>
          <w:rFonts w:ascii="Arial" w:cs="Arial" w:eastAsia="Arial" w:hAnsi="Arial"/>
          <w:sz w:val="14"/>
          <w:szCs w:val="14"/>
          <w:color w:val="003082"/>
        </w:rPr>
      </w:pPr>
      <w:r>
        <w:rPr>
          <w:rFonts w:ascii="Arial" w:cs="Arial" w:eastAsia="Arial" w:hAnsi="Arial"/>
          <w:sz w:val="14"/>
          <w:szCs w:val="14"/>
          <w:color w:val="003082"/>
        </w:rPr>
        <w:t>The tax rate difference is attributed to varying rates in other jurisdictions where the Group is established or operates, such as the Cayman Islands or the United States.</w:t>
      </w:r>
    </w:p>
    <w:p>
      <w:pPr>
        <w:spacing w:after="0" w:line="28" w:lineRule="exact"/>
        <w:rPr>
          <w:rFonts w:ascii="Arial" w:cs="Arial" w:eastAsia="Arial" w:hAnsi="Arial"/>
          <w:sz w:val="14"/>
          <w:szCs w:val="14"/>
          <w:color w:val="003082"/>
        </w:rPr>
      </w:pPr>
    </w:p>
    <w:p>
      <w:pPr>
        <w:ind w:left="340" w:hanging="332"/>
        <w:spacing w:after="0"/>
        <w:tabs>
          <w:tab w:leader="none" w:pos="340" w:val="left"/>
        </w:tabs>
        <w:numPr>
          <w:ilvl w:val="0"/>
          <w:numId w:val="130"/>
        </w:numPr>
        <w:rPr>
          <w:rFonts w:ascii="Arial" w:cs="Arial" w:eastAsia="Arial" w:hAnsi="Arial"/>
          <w:sz w:val="16"/>
          <w:szCs w:val="16"/>
          <w:color w:val="003082"/>
        </w:rPr>
      </w:pPr>
      <w:r>
        <w:rPr>
          <w:rFonts w:ascii="Arial" w:cs="Arial" w:eastAsia="Arial" w:hAnsi="Arial"/>
          <w:sz w:val="16"/>
          <w:szCs w:val="16"/>
          <w:color w:val="003082"/>
        </w:rPr>
        <w:t>The change in valuation allowance is primarily attributed to fully provisioning for net operating loss carry-forwards of Agora Lab, Inc.</w:t>
      </w:r>
    </w:p>
    <w:p>
      <w:pPr>
        <w:spacing w:after="0" w:line="5" w:lineRule="exact"/>
        <w:rPr>
          <w:rFonts w:ascii="Arial" w:cs="Arial" w:eastAsia="Arial" w:hAnsi="Arial"/>
          <w:sz w:val="16"/>
          <w:szCs w:val="16"/>
          <w:color w:val="003082"/>
        </w:rPr>
      </w:pPr>
    </w:p>
    <w:p>
      <w:pPr>
        <w:ind w:left="340" w:right="20" w:hanging="332"/>
        <w:spacing w:after="0" w:line="257" w:lineRule="auto"/>
        <w:tabs>
          <w:tab w:leader="none" w:pos="340" w:val="left"/>
        </w:tabs>
        <w:numPr>
          <w:ilvl w:val="0"/>
          <w:numId w:val="130"/>
        </w:numPr>
        <w:rPr>
          <w:rFonts w:ascii="Arial" w:cs="Arial" w:eastAsia="Arial" w:hAnsi="Arial"/>
          <w:sz w:val="16"/>
          <w:szCs w:val="16"/>
          <w:color w:val="003082"/>
        </w:rPr>
      </w:pPr>
      <w:r>
        <w:rPr>
          <w:rFonts w:ascii="Arial" w:cs="Arial" w:eastAsia="Arial" w:hAnsi="Arial"/>
          <w:sz w:val="16"/>
          <w:szCs w:val="16"/>
          <w:color w:val="003082"/>
        </w:rPr>
        <w:t>The WFOE obtained its software enterprise certificate in 2018 and is entitled to a tax exemption from EIT for the year of 2018 and a 50% EIT rate reduction for the year of 2019.</w:t>
      </w:r>
    </w:p>
    <w:p>
      <w:pPr>
        <w:spacing w:after="0" w:line="12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For the years ended December 31, 2018 and 2019, substantially all the amounts of current and deferred income tax expense are attributable to PRC entities.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center"/>
              <w:ind w:right="275"/>
              <w:spacing w:after="0"/>
              <w:rPr>
                <w:sz w:val="20"/>
                <w:szCs w:val="20"/>
                <w:color w:val="auto"/>
              </w:rPr>
            </w:pPr>
            <w:r>
              <w:rPr>
                <w:rFonts w:ascii="Arial" w:cs="Arial" w:eastAsia="Arial" w:hAnsi="Arial"/>
                <w:sz w:val="14"/>
                <w:szCs w:val="14"/>
                <w:b w:val="1"/>
                <w:bCs w:val="1"/>
                <w:color w:val="003082"/>
                <w:w w:val="93"/>
              </w:rPr>
              <w:t>Year Ended December 31,</w:t>
            </w:r>
          </w:p>
        </w:tc>
      </w:tr>
      <w:tr>
        <w:trPr>
          <w:trHeight w:val="264"/>
        </w:trPr>
        <w:tc>
          <w:tcPr>
            <w:tcW w:w="39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9"/>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2019</w:t>
            </w:r>
          </w:p>
        </w:tc>
      </w:tr>
      <w:tr>
        <w:trPr>
          <w:trHeight w:val="250"/>
        </w:trPr>
        <w:tc>
          <w:tcPr>
            <w:tcW w:w="39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9"/>
              <w:spacing w:after="0"/>
              <w:rPr>
                <w:sz w:val="20"/>
                <w:szCs w:val="20"/>
                <w:color w:val="auto"/>
              </w:rPr>
            </w:pPr>
            <w:r>
              <w:rPr>
                <w:rFonts w:ascii="Arial" w:cs="Arial" w:eastAsia="Arial" w:hAnsi="Arial"/>
                <w:sz w:val="14"/>
                <w:szCs w:val="14"/>
                <w:color w:val="003082"/>
                <w:w w:val="92"/>
              </w:rPr>
              <w:t>(US$)</w:t>
            </w:r>
          </w:p>
        </w:tc>
        <w:tc>
          <w:tcPr>
            <w:tcW w:w="1180" w:type="dxa"/>
            <w:vAlign w:val="bottom"/>
          </w:tcPr>
          <w:p>
            <w:pPr>
              <w:spacing w:after="0"/>
              <w:rPr>
                <w:sz w:val="21"/>
                <w:szCs w:val="21"/>
                <w:color w:val="auto"/>
              </w:rPr>
            </w:pPr>
          </w:p>
        </w:tc>
      </w:tr>
      <w:tr>
        <w:trPr>
          <w:trHeight w:val="25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Current income tax expense</w:t>
            </w:r>
          </w:p>
        </w:tc>
        <w:tc>
          <w:tcPr>
            <w:tcW w:w="40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003082"/>
              </w:rPr>
              <w:t>463,149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1,137,800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003082"/>
              </w:rPr>
              <w:t>Deferred income tax benefit</w:t>
            </w: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(358,071)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(336,463)</w:t>
            </w:r>
          </w:p>
        </w:tc>
      </w:tr>
      <w:tr>
        <w:trPr>
          <w:trHeight w:val="27"/>
        </w:trPr>
        <w:tc>
          <w:tcPr>
            <w:tcW w:w="39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r>
      <w:tr>
        <w:trPr>
          <w:trHeight w:val="257"/>
        </w:trPr>
        <w:tc>
          <w:tcPr>
            <w:tcW w:w="3920" w:type="dxa"/>
            <w:vAlign w:val="bottom"/>
            <w:shd w:val="clear" w:color="auto" w:fill="CCEEFF"/>
          </w:tcPr>
          <w:p>
            <w:pPr>
              <w:ind w:left="280"/>
              <w:spacing w:after="0"/>
              <w:rPr>
                <w:sz w:val="20"/>
                <w:szCs w:val="20"/>
                <w:color w:val="auto"/>
              </w:rPr>
            </w:pPr>
            <w:r>
              <w:rPr>
                <w:rFonts w:ascii="Arial" w:cs="Arial" w:eastAsia="Arial" w:hAnsi="Arial"/>
                <w:sz w:val="18"/>
                <w:szCs w:val="18"/>
                <w:color w:val="003082"/>
              </w:rPr>
              <w:t>Income tax expense (benefit)</w:t>
            </w:r>
          </w:p>
        </w:tc>
        <w:tc>
          <w:tcPr>
            <w:tcW w:w="4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003082"/>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003082"/>
              </w:rPr>
              <w:t>105,078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801,337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4440" w:type="dxa"/>
            <w:vAlign w:val="bottom"/>
            <w:gridSpan w:val="2"/>
          </w:tcPr>
          <w:p>
            <w:pPr>
              <w:jc w:val="right"/>
              <w:ind w:right="2560"/>
              <w:spacing w:after="0"/>
              <w:rPr>
                <w:sz w:val="20"/>
                <w:szCs w:val="20"/>
                <w:color w:val="auto"/>
              </w:rPr>
            </w:pPr>
            <w:r>
              <w:rPr>
                <w:rFonts w:ascii="Arial" w:cs="Arial" w:eastAsia="Arial" w:hAnsi="Arial"/>
                <w:sz w:val="18"/>
                <w:szCs w:val="18"/>
                <w:color w:val="003082"/>
              </w:rPr>
              <w:t>F-37</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aggregate amount and per share effect of reduction of EIT for WFOE as a result of tax holidays are as follows:</w:t>
      </w:r>
    </w:p>
    <w:p>
      <w:pPr>
        <w:spacing w:after="0" w:line="39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003082"/>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080" w:type="dxa"/>
            <w:vAlign w:val="bottom"/>
            <w:tcBorders>
              <w:bottom w:val="single" w:sz="8" w:color="3D5588"/>
            </w:tcBorders>
          </w:tcPr>
          <w:p>
            <w:pPr>
              <w:jc w:val="right"/>
              <w:ind w:right="1062"/>
              <w:spacing w:after="0"/>
              <w:rPr>
                <w:sz w:val="20"/>
                <w:szCs w:val="20"/>
                <w:color w:val="auto"/>
              </w:rPr>
            </w:pPr>
            <w:r>
              <w:rPr>
                <w:rFonts w:ascii="Arial" w:cs="Arial" w:eastAsia="Arial" w:hAnsi="Arial"/>
                <w:sz w:val="14"/>
                <w:szCs w:val="14"/>
                <w:b w:val="1"/>
                <w:bCs w:val="1"/>
                <w:color w:val="003082"/>
              </w:rPr>
              <w:t>2018</w:t>
            </w:r>
          </w:p>
        </w:tc>
        <w:tc>
          <w:tcPr>
            <w:tcW w:w="1180" w:type="dxa"/>
            <w:vAlign w:val="bottom"/>
            <w:tcBorders>
              <w:bottom w:val="single" w:sz="8" w:color="3D5588"/>
            </w:tcBorders>
          </w:tcPr>
          <w:p>
            <w:pPr>
              <w:jc w:val="right"/>
              <w:ind w:right="559"/>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2080" w:type="dxa"/>
            <w:vAlign w:val="bottom"/>
          </w:tcPr>
          <w:p>
            <w:pPr>
              <w:jc w:val="right"/>
              <w:ind w:right="182"/>
              <w:spacing w:after="0"/>
              <w:rPr>
                <w:sz w:val="20"/>
                <w:szCs w:val="20"/>
                <w:color w:val="auto"/>
              </w:rPr>
            </w:pPr>
            <w:r>
              <w:rPr>
                <w:rFonts w:ascii="Arial" w:cs="Arial" w:eastAsia="Arial" w:hAnsi="Arial"/>
                <w:sz w:val="14"/>
                <w:szCs w:val="14"/>
                <w:color w:val="003082"/>
              </w:rPr>
              <w:t>(US$)</w:t>
            </w:r>
          </w:p>
        </w:tc>
        <w:tc>
          <w:tcPr>
            <w:tcW w:w="1180" w:type="dxa"/>
            <w:vAlign w:val="bottom"/>
          </w:tcPr>
          <w:p>
            <w:pPr>
              <w:spacing w:after="0"/>
              <w:rPr>
                <w:sz w:val="21"/>
                <w:szCs w:val="21"/>
                <w:color w:val="auto"/>
              </w:rPr>
            </w:pPr>
          </w:p>
        </w:tc>
      </w:tr>
      <w:tr>
        <w:trPr>
          <w:trHeight w:val="24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The aggregate amount of effect</w:t>
            </w:r>
          </w:p>
        </w:tc>
        <w:tc>
          <w:tcPr>
            <w:tcW w:w="20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003082"/>
              </w:rPr>
              <w:t>399,208</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003082"/>
              </w:rPr>
              <w:t>125,630</w:t>
            </w:r>
          </w:p>
        </w:tc>
      </w:tr>
      <w:tr>
        <w:trPr>
          <w:trHeight w:val="27"/>
        </w:trPr>
        <w:tc>
          <w:tcPr>
            <w:tcW w:w="79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tax holiday effect disclosed above did not have a material impact to the Company’s net loss per share for the years ended December 31, 2018 and 2019.</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Deferred Tax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principle components of the deferred tax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1900" w:type="dxa"/>
            <w:vAlign w:val="bottom"/>
            <w:tcBorders>
              <w:bottom w:val="single" w:sz="8" w:color="3D5588"/>
            </w:tcBorders>
            <w:gridSpan w:val="3"/>
          </w:tcPr>
          <w:p>
            <w:pPr>
              <w:jc w:val="right"/>
              <w:spacing w:after="0"/>
              <w:rPr>
                <w:sz w:val="20"/>
                <w:szCs w:val="20"/>
                <w:color w:val="auto"/>
              </w:rPr>
            </w:pPr>
            <w:r>
              <w:rPr>
                <w:rFonts w:ascii="Arial" w:cs="Arial" w:eastAsia="Arial" w:hAnsi="Arial"/>
                <w:sz w:val="14"/>
                <w:szCs w:val="14"/>
                <w:b w:val="1"/>
                <w:bCs w:val="1"/>
                <w:color w:val="003082"/>
              </w:rPr>
              <w:t>As of December 31,</w:t>
            </w:r>
          </w:p>
        </w:tc>
        <w:tc>
          <w:tcPr>
            <w:tcW w:w="980" w:type="dxa"/>
            <w:vAlign w:val="bottom"/>
            <w:tcBorders>
              <w:bottom w:val="single" w:sz="8" w:color="3D5588"/>
            </w:tcBorders>
          </w:tcPr>
          <w:p>
            <w:pPr>
              <w:spacing w:after="0"/>
              <w:rPr>
                <w:sz w:val="16"/>
                <w:szCs w:val="16"/>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580" w:type="dxa"/>
            <w:vAlign w:val="bottom"/>
            <w:tcBorders>
              <w:bottom w:val="single" w:sz="8" w:color="3D5588"/>
            </w:tcBorders>
          </w:tcPr>
          <w:p>
            <w:pPr>
              <w:spacing w:after="0"/>
              <w:rPr>
                <w:sz w:val="22"/>
                <w:szCs w:val="22"/>
                <w:color w:val="auto"/>
              </w:rPr>
            </w:pPr>
          </w:p>
        </w:tc>
        <w:tc>
          <w:tcPr>
            <w:tcW w:w="98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00308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Tax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4,238,069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7,614,276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Payroll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402,783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627,010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Allowance for doubtful accounts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93,281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003082"/>
              </w:rPr>
              <w:t>269,560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deductible temporary difference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64,455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52,955</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Deferred tax assets</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4,798,588</w:t>
            </w:r>
          </w:p>
        </w:tc>
        <w:tc>
          <w:tcPr>
            <w:tcW w:w="120" w:type="dxa"/>
            <w:vAlign w:val="bottom"/>
          </w:tcPr>
          <w:p>
            <w:pPr>
              <w:spacing w:after="0"/>
              <w:rPr>
                <w:sz w:val="20"/>
                <w:szCs w:val="20"/>
                <w:color w:val="auto"/>
              </w:rPr>
            </w:pPr>
          </w:p>
        </w:tc>
        <w:tc>
          <w:tcPr>
            <w:tcW w:w="58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8,563,801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Deferred tax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Less valuation allowance</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(4,286,495)</w:t>
            </w:r>
          </w:p>
        </w:tc>
        <w:tc>
          <w:tcPr>
            <w:tcW w:w="120" w:type="dxa"/>
            <w:vAlign w:val="bottom"/>
          </w:tcPr>
          <w:p>
            <w:pPr>
              <w:spacing w:after="0"/>
              <w:rPr>
                <w:sz w:val="20"/>
                <w:szCs w:val="20"/>
                <w:color w:val="auto"/>
              </w:rPr>
            </w:pPr>
          </w:p>
        </w:tc>
        <w:tc>
          <w:tcPr>
            <w:tcW w:w="580" w:type="dxa"/>
            <w:vAlign w:val="bottom"/>
            <w:tcBorders>
              <w:top w:val="single" w:sz="8" w:color="3D5588"/>
            </w:tcBorders>
          </w:tcPr>
          <w:p>
            <w:pPr>
              <w:spacing w:after="0"/>
              <w:rPr>
                <w:sz w:val="20"/>
                <w:szCs w:val="20"/>
                <w:color w:val="auto"/>
              </w:rPr>
            </w:pPr>
          </w:p>
        </w:tc>
        <w:tc>
          <w:tcPr>
            <w:tcW w:w="98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w w:val="99"/>
              </w:rPr>
              <w:t>(7,727,287)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Deferred tax assets, net</w:t>
            </w:r>
          </w:p>
        </w:tc>
        <w:tc>
          <w:tcPr>
            <w:tcW w:w="380" w:type="dxa"/>
            <w:vAlign w:val="bottom"/>
            <w:tcBorders>
              <w:bottom w:val="single" w:sz="8" w:color="3D5588"/>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512,093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3D5588"/>
            </w:tcBorders>
            <w:shd w:val="clear" w:color="auto" w:fill="CCEEFF"/>
          </w:tcPr>
          <w:p>
            <w:pPr>
              <w:jc w:val="right"/>
              <w:ind w:right="370"/>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836,514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As of December 31, 2018 and 2019, Agora Lab, Inc., a California corporation, had U.S. federal tax loss carry-forwards of approximately US$14,202,645 and US$25,517,011, respectively, and had U.S. state tax loss carry-forwards of approximately US$14,103,023 and US$25,417,389, respectively. Under the U.S. tax law, federal tax loss carry-forwards arising in tax years beginning after December 31, 2017 can be carried forward indefinitely but the maximum deduction is reduced to 80% of Agora Lab, Inc.’s taxable income, while loss carry-forwards arising in 2017 or prior can be carried back two tax years and carried forward up to 20 years. California state tax loss carry-forwards may be carried forward for up to 20 years. Agora Lab, Inc.’s federal tax loss carry-forwards arisen in 2017 or prior will begin to expire in varying amounts between 2035 and 2038 and the state tax loss carry-forwards will begin to expire in varying amounts between 2035 and 2040.</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Movement of Valuation Allowance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right"/>
              <w:ind w:right="734"/>
              <w:spacing w:after="0"/>
              <w:rPr>
                <w:sz w:val="20"/>
                <w:szCs w:val="20"/>
                <w:color w:val="auto"/>
              </w:rPr>
            </w:pPr>
            <w:r>
              <w:rPr>
                <w:rFonts w:ascii="Arial" w:cs="Arial" w:eastAsia="Arial" w:hAnsi="Arial"/>
                <w:sz w:val="14"/>
                <w:szCs w:val="14"/>
                <w:b w:val="1"/>
                <w:bCs w:val="1"/>
                <w:color w:val="003082"/>
              </w:rPr>
              <w:t>Year Ended December 31,</w:t>
            </w:r>
          </w:p>
        </w:tc>
      </w:tr>
      <w:tr>
        <w:trPr>
          <w:trHeight w:val="263"/>
        </w:trPr>
        <w:tc>
          <w:tcPr>
            <w:tcW w:w="392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8"/>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r>
      <w:tr>
        <w:trPr>
          <w:trHeight w:val="250"/>
        </w:trPr>
        <w:tc>
          <w:tcPr>
            <w:tcW w:w="39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003082"/>
              </w:rPr>
              <w:t>(US$)</w:t>
            </w:r>
          </w:p>
        </w:tc>
        <w:tc>
          <w:tcPr>
            <w:tcW w:w="1180" w:type="dxa"/>
            <w:vAlign w:val="bottom"/>
          </w:tcPr>
          <w:p>
            <w:pPr>
              <w:spacing w:after="0"/>
              <w:rPr>
                <w:sz w:val="21"/>
                <w:szCs w:val="21"/>
                <w:color w:val="auto"/>
              </w:rPr>
            </w:pPr>
          </w:p>
        </w:tc>
      </w:tr>
      <w:tr>
        <w:trPr>
          <w:trHeight w:val="25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Balance at beginning of the year</w:t>
            </w:r>
          </w:p>
        </w:tc>
        <w:tc>
          <w:tcPr>
            <w:tcW w:w="44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(3,147,795)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(4,286,495)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003082"/>
              </w:rPr>
              <w:t>Addition in current year</w:t>
            </w:r>
          </w:p>
        </w:tc>
        <w:tc>
          <w:tcPr>
            <w:tcW w:w="4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(1,138,700)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003082"/>
              </w:rPr>
              <w:t>(3,440,792)</w:t>
            </w:r>
          </w:p>
        </w:tc>
      </w:tr>
      <w:tr>
        <w:trPr>
          <w:trHeight w:val="27"/>
        </w:trPr>
        <w:tc>
          <w:tcPr>
            <w:tcW w:w="39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Reversals in current year</w:t>
            </w:r>
          </w:p>
        </w:tc>
        <w:tc>
          <w:tcPr>
            <w:tcW w:w="40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003082"/>
              </w:rPr>
              <w:t>Balance at the end of the year</w:t>
            </w:r>
          </w:p>
        </w:tc>
        <w:tc>
          <w:tcPr>
            <w:tcW w:w="4060" w:type="dxa"/>
            <w:vAlign w:val="bottom"/>
          </w:tcPr>
          <w:p>
            <w:pPr>
              <w:spacing w:after="0"/>
              <w:rPr>
                <w:sz w:val="22"/>
                <w:szCs w:val="22"/>
                <w:color w:val="auto"/>
              </w:rPr>
            </w:pPr>
          </w:p>
        </w:tc>
        <w:tc>
          <w:tcPr>
            <w:tcW w:w="380" w:type="dxa"/>
            <w:vAlign w:val="bottom"/>
            <w:tcBorders>
              <w:top w:val="single" w:sz="8" w:color="3D5588"/>
              <w:bottom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(4,286,495)</w:t>
            </w:r>
          </w:p>
        </w:tc>
        <w:tc>
          <w:tcPr>
            <w:tcW w:w="120" w:type="dxa"/>
            <w:vAlign w:val="bottom"/>
          </w:tcPr>
          <w:p>
            <w:pPr>
              <w:spacing w:after="0"/>
              <w:rPr>
                <w:sz w:val="22"/>
                <w:szCs w:val="22"/>
                <w:color w:val="auto"/>
              </w:rPr>
            </w:pPr>
          </w:p>
        </w:tc>
        <w:tc>
          <w:tcPr>
            <w:tcW w:w="380" w:type="dxa"/>
            <w:vAlign w:val="bottom"/>
            <w:tcBorders>
              <w:top w:val="single" w:sz="8" w:color="3D5588"/>
              <w:bottom w:val="single" w:sz="8" w:color="3D5588"/>
            </w:tcBorders>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(7,727,287)</w:t>
            </w:r>
          </w:p>
        </w:tc>
      </w:tr>
      <w:tr>
        <w:trPr>
          <w:trHeight w:val="20"/>
        </w:trPr>
        <w:tc>
          <w:tcPr>
            <w:tcW w:w="39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180" w:type="dxa"/>
            <w:vAlign w:val="bottom"/>
            <w:tcBorders>
              <w:bottom w:val="single" w:sz="8" w:color="3D5588"/>
            </w:tcBorders>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4440" w:type="dxa"/>
            <w:vAlign w:val="bottom"/>
            <w:gridSpan w:val="2"/>
          </w:tcPr>
          <w:p>
            <w:pPr>
              <w:jc w:val="right"/>
              <w:ind w:right="2470"/>
              <w:spacing w:after="0"/>
              <w:rPr>
                <w:sz w:val="20"/>
                <w:szCs w:val="20"/>
                <w:color w:val="auto"/>
              </w:rPr>
            </w:pPr>
            <w:r>
              <w:rPr>
                <w:rFonts w:ascii="Arial" w:cs="Arial" w:eastAsia="Arial" w:hAnsi="Arial"/>
                <w:sz w:val="18"/>
                <w:szCs w:val="18"/>
                <w:color w:val="003082"/>
              </w:rPr>
              <w:t>F-38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14. Basic and Diluted Net Loss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 xml:space="preserve">Basic and diluted net loss per share have been calculated in accordance with ASC 260, </w:t>
      </w:r>
      <w:r>
        <w:rPr>
          <w:rFonts w:ascii="Arial" w:cs="Arial" w:eastAsia="Arial" w:hAnsi="Arial"/>
          <w:sz w:val="18"/>
          <w:szCs w:val="18"/>
          <w:i w:val="1"/>
          <w:iCs w:val="1"/>
          <w:color w:val="003082"/>
        </w:rPr>
        <w:t>Earnings Per Share</w:t>
      </w:r>
      <w:r>
        <w:rPr>
          <w:rFonts w:ascii="Arial" w:cs="Arial" w:eastAsia="Arial" w:hAnsi="Arial"/>
          <w:sz w:val="18"/>
          <w:szCs w:val="18"/>
          <w:color w:val="003082"/>
        </w:rPr>
        <w:t>. 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 The computation of earnings per share for the years ended December 31, 2018 and 2019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733"/>
              <w:spacing w:after="0"/>
              <w:rPr>
                <w:sz w:val="20"/>
                <w:szCs w:val="20"/>
                <w:color w:val="auto"/>
              </w:rPr>
            </w:pPr>
            <w:r>
              <w:rPr>
                <w:rFonts w:ascii="Arial" w:cs="Arial" w:eastAsia="Arial" w:hAnsi="Arial"/>
                <w:sz w:val="14"/>
                <w:szCs w:val="14"/>
                <w:b w:val="1"/>
                <w:bCs w:val="1"/>
                <w:color w:val="003082"/>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003082"/>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003082"/>
              </w:rPr>
              <w:t>376,116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3082"/>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Cumulative undeclared dividends on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(9,961,473)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(9,961,473)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Accretion on convertible redeemable preferred shares to redemption value (Note 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(33,234,811)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(50,714,953)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loss attributable to Agora, Inc.’s ordinary shareholders - basic and diluted</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(42,820,168)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(66,853,864)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003082"/>
              </w:rPr>
              <w:t>Denominator:</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Denominator for basic and diluted loss per share weighted-average ordinary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109,141,311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115,716,392</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Basic and diluted loss per share</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(0.39)</w:t>
            </w:r>
          </w:p>
        </w:tc>
        <w:tc>
          <w:tcPr>
            <w:tcW w:w="120" w:type="dxa"/>
            <w:vAlign w:val="bottom"/>
          </w:tcPr>
          <w:p>
            <w:pPr>
              <w:spacing w:after="0"/>
              <w:rPr>
                <w:sz w:val="22"/>
                <w:szCs w:val="22"/>
                <w:color w:val="auto"/>
              </w:rPr>
            </w:pPr>
          </w:p>
        </w:tc>
        <w:tc>
          <w:tcPr>
            <w:tcW w:w="340" w:type="dxa"/>
            <w:vAlign w:val="bottom"/>
            <w:tcBorders>
              <w:top w:val="single" w:sz="8" w:color="3D5588"/>
              <w:bottom w:val="single" w:sz="8" w:color="3D5588"/>
            </w:tcBorders>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(0.58)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following ordinary shares equivalent were excluded from the computation of diluted net loss per ordinary share for the periods presented because including them would have had an anti-dilutive effect: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60" w:type="dxa"/>
            <w:vAlign w:val="bottom"/>
            <w:tcBorders>
              <w:bottom w:val="single" w:sz="8" w:color="3D5588"/>
            </w:tcBorders>
            <w:gridSpan w:val="2"/>
          </w:tcPr>
          <w:p>
            <w:pPr>
              <w:jc w:val="right"/>
              <w:ind w:right="735"/>
              <w:spacing w:after="0"/>
              <w:rPr>
                <w:sz w:val="20"/>
                <w:szCs w:val="20"/>
                <w:color w:val="auto"/>
              </w:rPr>
            </w:pPr>
            <w:r>
              <w:rPr>
                <w:rFonts w:ascii="Arial" w:cs="Arial" w:eastAsia="Arial" w:hAnsi="Arial"/>
                <w:sz w:val="14"/>
                <w:szCs w:val="14"/>
                <w:b w:val="1"/>
                <w:bCs w:val="1"/>
                <w:color w:val="003082"/>
              </w:rPr>
              <w:t>Year Ended December 31,</w:t>
            </w:r>
          </w:p>
        </w:tc>
      </w:tr>
      <w:tr>
        <w:trPr>
          <w:trHeight w:val="263"/>
        </w:trPr>
        <w:tc>
          <w:tcPr>
            <w:tcW w:w="4040" w:type="dxa"/>
            <w:vAlign w:val="bottom"/>
          </w:tcPr>
          <w:p>
            <w:pPr>
              <w:spacing w:after="0"/>
              <w:rPr>
                <w:sz w:val="22"/>
                <w:szCs w:val="22"/>
                <w:color w:val="auto"/>
              </w:rPr>
            </w:pPr>
          </w:p>
        </w:tc>
        <w:tc>
          <w:tcPr>
            <w:tcW w:w="5980" w:type="dxa"/>
            <w:vAlign w:val="bottom"/>
            <w:gridSpan w:val="2"/>
          </w:tcPr>
          <w:p>
            <w:pPr>
              <w:jc w:val="right"/>
              <w:ind w:right="1028"/>
              <w:spacing w:after="0"/>
              <w:rPr>
                <w:sz w:val="20"/>
                <w:szCs w:val="20"/>
                <w:color w:val="auto"/>
              </w:rPr>
            </w:pPr>
            <w:r>
              <w:rPr>
                <w:rFonts w:ascii="Arial" w:cs="Arial" w:eastAsia="Arial" w:hAnsi="Arial"/>
                <w:sz w:val="14"/>
                <w:szCs w:val="14"/>
                <w:b w:val="1"/>
                <w:bCs w:val="1"/>
                <w:color w:val="003082"/>
              </w:rPr>
              <w:t>2018</w:t>
            </w: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003082"/>
              </w:rPr>
              <w:t>2019</w:t>
            </w:r>
          </w:p>
        </w:tc>
      </w:tr>
      <w:tr>
        <w:trPr>
          <w:trHeight w:val="250"/>
        </w:trPr>
        <w:tc>
          <w:tcPr>
            <w:tcW w:w="40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040" w:type="dxa"/>
            <w:vAlign w:val="bottom"/>
            <w:tcBorders>
              <w:top w:val="single" w:sz="8" w:color="3D5588"/>
            </w:tcBorders>
          </w:tcPr>
          <w:p>
            <w:pPr>
              <w:jc w:val="right"/>
              <w:ind w:right="148"/>
              <w:spacing w:after="0"/>
              <w:rPr>
                <w:sz w:val="20"/>
                <w:szCs w:val="20"/>
                <w:color w:val="auto"/>
              </w:rPr>
            </w:pPr>
            <w:r>
              <w:rPr>
                <w:rFonts w:ascii="Arial" w:cs="Arial" w:eastAsia="Arial" w:hAnsi="Arial"/>
                <w:sz w:val="14"/>
                <w:szCs w:val="14"/>
                <w:color w:val="003082"/>
              </w:rPr>
              <w:t>(US$)</w:t>
            </w:r>
          </w:p>
        </w:tc>
        <w:tc>
          <w:tcPr>
            <w:tcW w:w="1220" w:type="dxa"/>
            <w:vAlign w:val="bottom"/>
            <w:tcBorders>
              <w:top w:val="single" w:sz="8" w:color="3D5588"/>
            </w:tcBorders>
          </w:tcPr>
          <w:p>
            <w:pPr>
              <w:spacing w:after="0"/>
              <w:rPr>
                <w:sz w:val="21"/>
                <w:szCs w:val="21"/>
                <w:color w:val="auto"/>
              </w:rPr>
            </w:pPr>
          </w:p>
        </w:tc>
      </w:tr>
      <w:tr>
        <w:trPr>
          <w:trHeight w:val="256"/>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Preferred shares - weighted average</w:t>
            </w:r>
          </w:p>
        </w:tc>
        <w:tc>
          <w:tcPr>
            <w:tcW w:w="59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003082"/>
              </w:rPr>
              <w:t>141,543,341</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167,855,481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003082"/>
              </w:rPr>
              <w:t>Share options - weighted average</w:t>
            </w:r>
          </w:p>
        </w:tc>
        <w:tc>
          <w:tcPr>
            <w:tcW w:w="5980" w:type="dxa"/>
            <w:vAlign w:val="bottom"/>
            <w:gridSpan w:val="2"/>
          </w:tcPr>
          <w:p>
            <w:pPr>
              <w:jc w:val="right"/>
              <w:ind w:right="488"/>
              <w:spacing w:after="0"/>
              <w:rPr>
                <w:sz w:val="20"/>
                <w:szCs w:val="20"/>
                <w:color w:val="auto"/>
              </w:rPr>
            </w:pPr>
            <w:r>
              <w:rPr>
                <w:rFonts w:ascii="Arial" w:cs="Arial" w:eastAsia="Arial" w:hAnsi="Arial"/>
                <w:sz w:val="18"/>
                <w:szCs w:val="18"/>
                <w:color w:val="003082"/>
              </w:rPr>
              <w:t>17,280,175</w:t>
            </w:r>
          </w:p>
        </w:tc>
        <w:tc>
          <w:tcPr>
            <w:tcW w:w="1220" w:type="dxa"/>
            <w:vAlign w:val="bottom"/>
          </w:tcPr>
          <w:p>
            <w:pPr>
              <w:jc w:val="right"/>
              <w:ind w:right="15"/>
              <w:spacing w:after="0"/>
              <w:rPr>
                <w:sz w:val="20"/>
                <w:szCs w:val="20"/>
                <w:color w:val="auto"/>
              </w:rPr>
            </w:pPr>
            <w:r>
              <w:rPr>
                <w:rFonts w:ascii="Arial" w:cs="Arial" w:eastAsia="Arial" w:hAnsi="Arial"/>
                <w:sz w:val="18"/>
                <w:szCs w:val="18"/>
                <w:color w:val="003082"/>
              </w:rPr>
              <w:t>26,923,735</w:t>
            </w:r>
          </w:p>
        </w:tc>
      </w:tr>
      <w:tr>
        <w:trPr>
          <w:trHeight w:val="27"/>
        </w:trPr>
        <w:tc>
          <w:tcPr>
            <w:tcW w:w="4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Restricted share - weighted average</w:t>
            </w:r>
          </w:p>
        </w:tc>
        <w:tc>
          <w:tcPr>
            <w:tcW w:w="59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003082"/>
              </w:rPr>
              <w:t>11,358,874</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5,154,272</w:t>
            </w:r>
          </w:p>
        </w:tc>
      </w:tr>
      <w:tr>
        <w:trPr>
          <w:trHeight w:val="594"/>
        </w:trPr>
        <w:tc>
          <w:tcPr>
            <w:tcW w:w="4040" w:type="dxa"/>
            <w:vAlign w:val="bottom"/>
          </w:tcPr>
          <w:p>
            <w:pPr>
              <w:spacing w:after="0"/>
              <w:rPr>
                <w:sz w:val="24"/>
                <w:szCs w:val="24"/>
                <w:color w:val="auto"/>
              </w:rPr>
            </w:pPr>
          </w:p>
        </w:tc>
        <w:tc>
          <w:tcPr>
            <w:tcW w:w="5980" w:type="dxa"/>
            <w:vAlign w:val="bottom"/>
            <w:gridSpan w:val="2"/>
          </w:tcPr>
          <w:p>
            <w:pPr>
              <w:jc w:val="right"/>
              <w:ind w:right="4148"/>
              <w:spacing w:after="0"/>
              <w:rPr>
                <w:sz w:val="20"/>
                <w:szCs w:val="20"/>
                <w:color w:val="auto"/>
              </w:rPr>
            </w:pPr>
            <w:r>
              <w:rPr>
                <w:rFonts w:ascii="Arial" w:cs="Arial" w:eastAsia="Arial" w:hAnsi="Arial"/>
                <w:sz w:val="18"/>
                <w:szCs w:val="18"/>
                <w:color w:val="003082"/>
              </w:rPr>
              <w:t>F-39</w:t>
            </w:r>
          </w:p>
        </w:tc>
        <w:tc>
          <w:tcPr>
            <w:tcW w:w="12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15. Commitments and Contingencies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Operating Lease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Group has entered into non-cancellable agreements with initial or remaining terms in excess of one year for the rental and property management fee of office premises and for the lease of office equipment. As of December 31, 2019, future minimum payments under non-cancellable operating leases for office rental, office equipment and property management fee of office premises consist of the following: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3D5588"/>
            </w:tcBorders>
          </w:tcPr>
          <w:p>
            <w:pPr>
              <w:spacing w:after="0"/>
              <w:rPr>
                <w:sz w:val="16"/>
                <w:szCs w:val="16"/>
                <w:color w:val="auto"/>
              </w:rPr>
            </w:pPr>
          </w:p>
        </w:tc>
        <w:tc>
          <w:tcPr>
            <w:tcW w:w="1380" w:type="dxa"/>
            <w:vAlign w:val="bottom"/>
            <w:tcBorders>
              <w:bottom w:val="single" w:sz="8" w:color="3D5588"/>
            </w:tcBorders>
          </w:tcPr>
          <w:p>
            <w:pPr>
              <w:jc w:val="right"/>
              <w:ind w:right="153"/>
              <w:spacing w:after="0"/>
              <w:rPr>
                <w:sz w:val="20"/>
                <w:szCs w:val="20"/>
                <w:color w:val="auto"/>
              </w:rPr>
            </w:pPr>
            <w:r>
              <w:rPr>
                <w:rFonts w:ascii="Arial" w:cs="Arial" w:eastAsia="Arial" w:hAnsi="Arial"/>
                <w:sz w:val="14"/>
                <w:szCs w:val="14"/>
                <w:b w:val="1"/>
                <w:bCs w:val="1"/>
                <w:color w:val="003082"/>
                <w:w w:val="95"/>
              </w:rPr>
              <w:t>Operating Leases</w:t>
            </w: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Years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003082"/>
              </w:rPr>
              <w:t>2020</w:t>
            </w:r>
          </w:p>
        </w:tc>
        <w:tc>
          <w:tcPr>
            <w:tcW w:w="180" w:type="dxa"/>
            <w:vAlign w:val="bottom"/>
          </w:tcPr>
          <w:p>
            <w:pPr>
              <w:jc w:val="right"/>
              <w:spacing w:after="0"/>
              <w:rPr>
                <w:sz w:val="20"/>
                <w:szCs w:val="20"/>
                <w:color w:val="auto"/>
              </w:rPr>
            </w:pPr>
            <w:r>
              <w:rPr>
                <w:rFonts w:ascii="Arial" w:cs="Arial" w:eastAsia="Arial" w:hAnsi="Arial"/>
                <w:sz w:val="18"/>
                <w:szCs w:val="18"/>
                <w:color w:val="003082"/>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003082"/>
              </w:rPr>
              <w:t>2,564,472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1,281,341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003082"/>
              </w:rPr>
              <w:t>2022</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003082"/>
              </w:rPr>
              <w:t>522,434</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208,030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003082"/>
              </w:rPr>
              <w:t>2024</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003082"/>
              </w:rPr>
              <w:t>106,163</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3D5588"/>
            </w:tcBorders>
          </w:tcPr>
          <w:p>
            <w:pPr>
              <w:spacing w:after="0"/>
              <w:rPr>
                <w:sz w:val="2"/>
                <w:szCs w:val="2"/>
                <w:color w:val="auto"/>
              </w:rPr>
            </w:pPr>
          </w:p>
        </w:tc>
        <w:tc>
          <w:tcPr>
            <w:tcW w:w="1380" w:type="dxa"/>
            <w:vAlign w:val="bottom"/>
            <w:tcBorders>
              <w:bottom w:val="single" w:sz="8" w:color="3D5588"/>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4,682,441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1380" w:type="dxa"/>
            <w:vAlign w:val="bottom"/>
            <w:tcBorders>
              <w:top w:val="single" w:sz="8" w:color="3D5588"/>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Rental expenses for the years ended December 31, 2018 and 2019 were $1,211,936 and $1,424,998,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Contractual Purchase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Group has entered into non-cancellable agreements related to the purchase of servers from third party vendors. As of December 31, 2019, contractual purchase obligations with respect to these servers consist of the following:</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003082"/>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16.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For the years ended December 31, 2018 and 2019, the significant related party transactions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179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003082"/>
        </w:rPr>
        <w:t>Rental fee charged by a related party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left="-699"/>
        <w:spacing w:after="0"/>
        <w:rPr>
          <w:sz w:val="20"/>
          <w:szCs w:val="20"/>
          <w:color w:val="auto"/>
        </w:rPr>
      </w:pPr>
      <w:r>
        <w:rPr>
          <w:rFonts w:ascii="Arial" w:cs="Arial" w:eastAsia="Arial" w:hAnsi="Arial"/>
          <w:sz w:val="13"/>
          <w:szCs w:val="13"/>
          <w:b w:val="1"/>
          <w:bCs w:val="1"/>
          <w:color w:val="003082"/>
        </w:rPr>
        <w:t>Contractual Purchase</w:t>
      </w:r>
    </w:p>
    <w:p>
      <w:pPr>
        <w:spacing w:after="0" w:line="15" w:lineRule="exact"/>
        <w:rPr>
          <w:sz w:val="20"/>
          <w:szCs w:val="20"/>
          <w:color w:val="auto"/>
        </w:rPr>
      </w:pPr>
    </w:p>
    <w:p>
      <w:pPr>
        <w:jc w:val="center"/>
        <w:ind w:left="-699"/>
        <w:spacing w:after="0"/>
        <w:rPr>
          <w:sz w:val="20"/>
          <w:szCs w:val="20"/>
          <w:color w:val="auto"/>
        </w:rPr>
      </w:pPr>
      <w:r>
        <w:rPr>
          <w:rFonts w:ascii="Arial" w:cs="Arial" w:eastAsia="Arial" w:hAnsi="Arial"/>
          <w:sz w:val="14"/>
          <w:szCs w:val="14"/>
          <w:b w:val="1"/>
          <w:bCs w:val="1"/>
          <w:color w:val="003082"/>
        </w:rPr>
        <w:t>Obligations</w:t>
      </w:r>
    </w:p>
    <w:p>
      <w:pPr>
        <w:spacing w:after="0" w:line="47" w:lineRule="exact"/>
        <w:rPr>
          <w:sz w:val="20"/>
          <w:szCs w:val="20"/>
          <w:color w:val="auto"/>
        </w:rPr>
      </w:pPr>
    </w:p>
    <w:p>
      <w:pPr>
        <w:ind w:left="1780" w:hanging="719"/>
        <w:spacing w:after="0"/>
        <w:tabs>
          <w:tab w:leader="none" w:pos="1780" w:val="left"/>
        </w:tabs>
        <w:numPr>
          <w:ilvl w:val="0"/>
          <w:numId w:val="131"/>
        </w:numPr>
        <w:rPr>
          <w:rFonts w:ascii="Arial" w:cs="Arial" w:eastAsia="Arial" w:hAnsi="Arial"/>
          <w:sz w:val="16"/>
          <w:szCs w:val="16"/>
          <w:color w:val="003082"/>
        </w:rPr>
      </w:pPr>
      <w:r>
        <w:rPr>
          <w:rFonts w:ascii="Arial" w:cs="Arial" w:eastAsia="Arial" w:hAnsi="Arial"/>
          <w:sz w:val="16"/>
          <w:szCs w:val="16"/>
          <w:color w:val="003082"/>
        </w:rPr>
        <w:t>2,600,251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63500</wp:posOffset>
            </wp:positionV>
            <wp:extent cx="9944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3082"/>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23495</wp:posOffset>
            </wp:positionV>
            <wp:extent cx="20656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003082"/>
        </w:rPr>
        <w:t>2018</w:t>
      </w:r>
      <w:r>
        <w:rPr>
          <w:sz w:val="20"/>
          <w:szCs w:val="20"/>
          <w:color w:val="auto"/>
        </w:rPr>
        <w:tab/>
      </w:r>
      <w:r>
        <w:rPr>
          <w:rFonts w:ascii="Arial" w:cs="Arial" w:eastAsia="Arial" w:hAnsi="Arial"/>
          <w:sz w:val="14"/>
          <w:szCs w:val="14"/>
          <w:b w:val="1"/>
          <w:bCs w:val="1"/>
          <w:color w:val="003082"/>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23495</wp:posOffset>
            </wp:positionV>
            <wp:extent cx="20656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3"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003082"/>
        </w:rPr>
        <w:t>(US$)</w:t>
      </w:r>
    </w:p>
    <w:p>
      <w:pPr>
        <w:spacing w:after="0" w:line="46" w:lineRule="exact"/>
        <w:rPr>
          <w:sz w:val="20"/>
          <w:szCs w:val="20"/>
          <w:color w:val="auto"/>
        </w:rPr>
      </w:pPr>
    </w:p>
    <w:p>
      <w:pPr>
        <w:ind w:left="240"/>
        <w:spacing w:after="0"/>
        <w:tabs>
          <w:tab w:leader="none" w:pos="1880" w:val="left"/>
        </w:tabs>
        <w:rPr>
          <w:sz w:val="20"/>
          <w:szCs w:val="20"/>
          <w:color w:val="auto"/>
        </w:rPr>
      </w:pPr>
      <w:r>
        <w:rPr>
          <w:rFonts w:ascii="Arial" w:cs="Arial" w:eastAsia="Arial" w:hAnsi="Arial"/>
          <w:sz w:val="16"/>
          <w:szCs w:val="16"/>
          <w:color w:val="003082"/>
        </w:rPr>
        <w:t>153,920</w:t>
      </w:r>
      <w:r>
        <w:rPr>
          <w:sz w:val="20"/>
          <w:szCs w:val="20"/>
          <w:color w:val="auto"/>
        </w:rPr>
        <w:tab/>
      </w:r>
      <w:r>
        <w:rPr>
          <w:rFonts w:ascii="Arial" w:cs="Arial" w:eastAsia="Arial" w:hAnsi="Arial"/>
          <w:sz w:val="16"/>
          <w:szCs w:val="16"/>
          <w:color w:val="003082"/>
        </w:rPr>
        <w:t>168,349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63500</wp:posOffset>
            </wp:positionV>
            <wp:extent cx="20656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100" w:space="540"/>
            <w:col w:w="2600"/>
          </w:cols>
          <w:pgMar w:left="320" w:top="553" w:right="339" w:bottom="1440" w:gutter="0" w:footer="0" w:header="0"/>
          <w:type w:val="continuous"/>
        </w:sectPr>
      </w:pPr>
    </w:p>
    <w:p>
      <w:pPr>
        <w:spacing w:after="0" w:line="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The rental fee charged by a related party represented the costs charged from a company under common control of the Founder for a renewable one-year operating lease for an office facility used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17. Unaudited Pro Forma Earnings Per Share for Conversion of Convertible Redeemable Preferred Shares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003082"/>
        </w:rPr>
        <w:t>Immediately prior to the completion of a Qualified IPO, the Preferred Shares of the Company will be automatically converted into ordinary shares on a one-for-one basis.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03082"/>
        </w:rPr>
        <w:t>F-40</w:t>
      </w:r>
    </w:p>
    <w:p>
      <w:pPr>
        <w:sectPr>
          <w:pgSz w:w="11900" w:h="16838" w:orient="portrait"/>
          <w:cols w:equalWidth="0" w:num="1">
            <w:col w:w="11240"/>
          </w:cols>
          <w:pgMar w:left="320" w:top="553" w:right="339" w:bottom="1440" w:gutter="0" w:footer="0" w:header="0"/>
          <w:type w:val="continuous"/>
        </w:sectPr>
      </w:pPr>
    </w:p>
    <w:bookmarkStart w:id="249" w:name="page250"/>
    <w:bookmarkEnd w:id="249"/>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unaudited pro-forma basic and diluted earnings per share were computed to give effect to the automatic conversion of the Preferred Shares using the “if converted” method as if the conversion had occurred as of the beginning of the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003082"/>
                <w:w w:val="93"/>
              </w:rPr>
              <w:t>Year Ended December 31,</w:t>
            </w:r>
          </w:p>
        </w:tc>
      </w:tr>
      <w:tr>
        <w:trPr>
          <w:trHeight w:val="192"/>
        </w:trPr>
        <w:tc>
          <w:tcPr>
            <w:tcW w:w="9440" w:type="dxa"/>
            <w:vAlign w:val="bottom"/>
          </w:tcPr>
          <w:p>
            <w:pPr>
              <w:spacing w:after="0"/>
              <w:rPr>
                <w:sz w:val="16"/>
                <w:szCs w:val="16"/>
                <w:color w:val="auto"/>
              </w:rPr>
            </w:pPr>
          </w:p>
        </w:tc>
        <w:tc>
          <w:tcPr>
            <w:tcW w:w="340" w:type="dxa"/>
            <w:vAlign w:val="bottom"/>
            <w:tcBorders>
              <w:bottom w:val="single" w:sz="8" w:color="3D5588"/>
            </w:tcBorders>
          </w:tcPr>
          <w:p>
            <w:pPr>
              <w:spacing w:after="0"/>
              <w:rPr>
                <w:sz w:val="16"/>
                <w:szCs w:val="16"/>
                <w:color w:val="auto"/>
              </w:rPr>
            </w:pPr>
          </w:p>
        </w:tc>
        <w:tc>
          <w:tcPr>
            <w:tcW w:w="1460" w:type="dxa"/>
            <w:vAlign w:val="bottom"/>
            <w:tcBorders>
              <w:bottom w:val="single" w:sz="8" w:color="3D5588"/>
            </w:tcBorders>
          </w:tcPr>
          <w:p>
            <w:pPr>
              <w:jc w:val="center"/>
              <w:ind w:right="255"/>
              <w:spacing w:after="0"/>
              <w:rPr>
                <w:sz w:val="20"/>
                <w:szCs w:val="20"/>
                <w:color w:val="auto"/>
              </w:rPr>
            </w:pPr>
            <w:r>
              <w:rPr>
                <w:rFonts w:ascii="Arial" w:cs="Arial" w:eastAsia="Arial" w:hAnsi="Arial"/>
                <w:sz w:val="14"/>
                <w:szCs w:val="14"/>
                <w:b w:val="1"/>
                <w:bCs w:val="1"/>
                <w:color w:val="003082"/>
                <w:w w:val="89"/>
              </w:rPr>
              <w:t>2019</w:t>
            </w:r>
          </w:p>
        </w:tc>
      </w:tr>
      <w:tr>
        <w:trPr>
          <w:trHeight w:val="250"/>
        </w:trPr>
        <w:tc>
          <w:tcPr>
            <w:tcW w:w="9440" w:type="dxa"/>
            <w:vAlign w:val="bottom"/>
          </w:tcPr>
          <w:p>
            <w:pPr>
              <w:spacing w:after="0"/>
              <w:rPr>
                <w:sz w:val="21"/>
                <w:szCs w:val="21"/>
                <w:color w:val="auto"/>
              </w:rPr>
            </w:pPr>
          </w:p>
        </w:tc>
        <w:tc>
          <w:tcPr>
            <w:tcW w:w="340" w:type="dxa"/>
            <w:vAlign w:val="bottom"/>
            <w:tcBorders>
              <w:bottom w:val="single" w:sz="8" w:color="3D5588"/>
            </w:tcBorders>
          </w:tcPr>
          <w:p>
            <w:pPr>
              <w:spacing w:after="0"/>
              <w:rPr>
                <w:sz w:val="21"/>
                <w:szCs w:val="21"/>
                <w:color w:val="auto"/>
              </w:rPr>
            </w:pPr>
          </w:p>
        </w:tc>
        <w:tc>
          <w:tcPr>
            <w:tcW w:w="1460" w:type="dxa"/>
            <w:vAlign w:val="bottom"/>
            <w:tcBorders>
              <w:bottom w:val="single" w:sz="8" w:color="3D5588"/>
            </w:tcBorders>
          </w:tcPr>
          <w:p>
            <w:pPr>
              <w:jc w:val="center"/>
              <w:ind w:right="255"/>
              <w:spacing w:after="0"/>
              <w:rPr>
                <w:sz w:val="20"/>
                <w:szCs w:val="20"/>
                <w:color w:val="auto"/>
              </w:rPr>
            </w:pPr>
            <w:r>
              <w:rPr>
                <w:rFonts w:ascii="Arial" w:cs="Arial" w:eastAsia="Arial" w:hAnsi="Arial"/>
                <w:sz w:val="14"/>
                <w:szCs w:val="14"/>
                <w:color w:val="003082"/>
                <w:w w:val="92"/>
              </w:rPr>
              <w:t>(Unaudited)</w:t>
            </w:r>
          </w:p>
        </w:tc>
      </w:tr>
      <w:tr>
        <w:trPr>
          <w:trHeight w:val="250"/>
        </w:trPr>
        <w:tc>
          <w:tcPr>
            <w:tcW w:w="9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center"/>
              <w:ind w:right="255"/>
              <w:spacing w:after="0"/>
              <w:rPr>
                <w:sz w:val="20"/>
                <w:szCs w:val="20"/>
                <w:color w:val="auto"/>
              </w:rPr>
            </w:pPr>
            <w:r>
              <w:rPr>
                <w:rFonts w:ascii="Arial" w:cs="Arial" w:eastAsia="Arial" w:hAnsi="Arial"/>
                <w:sz w:val="14"/>
                <w:szCs w:val="14"/>
                <w:color w:val="003082"/>
                <w:w w:val="98"/>
              </w:rPr>
              <w:t>(US$)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Numerator:</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003082"/>
              </w:rPr>
              <w:t>Net loss attributable to Agora, Inc.’s ordinary shareholders</w:t>
            </w:r>
          </w:p>
        </w:tc>
        <w:tc>
          <w:tcPr>
            <w:tcW w:w="340" w:type="dxa"/>
            <w:vAlign w:val="bottom"/>
          </w:tcPr>
          <w:p>
            <w:pPr>
              <w:jc w:val="right"/>
              <w:ind w:right="135"/>
              <w:spacing w:after="0"/>
              <w:rPr>
                <w:sz w:val="20"/>
                <w:szCs w:val="20"/>
                <w:color w:val="auto"/>
              </w:rPr>
            </w:pPr>
            <w:r>
              <w:rPr>
                <w:rFonts w:ascii="Arial" w:cs="Arial" w:eastAsia="Arial" w:hAnsi="Arial"/>
                <w:sz w:val="18"/>
                <w:szCs w:val="18"/>
                <w:color w:val="003082"/>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003082"/>
              </w:rPr>
              <w:t>(66,853,864)</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 forma adjustment of conversion of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60,676,426</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003082"/>
              </w:rPr>
              <w:t>Numerator for pro forma basic and diluted earnings per share</w:t>
            </w:r>
          </w:p>
        </w:tc>
        <w:tc>
          <w:tcPr>
            <w:tcW w:w="340" w:type="dxa"/>
            <w:vAlign w:val="bottom"/>
            <w:tcBorders>
              <w:top w:val="single" w:sz="8" w:color="3D5588"/>
              <w:bottom w:val="single" w:sz="8" w:color="3D5588"/>
            </w:tcBorders>
          </w:tcPr>
          <w:p>
            <w:pPr>
              <w:jc w:val="right"/>
              <w:ind w:right="135"/>
              <w:spacing w:after="0"/>
              <w:rPr>
                <w:sz w:val="20"/>
                <w:szCs w:val="20"/>
                <w:color w:val="auto"/>
              </w:rPr>
            </w:pPr>
            <w:r>
              <w:rPr>
                <w:rFonts w:ascii="Arial" w:cs="Arial" w:eastAsia="Arial" w:hAnsi="Arial"/>
                <w:sz w:val="18"/>
                <w:szCs w:val="18"/>
                <w:color w:val="003082"/>
                <w:w w:val="99"/>
              </w:rPr>
              <w:t>$</w:t>
            </w:r>
          </w:p>
        </w:tc>
        <w:tc>
          <w:tcPr>
            <w:tcW w:w="14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(6,177,438)</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003082"/>
              </w:rPr>
              <w:t>Weighted-average number of ordinary shares outstanding</w:t>
            </w:r>
          </w:p>
        </w:tc>
        <w:tc>
          <w:tcPr>
            <w:tcW w:w="3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003082"/>
              </w:rPr>
              <w:t>115,716,392</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 forma effect of conversion of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167,855,481</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003082"/>
              </w:rPr>
              <w:t>Denominator for pro forma basic earnings per ordinary share</w:t>
            </w:r>
          </w:p>
        </w:tc>
        <w:tc>
          <w:tcPr>
            <w:tcW w:w="340" w:type="dxa"/>
            <w:vAlign w:val="bottom"/>
            <w:tcBorders>
              <w:top w:val="single" w:sz="8" w:color="3D5588"/>
              <w:bottom w:val="single" w:sz="8" w:color="3D5588"/>
            </w:tcBorders>
          </w:tcPr>
          <w:p>
            <w:pPr>
              <w:spacing w:after="0"/>
              <w:rPr>
                <w:sz w:val="24"/>
                <w:szCs w:val="24"/>
                <w:color w:val="auto"/>
              </w:rPr>
            </w:pPr>
          </w:p>
        </w:tc>
        <w:tc>
          <w:tcPr>
            <w:tcW w:w="146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283,571,873</w:t>
            </w:r>
          </w:p>
        </w:tc>
      </w:tr>
      <w:tr>
        <w:trPr>
          <w:trHeight w:val="251"/>
        </w:trPr>
        <w:tc>
          <w:tcPr>
            <w:tcW w:w="9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003082"/>
              </w:rPr>
              <w:t>Pro forma basic and diluted earnings per ordinary share:</w:t>
            </w:r>
          </w:p>
        </w:tc>
        <w:tc>
          <w:tcPr>
            <w:tcW w:w="340" w:type="dxa"/>
            <w:vAlign w:val="bottom"/>
            <w:tcBorders>
              <w:bottom w:val="single" w:sz="8" w:color="3D5588"/>
            </w:tcBorders>
            <w:shd w:val="clear" w:color="auto" w:fill="CCEEFF"/>
          </w:tcPr>
          <w:p>
            <w:pPr>
              <w:jc w:val="right"/>
              <w:ind w:right="135"/>
              <w:spacing w:after="0"/>
              <w:rPr>
                <w:sz w:val="20"/>
                <w:szCs w:val="20"/>
                <w:color w:val="auto"/>
              </w:rPr>
            </w:pPr>
            <w:r>
              <w:rPr>
                <w:rFonts w:ascii="Arial" w:cs="Arial" w:eastAsia="Arial" w:hAnsi="Arial"/>
                <w:sz w:val="18"/>
                <w:szCs w:val="18"/>
                <w:color w:val="003082"/>
                <w:w w:val="99"/>
              </w:rPr>
              <w:t>$</w:t>
            </w:r>
          </w:p>
        </w:tc>
        <w:tc>
          <w:tcPr>
            <w:tcW w:w="146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(0.02)</w:t>
            </w:r>
          </w:p>
        </w:tc>
      </w:tr>
      <w:tr>
        <w:trPr>
          <w:trHeight w:val="20"/>
        </w:trPr>
        <w:tc>
          <w:tcPr>
            <w:tcW w:w="944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46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effects of all outstanding share options and restricted shares have been excluded from the computation of pro forma diluted net loss per share for year ended December 31, 2019 as their effects would be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18. Subsequent Events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003082"/>
        </w:rPr>
        <w:t>On February 12, 2020, the Company issued an aggregate of 15,062,510 Series C+ Convertible Redeemable Preferred Shares (“Series C+ Preferred Shares”) for a total cash consideration of US$50,000,002. The key terms of the Series C+ Preferred Shares issued by the Company are as follows: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Optional Conversion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Each Series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Upon the closing of a Qualified IPO (as defined in the Company’s memorandum and articles of association), all outstanding Preferred Shares shall automatically be converted into Ordinary Shares, at the then effective conversion price.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Each holder of Series C+ Preferred Shares is entitled to cast the number of votes equal to the number of Ordinary Shares such Preferred Shares would be entitled to convert into at the then effective conversion price.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F-41</w:t>
      </w:r>
    </w:p>
    <w:p>
      <w:pPr>
        <w:sectPr>
          <w:pgSz w:w="11900" w:h="16838" w:orient="portrait"/>
          <w:cols w:equalWidth="0" w:num="1">
            <w:col w:w="11240"/>
          </w:cols>
          <w:pgMar w:left="320" w:top="553" w:right="3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Dividend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Each holder of Series C+ Preferred Shares is entitled to receive cumulative dividends out of any funds legally available of the Company, at the simple rate per annum of 8% of the Series C+ issue price, payable if and when declared by the board of directors, prior to any other shareholders receiving a dividend.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Prior to any other shareholders,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Redemption Right</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003082"/>
        </w:rPr>
        <w:t>The Series C+ Preferred Shares can be redeemed (1) at any time and from time to time commencing on the fifth anniversary of October 1, 2018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Preferred Shares is entitled to, by written request to the Company, request the Company to redeem all or part of the Series C+ Preferred Shares then outstanding held by such holder. The redemption request shall be given by hand or by mail to the registered office of the Company at least 60 days prior to the date set forth therein on which the Series C+ Preferred Shares are to be redeemed.</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Group has performed an evaluation of subsequent events through March 9, 2020 which is the date the consolidated financial statements were available to be issued, with no other material events or transactions identified that should have been recorded or disclosed in the consolidated financial statements.</w:t>
      </w:r>
    </w:p>
    <w:p>
      <w:pPr>
        <w:spacing w:after="0" w:line="234"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8"/>
          <w:szCs w:val="18"/>
          <w:b w:val="1"/>
          <w:bCs w:val="1"/>
          <w:color w:val="003082"/>
        </w:rPr>
      </w:pPr>
      <w:r>
        <w:rPr>
          <w:rFonts w:ascii="Arial" w:cs="Arial" w:eastAsia="Arial" w:hAnsi="Arial"/>
          <w:sz w:val="18"/>
          <w:szCs w:val="18"/>
          <w:b w:val="1"/>
          <w:bCs w:val="1"/>
          <w:color w:val="003082"/>
        </w:rPr>
        <w:t>Subsequent Events (Unaudited)</w:t>
      </w:r>
    </w:p>
    <w:p>
      <w:pPr>
        <w:spacing w:after="0" w:line="175" w:lineRule="exact"/>
        <w:rPr>
          <w:rFonts w:ascii="Arial" w:cs="Arial" w:eastAsia="Arial" w:hAnsi="Arial"/>
          <w:sz w:val="18"/>
          <w:szCs w:val="18"/>
          <w:b w:val="1"/>
          <w:bCs w:val="1"/>
          <w:color w:val="003082"/>
        </w:rPr>
      </w:pPr>
    </w:p>
    <w:p>
      <w:pPr>
        <w:jc w:val="both"/>
        <w:ind w:firstLine="332"/>
        <w:spacing w:after="0" w:line="263" w:lineRule="auto"/>
        <w:tabs>
          <w:tab w:leader="none" w:pos="574" w:val="left"/>
        </w:tabs>
        <w:numPr>
          <w:ilvl w:val="1"/>
          <w:numId w:val="132"/>
        </w:numPr>
        <w:rPr>
          <w:rFonts w:ascii="Arial" w:cs="Arial" w:eastAsia="Arial" w:hAnsi="Arial"/>
          <w:sz w:val="18"/>
          <w:szCs w:val="18"/>
          <w:color w:val="003082"/>
        </w:rPr>
      </w:pPr>
      <w:r>
        <w:rPr>
          <w:rFonts w:ascii="Arial" w:cs="Arial" w:eastAsia="Arial" w:hAnsi="Arial"/>
          <w:sz w:val="18"/>
          <w:szCs w:val="18"/>
          <w:color w:val="003082"/>
        </w:rPr>
        <w:t>On March 27, 2020, the Coronavirus Aid, Relief and Economic Security Act (the “Cares Act”) was enacted in the United States to provide certain tax incentives with the aim of mitigating the related economic harm caused to businesses. The Company is currently evaluating the benefit these tax incentives might have on its consolidated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F-42</w:t>
      </w:r>
    </w:p>
    <w:p>
      <w:pPr>
        <w:sectPr>
          <w:pgSz w:w="11900" w:h="16838" w:orient="portrait"/>
          <w:cols w:equalWidth="0" w:num="1">
            <w:col w:w="11240"/>
          </w:cols>
          <w:pgMar w:left="320" w:top="553" w:right="339"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11" w:lineRule="exact"/>
        <w:rPr>
          <w:sz w:val="20"/>
          <w:szCs w:val="20"/>
          <w:color w:val="auto"/>
        </w:rPr>
      </w:pPr>
    </w:p>
    <w:p>
      <w:pPr>
        <w:jc w:val="both"/>
        <w:ind w:firstLine="332"/>
        <w:spacing w:after="0" w:line="272" w:lineRule="auto"/>
        <w:tabs>
          <w:tab w:leader="none" w:pos="579" w:val="left"/>
        </w:tabs>
        <w:numPr>
          <w:ilvl w:val="1"/>
          <w:numId w:val="133"/>
        </w:numPr>
        <w:rPr>
          <w:rFonts w:ascii="Arial" w:cs="Arial" w:eastAsia="Arial" w:hAnsi="Arial"/>
          <w:sz w:val="17"/>
          <w:szCs w:val="17"/>
          <w:color w:val="003082"/>
        </w:rPr>
      </w:pPr>
      <w:r>
        <w:rPr>
          <w:rFonts w:ascii="Arial" w:cs="Arial" w:eastAsia="Arial" w:hAnsi="Arial"/>
          <w:sz w:val="17"/>
          <w:szCs w:val="17"/>
          <w:color w:val="003082"/>
        </w:rPr>
        <w:t>As of June 19, 2020, the board of directors adopted and the shareholders approved (i) that immediately prior to the completion of the Company’s offering, the Company’s share capital structure will be changed to reflect the designation of the Class A and Class B ordinary shares. Class A ordinary shares and Class B ordinary shares will have the same rights except for voting and conversion rights. Each Class A ordinary share is entitled to one vote, and each Class B ordinary share is entitled to 20 votes and is convertible into one Class A ordinary share; (ii) the Global Equity Incentive Plan (the “Global Plan”), which will become effective one business day prior to the Company’s F-1 registration statement becoming effective. Under the Global Plan, the maximum aggregate number of Class A ordinary shares available for issuance shall initially be 16,000,000; and (iii) the Employee Stock Purchase Plan (the “ESPP”). A total of 3,000,000 Class A ordinary shares will be available for sale under the ESPP.</w:t>
      </w:r>
    </w:p>
    <w:p>
      <w:pPr>
        <w:spacing w:after="0" w:line="227" w:lineRule="exact"/>
        <w:rPr>
          <w:rFonts w:ascii="Arial" w:cs="Arial" w:eastAsia="Arial" w:hAnsi="Arial"/>
          <w:sz w:val="17"/>
          <w:szCs w:val="17"/>
          <w:color w:val="003082"/>
        </w:rPr>
      </w:pPr>
    </w:p>
    <w:p>
      <w:pPr>
        <w:ind w:left="280" w:hanging="272"/>
        <w:spacing w:after="0"/>
        <w:tabs>
          <w:tab w:leader="none" w:pos="280" w:val="left"/>
        </w:tabs>
        <w:numPr>
          <w:ilvl w:val="0"/>
          <w:numId w:val="134"/>
        </w:numPr>
        <w:rPr>
          <w:rFonts w:ascii="Arial" w:cs="Arial" w:eastAsia="Arial" w:hAnsi="Arial"/>
          <w:sz w:val="18"/>
          <w:szCs w:val="18"/>
          <w:b w:val="1"/>
          <w:bCs w:val="1"/>
          <w:color w:val="003082"/>
        </w:rPr>
      </w:pPr>
      <w:r>
        <w:rPr>
          <w:rFonts w:ascii="Arial" w:cs="Arial" w:eastAsia="Arial" w:hAnsi="Arial"/>
          <w:sz w:val="18"/>
          <w:szCs w:val="18"/>
          <w:b w:val="1"/>
          <w:bCs w:val="1"/>
          <w:color w:val="003082"/>
        </w:rPr>
        <w:t>Restricted Net Assets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As of December 31, 2018 and 2019, the total restricted net assets of the Company’s subsidiary and the VIE incorporated in PRC and subjected to restriction amounted to approximately US$14,834,635 and US$22,691,472,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F-43</w:t>
      </w:r>
    </w:p>
    <w:p>
      <w:pPr>
        <w:sectPr>
          <w:pgSz w:w="11900" w:h="16838" w:orient="portrait"/>
          <w:cols w:equalWidth="0" w:num="1">
            <w:col w:w="11240"/>
          </w:cols>
          <w:pgMar w:left="320" w:top="553" w:right="3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color w:val="003082"/>
        </w:rPr>
        <w:t>ADDITIONAL INFORMATION: CONDENSED FINANCIAL STATEMENTS OF PARENT COMPANY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following condensed financial statements of the Parent Company have been prepared using the same accounting policies as set out in the Company’s consolidated financial statements except that the Parent Company used the equity method to account for its investment in its subsidiaries and the VIE. Such investment is presented on the separate condensed balance sheets of the Parent Company as “Investments in subsidiaries and VIE”. The Parent Company, its subsidiaries and the VIE were included in the consolidated financial statements whereby the inter-company balances and transactions were eliminated upon consolidation. The Parent Company’s share of income from its subsidiaries and the VIE is reported as equity in income of subsidiaries and the VIE in the condensed financial statements.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Parent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F-44</w:t>
      </w:r>
    </w:p>
    <w:p>
      <w:pPr>
        <w:sectPr>
          <w:pgSz w:w="11900" w:h="16838" w:orient="portrait"/>
          <w:cols w:equalWidth="0" w:num="1">
            <w:col w:w="11240"/>
          </w:cols>
          <w:pgMar w:left="320" w:top="445" w:right="3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b w:val="1"/>
          <w:bCs w:val="1"/>
          <w:color w:val="003082"/>
        </w:rPr>
        <w:t>Condensed Financial Information of the Parent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931"/>
              <w:spacing w:after="0"/>
              <w:rPr>
                <w:sz w:val="20"/>
                <w:szCs w:val="20"/>
                <w:color w:val="auto"/>
              </w:rPr>
            </w:pPr>
            <w:r>
              <w:rPr>
                <w:rFonts w:ascii="Arial" w:cs="Arial" w:eastAsia="Arial" w:hAnsi="Arial"/>
                <w:sz w:val="14"/>
                <w:szCs w:val="14"/>
                <w:b w:val="1"/>
                <w:bCs w:val="1"/>
                <w:color w:val="003082"/>
              </w:rPr>
              <w:t>As of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00" w:type="dxa"/>
            <w:vAlign w:val="bottom"/>
            <w:tcBorders>
              <w:bottom w:val="single" w:sz="8" w:color="3D5588"/>
            </w:tcBorders>
          </w:tcPr>
          <w:p>
            <w:pPr>
              <w:spacing w:after="0"/>
              <w:rPr>
                <w:sz w:val="22"/>
                <w:szCs w:val="22"/>
                <w:color w:val="auto"/>
              </w:rPr>
            </w:pPr>
          </w:p>
        </w:tc>
        <w:tc>
          <w:tcPr>
            <w:tcW w:w="1260" w:type="dxa"/>
            <w:vAlign w:val="bottom"/>
            <w:tcBorders>
              <w:bottom w:val="single" w:sz="8" w:color="3D5588"/>
            </w:tcBorders>
          </w:tcPr>
          <w:p>
            <w:pPr>
              <w:jc w:val="right"/>
              <w:ind w:right="551"/>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4"/>
                <w:szCs w:val="14"/>
                <w:color w:val="003082"/>
              </w:rPr>
              <w:t>(US$)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Current assets: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30,503,879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85,858,429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current assets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rPr>
              <w:t>30,503,879</w:t>
            </w:r>
          </w:p>
        </w:tc>
        <w:tc>
          <w:tcPr>
            <w:tcW w:w="120" w:type="dxa"/>
            <w:vAlign w:val="bottom"/>
          </w:tcPr>
          <w:p>
            <w:pPr>
              <w:spacing w:after="0"/>
              <w:rPr>
                <w:sz w:val="20"/>
                <w:szCs w:val="20"/>
                <w:color w:val="auto"/>
              </w:rPr>
            </w:pPr>
          </w:p>
        </w:tc>
        <w:tc>
          <w:tcPr>
            <w:tcW w:w="300" w:type="dxa"/>
            <w:vAlign w:val="bottom"/>
            <w:tcBorders>
              <w:top w:val="single" w:sz="8" w:color="3D5588"/>
            </w:tcBorders>
          </w:tcPr>
          <w:p>
            <w:pPr>
              <w:spacing w:after="0"/>
              <w:rPr>
                <w:sz w:val="20"/>
                <w:szCs w:val="20"/>
                <w:color w:val="auto"/>
              </w:rPr>
            </w:pPr>
          </w:p>
        </w:tc>
        <w:tc>
          <w:tcPr>
            <w:tcW w:w="126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85,858,429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Investments in subsidiaries and the VIE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95,926,958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92,591,336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Amounts due from related parties</w:t>
            </w:r>
          </w:p>
        </w:tc>
        <w:tc>
          <w:tcPr>
            <w:tcW w:w="3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9,782,695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003082"/>
              </w:rPr>
              <w:t>28,282,695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assets</w:t>
            </w:r>
          </w:p>
        </w:tc>
        <w:tc>
          <w:tcPr>
            <w:tcW w:w="360" w:type="dxa"/>
            <w:vAlign w:val="bottom"/>
            <w:tcBorders>
              <w:bottom w:val="single" w:sz="8" w:color="3D5588"/>
            </w:tcBorders>
            <w:shd w:val="clear" w:color="auto" w:fill="CCEEFF"/>
          </w:tcPr>
          <w:p>
            <w:pPr>
              <w:spacing w:after="0"/>
              <w:rPr>
                <w:sz w:val="22"/>
                <w:szCs w:val="22"/>
                <w:color w:val="auto"/>
              </w:rPr>
            </w:pPr>
          </w:p>
        </w:tc>
        <w:tc>
          <w:tcPr>
            <w:tcW w:w="122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rPr>
              <w:t>136,213,532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3D5588"/>
            </w:tcBorders>
            <w:shd w:val="clear" w:color="auto" w:fill="CCEEFF"/>
          </w:tcPr>
          <w:p>
            <w:pPr>
              <w:spacing w:after="0"/>
              <w:rPr>
                <w:sz w:val="22"/>
                <w:szCs w:val="22"/>
                <w:color w:val="auto"/>
              </w:rPr>
            </w:pPr>
          </w:p>
        </w:tc>
        <w:tc>
          <w:tcPr>
            <w:tcW w:w="1260" w:type="dxa"/>
            <w:vAlign w:val="bottom"/>
            <w:tcBorders>
              <w:bottom w:val="single" w:sz="8" w:color="3D5588"/>
            </w:tcBorders>
            <w:shd w:val="clear" w:color="auto" w:fill="CCEEFF"/>
          </w:tcPr>
          <w:p>
            <w:pPr>
              <w:jc w:val="right"/>
              <w:ind w:right="11"/>
              <w:spacing w:after="0"/>
              <w:rPr>
                <w:sz w:val="20"/>
                <w:szCs w:val="20"/>
                <w:color w:val="auto"/>
              </w:rPr>
            </w:pPr>
            <w:r>
              <w:rPr>
                <w:rFonts w:ascii="Arial" w:cs="Arial" w:eastAsia="Arial" w:hAnsi="Arial"/>
                <w:sz w:val="18"/>
                <w:szCs w:val="18"/>
                <w:color w:val="003082"/>
              </w:rPr>
              <w:t>206,732,460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003082"/>
              </w:rPr>
              <w:t>Liabilities, Mezzanine equity and Shareholders’ deficit</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3D5588"/>
            </w:tcBorders>
          </w:tcPr>
          <w:p>
            <w:pPr>
              <w:spacing w:after="0" w:line="20" w:lineRule="exact"/>
              <w:rPr>
                <w:sz w:val="1"/>
                <w:szCs w:val="1"/>
                <w:color w:val="auto"/>
              </w:rPr>
            </w:pPr>
          </w:p>
        </w:tc>
        <w:tc>
          <w:tcPr>
            <w:tcW w:w="12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Amounts due to related parties</w:t>
            </w:r>
          </w:p>
        </w:tc>
        <w:tc>
          <w:tcPr>
            <w:tcW w:w="3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20,200,066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003082"/>
              </w:rPr>
              <w:t>94,054,616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20,200,066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94,054,616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Mezzanine equity:</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3D5588"/>
            </w:tcBorders>
          </w:tcPr>
          <w:p>
            <w:pPr>
              <w:spacing w:after="0"/>
              <w:rPr>
                <w:sz w:val="20"/>
                <w:szCs w:val="20"/>
                <w:color w:val="auto"/>
              </w:rPr>
            </w:pPr>
          </w:p>
        </w:tc>
        <w:tc>
          <w:tcPr>
            <w:tcW w:w="1260" w:type="dxa"/>
            <w:vAlign w:val="bottom"/>
            <w:tcBorders>
              <w:top w:val="single" w:sz="8" w:color="3D5588"/>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003082"/>
                <w:w w:val="90"/>
              </w:rPr>
              <w:t>Series A convertible redeemable preferred shares ($0.0001 par value, 55,626,960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003082"/>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45,578,868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90,049,774</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003082"/>
                <w:w w:val="90"/>
              </w:rPr>
              <w:t>Series B convertible redeemable preferred shares ($0.0001 par value, 50,783,698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003082"/>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29,955,293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003082"/>
              </w:rPr>
              <w:t>30,045,929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003082"/>
                <w:w w:val="89"/>
              </w:rPr>
              <w:t>Series B+ convertible redeemable preferred shares ($0.0001 par value, 26,651,410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003082"/>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45,876,440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46,274,560</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003082"/>
                <w:w w:val="96"/>
              </w:rPr>
              <w:t>Series C convertible redeemable preferred shares ($0.0001 par value, 36,533,085 shares authorized,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003082"/>
              </w:rPr>
              <w:t>34,793,413 issued 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67,844,843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003082"/>
              </w:rPr>
              <w:t>73,600,134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of mezzanine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189,255,444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239,970,397</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Shareholders’ deficit:</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3D5588"/>
            </w:tcBorders>
          </w:tcPr>
          <w:p>
            <w:pPr>
              <w:spacing w:after="0"/>
              <w:rPr>
                <w:sz w:val="20"/>
                <w:szCs w:val="20"/>
                <w:color w:val="auto"/>
              </w:rPr>
            </w:pPr>
          </w:p>
        </w:tc>
        <w:tc>
          <w:tcPr>
            <w:tcW w:w="1260" w:type="dxa"/>
            <w:vAlign w:val="bottom"/>
            <w:tcBorders>
              <w:top w:val="single" w:sz="8" w:color="3D5588"/>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003082"/>
                <w:w w:val="93"/>
              </w:rPr>
              <w:t>Ordinary shares ($0.0001 par value; 330,404,847 shares authorized as of December 31, 2018 and 2019;</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003082"/>
                <w:w w:val="97"/>
              </w:rPr>
              <w:t>112,441,049 and 119,074,382 shares issued and outstanding as of December 31, 2018 and 2019,</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003082"/>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11,244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11,907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Additional paid-in-capital</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(630,334)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(988,417)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Accumulated deficit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(72,622,888)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3082"/>
              </w:rPr>
              <w:t>(126,316,043)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shareholders’ deficit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(73,241,978)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(127,292,553)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Total liabilities, mezzanine equity and shareholders’ deficit</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rPr>
              <w:t>136,213,532</w:t>
            </w:r>
          </w:p>
        </w:tc>
        <w:tc>
          <w:tcPr>
            <w:tcW w:w="120" w:type="dxa"/>
            <w:vAlign w:val="bottom"/>
          </w:tcPr>
          <w:p>
            <w:pPr>
              <w:spacing w:after="0"/>
              <w:rPr>
                <w:sz w:val="22"/>
                <w:szCs w:val="22"/>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ind w:right="11"/>
              <w:spacing w:after="0"/>
              <w:rPr>
                <w:sz w:val="20"/>
                <w:szCs w:val="20"/>
                <w:color w:val="auto"/>
              </w:rPr>
            </w:pPr>
            <w:r>
              <w:rPr>
                <w:rFonts w:ascii="Arial" w:cs="Arial" w:eastAsia="Arial" w:hAnsi="Arial"/>
                <w:sz w:val="18"/>
                <w:szCs w:val="18"/>
                <w:color w:val="003082"/>
              </w:rPr>
              <w:t>206,732,460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460"/>
              <w:spacing w:after="0"/>
              <w:rPr>
                <w:sz w:val="20"/>
                <w:szCs w:val="20"/>
                <w:color w:val="auto"/>
              </w:rPr>
            </w:pPr>
            <w:r>
              <w:rPr>
                <w:rFonts w:ascii="Arial" w:cs="Arial" w:eastAsia="Arial" w:hAnsi="Arial"/>
                <w:sz w:val="18"/>
                <w:szCs w:val="18"/>
                <w:color w:val="003082"/>
              </w:rPr>
              <w:t>F-45</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3D5588"/>
            </w:tcBorders>
          </w:tcPr>
          <w:p>
            <w:pPr>
              <w:spacing w:after="0" w:line="20" w:lineRule="exact"/>
              <w:rPr>
                <w:sz w:val="1"/>
                <w:szCs w:val="1"/>
                <w:color w:val="auto"/>
              </w:rPr>
            </w:pPr>
          </w:p>
        </w:tc>
        <w:tc>
          <w:tcPr>
            <w:tcW w:w="12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254" w:name="page255"/>
    <w:bookmarkEnd w:id="254"/>
    <w:p>
      <w:pPr>
        <w:ind w:left="340"/>
        <w:spacing w:after="0"/>
        <w:rPr>
          <w:sz w:val="20"/>
          <w:szCs w:val="20"/>
          <w:color w:val="auto"/>
        </w:rPr>
      </w:pPr>
      <w:r>
        <w:rPr>
          <w:rFonts w:ascii="Arial" w:cs="Arial" w:eastAsia="Arial" w:hAnsi="Arial"/>
          <w:sz w:val="18"/>
          <w:szCs w:val="18"/>
          <w:b w:val="1"/>
          <w:bCs w:val="1"/>
          <w:i w:val="1"/>
          <w:iCs w:val="1"/>
          <w:color w:val="003082"/>
        </w:rPr>
        <w:t>Statements of Comprehensive Income (Loss)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center"/>
              <w:ind w:right="252"/>
              <w:spacing w:after="0"/>
              <w:rPr>
                <w:sz w:val="20"/>
                <w:szCs w:val="20"/>
                <w:color w:val="auto"/>
              </w:rPr>
            </w:pPr>
            <w:r>
              <w:rPr>
                <w:rFonts w:ascii="Arial" w:cs="Arial" w:eastAsia="Arial" w:hAnsi="Arial"/>
                <w:sz w:val="14"/>
                <w:szCs w:val="14"/>
                <w:b w:val="1"/>
                <w:bCs w:val="1"/>
                <w:color w:val="003082"/>
                <w:w w:val="93"/>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4"/>
                <w:szCs w:val="14"/>
                <w:color w:val="003082"/>
                <w:w w:val="92"/>
              </w:rPr>
              <w:t>(US$)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152,273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Income from operations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152,273</w:t>
            </w:r>
          </w:p>
        </w:tc>
        <w:tc>
          <w:tcPr>
            <w:tcW w:w="12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Equity in income of subsidiaries and the VIE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223,843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(6,177,438)</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Income (loss) before income taxes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376,116</w:t>
            </w:r>
          </w:p>
        </w:tc>
        <w:tc>
          <w:tcPr>
            <w:tcW w:w="12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Net income (loss)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376,116</w:t>
            </w:r>
          </w:p>
        </w:tc>
        <w:tc>
          <w:tcPr>
            <w:tcW w:w="12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Less: cumulative undeclared 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(9,961,473)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(9,961,473)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Less: accretion on convertible redeemable preferred shares to redemption value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(33,234,811)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(50,714,953)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loss attributable to ordinary shareholders</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(42,820,168)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(66,853,864)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003082"/>
              </w:rPr>
              <w:t>Other comprehensive loss:</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Foreign currency translation adjustment, net of nil tax</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(749,030)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(358,083)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Total comprehensive loss attributable to Agora, Inc.’s ordinary shareholders</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(43,569,198)</w:t>
            </w:r>
          </w:p>
        </w:tc>
        <w:tc>
          <w:tcPr>
            <w:tcW w:w="120" w:type="dxa"/>
            <w:vAlign w:val="bottom"/>
          </w:tcPr>
          <w:p>
            <w:pPr>
              <w:spacing w:after="0"/>
              <w:rPr>
                <w:sz w:val="22"/>
                <w:szCs w:val="22"/>
                <w:color w:val="auto"/>
              </w:rPr>
            </w:pP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(67,211,947)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003082"/>
              </w:rPr>
              <w:t>Statements of Cash Flows</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60" w:type="dxa"/>
            <w:vAlign w:val="bottom"/>
            <w:tcBorders>
              <w:bottom w:val="single" w:sz="8" w:color="3D5588"/>
            </w:tcBorders>
          </w:tcPr>
          <w:p>
            <w:pPr>
              <w:spacing w:after="0"/>
              <w:rPr>
                <w:sz w:val="24"/>
                <w:szCs w:val="24"/>
                <w:color w:val="auto"/>
              </w:rPr>
            </w:pPr>
          </w:p>
        </w:tc>
        <w:tc>
          <w:tcPr>
            <w:tcW w:w="2900" w:type="dxa"/>
            <w:vAlign w:val="bottom"/>
            <w:tcBorders>
              <w:bottom w:val="single" w:sz="8" w:color="3D5588"/>
            </w:tcBorders>
            <w:gridSpan w:val="4"/>
          </w:tcPr>
          <w:p>
            <w:pPr>
              <w:jc w:val="center"/>
              <w:ind w:right="252"/>
              <w:spacing w:after="0"/>
              <w:rPr>
                <w:sz w:val="20"/>
                <w:szCs w:val="20"/>
                <w:color w:val="auto"/>
              </w:rPr>
            </w:pPr>
            <w:r>
              <w:rPr>
                <w:rFonts w:ascii="Arial" w:cs="Arial" w:eastAsia="Arial" w:hAnsi="Arial"/>
                <w:sz w:val="14"/>
                <w:szCs w:val="14"/>
                <w:b w:val="1"/>
                <w:bCs w:val="1"/>
                <w:color w:val="003082"/>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2018</w:t>
            </w:r>
          </w:p>
        </w:tc>
        <w:tc>
          <w:tcPr>
            <w:tcW w:w="120" w:type="dxa"/>
            <w:vAlign w:val="bottom"/>
            <w:tcBorders>
              <w:bottom w:val="single" w:sz="8" w:color="3D5588"/>
            </w:tcBorders>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4"/>
                <w:szCs w:val="14"/>
                <w:color w:val="003082"/>
                <w:w w:val="92"/>
              </w:rPr>
              <w:t>(US$)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152,273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cash (used in) provided by investing activities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(5,899,959)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003082"/>
              </w:rPr>
              <w:t>55,354,550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Net (decrease) increase in cash and cash equivalents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(5,747,686)</w:t>
            </w:r>
          </w:p>
        </w:tc>
        <w:tc>
          <w:tcPr>
            <w:tcW w:w="120" w:type="dxa"/>
            <w:vAlign w:val="bottom"/>
          </w:tcPr>
          <w:p>
            <w:pPr>
              <w:spacing w:after="0"/>
              <w:rPr>
                <w:sz w:val="20"/>
                <w:szCs w:val="20"/>
                <w:color w:val="auto"/>
              </w:rPr>
            </w:pPr>
          </w:p>
        </w:tc>
        <w:tc>
          <w:tcPr>
            <w:tcW w:w="36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55,354,550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cash equivalents and restricted cash,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36,251,565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30,503,879</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Cash, cash equivalents and restricted cash, end of year</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30,503,879</w:t>
            </w:r>
          </w:p>
        </w:tc>
        <w:tc>
          <w:tcPr>
            <w:tcW w:w="120" w:type="dxa"/>
            <w:vAlign w:val="bottom"/>
          </w:tcPr>
          <w:p>
            <w:pPr>
              <w:spacing w:after="0"/>
              <w:rPr>
                <w:sz w:val="22"/>
                <w:szCs w:val="22"/>
                <w:color w:val="auto"/>
              </w:rPr>
            </w:pP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00" w:type="dxa"/>
            <w:vAlign w:val="bottom"/>
            <w:tcBorders>
              <w:top w:val="single" w:sz="8" w:color="3D5588"/>
              <w:bottom w:val="single" w:sz="8" w:color="3D5588"/>
            </w:tcBorders>
          </w:tcPr>
          <w:p>
            <w:pPr>
              <w:jc w:val="right"/>
              <w:ind w:right="12"/>
              <w:spacing w:after="0"/>
              <w:rPr>
                <w:sz w:val="20"/>
                <w:szCs w:val="20"/>
                <w:color w:val="auto"/>
              </w:rPr>
            </w:pPr>
            <w:r>
              <w:rPr>
                <w:rFonts w:ascii="Arial" w:cs="Arial" w:eastAsia="Arial" w:hAnsi="Arial"/>
                <w:sz w:val="18"/>
                <w:szCs w:val="18"/>
                <w:color w:val="003082"/>
              </w:rPr>
              <w:t>85,858,429</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460"/>
              <w:spacing w:after="0"/>
              <w:rPr>
                <w:sz w:val="20"/>
                <w:szCs w:val="20"/>
                <w:color w:val="auto"/>
              </w:rPr>
            </w:pPr>
            <w:r>
              <w:rPr>
                <w:rFonts w:ascii="Arial" w:cs="Arial" w:eastAsia="Arial" w:hAnsi="Arial"/>
                <w:sz w:val="18"/>
                <w:szCs w:val="18"/>
                <w:color w:val="003082"/>
              </w:rPr>
              <w:t>F-46</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9" w:right="339" w:bottom="1440" w:gutter="0" w:footer="0" w:header="0"/>
        </w:sectPr>
      </w:pPr>
    </w:p>
    <w:bookmarkStart w:id="255" w:name="page256"/>
    <w:bookmarkEnd w:id="255"/>
    <w:p>
      <w:pPr>
        <w:jc w:val="center"/>
        <w:ind w:right="40"/>
        <w:spacing w:after="0"/>
        <w:rPr>
          <w:sz w:val="20"/>
          <w:szCs w:val="20"/>
          <w:color w:val="auto"/>
        </w:rPr>
      </w:pPr>
      <w:r>
        <w:rPr>
          <w:rFonts w:ascii="Arial" w:cs="Arial" w:eastAsia="Arial" w:hAnsi="Arial"/>
          <w:sz w:val="18"/>
          <w:szCs w:val="18"/>
          <w:b w:val="1"/>
          <w:bCs w:val="1"/>
          <w:color w:val="003082"/>
        </w:rPr>
        <w:t>INDEX TO UNAUDITED INTERIM CONDENSED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4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3082"/>
              </w:rPr>
              <w:t>Page</w:t>
            </w:r>
          </w:p>
        </w:tc>
      </w:tr>
      <w:tr>
        <w:trPr>
          <w:trHeight w:val="243"/>
        </w:trPr>
        <w:tc>
          <w:tcPr>
            <w:tcW w:w="10640" w:type="dxa"/>
            <w:vAlign w:val="bottom"/>
          </w:tcPr>
          <w:p>
            <w:pPr>
              <w:spacing w:after="0"/>
              <w:rPr>
                <w:rFonts w:ascii="Arial" w:cs="Arial" w:eastAsia="Arial" w:hAnsi="Arial"/>
                <w:sz w:val="18"/>
                <w:szCs w:val="18"/>
                <w:color w:val="3D5588"/>
              </w:rPr>
            </w:pPr>
            <w:hyperlink w:anchor="page257">
              <w:r>
                <w:rPr>
                  <w:rFonts w:ascii="Arial" w:cs="Arial" w:eastAsia="Arial" w:hAnsi="Arial"/>
                  <w:sz w:val="18"/>
                  <w:szCs w:val="18"/>
                  <w:color w:val="3D5588"/>
                </w:rPr>
                <w:t>Unaudited Interim Condensed Consolidated Balance Sheets</w:t>
              </w:r>
            </w:hyperlink>
          </w:p>
        </w:tc>
        <w:tc>
          <w:tcPr>
            <w:tcW w:w="560" w:type="dxa"/>
            <w:vAlign w:val="bottom"/>
          </w:tcPr>
          <w:p>
            <w:pPr>
              <w:jc w:val="right"/>
              <w:spacing w:after="0"/>
              <w:rPr>
                <w:rFonts w:ascii="Arial" w:cs="Arial" w:eastAsia="Arial" w:hAnsi="Arial"/>
                <w:sz w:val="18"/>
                <w:szCs w:val="18"/>
                <w:color w:val="3D5588"/>
              </w:rPr>
            </w:pPr>
            <w:hyperlink w:anchor="page257">
              <w:r>
                <w:rPr>
                  <w:rFonts w:ascii="Arial" w:cs="Arial" w:eastAsia="Arial" w:hAnsi="Arial"/>
                  <w:sz w:val="18"/>
                  <w:szCs w:val="18"/>
                  <w:color w:val="3D5588"/>
                </w:rPr>
                <w:t>F-48</w:t>
              </w:r>
            </w:hyperlink>
          </w:p>
        </w:tc>
      </w:tr>
      <w:tr>
        <w:trPr>
          <w:trHeight w:val="270"/>
        </w:trPr>
        <w:tc>
          <w:tcPr>
            <w:tcW w:w="10640" w:type="dxa"/>
            <w:vAlign w:val="bottom"/>
          </w:tcPr>
          <w:p>
            <w:pPr>
              <w:spacing w:after="0"/>
              <w:rPr>
                <w:rFonts w:ascii="Arial" w:cs="Arial" w:eastAsia="Arial" w:hAnsi="Arial"/>
                <w:sz w:val="18"/>
                <w:szCs w:val="18"/>
                <w:color w:val="3D5588"/>
              </w:rPr>
            </w:pPr>
            <w:hyperlink w:anchor="page259">
              <w:r>
                <w:rPr>
                  <w:rFonts w:ascii="Arial" w:cs="Arial" w:eastAsia="Arial" w:hAnsi="Arial"/>
                  <w:sz w:val="18"/>
                  <w:szCs w:val="18"/>
                  <w:color w:val="3D5588"/>
                </w:rPr>
                <w:t>Unaudited Interim Condensed Consolidated Statements of Comprehensive Income (Loss)</w:t>
              </w:r>
            </w:hyperlink>
          </w:p>
        </w:tc>
        <w:tc>
          <w:tcPr>
            <w:tcW w:w="560" w:type="dxa"/>
            <w:vAlign w:val="bottom"/>
          </w:tcPr>
          <w:p>
            <w:pPr>
              <w:jc w:val="right"/>
              <w:spacing w:after="0"/>
              <w:rPr>
                <w:rFonts w:ascii="Arial" w:cs="Arial" w:eastAsia="Arial" w:hAnsi="Arial"/>
                <w:sz w:val="18"/>
                <w:szCs w:val="18"/>
                <w:color w:val="3D5588"/>
              </w:rPr>
            </w:pPr>
            <w:hyperlink w:anchor="page259">
              <w:r>
                <w:rPr>
                  <w:rFonts w:ascii="Arial" w:cs="Arial" w:eastAsia="Arial" w:hAnsi="Arial"/>
                  <w:sz w:val="18"/>
                  <w:szCs w:val="18"/>
                  <w:color w:val="3D5588"/>
                </w:rPr>
                <w:t>F-50</w:t>
              </w:r>
            </w:hyperlink>
          </w:p>
        </w:tc>
      </w:tr>
      <w:tr>
        <w:trPr>
          <w:trHeight w:val="270"/>
        </w:trPr>
        <w:tc>
          <w:tcPr>
            <w:tcW w:w="10640" w:type="dxa"/>
            <w:vAlign w:val="bottom"/>
          </w:tcPr>
          <w:p>
            <w:pPr>
              <w:spacing w:after="0"/>
              <w:rPr>
                <w:rFonts w:ascii="Arial" w:cs="Arial" w:eastAsia="Arial" w:hAnsi="Arial"/>
                <w:sz w:val="18"/>
                <w:szCs w:val="18"/>
                <w:color w:val="3D5588"/>
              </w:rPr>
            </w:pPr>
            <w:hyperlink w:anchor="page260">
              <w:r>
                <w:rPr>
                  <w:rFonts w:ascii="Arial" w:cs="Arial" w:eastAsia="Arial" w:hAnsi="Arial"/>
                  <w:sz w:val="18"/>
                  <w:szCs w:val="18"/>
                  <w:color w:val="3D5588"/>
                </w:rPr>
                <w:t>Unaudited Interim Condensed Consolidated Statements of Changes in Shareholders’ Deficit</w:t>
              </w:r>
            </w:hyperlink>
          </w:p>
        </w:tc>
        <w:tc>
          <w:tcPr>
            <w:tcW w:w="560" w:type="dxa"/>
            <w:vAlign w:val="bottom"/>
          </w:tcPr>
          <w:p>
            <w:pPr>
              <w:jc w:val="right"/>
              <w:spacing w:after="0"/>
              <w:rPr>
                <w:rFonts w:ascii="Arial" w:cs="Arial" w:eastAsia="Arial" w:hAnsi="Arial"/>
                <w:sz w:val="18"/>
                <w:szCs w:val="18"/>
                <w:color w:val="3D5588"/>
              </w:rPr>
            </w:pPr>
            <w:hyperlink w:anchor="page260">
              <w:r>
                <w:rPr>
                  <w:rFonts w:ascii="Arial" w:cs="Arial" w:eastAsia="Arial" w:hAnsi="Arial"/>
                  <w:sz w:val="18"/>
                  <w:szCs w:val="18"/>
                  <w:color w:val="3D5588"/>
                </w:rPr>
                <w:t>F-51</w:t>
              </w:r>
            </w:hyperlink>
          </w:p>
        </w:tc>
      </w:tr>
      <w:tr>
        <w:trPr>
          <w:trHeight w:val="270"/>
        </w:trPr>
        <w:tc>
          <w:tcPr>
            <w:tcW w:w="10640" w:type="dxa"/>
            <w:vAlign w:val="bottom"/>
          </w:tcPr>
          <w:p>
            <w:pPr>
              <w:spacing w:after="0"/>
              <w:rPr>
                <w:rFonts w:ascii="Arial" w:cs="Arial" w:eastAsia="Arial" w:hAnsi="Arial"/>
                <w:sz w:val="18"/>
                <w:szCs w:val="18"/>
                <w:color w:val="3D5588"/>
              </w:rPr>
            </w:pPr>
            <w:hyperlink w:anchor="page261">
              <w:r>
                <w:rPr>
                  <w:rFonts w:ascii="Arial" w:cs="Arial" w:eastAsia="Arial" w:hAnsi="Arial"/>
                  <w:sz w:val="18"/>
                  <w:szCs w:val="18"/>
                  <w:color w:val="3D5588"/>
                </w:rPr>
                <w:t>Unaudited Interim Condensed Consolidated Statements of Cash Flows</w:t>
              </w:r>
            </w:hyperlink>
          </w:p>
        </w:tc>
        <w:tc>
          <w:tcPr>
            <w:tcW w:w="560" w:type="dxa"/>
            <w:vAlign w:val="bottom"/>
          </w:tcPr>
          <w:p>
            <w:pPr>
              <w:jc w:val="right"/>
              <w:spacing w:after="0"/>
              <w:rPr>
                <w:rFonts w:ascii="Arial" w:cs="Arial" w:eastAsia="Arial" w:hAnsi="Arial"/>
                <w:sz w:val="18"/>
                <w:szCs w:val="18"/>
                <w:color w:val="3D5588"/>
              </w:rPr>
            </w:pPr>
            <w:hyperlink w:anchor="page261">
              <w:r>
                <w:rPr>
                  <w:rFonts w:ascii="Arial" w:cs="Arial" w:eastAsia="Arial" w:hAnsi="Arial"/>
                  <w:sz w:val="18"/>
                  <w:szCs w:val="18"/>
                  <w:color w:val="3D5588"/>
                </w:rPr>
                <w:t>F-52</w:t>
              </w:r>
            </w:hyperlink>
          </w:p>
        </w:tc>
      </w:tr>
      <w:tr>
        <w:trPr>
          <w:trHeight w:val="270"/>
        </w:trPr>
        <w:tc>
          <w:tcPr>
            <w:tcW w:w="10640" w:type="dxa"/>
            <w:vAlign w:val="bottom"/>
          </w:tcPr>
          <w:p>
            <w:pPr>
              <w:spacing w:after="0"/>
              <w:rPr>
                <w:rFonts w:ascii="Arial" w:cs="Arial" w:eastAsia="Arial" w:hAnsi="Arial"/>
                <w:sz w:val="18"/>
                <w:szCs w:val="18"/>
                <w:color w:val="3D5588"/>
              </w:rPr>
            </w:pPr>
            <w:hyperlink w:anchor="page262">
              <w:r>
                <w:rPr>
                  <w:rFonts w:ascii="Arial" w:cs="Arial" w:eastAsia="Arial" w:hAnsi="Arial"/>
                  <w:sz w:val="18"/>
                  <w:szCs w:val="18"/>
                  <w:color w:val="3D5588"/>
                </w:rPr>
                <w:t>Notes to the Unaudited Interim Condensed Consolidated Financial Statements</w:t>
              </w:r>
            </w:hyperlink>
          </w:p>
        </w:tc>
        <w:tc>
          <w:tcPr>
            <w:tcW w:w="560" w:type="dxa"/>
            <w:vAlign w:val="bottom"/>
          </w:tcPr>
          <w:p>
            <w:pPr>
              <w:jc w:val="right"/>
              <w:spacing w:after="0"/>
              <w:rPr>
                <w:rFonts w:ascii="Arial" w:cs="Arial" w:eastAsia="Arial" w:hAnsi="Arial"/>
                <w:sz w:val="18"/>
                <w:szCs w:val="18"/>
                <w:color w:val="3D5588"/>
              </w:rPr>
            </w:pPr>
            <w:hyperlink w:anchor="page262">
              <w:r>
                <w:rPr>
                  <w:rFonts w:ascii="Arial" w:cs="Arial" w:eastAsia="Arial" w:hAnsi="Arial"/>
                  <w:sz w:val="18"/>
                  <w:szCs w:val="18"/>
                  <w:color w:val="3D5588"/>
                </w:rPr>
                <w:t>F-53</w:t>
              </w:r>
            </w:hyperlink>
          </w:p>
        </w:tc>
      </w:tr>
      <w:tr>
        <w:trPr>
          <w:trHeight w:val="621"/>
        </w:trPr>
        <w:tc>
          <w:tcPr>
            <w:tcW w:w="10640" w:type="dxa"/>
            <w:vAlign w:val="bottom"/>
          </w:tcPr>
          <w:p>
            <w:pPr>
              <w:ind w:left="5420"/>
              <w:spacing w:after="0"/>
              <w:rPr>
                <w:sz w:val="20"/>
                <w:szCs w:val="20"/>
                <w:color w:val="auto"/>
              </w:rPr>
            </w:pPr>
            <w:r>
              <w:rPr>
                <w:rFonts w:ascii="Arial" w:cs="Arial" w:eastAsia="Arial" w:hAnsi="Arial"/>
                <w:sz w:val="18"/>
                <w:szCs w:val="18"/>
                <w:color w:val="003082"/>
              </w:rPr>
              <w:t>F-47</w:t>
            </w:r>
          </w:p>
        </w:tc>
        <w:tc>
          <w:tcPr>
            <w:tcW w:w="560" w:type="dxa"/>
            <w:vAlign w:val="bottom"/>
          </w:tcPr>
          <w:p>
            <w:pPr>
              <w:spacing w:after="0"/>
              <w:rPr>
                <w:sz w:val="24"/>
                <w:szCs w:val="24"/>
                <w:color w:val="auto"/>
              </w:rPr>
            </w:pPr>
          </w:p>
        </w:tc>
      </w:tr>
    </w:tbl>
    <w:p>
      <w:pPr>
        <w:sectPr>
          <w:pgSz w:w="11900" w:h="16838" w:orient="portrait"/>
          <w:cols w:equalWidth="0" w:num="1">
            <w:col w:w="11200"/>
          </w:cols>
          <w:pgMar w:left="360" w:top="445"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UNAUDITED INTERIM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AS OF DECEMBER 31, 2019 AND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6"/>
              </w:rPr>
              <w:t>Pro forma</w:t>
            </w:r>
          </w:p>
        </w:tc>
      </w:tr>
      <w:tr>
        <w:trPr>
          <w:trHeight w:val="165"/>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003082"/>
                <w:w w:val="91"/>
              </w:rPr>
              <w:t>As of</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003082"/>
                <w:w w:val="91"/>
              </w:rPr>
              <w:t>As of</w:t>
            </w:r>
          </w:p>
        </w:tc>
        <w:tc>
          <w:tcPr>
            <w:tcW w:w="280" w:type="dxa"/>
            <w:vAlign w:val="bottom"/>
          </w:tcPr>
          <w:p>
            <w:pPr>
              <w:spacing w:after="0"/>
              <w:rPr>
                <w:sz w:val="14"/>
                <w:szCs w:val="14"/>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1"/>
              </w:rPr>
              <w:t>As of</w:t>
            </w:r>
          </w:p>
        </w:tc>
      </w:t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003082"/>
                <w:w w:val="92"/>
              </w:rPr>
              <w:t>December 31,</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003082"/>
                <w:w w:val="99"/>
              </w:rPr>
              <w:t>March 31,</w:t>
            </w: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9"/>
              </w:rPr>
              <w:t>March 31,</w:t>
            </w:r>
          </w:p>
        </w:tc>
      </w:tr>
      <w:tr>
        <w:trPr>
          <w:trHeight w:val="276"/>
        </w:trPr>
        <w:tc>
          <w:tcPr>
            <w:tcW w:w="6300" w:type="dxa"/>
            <w:vAlign w:val="bottom"/>
          </w:tcPr>
          <w:p>
            <w:pPr>
              <w:spacing w:after="0"/>
              <w:rPr>
                <w:sz w:val="24"/>
                <w:szCs w:val="24"/>
                <w:color w:val="auto"/>
              </w:rPr>
            </w:pPr>
          </w:p>
        </w:tc>
        <w:tc>
          <w:tcPr>
            <w:tcW w:w="240" w:type="dxa"/>
            <w:vAlign w:val="bottom"/>
            <w:tcBorders>
              <w:bottom w:val="single" w:sz="8" w:color="3D5588"/>
            </w:tcBorders>
          </w:tcPr>
          <w:p>
            <w:pPr>
              <w:spacing w:after="0"/>
              <w:rPr>
                <w:sz w:val="24"/>
                <w:szCs w:val="24"/>
                <w:color w:val="auto"/>
              </w:rPr>
            </w:pPr>
          </w:p>
        </w:tc>
        <w:tc>
          <w:tcPr>
            <w:tcW w:w="1360" w:type="dxa"/>
            <w:vAlign w:val="bottom"/>
            <w:tcBorders>
              <w:bottom w:val="single" w:sz="8" w:color="3D5588"/>
            </w:tcBorders>
          </w:tcPr>
          <w:p>
            <w:pPr>
              <w:jc w:val="center"/>
              <w:ind w:right="153"/>
              <w:spacing w:after="0"/>
              <w:rPr>
                <w:sz w:val="20"/>
                <w:szCs w:val="20"/>
                <w:color w:val="auto"/>
              </w:rPr>
            </w:pPr>
            <w:r>
              <w:rPr>
                <w:rFonts w:ascii="Arial" w:cs="Arial" w:eastAsia="Arial" w:hAnsi="Arial"/>
                <w:sz w:val="14"/>
                <w:szCs w:val="14"/>
                <w:b w:val="1"/>
                <w:bCs w:val="1"/>
                <w:color w:val="003082"/>
                <w:w w:val="89"/>
              </w:rPr>
              <w:t>2019</w:t>
            </w:r>
          </w:p>
        </w:tc>
        <w:tc>
          <w:tcPr>
            <w:tcW w:w="100" w:type="dxa"/>
            <w:vAlign w:val="bottom"/>
          </w:tcPr>
          <w:p>
            <w:pPr>
              <w:spacing w:after="0"/>
              <w:rPr>
                <w:sz w:val="24"/>
                <w:szCs w:val="24"/>
                <w:color w:val="auto"/>
              </w:rPr>
            </w:pPr>
          </w:p>
        </w:tc>
        <w:tc>
          <w:tcPr>
            <w:tcW w:w="300" w:type="dxa"/>
            <w:vAlign w:val="bottom"/>
            <w:tcBorders>
              <w:bottom w:val="single" w:sz="8" w:color="3D5588"/>
            </w:tcBorders>
          </w:tcPr>
          <w:p>
            <w:pPr>
              <w:spacing w:after="0"/>
              <w:rPr>
                <w:sz w:val="24"/>
                <w:szCs w:val="24"/>
                <w:color w:val="auto"/>
              </w:rPr>
            </w:pPr>
          </w:p>
        </w:tc>
        <w:tc>
          <w:tcPr>
            <w:tcW w:w="1260" w:type="dxa"/>
            <w:vAlign w:val="bottom"/>
            <w:tcBorders>
              <w:bottom w:val="single" w:sz="8" w:color="3D5588"/>
            </w:tcBorders>
          </w:tcPr>
          <w:p>
            <w:pPr>
              <w:jc w:val="center"/>
              <w:ind w:right="213"/>
              <w:spacing w:after="0"/>
              <w:rPr>
                <w:sz w:val="20"/>
                <w:szCs w:val="20"/>
                <w:color w:val="auto"/>
              </w:rPr>
            </w:pPr>
            <w:r>
              <w:rPr>
                <w:rFonts w:ascii="Arial" w:cs="Arial" w:eastAsia="Arial" w:hAnsi="Arial"/>
                <w:sz w:val="14"/>
                <w:szCs w:val="14"/>
                <w:b w:val="1"/>
                <w:bCs w:val="1"/>
                <w:color w:val="003082"/>
                <w:w w:val="89"/>
              </w:rPr>
              <w:t>2020</w:t>
            </w:r>
          </w:p>
        </w:tc>
        <w:tc>
          <w:tcPr>
            <w:tcW w:w="120" w:type="dxa"/>
            <w:vAlign w:val="bottom"/>
          </w:tcPr>
          <w:p>
            <w:pPr>
              <w:spacing w:after="0"/>
              <w:rPr>
                <w:sz w:val="24"/>
                <w:szCs w:val="24"/>
                <w:color w:val="auto"/>
              </w:rPr>
            </w:pPr>
          </w:p>
        </w:tc>
        <w:tc>
          <w:tcPr>
            <w:tcW w:w="280" w:type="dxa"/>
            <w:vAlign w:val="bottom"/>
            <w:tcBorders>
              <w:bottom w:val="single" w:sz="8" w:color="3D5588"/>
            </w:tcBorders>
          </w:tcPr>
          <w:p>
            <w:pPr>
              <w:spacing w:after="0"/>
              <w:rPr>
                <w:sz w:val="24"/>
                <w:szCs w:val="24"/>
                <w:color w:val="auto"/>
              </w:rPr>
            </w:pPr>
          </w:p>
        </w:tc>
        <w:tc>
          <w:tcPr>
            <w:tcW w:w="1280" w:type="dxa"/>
            <w:vAlign w:val="bottom"/>
            <w:tcBorders>
              <w:bottom w:val="single" w:sz="8" w:color="3D5588"/>
            </w:tcBorders>
          </w:tcPr>
          <w:p>
            <w:pPr>
              <w:jc w:val="center"/>
              <w:ind w:right="195"/>
              <w:spacing w:after="0"/>
              <w:rPr>
                <w:sz w:val="20"/>
                <w:szCs w:val="20"/>
                <w:color w:val="auto"/>
              </w:rPr>
            </w:pPr>
            <w:r>
              <w:rPr>
                <w:rFonts w:ascii="Arial" w:cs="Arial" w:eastAsia="Arial" w:hAnsi="Arial"/>
                <w:sz w:val="14"/>
                <w:szCs w:val="14"/>
                <w:b w:val="1"/>
                <w:bCs w:val="1"/>
                <w:color w:val="003082"/>
                <w:w w:val="89"/>
              </w:rPr>
              <w:t>2020</w:t>
            </w:r>
          </w:p>
        </w:tc>
      </w:tr>
      <w:tr>
        <w:trPr>
          <w:trHeight w:val="257"/>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4"/>
              </w:rPr>
              <w:t>Note 17</w:t>
            </w:r>
          </w:p>
        </w:tc>
      </w:tr>
      <w:tr>
        <w:trPr>
          <w:trHeight w:val="255"/>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003082"/>
                <w:w w:val="93"/>
              </w:rPr>
              <w:t>(US$)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Current assets: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105,603,153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151,652,655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003082"/>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151,652,655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Accounts receivable, net</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003082"/>
              </w:rPr>
              <w:t>16,247,565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31,239,641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31,239,641</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Prepayments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1,381,037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3,501,117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3,501,117</w:t>
            </w: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003082"/>
              </w:rPr>
              <w:t>Total current assets</w:t>
            </w:r>
          </w:p>
        </w:tc>
        <w:tc>
          <w:tcPr>
            <w:tcW w:w="240" w:type="dxa"/>
            <w:vAlign w:val="bottom"/>
            <w:tcBorders>
              <w:top w:val="single" w:sz="8" w:color="3D5588"/>
            </w:tcBorders>
          </w:tcPr>
          <w:p>
            <w:pPr>
              <w:spacing w:after="0"/>
              <w:rPr>
                <w:sz w:val="20"/>
                <w:szCs w:val="20"/>
                <w:color w:val="auto"/>
              </w:rPr>
            </w:pPr>
          </w:p>
        </w:tc>
        <w:tc>
          <w:tcPr>
            <w:tcW w:w="1360" w:type="dxa"/>
            <w:vAlign w:val="bottom"/>
            <w:tcBorders>
              <w:top w:val="single" w:sz="8" w:color="3D5588"/>
            </w:tcBorders>
          </w:tcPr>
          <w:p>
            <w:pPr>
              <w:jc w:val="right"/>
              <w:ind w:right="33"/>
              <w:spacing w:after="0"/>
              <w:rPr>
                <w:sz w:val="20"/>
                <w:szCs w:val="20"/>
                <w:color w:val="auto"/>
              </w:rPr>
            </w:pPr>
            <w:r>
              <w:rPr>
                <w:rFonts w:ascii="Arial" w:cs="Arial" w:eastAsia="Arial" w:hAnsi="Arial"/>
                <w:sz w:val="18"/>
                <w:szCs w:val="18"/>
                <w:color w:val="003082"/>
              </w:rPr>
              <w:t>123,231,755</w:t>
            </w:r>
          </w:p>
        </w:tc>
        <w:tc>
          <w:tcPr>
            <w:tcW w:w="100" w:type="dxa"/>
            <w:vAlign w:val="bottom"/>
          </w:tcPr>
          <w:p>
            <w:pPr>
              <w:spacing w:after="0"/>
              <w:rPr>
                <w:sz w:val="20"/>
                <w:szCs w:val="20"/>
                <w:color w:val="auto"/>
              </w:rPr>
            </w:pPr>
          </w:p>
        </w:tc>
        <w:tc>
          <w:tcPr>
            <w:tcW w:w="300" w:type="dxa"/>
            <w:vAlign w:val="bottom"/>
            <w:tcBorders>
              <w:top w:val="single" w:sz="8" w:color="3D5588"/>
            </w:tcBorders>
          </w:tcPr>
          <w:p>
            <w:pPr>
              <w:spacing w:after="0"/>
              <w:rPr>
                <w:sz w:val="20"/>
                <w:szCs w:val="20"/>
                <w:color w:val="auto"/>
              </w:rPr>
            </w:pPr>
          </w:p>
        </w:tc>
        <w:tc>
          <w:tcPr>
            <w:tcW w:w="126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rPr>
              <w:t>186,393,413</w:t>
            </w:r>
          </w:p>
        </w:tc>
        <w:tc>
          <w:tcPr>
            <w:tcW w:w="120" w:type="dxa"/>
            <w:vAlign w:val="bottom"/>
          </w:tcPr>
          <w:p>
            <w:pPr>
              <w:spacing w:after="0"/>
              <w:rPr>
                <w:sz w:val="20"/>
                <w:szCs w:val="20"/>
                <w:color w:val="auto"/>
              </w:rPr>
            </w:pPr>
          </w:p>
        </w:tc>
        <w:tc>
          <w:tcPr>
            <w:tcW w:w="280" w:type="dxa"/>
            <w:vAlign w:val="bottom"/>
            <w:tcBorders>
              <w:top w:val="single" w:sz="8" w:color="3D5588"/>
            </w:tcBorders>
          </w:tcPr>
          <w:p>
            <w:pPr>
              <w:spacing w:after="0"/>
              <w:rPr>
                <w:sz w:val="20"/>
                <w:szCs w:val="20"/>
                <w:color w:val="auto"/>
              </w:rPr>
            </w:pPr>
          </w:p>
        </w:tc>
        <w:tc>
          <w:tcPr>
            <w:tcW w:w="128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186,393,413</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280" w:type="dxa"/>
            <w:vAlign w:val="bottom"/>
            <w:tcBorders>
              <w:bottom w:val="single" w:sz="8" w:color="3D5588"/>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Property and equipment, net</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003082"/>
              </w:rPr>
              <w:t>6,281,990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8,282,042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8,282,042</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Deferred tax 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836,514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823,656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823,656</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Other non-current assets</w:t>
            </w: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003082"/>
              </w:rPr>
              <w:t>808,862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1,654,975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1,654,975</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280" w:type="dxa"/>
            <w:vAlign w:val="bottom"/>
            <w:tcBorders>
              <w:bottom w:val="single" w:sz="8" w:color="3D5588"/>
            </w:tcBorders>
          </w:tcPr>
          <w:p>
            <w:pPr>
              <w:spacing w:after="0"/>
              <w:rPr>
                <w:sz w:val="2"/>
                <w:szCs w:val="2"/>
                <w:color w:val="auto"/>
              </w:rPr>
            </w:pPr>
          </w:p>
        </w:tc>
      </w:tr>
      <w:tr>
        <w:trPr>
          <w:trHeight w:val="26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non-current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7,927,366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10,760,673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10,760,673</w:t>
            </w: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assets</w:t>
            </w:r>
          </w:p>
        </w:tc>
        <w:tc>
          <w:tcPr>
            <w:tcW w:w="240" w:type="dxa"/>
            <w:vAlign w:val="bottom"/>
            <w:tcBorders>
              <w:top w:val="single" w:sz="8" w:color="3D5588"/>
              <w:bottom w:val="single" w:sz="8" w:color="3D5588"/>
            </w:tcBorders>
          </w:tcPr>
          <w:p>
            <w:pPr>
              <w:jc w:val="right"/>
              <w:ind w:right="30"/>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bottom w:val="single" w:sz="8" w:color="3D5588"/>
            </w:tcBorders>
          </w:tcPr>
          <w:p>
            <w:pPr>
              <w:jc w:val="right"/>
              <w:ind w:right="33"/>
              <w:spacing w:after="0"/>
              <w:rPr>
                <w:sz w:val="20"/>
                <w:szCs w:val="20"/>
                <w:color w:val="auto"/>
              </w:rPr>
            </w:pPr>
            <w:r>
              <w:rPr>
                <w:rFonts w:ascii="Arial" w:cs="Arial" w:eastAsia="Arial" w:hAnsi="Arial"/>
                <w:sz w:val="18"/>
                <w:szCs w:val="18"/>
                <w:color w:val="003082"/>
              </w:rPr>
              <w:t>131,159,121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rPr>
              <w:t>197,154,086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3D5588"/>
              <w:bottom w:val="single" w:sz="8" w:color="3D5588"/>
            </w:tcBorders>
          </w:tcPr>
          <w:p>
            <w:pPr>
              <w:jc w:val="right"/>
              <w:ind w:right="70"/>
              <w:spacing w:after="0"/>
              <w:rPr>
                <w:sz w:val="20"/>
                <w:szCs w:val="20"/>
                <w:color w:val="auto"/>
              </w:rPr>
            </w:pPr>
            <w:r>
              <w:rPr>
                <w:rFonts w:ascii="Arial" w:cs="Arial" w:eastAsia="Arial" w:hAnsi="Arial"/>
                <w:sz w:val="18"/>
                <w:szCs w:val="18"/>
                <w:color w:val="003082"/>
                <w:w w:val="99"/>
              </w:rPr>
              <w:t>$</w:t>
            </w:r>
          </w:p>
        </w:tc>
        <w:tc>
          <w:tcPr>
            <w:tcW w:w="128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197,154,086</w:t>
            </w: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Liabilities, mezzanine equity and shareholders’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Current liabilities: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rPr>
              <w:t>Accounts payable (including accounts payable of the variable interest entity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w w:val="95"/>
              </w:rPr>
              <w:t>(“VIE”) without recourse to the Company of US$2,992,628 and US$ 7,156,391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as of December 31, 2019 and March 31, 2020,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4,088,283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9,087,247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9,087,247</w:t>
            </w: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003082"/>
                <w:w w:val="93"/>
              </w:rPr>
              <w:t>Advances from customers (including advances from customers of the VIE without</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w w:val="94"/>
              </w:rPr>
              <w:t>recourse to the Company of US$733,518 and US$699,464 as of December 31,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003082"/>
              </w:rPr>
              <w:t>2019 and March 31, 2020, respectively)</w:t>
            </w:r>
          </w:p>
        </w:tc>
        <w:tc>
          <w:tcPr>
            <w:tcW w:w="24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003082"/>
              </w:rPr>
              <w:t>920,925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771,941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771,941</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0"/>
              </w:rPr>
              <w:t>Taxes payable (including taxes payable of the VIE without recourse to the Company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003082"/>
                <w:w w:val="92"/>
              </w:rPr>
              <w:t>of US$756,020 and US$701,612 as of December 31, 2019 and March 31, 2020,</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003082"/>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2,493,137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2,689,344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2,689,344</w:t>
            </w: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003082"/>
                <w:w w:val="96"/>
              </w:rPr>
              <w:t>Accrued expenses and other current liabilities (including accrued expenses and</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rPr>
              <w:t>other current liabilities of the VIE without recourse to the Company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003082"/>
                <w:w w:val="91"/>
              </w:rPr>
              <w:t>US$3,440,748 and US$5,273,857 as of December 31, 2019 and March 31, 2020,</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003082"/>
              </w:rPr>
              <w:t>respectively)</w:t>
            </w:r>
          </w:p>
        </w:tc>
        <w:tc>
          <w:tcPr>
            <w:tcW w:w="240" w:type="dxa"/>
            <w:vAlign w:val="bottom"/>
          </w:tcPr>
          <w:p>
            <w:pPr>
              <w:spacing w:after="0"/>
              <w:rPr>
                <w:sz w:val="20"/>
                <w:szCs w:val="20"/>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003082"/>
              </w:rPr>
              <w:t>10,978,932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17,994,294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17,994,294</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3D5588"/>
            </w:tcBorders>
          </w:tcPr>
          <w:p>
            <w:pPr>
              <w:spacing w:after="0"/>
              <w:rPr>
                <w:sz w:val="2"/>
                <w:szCs w:val="2"/>
                <w:color w:val="auto"/>
              </w:rPr>
            </w:pPr>
          </w:p>
        </w:tc>
        <w:tc>
          <w:tcPr>
            <w:tcW w:w="126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3D5588"/>
            </w:tcBorders>
          </w:tcPr>
          <w:p>
            <w:pPr>
              <w:spacing w:after="0"/>
              <w:rPr>
                <w:sz w:val="2"/>
                <w:szCs w:val="2"/>
                <w:color w:val="auto"/>
              </w:rPr>
            </w:pPr>
          </w:p>
        </w:tc>
        <w:tc>
          <w:tcPr>
            <w:tcW w:w="1280" w:type="dxa"/>
            <w:vAlign w:val="bottom"/>
            <w:tcBorders>
              <w:bottom w:val="single" w:sz="8" w:color="3D5588"/>
            </w:tcBorders>
          </w:tcPr>
          <w:p>
            <w:pPr>
              <w:spacing w:after="0"/>
              <w:rPr>
                <w:sz w:val="2"/>
                <w:szCs w:val="2"/>
                <w:color w:val="auto"/>
              </w:rPr>
            </w:pPr>
          </w:p>
        </w:tc>
      </w:tr>
      <w:tr>
        <w:trPr>
          <w:trHeight w:val="26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18,481,277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30,542,826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30,542,826</w:t>
            </w: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liabilities</w:t>
            </w:r>
          </w:p>
        </w:tc>
        <w:tc>
          <w:tcPr>
            <w:tcW w:w="240" w:type="dxa"/>
            <w:vAlign w:val="bottom"/>
            <w:tcBorders>
              <w:top w:val="single" w:sz="8" w:color="3D5588"/>
              <w:bottom w:val="single" w:sz="8" w:color="3D5588"/>
            </w:tcBorders>
          </w:tcPr>
          <w:p>
            <w:pPr>
              <w:jc w:val="right"/>
              <w:ind w:right="30"/>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bottom w:val="single" w:sz="8" w:color="3D5588"/>
            </w:tcBorders>
          </w:tcPr>
          <w:p>
            <w:pPr>
              <w:jc w:val="right"/>
              <w:ind w:right="33"/>
              <w:spacing w:after="0"/>
              <w:rPr>
                <w:sz w:val="20"/>
                <w:szCs w:val="20"/>
                <w:color w:val="auto"/>
              </w:rPr>
            </w:pPr>
            <w:r>
              <w:rPr>
                <w:rFonts w:ascii="Arial" w:cs="Arial" w:eastAsia="Arial" w:hAnsi="Arial"/>
                <w:sz w:val="18"/>
                <w:szCs w:val="18"/>
                <w:color w:val="003082"/>
              </w:rPr>
              <w:t>18,481,277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rPr>
              <w:t>30,542,826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3D5588"/>
              <w:bottom w:val="single" w:sz="8" w:color="3D5588"/>
            </w:tcBorders>
          </w:tcPr>
          <w:p>
            <w:pPr>
              <w:jc w:val="right"/>
              <w:ind w:right="70"/>
              <w:spacing w:after="0"/>
              <w:rPr>
                <w:sz w:val="20"/>
                <w:szCs w:val="20"/>
                <w:color w:val="auto"/>
              </w:rPr>
            </w:pPr>
            <w:r>
              <w:rPr>
                <w:rFonts w:ascii="Arial" w:cs="Arial" w:eastAsia="Arial" w:hAnsi="Arial"/>
                <w:sz w:val="18"/>
                <w:szCs w:val="18"/>
                <w:color w:val="003082"/>
                <w:w w:val="99"/>
              </w:rPr>
              <w:t>$</w:t>
            </w:r>
          </w:p>
        </w:tc>
        <w:tc>
          <w:tcPr>
            <w:tcW w:w="128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30,542,826</w:t>
            </w:r>
          </w:p>
        </w:tc>
      </w:tr>
      <w:tr>
        <w:trPr>
          <w:trHeight w:val="230"/>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Commitments and contingencies (Note 15)</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7"/>
        </w:trPr>
        <w:tc>
          <w:tcPr>
            <w:tcW w:w="6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F-48</w:t>
      </w:r>
    </w:p>
    <w:p>
      <w:pPr>
        <w:sectPr>
          <w:pgSz w:w="11900" w:h="16838" w:orient="portrait"/>
          <w:cols w:equalWidth="0" w:num="1">
            <w:col w:w="11240"/>
          </w:cols>
          <w:pgMar w:left="320" w:top="553"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UNAUDITED INTERIM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AS OF DECEMBER 31, 2019 AND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6"/>
              </w:rPr>
              <w:t>Pro forma</w:t>
            </w:r>
          </w:p>
        </w:tc>
        <w:tc>
          <w:tcPr>
            <w:tcW w:w="0" w:type="dxa"/>
            <w:vAlign w:val="bottom"/>
          </w:tcPr>
          <w:p>
            <w:pPr>
              <w:spacing w:after="0"/>
              <w:rPr>
                <w:sz w:val="1"/>
                <w:szCs w:val="1"/>
                <w:color w:val="auto"/>
              </w:rPr>
            </w:pPr>
          </w:p>
        </w:tc>
      </w:tr>
      <w:tr>
        <w:trPr>
          <w:trHeight w:val="165"/>
        </w:trPr>
        <w:tc>
          <w:tcPr>
            <w:tcW w:w="6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003082"/>
                <w:w w:val="91"/>
              </w:rPr>
              <w:t>As of</w:t>
            </w:r>
          </w:p>
        </w:tc>
        <w:tc>
          <w:tcPr>
            <w:tcW w:w="30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003082"/>
                <w:w w:val="91"/>
              </w:rPr>
              <w:t>As of</w:t>
            </w:r>
          </w:p>
        </w:tc>
        <w:tc>
          <w:tcPr>
            <w:tcW w:w="280" w:type="dxa"/>
            <w:vAlign w:val="bottom"/>
          </w:tcPr>
          <w:p>
            <w:pPr>
              <w:spacing w:after="0"/>
              <w:rPr>
                <w:sz w:val="14"/>
                <w:szCs w:val="14"/>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1"/>
              </w:rPr>
              <w:t>As of</w:t>
            </w: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003082"/>
                <w:w w:val="92"/>
              </w:rPr>
              <w:t>December 31,</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003082"/>
                <w:w w:val="99"/>
              </w:rPr>
              <w:t>March 31,</w:t>
            </w:r>
          </w:p>
        </w:tc>
        <w:tc>
          <w:tcPr>
            <w:tcW w:w="280" w:type="dxa"/>
            <w:vAlign w:val="bottom"/>
          </w:tcPr>
          <w:p>
            <w:pPr>
              <w:spacing w:after="0"/>
              <w:rPr>
                <w:sz w:val="16"/>
                <w:szCs w:val="16"/>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9"/>
              </w:rPr>
              <w:t>March 31,</w:t>
            </w:r>
          </w:p>
        </w:tc>
        <w:tc>
          <w:tcPr>
            <w:tcW w:w="0" w:type="dxa"/>
            <w:vAlign w:val="bottom"/>
          </w:tcPr>
          <w:p>
            <w:pPr>
              <w:spacing w:after="0"/>
              <w:rPr>
                <w:sz w:val="1"/>
                <w:szCs w:val="1"/>
                <w:color w:val="auto"/>
              </w:rPr>
            </w:pPr>
          </w:p>
        </w:tc>
      </w:tr>
      <w:tr>
        <w:trPr>
          <w:trHeight w:val="276"/>
        </w:trPr>
        <w:tc>
          <w:tcPr>
            <w:tcW w:w="6300" w:type="dxa"/>
            <w:vAlign w:val="bottom"/>
          </w:tcPr>
          <w:p>
            <w:pPr>
              <w:spacing w:after="0"/>
              <w:rPr>
                <w:sz w:val="24"/>
                <w:szCs w:val="24"/>
                <w:color w:val="auto"/>
              </w:rPr>
            </w:pPr>
          </w:p>
        </w:tc>
        <w:tc>
          <w:tcPr>
            <w:tcW w:w="240" w:type="dxa"/>
            <w:vAlign w:val="bottom"/>
            <w:tcBorders>
              <w:bottom w:val="single" w:sz="8" w:color="3D5588"/>
            </w:tcBorders>
          </w:tcPr>
          <w:p>
            <w:pPr>
              <w:spacing w:after="0"/>
              <w:rPr>
                <w:sz w:val="24"/>
                <w:szCs w:val="24"/>
                <w:color w:val="auto"/>
              </w:rPr>
            </w:pPr>
          </w:p>
        </w:tc>
        <w:tc>
          <w:tcPr>
            <w:tcW w:w="1360" w:type="dxa"/>
            <w:vAlign w:val="bottom"/>
            <w:tcBorders>
              <w:bottom w:val="single" w:sz="8" w:color="3D5588"/>
            </w:tcBorders>
          </w:tcPr>
          <w:p>
            <w:pPr>
              <w:jc w:val="center"/>
              <w:ind w:right="154"/>
              <w:spacing w:after="0"/>
              <w:rPr>
                <w:sz w:val="20"/>
                <w:szCs w:val="20"/>
                <w:color w:val="auto"/>
              </w:rPr>
            </w:pPr>
            <w:r>
              <w:rPr>
                <w:rFonts w:ascii="Arial" w:cs="Arial" w:eastAsia="Arial" w:hAnsi="Arial"/>
                <w:sz w:val="14"/>
                <w:szCs w:val="14"/>
                <w:b w:val="1"/>
                <w:bCs w:val="1"/>
                <w:color w:val="003082"/>
                <w:w w:val="89"/>
              </w:rPr>
              <w:t>2019</w:t>
            </w:r>
          </w:p>
        </w:tc>
        <w:tc>
          <w:tcPr>
            <w:tcW w:w="100" w:type="dxa"/>
            <w:vAlign w:val="bottom"/>
          </w:tcPr>
          <w:p>
            <w:pPr>
              <w:spacing w:after="0"/>
              <w:rPr>
                <w:sz w:val="24"/>
                <w:szCs w:val="24"/>
                <w:color w:val="auto"/>
              </w:rPr>
            </w:pPr>
          </w:p>
        </w:tc>
        <w:tc>
          <w:tcPr>
            <w:tcW w:w="300" w:type="dxa"/>
            <w:vAlign w:val="bottom"/>
            <w:tcBorders>
              <w:bottom w:val="single" w:sz="8" w:color="3D5588"/>
            </w:tcBorders>
          </w:tcPr>
          <w:p>
            <w:pPr>
              <w:spacing w:after="0"/>
              <w:rPr>
                <w:sz w:val="24"/>
                <w:szCs w:val="24"/>
                <w:color w:val="auto"/>
              </w:rPr>
            </w:pPr>
          </w:p>
        </w:tc>
        <w:tc>
          <w:tcPr>
            <w:tcW w:w="1260" w:type="dxa"/>
            <w:vAlign w:val="bottom"/>
            <w:tcBorders>
              <w:bottom w:val="single" w:sz="8" w:color="3D5588"/>
            </w:tcBorders>
          </w:tcPr>
          <w:p>
            <w:pPr>
              <w:jc w:val="center"/>
              <w:ind w:right="213"/>
              <w:spacing w:after="0"/>
              <w:rPr>
                <w:sz w:val="20"/>
                <w:szCs w:val="20"/>
                <w:color w:val="auto"/>
              </w:rPr>
            </w:pPr>
            <w:r>
              <w:rPr>
                <w:rFonts w:ascii="Arial" w:cs="Arial" w:eastAsia="Arial" w:hAnsi="Arial"/>
                <w:sz w:val="14"/>
                <w:szCs w:val="14"/>
                <w:b w:val="1"/>
                <w:bCs w:val="1"/>
                <w:color w:val="003082"/>
                <w:w w:val="89"/>
              </w:rPr>
              <w:t>2020</w:t>
            </w:r>
          </w:p>
        </w:tc>
        <w:tc>
          <w:tcPr>
            <w:tcW w:w="120" w:type="dxa"/>
            <w:vAlign w:val="bottom"/>
          </w:tcPr>
          <w:p>
            <w:pPr>
              <w:spacing w:after="0"/>
              <w:rPr>
                <w:sz w:val="24"/>
                <w:szCs w:val="24"/>
                <w:color w:val="auto"/>
              </w:rPr>
            </w:pPr>
          </w:p>
        </w:tc>
        <w:tc>
          <w:tcPr>
            <w:tcW w:w="280" w:type="dxa"/>
            <w:vAlign w:val="bottom"/>
            <w:tcBorders>
              <w:bottom w:val="single" w:sz="8" w:color="3D5588"/>
            </w:tcBorders>
          </w:tcPr>
          <w:p>
            <w:pPr>
              <w:spacing w:after="0"/>
              <w:rPr>
                <w:sz w:val="24"/>
                <w:szCs w:val="24"/>
                <w:color w:val="auto"/>
              </w:rPr>
            </w:pPr>
          </w:p>
        </w:tc>
        <w:tc>
          <w:tcPr>
            <w:tcW w:w="1280" w:type="dxa"/>
            <w:vAlign w:val="bottom"/>
            <w:tcBorders>
              <w:bottom w:val="single" w:sz="8" w:color="3D5588"/>
            </w:tcBorders>
          </w:tcPr>
          <w:p>
            <w:pPr>
              <w:jc w:val="center"/>
              <w:ind w:right="195"/>
              <w:spacing w:after="0"/>
              <w:rPr>
                <w:sz w:val="20"/>
                <w:szCs w:val="20"/>
                <w:color w:val="auto"/>
              </w:rPr>
            </w:pPr>
            <w:r>
              <w:rPr>
                <w:rFonts w:ascii="Arial" w:cs="Arial" w:eastAsia="Arial" w:hAnsi="Arial"/>
                <w:sz w:val="14"/>
                <w:szCs w:val="14"/>
                <w:b w:val="1"/>
                <w:bCs w:val="1"/>
                <w:color w:val="003082"/>
                <w:w w:val="89"/>
              </w:rPr>
              <w:t>2020</w:t>
            </w: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center"/>
              <w:ind w:right="195"/>
              <w:spacing w:after="0"/>
              <w:rPr>
                <w:sz w:val="20"/>
                <w:szCs w:val="20"/>
                <w:color w:val="auto"/>
              </w:rPr>
            </w:pPr>
            <w:r>
              <w:rPr>
                <w:rFonts w:ascii="Arial" w:cs="Arial" w:eastAsia="Arial" w:hAnsi="Arial"/>
                <w:sz w:val="14"/>
                <w:szCs w:val="14"/>
                <w:b w:val="1"/>
                <w:bCs w:val="1"/>
                <w:color w:val="003082"/>
                <w:w w:val="94"/>
              </w:rPr>
              <w:t>Note 17</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color w:val="003082"/>
                <w:w w:val="93"/>
              </w:rPr>
              <w:t>(US$)</w:t>
            </w: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300" w:type="dxa"/>
            <w:vAlign w:val="bottom"/>
          </w:tcPr>
          <w:p>
            <w:pPr>
              <w:ind w:left="40"/>
              <w:spacing w:after="0"/>
              <w:rPr>
                <w:sz w:val="20"/>
                <w:szCs w:val="20"/>
                <w:color w:val="auto"/>
              </w:rPr>
            </w:pPr>
            <w:r>
              <w:rPr>
                <w:rFonts w:ascii="Arial" w:cs="Arial" w:eastAsia="Arial" w:hAnsi="Arial"/>
                <w:sz w:val="18"/>
                <w:szCs w:val="18"/>
                <w:color w:val="003082"/>
              </w:rPr>
              <w:t>Mezzanine equity</w:t>
            </w: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003082"/>
                <w:w w:val="95"/>
              </w:rPr>
              <w:t>Series A convertible redeemable preferred shares ($0.0001 par value, 55,626,960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1"/>
              </w:rPr>
              <w:t>shares authorized, issued and outstanding as of December 31, 2019 and March 31,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2020; and none outstanding on a pro-forma basis as of March 31, 2020)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003082"/>
              </w:rPr>
              <w:t>90,049,774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123,628,884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003082"/>
                <w:w w:val="95"/>
              </w:rPr>
              <w:t>Series B convertible redeemable preferred shares ($0.0001 par value, 50,783,698</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003082"/>
                <w:w w:val="91"/>
              </w:rPr>
              <w:t>shares authorized, issued and outstanding as of December 31, 2019 and March 31,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003082"/>
              </w:rPr>
              <w:t>2020; and none outstanding on a pro-forma basis as of March 31, 2020)</w:t>
            </w:r>
          </w:p>
        </w:tc>
        <w:tc>
          <w:tcPr>
            <w:tcW w:w="2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003082"/>
              </w:rPr>
              <w:t>30,045,929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30,068,632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003082"/>
                <w:w w:val="94"/>
              </w:rPr>
              <w:t>Series B+ convertible redeemable preferred shares ($0.0001 par value, 26,651,410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1"/>
              </w:rPr>
              <w:t>shares authorized, issued and outstanding as of December 31, 2019 and March 31,</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003082"/>
              </w:rPr>
              <w:t>—</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2020; and none outstanding on a pro-forma basis as of March 31, 2020)</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003082"/>
              </w:rPr>
              <w:t>46,274,560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46,374,628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003082"/>
                <w:w w:val="95"/>
              </w:rPr>
              <w:t>Series C convertible redeemable preferred shares ($0.0001 par value, 36,533,085</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003082"/>
                <w:w w:val="90"/>
              </w:rPr>
              <w:t>shares authorized, 34,793,413 issued and outstanding as of December 31, 2019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restart"/>
          </w:tcPr>
          <w:p>
            <w:pPr>
              <w:jc w:val="right"/>
              <w:ind w:right="15"/>
              <w:spacing w:after="0"/>
              <w:rPr>
                <w:sz w:val="20"/>
                <w:szCs w:val="20"/>
                <w:color w:val="auto"/>
              </w:rPr>
            </w:pPr>
            <w:r>
              <w:rPr>
                <w:rFonts w:ascii="Arial" w:cs="Arial" w:eastAsia="Arial" w:hAnsi="Arial"/>
                <w:sz w:val="18"/>
                <w:szCs w:val="18"/>
                <w:b w:val="1"/>
                <w:bCs w:val="1"/>
                <w:color w:val="003082"/>
              </w:rPr>
              <w:t>—</w:t>
            </w: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003082"/>
                <w:w w:val="92"/>
              </w:rPr>
              <w:t>March 31, 2020; and none outstanding on a pro-forma basis as of March 31, 2020)</w:t>
            </w:r>
          </w:p>
        </w:tc>
        <w:tc>
          <w:tcPr>
            <w:tcW w:w="2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003082"/>
              </w:rPr>
              <w:t>73,600,134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75,113,680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003082"/>
                <w:w w:val="99"/>
              </w:rPr>
              <w:t>Series C+ convertible redeemable preferred shares ($0.0001 par value, nil and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003082"/>
                <w:w w:val="90"/>
              </w:rPr>
              <w:t>15,062,510 shares authorized, issued and outstanding as of December 31, 2019 and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w w:val="92"/>
              </w:rPr>
              <w:t>March 31, 2020; and none outstanding on a pro-forma basis as of March 31, 2020)</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50,748,154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Mezzanine equity</w:t>
            </w:r>
          </w:p>
        </w:tc>
        <w:tc>
          <w:tcPr>
            <w:tcW w:w="240" w:type="dxa"/>
            <w:vAlign w:val="bottom"/>
            <w:tcBorders>
              <w:top w:val="single" w:sz="8" w:color="3D5588"/>
              <w:bottom w:val="single" w:sz="8" w:color="3D5588"/>
            </w:tcBorders>
          </w:tcPr>
          <w:p>
            <w:pPr>
              <w:jc w:val="right"/>
              <w:ind w:right="30"/>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bottom w:val="single" w:sz="8" w:color="3D5588"/>
            </w:tcBorders>
          </w:tcPr>
          <w:p>
            <w:pPr>
              <w:jc w:val="right"/>
              <w:ind w:right="34"/>
              <w:spacing w:after="0"/>
              <w:rPr>
                <w:sz w:val="20"/>
                <w:szCs w:val="20"/>
                <w:color w:val="auto"/>
              </w:rPr>
            </w:pPr>
            <w:r>
              <w:rPr>
                <w:rFonts w:ascii="Arial" w:cs="Arial" w:eastAsia="Arial" w:hAnsi="Arial"/>
                <w:sz w:val="18"/>
                <w:szCs w:val="18"/>
                <w:color w:val="003082"/>
              </w:rPr>
              <w:t>239,970,397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rPr>
              <w:t>325,933,978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3D5588"/>
              <w:bottom w:val="single" w:sz="8" w:color="3D5588"/>
            </w:tcBorders>
          </w:tcPr>
          <w:p>
            <w:pPr>
              <w:jc w:val="right"/>
              <w:ind w:right="70"/>
              <w:spacing w:after="0"/>
              <w:rPr>
                <w:sz w:val="20"/>
                <w:szCs w:val="20"/>
                <w:color w:val="auto"/>
              </w:rPr>
            </w:pPr>
            <w:r>
              <w:rPr>
                <w:rFonts w:ascii="Arial" w:cs="Arial" w:eastAsia="Arial" w:hAnsi="Arial"/>
                <w:sz w:val="18"/>
                <w:szCs w:val="18"/>
                <w:color w:val="003082"/>
                <w:w w:val="99"/>
              </w:rPr>
              <w:t>$</w:t>
            </w:r>
          </w:p>
        </w:tc>
        <w:tc>
          <w:tcPr>
            <w:tcW w:w="128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Shareholders’ equity (deficit)</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003082"/>
                <w:w w:val="92"/>
              </w:rPr>
              <w:t>Ordinary shares ($0.0001 par value; 330,404,847 shares authorized as of December</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003082"/>
                <w:w w:val="95"/>
              </w:rPr>
              <w:t>31, 2019 and March 31, 2020; 119,074,382 and 120,757,715 shares issued and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003082"/>
              </w:rPr>
              <w:t>outstanding as of December 31, 2019 and March 31, 2020, respectively;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003082"/>
                <w:w w:val="93"/>
              </w:rPr>
              <w:t>303,675,706 shares issued and outstanding on a pro-forma basis as of March 31,</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003082"/>
              </w:rPr>
              <w:t>2020)</w:t>
            </w:r>
          </w:p>
        </w:tc>
        <w:tc>
          <w:tcPr>
            <w:tcW w:w="2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003082"/>
              </w:rPr>
              <w:t>11,907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003082"/>
              </w:rPr>
              <w:t>12,075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003082"/>
              </w:rPr>
              <w:t>30,367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325,915,686</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003082"/>
              </w:rPr>
              <w:t>Accumulated other comprehensive loss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3082"/>
              </w:rPr>
              <w:t>(988,417)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003082"/>
              </w:rPr>
              <w:t>(1,489,615)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003082"/>
              </w:rPr>
              <w:t>(1,489,615)</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(126,316,043)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(157,845,178)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(157,845,178)</w:t>
            </w:r>
          </w:p>
        </w:tc>
        <w:tc>
          <w:tcPr>
            <w:tcW w:w="0" w:type="dxa"/>
            <w:vAlign w:val="bottom"/>
          </w:tcPr>
          <w:p>
            <w:pPr>
              <w:spacing w:after="0"/>
              <w:rPr>
                <w:sz w:val="1"/>
                <w:szCs w:val="1"/>
                <w:color w:val="auto"/>
              </w:rPr>
            </w:pP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Total shareholders’ equity (deficit)</w:t>
            </w:r>
          </w:p>
        </w:tc>
        <w:tc>
          <w:tcPr>
            <w:tcW w:w="240" w:type="dxa"/>
            <w:vAlign w:val="bottom"/>
            <w:tcBorders>
              <w:top w:val="single" w:sz="8" w:color="3D5588"/>
              <w:bottom w:val="single" w:sz="8" w:color="3D5588"/>
            </w:tcBorders>
          </w:tcPr>
          <w:p>
            <w:pPr>
              <w:jc w:val="right"/>
              <w:ind w:right="30"/>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(127,292,553)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3D5588"/>
              <w:bottom w:val="single" w:sz="8" w:color="3D5588"/>
            </w:tcBorders>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(159,322,718)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3D5588"/>
              <w:bottom w:val="single" w:sz="8" w:color="3D5588"/>
            </w:tcBorders>
          </w:tcPr>
          <w:p>
            <w:pPr>
              <w:jc w:val="right"/>
              <w:ind w:right="70"/>
              <w:spacing w:after="0"/>
              <w:rPr>
                <w:sz w:val="20"/>
                <w:szCs w:val="20"/>
                <w:color w:val="auto"/>
              </w:rPr>
            </w:pPr>
            <w:r>
              <w:rPr>
                <w:rFonts w:ascii="Arial" w:cs="Arial" w:eastAsia="Arial" w:hAnsi="Arial"/>
                <w:sz w:val="18"/>
                <w:szCs w:val="18"/>
                <w:color w:val="003082"/>
                <w:w w:val="99"/>
              </w:rPr>
              <w:t>$</w:t>
            </w:r>
          </w:p>
        </w:tc>
        <w:tc>
          <w:tcPr>
            <w:tcW w:w="128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166,611,260</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liabilities, mezzanine equity and shareholders’ equity (deficit)</w:t>
            </w:r>
          </w:p>
        </w:tc>
        <w:tc>
          <w:tcPr>
            <w:tcW w:w="240" w:type="dxa"/>
            <w:vAlign w:val="bottom"/>
            <w:tcBorders>
              <w:bottom w:val="single" w:sz="8" w:color="3D5588"/>
            </w:tcBorders>
            <w:shd w:val="clear" w:color="auto" w:fill="CCEEFF"/>
          </w:tcPr>
          <w:p>
            <w:pPr>
              <w:jc w:val="right"/>
              <w:ind w:right="30"/>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3D5588"/>
            </w:tcBorders>
            <w:shd w:val="clear" w:color="auto" w:fill="CCEEFF"/>
          </w:tcPr>
          <w:p>
            <w:pPr>
              <w:jc w:val="right"/>
              <w:ind w:right="34"/>
              <w:spacing w:after="0"/>
              <w:rPr>
                <w:sz w:val="20"/>
                <w:szCs w:val="20"/>
                <w:color w:val="auto"/>
              </w:rPr>
            </w:pPr>
            <w:r>
              <w:rPr>
                <w:rFonts w:ascii="Arial" w:cs="Arial" w:eastAsia="Arial" w:hAnsi="Arial"/>
                <w:sz w:val="18"/>
                <w:szCs w:val="18"/>
                <w:color w:val="003082"/>
              </w:rPr>
              <w:t>131,159,121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3D5588"/>
            </w:tcBorders>
            <w:shd w:val="clear" w:color="auto" w:fill="CCEEFF"/>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rPr>
              <w:t>197,154,086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3D5588"/>
            </w:tcBorders>
            <w:shd w:val="clear" w:color="auto" w:fill="CCEEFF"/>
          </w:tcPr>
          <w:p>
            <w:pPr>
              <w:jc w:val="right"/>
              <w:ind w:right="70"/>
              <w:spacing w:after="0"/>
              <w:rPr>
                <w:sz w:val="20"/>
                <w:szCs w:val="20"/>
                <w:color w:val="auto"/>
              </w:rPr>
            </w:pPr>
            <w:r>
              <w:rPr>
                <w:rFonts w:ascii="Arial" w:cs="Arial" w:eastAsia="Arial" w:hAnsi="Arial"/>
                <w:sz w:val="18"/>
                <w:szCs w:val="18"/>
                <w:color w:val="003082"/>
                <w:w w:val="99"/>
              </w:rPr>
              <w:t>$</w:t>
            </w:r>
          </w:p>
        </w:tc>
        <w:tc>
          <w:tcPr>
            <w:tcW w:w="128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197,154,086</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3D5588"/>
            </w:tcBorders>
          </w:tcPr>
          <w:p>
            <w:pPr>
              <w:spacing w:after="0" w:line="20" w:lineRule="exact"/>
              <w:rPr>
                <w:sz w:val="1"/>
                <w:szCs w:val="1"/>
                <w:color w:val="auto"/>
              </w:rPr>
            </w:pPr>
          </w:p>
        </w:tc>
        <w:tc>
          <w:tcPr>
            <w:tcW w:w="126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3D5588"/>
            </w:tcBorders>
          </w:tcPr>
          <w:p>
            <w:pPr>
              <w:spacing w:after="0" w:line="20" w:lineRule="exact"/>
              <w:rPr>
                <w:sz w:val="1"/>
                <w:szCs w:val="1"/>
                <w:color w:val="auto"/>
              </w:rPr>
            </w:pPr>
          </w:p>
        </w:tc>
        <w:tc>
          <w:tcPr>
            <w:tcW w:w="12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F-49</w:t>
      </w:r>
    </w:p>
    <w:p>
      <w:pPr>
        <w:sectPr>
          <w:pgSz w:w="11900" w:h="16838" w:orient="portrait"/>
          <w:cols w:equalWidth="0" w:num="1">
            <w:col w:w="11240"/>
          </w:cols>
          <w:pgMar w:left="320" w:top="553"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UNAUDITED INTERIM 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FOR THE THREE MONTHS ENDED MARCH 31,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531"/>
              <w:spacing w:after="0"/>
              <w:rPr>
                <w:sz w:val="20"/>
                <w:szCs w:val="20"/>
                <w:color w:val="auto"/>
              </w:rPr>
            </w:pPr>
            <w:r>
              <w:rPr>
                <w:rFonts w:ascii="Arial" w:cs="Arial" w:eastAsia="Arial" w:hAnsi="Arial"/>
                <w:sz w:val="14"/>
                <w:szCs w:val="14"/>
                <w:b w:val="1"/>
                <w:bCs w:val="1"/>
                <w:color w:val="003082"/>
              </w:rPr>
              <w:t>Three Months Ended March 31,</w:t>
            </w: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1"/>
              <w:spacing w:after="0"/>
              <w:rPr>
                <w:sz w:val="20"/>
                <w:szCs w:val="20"/>
                <w:color w:val="auto"/>
              </w:rPr>
            </w:pPr>
            <w:r>
              <w:rPr>
                <w:rFonts w:ascii="Arial" w:cs="Arial" w:eastAsia="Arial" w:hAnsi="Arial"/>
                <w:sz w:val="14"/>
                <w:szCs w:val="14"/>
                <w:b w:val="1"/>
                <w:bCs w:val="1"/>
                <w:color w:val="003082"/>
              </w:rPr>
              <w:t>2020</w:t>
            </w: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003082"/>
              </w:rPr>
              <w:t>(US$)</w:t>
            </w:r>
          </w:p>
        </w:tc>
        <w:tc>
          <w:tcPr>
            <w:tcW w:w="122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Real-time engagement service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13,287,047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35,446,490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Other revenues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75,446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113,945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13,362,493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35,560,435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Cost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(4,151,502)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(11,082,363)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9,210,991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24,478,072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Operating expenses: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(4,199,568)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(11,688,168)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Sales and marketing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(4,006,086)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(6,002,444)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(1,562,462)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(3,544,940)</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operating expenses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(9,768,116)</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(21,235,552)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4,930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23,259</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Income (loss) from operations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(552,195)</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3,265,779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Exchange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(18,248)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(7,033)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Interest income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42,840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97,235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(527,603)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3,355,981</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Income taxes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(190,375)</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(368,791)</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(717,978)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2,987,190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Less: cumulative undeclared dividends on convertible redeemable preferred shares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(2,490,368)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(3,399,132)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Less: accretion on convertible redeemable preferred shares to redemption value</w:t>
            </w:r>
          </w:p>
        </w:tc>
        <w:tc>
          <w:tcPr>
            <w:tcW w:w="360" w:type="dxa"/>
            <w:vAlign w:val="bottom"/>
            <w:tcBorders>
              <w:bottom w:val="single" w:sz="8" w:color="3D5588"/>
            </w:tcBorders>
            <w:shd w:val="clear" w:color="auto" w:fill="CCEEFF"/>
          </w:tcPr>
          <w:p>
            <w:pPr>
              <w:spacing w:after="0"/>
              <w:rPr>
                <w:sz w:val="22"/>
                <w:szCs w:val="22"/>
                <w:color w:val="auto"/>
              </w:rPr>
            </w:pP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(10,178,895)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spacing w:after="0"/>
              <w:rPr>
                <w:sz w:val="22"/>
                <w:szCs w:val="22"/>
                <w:color w:val="auto"/>
              </w:rPr>
            </w:pP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(35,963,579)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r>
      <w:tr>
        <w:trPr>
          <w:trHeight w:val="29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Net loss attributable to Agora, Inc.’s ordinary shareholders</w:t>
            </w:r>
          </w:p>
        </w:tc>
        <w:tc>
          <w:tcPr>
            <w:tcW w:w="360" w:type="dxa"/>
            <w:vAlign w:val="bottom"/>
            <w:tcBorders>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(13,387,241)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3D5588"/>
            </w:tcBorders>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rPr>
              <w:t>(36,375,521)</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comprehensive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Foreign currency translation adjustments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321,374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(501,198)</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comprehensive loss attributable to Agora, Inc.’s ordinary shareholders</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(13,065,867)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(36,876,719)</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r>
      <w:tr>
        <w:trPr>
          <w:trHeight w:val="257"/>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loss per share attributable to Agora, Inc.’s ordinary shareholders—basic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(0.30)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Weighted average number of ordinary shares-basic and diluted</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113,245,308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119,882,136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003082"/>
              </w:rPr>
              <w:t>Share-based compensation expenses included in: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18,752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31,009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Research and development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327,112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292,393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Sales and marketing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362,732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485,229</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221,234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638,791</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F-50</w:t>
      </w:r>
    </w:p>
    <w:p>
      <w:pPr>
        <w:sectPr>
          <w:pgSz w:w="11900" w:h="16838" w:orient="portrait"/>
          <w:cols w:equalWidth="0" w:num="1">
            <w:col w:w="11240"/>
          </w:cols>
          <w:pgMar w:left="320" w:top="769" w:right="339" w:bottom="1440" w:gutter="0" w:footer="0" w:header="0"/>
        </w:sectPr>
      </w:pPr>
    </w:p>
    <w:bookmarkStart w:id="259" w:name="page260"/>
    <w:bookmarkEnd w:id="259"/>
    <w:p>
      <w:pPr>
        <w:jc w:val="center"/>
        <w:ind w:right="60"/>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3082"/>
        </w:rPr>
        <w:t>UNAUDITED INTERIM CONDENSED CONSOLIDATED STATEMENTS OF CHANGES IN SHAREHOLDERS’ DEFICIT</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3082"/>
        </w:rPr>
        <w:t>FOR THE THREE MONTHS ENDED MARCH 31, 2019 AND 2020</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003082"/>
              </w:rPr>
              <w:t>Ordinary shares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003082"/>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0"/>
                <w:szCs w:val="10"/>
                <w:color w:val="auto"/>
              </w:rPr>
            </w:pPr>
          </w:p>
        </w:tc>
        <w:tc>
          <w:tcPr>
            <w:tcW w:w="2320" w:type="dxa"/>
            <w:vAlign w:val="bottom"/>
            <w:tcBorders>
              <w:bottom w:val="single" w:sz="8" w:color="3D5588"/>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003082"/>
                <w:w w:val="91"/>
              </w:rPr>
              <w:t>other</w:t>
            </w: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center"/>
              <w:ind w:right="33"/>
              <w:spacing w:after="0" w:line="125" w:lineRule="exact"/>
              <w:rPr>
                <w:sz w:val="20"/>
                <w:szCs w:val="20"/>
                <w:color w:val="auto"/>
              </w:rPr>
            </w:pPr>
            <w:r>
              <w:rPr>
                <w:rFonts w:ascii="Arial" w:cs="Arial" w:eastAsia="Arial" w:hAnsi="Arial"/>
                <w:sz w:val="14"/>
                <w:szCs w:val="14"/>
                <w:b w:val="1"/>
                <w:bCs w:val="1"/>
                <w:color w:val="003082"/>
                <w:w w:val="95"/>
              </w:rPr>
              <w:t>Total</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13"/>
                <w:szCs w:val="13"/>
                <w:color w:val="auto"/>
              </w:rPr>
            </w:pPr>
          </w:p>
        </w:tc>
        <w:tc>
          <w:tcPr>
            <w:tcW w:w="12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003082"/>
              </w:rPr>
              <w:t>Number of</w:t>
            </w:r>
          </w:p>
        </w:tc>
        <w:tc>
          <w:tcPr>
            <w:tcW w:w="200" w:type="dxa"/>
            <w:vAlign w:val="bottom"/>
          </w:tcPr>
          <w:p>
            <w:pPr>
              <w:spacing w:after="0"/>
              <w:rPr>
                <w:sz w:val="13"/>
                <w:szCs w:val="13"/>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003082"/>
              </w:rPr>
              <w:t>Amount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003082"/>
                <w:w w:val="96"/>
              </w:rPr>
              <w:t>Additional</w:t>
            </w:r>
          </w:p>
        </w:tc>
        <w:tc>
          <w:tcPr>
            <w:tcW w:w="122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003082"/>
                <w:w w:val="89"/>
              </w:rPr>
              <w:t>comprehensive</w:t>
            </w: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003082"/>
              </w:rPr>
              <w:t>Accumulated</w:t>
            </w:r>
          </w:p>
        </w:tc>
        <w:tc>
          <w:tcPr>
            <w:tcW w:w="120" w:type="dxa"/>
            <w:vAlign w:val="bottom"/>
          </w:tcPr>
          <w:p>
            <w:pPr>
              <w:spacing w:after="0"/>
              <w:rPr>
                <w:sz w:val="13"/>
                <w:szCs w:val="13"/>
                <w:color w:val="auto"/>
              </w:rPr>
            </w:pPr>
          </w:p>
        </w:tc>
        <w:tc>
          <w:tcPr>
            <w:tcW w:w="1080" w:type="dxa"/>
            <w:vAlign w:val="bottom"/>
          </w:tcPr>
          <w:p>
            <w:pPr>
              <w:jc w:val="center"/>
              <w:ind w:right="33"/>
              <w:spacing w:after="0" w:line="153" w:lineRule="exact"/>
              <w:rPr>
                <w:sz w:val="20"/>
                <w:szCs w:val="20"/>
                <w:color w:val="auto"/>
              </w:rPr>
            </w:pPr>
            <w:r>
              <w:rPr>
                <w:rFonts w:ascii="Arial" w:cs="Arial" w:eastAsia="Arial" w:hAnsi="Arial"/>
                <w:sz w:val="14"/>
                <w:szCs w:val="14"/>
                <w:b w:val="1"/>
                <w:bCs w:val="1"/>
                <w:color w:val="003082"/>
                <w:w w:val="91"/>
              </w:rPr>
              <w:t>shareholders’</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100" w:type="dxa"/>
            <w:vAlign w:val="bottom"/>
            <w:tcBorders>
              <w:bottom w:val="single" w:sz="8" w:color="3D5588"/>
            </w:tcBorders>
          </w:tcPr>
          <w:p>
            <w:pPr>
              <w:jc w:val="right"/>
              <w:ind w:right="253"/>
              <w:spacing w:after="0"/>
              <w:rPr>
                <w:sz w:val="20"/>
                <w:szCs w:val="20"/>
                <w:color w:val="auto"/>
              </w:rPr>
            </w:pPr>
            <w:r>
              <w:rPr>
                <w:rFonts w:ascii="Arial" w:cs="Arial" w:eastAsia="Arial" w:hAnsi="Arial"/>
                <w:sz w:val="14"/>
                <w:szCs w:val="14"/>
                <w:b w:val="1"/>
                <w:bCs w:val="1"/>
                <w:color w:val="003082"/>
              </w:rPr>
              <w:t>Shares</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900" w:type="dxa"/>
            <w:vAlign w:val="bottom"/>
            <w:tcBorders>
              <w:bottom w:val="single" w:sz="8" w:color="3D5588"/>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3D5588"/>
            </w:tcBorders>
            <w:gridSpan w:val="2"/>
          </w:tcPr>
          <w:p>
            <w:pPr>
              <w:jc w:val="center"/>
              <w:spacing w:after="0"/>
              <w:rPr>
                <w:sz w:val="20"/>
                <w:szCs w:val="20"/>
                <w:color w:val="auto"/>
              </w:rPr>
            </w:pPr>
            <w:r>
              <w:rPr>
                <w:rFonts w:ascii="Arial" w:cs="Arial" w:eastAsia="Arial" w:hAnsi="Arial"/>
                <w:sz w:val="14"/>
                <w:szCs w:val="14"/>
                <w:b w:val="1"/>
                <w:bCs w:val="1"/>
                <w:color w:val="003082"/>
                <w:w w:val="95"/>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980" w:type="dxa"/>
            <w:vAlign w:val="bottom"/>
            <w:tcBorders>
              <w:bottom w:val="single" w:sz="8" w:color="3D5588"/>
            </w:tcBorders>
          </w:tcPr>
          <w:p>
            <w:pPr>
              <w:jc w:val="center"/>
              <w:ind w:right="53"/>
              <w:spacing w:after="0"/>
              <w:rPr>
                <w:sz w:val="20"/>
                <w:szCs w:val="20"/>
                <w:color w:val="auto"/>
              </w:rPr>
            </w:pPr>
            <w:r>
              <w:rPr>
                <w:rFonts w:ascii="Arial" w:cs="Arial" w:eastAsia="Arial" w:hAnsi="Arial"/>
                <w:sz w:val="14"/>
                <w:szCs w:val="14"/>
                <w:b w:val="1"/>
                <w:bCs w:val="1"/>
                <w:color w:val="003082"/>
                <w:w w:val="88"/>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3D5588"/>
            </w:tcBorders>
          </w:tcPr>
          <w:p>
            <w:pPr>
              <w:spacing w:after="0"/>
              <w:rPr>
                <w:sz w:val="16"/>
                <w:szCs w:val="16"/>
                <w:color w:val="auto"/>
              </w:rPr>
            </w:pPr>
          </w:p>
        </w:tc>
        <w:tc>
          <w:tcPr>
            <w:tcW w:w="1080" w:type="dxa"/>
            <w:vAlign w:val="bottom"/>
            <w:tcBorders>
              <w:bottom w:val="single" w:sz="8" w:color="3D5588"/>
            </w:tcBorders>
          </w:tcPr>
          <w:p>
            <w:pPr>
              <w:jc w:val="right"/>
              <w:ind w:right="332"/>
              <w:spacing w:after="0"/>
              <w:rPr>
                <w:sz w:val="20"/>
                <w:szCs w:val="20"/>
                <w:color w:val="auto"/>
              </w:rPr>
            </w:pPr>
            <w:r>
              <w:rPr>
                <w:rFonts w:ascii="Arial" w:cs="Arial" w:eastAsia="Arial" w:hAnsi="Arial"/>
                <w:sz w:val="14"/>
                <w:szCs w:val="14"/>
                <w:b w:val="1"/>
                <w:bCs w:val="1"/>
                <w:color w:val="003082"/>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1080" w:type="dxa"/>
            <w:vAlign w:val="bottom"/>
            <w:tcBorders>
              <w:bottom w:val="single" w:sz="8" w:color="3D5588"/>
            </w:tcBorders>
          </w:tcPr>
          <w:p>
            <w:pPr>
              <w:jc w:val="center"/>
              <w:ind w:right="33"/>
              <w:spacing w:after="0"/>
              <w:rPr>
                <w:sz w:val="20"/>
                <w:szCs w:val="20"/>
                <w:color w:val="auto"/>
              </w:rPr>
            </w:pPr>
            <w:r>
              <w:rPr>
                <w:rFonts w:ascii="Arial" w:cs="Arial" w:eastAsia="Arial" w:hAnsi="Arial"/>
                <w:sz w:val="14"/>
                <w:szCs w:val="14"/>
                <w:b w:val="1"/>
                <w:bCs w:val="1"/>
                <w:color w:val="003082"/>
                <w:w w:val="96"/>
              </w:rPr>
              <w:t>deficit</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Balance as of January 1, 2019</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w w:val="97"/>
              </w:rPr>
              <w:t>112,441,049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11,244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(630,334)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7"/>
              </w:rPr>
              <w:t>(72,622,888)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(73,241,978)</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003082"/>
              </w:rPr>
              <w:t>Vesting of restricted shares (Note 11)</w:t>
            </w:r>
          </w:p>
        </w:tc>
        <w:tc>
          <w:tcPr>
            <w:tcW w:w="1100" w:type="dxa"/>
            <w:vAlign w:val="bottom"/>
          </w:tcPr>
          <w:p>
            <w:pPr>
              <w:jc w:val="right"/>
              <w:ind w:right="13"/>
              <w:spacing w:after="0"/>
              <w:rPr>
                <w:sz w:val="20"/>
                <w:szCs w:val="20"/>
                <w:color w:val="auto"/>
              </w:rPr>
            </w:pPr>
            <w:r>
              <w:rPr>
                <w:rFonts w:ascii="Arial" w:cs="Arial" w:eastAsia="Arial" w:hAnsi="Arial"/>
                <w:sz w:val="18"/>
                <w:szCs w:val="18"/>
                <w:color w:val="003082"/>
              </w:rPr>
              <w:t>1,683,333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003082"/>
              </w:rPr>
              <w:t>168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003082"/>
              </w:rPr>
              <w:t>72,876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73,044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w w:val="96"/>
              </w:rPr>
              <w:t>Share-based compensation expense (Note 11)</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003082"/>
              </w:rPr>
              <w:t>686,113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686,113</w:t>
            </w:r>
          </w:p>
        </w:tc>
        <w:tc>
          <w:tcPr>
            <w:tcW w:w="0" w:type="dxa"/>
            <w:vAlign w:val="bottom"/>
          </w:tcPr>
          <w:p>
            <w:pPr>
              <w:spacing w:after="0"/>
              <w:rPr>
                <w:sz w:val="1"/>
                <w:szCs w:val="1"/>
                <w:color w:val="auto"/>
              </w:rPr>
            </w:pPr>
          </w:p>
        </w:tc>
      </w:tr>
      <w:tr>
        <w:trPr>
          <w:trHeight w:val="229"/>
        </w:trPr>
        <w:tc>
          <w:tcPr>
            <w:tcW w:w="3780" w:type="dxa"/>
            <w:vAlign w:val="bottom"/>
          </w:tcPr>
          <w:p>
            <w:pPr>
              <w:ind w:left="160"/>
              <w:spacing w:after="0"/>
              <w:rPr>
                <w:sz w:val="20"/>
                <w:szCs w:val="20"/>
                <w:color w:val="auto"/>
              </w:rPr>
            </w:pPr>
            <w:r>
              <w:rPr>
                <w:rFonts w:ascii="Arial" w:cs="Arial" w:eastAsia="Arial" w:hAnsi="Arial"/>
                <w:sz w:val="18"/>
                <w:szCs w:val="18"/>
                <w:color w:val="003082"/>
                <w:w w:val="97"/>
              </w:rPr>
              <w:t>Accretion on convertible redeemable preferred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20"/>
              <w:spacing w:after="0"/>
              <w:rPr>
                <w:sz w:val="20"/>
                <w:szCs w:val="20"/>
                <w:color w:val="auto"/>
              </w:rPr>
            </w:pPr>
            <w:r>
              <w:rPr>
                <w:rFonts w:ascii="Arial" w:cs="Arial" w:eastAsia="Arial" w:hAnsi="Arial"/>
                <w:sz w:val="18"/>
                <w:szCs w:val="18"/>
                <w:color w:val="003082"/>
              </w:rPr>
              <w:t>shares to redemption value (Note 9)</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003082"/>
              </w:rPr>
              <w:t>(758,989)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rPr>
              <w:t>(9,419,906)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w w:val="99"/>
              </w:rPr>
              <w:t>(10,178,895)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Net loss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(717,978)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(717,978)</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003082"/>
              </w:rPr>
              <w:t>Foreign currency translation adjustments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003082"/>
              </w:rPr>
              <w:t>321,374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321,374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9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3D5588"/>
            </w:tcBorders>
          </w:tcPr>
          <w:p>
            <w:pPr>
              <w:spacing w:after="0"/>
              <w:rPr>
                <w:sz w:val="2"/>
                <w:szCs w:val="2"/>
                <w:color w:val="auto"/>
              </w:rPr>
            </w:pPr>
          </w:p>
        </w:tc>
        <w:tc>
          <w:tcPr>
            <w:tcW w:w="96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3D5588"/>
            </w:tcBorders>
          </w:tcPr>
          <w:p>
            <w:pPr>
              <w:spacing w:after="0"/>
              <w:rPr>
                <w:sz w:val="2"/>
                <w:szCs w:val="2"/>
                <w:color w:val="auto"/>
              </w:rPr>
            </w:pPr>
          </w:p>
        </w:tc>
        <w:tc>
          <w:tcPr>
            <w:tcW w:w="9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3D5588"/>
            </w:tcBorders>
          </w:tcPr>
          <w:p>
            <w:pPr>
              <w:spacing w:after="0"/>
              <w:rPr>
                <w:sz w:val="2"/>
                <w:szCs w:val="2"/>
                <w:color w:val="auto"/>
              </w:rPr>
            </w:pPr>
          </w:p>
        </w:tc>
        <w:tc>
          <w:tcPr>
            <w:tcW w:w="1080" w:type="dxa"/>
            <w:vAlign w:val="bottom"/>
            <w:tcBorders>
              <w:bottom w:val="single" w:sz="8" w:color="3D5588"/>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0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003082"/>
              </w:rPr>
              <w:t>Balance as of March 31, 2019</w:t>
            </w:r>
          </w:p>
        </w:tc>
        <w:tc>
          <w:tcPr>
            <w:tcW w:w="110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w w:val="97"/>
              </w:rPr>
              <w:t>114,124,382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3D5588"/>
            </w:tcBorders>
            <w:shd w:val="clear" w:color="auto" w:fill="CCEEFF"/>
          </w:tcPr>
          <w:p>
            <w:pPr>
              <w:spacing w:after="0"/>
              <w:rPr>
                <w:sz w:val="22"/>
                <w:szCs w:val="22"/>
                <w:color w:val="auto"/>
              </w:rPr>
            </w:pPr>
          </w:p>
        </w:tc>
        <w:tc>
          <w:tcPr>
            <w:tcW w:w="900" w:type="dxa"/>
            <w:vAlign w:val="bottom"/>
            <w:tcBorders>
              <w:bottom w:val="single" w:sz="8" w:color="3D5588"/>
            </w:tcBorders>
            <w:shd w:val="clear" w:color="auto" w:fill="CCEEFF"/>
          </w:tcPr>
          <w:p>
            <w:pPr>
              <w:jc w:val="right"/>
              <w:ind w:right="11"/>
              <w:spacing w:after="0"/>
              <w:rPr>
                <w:sz w:val="20"/>
                <w:szCs w:val="20"/>
                <w:color w:val="auto"/>
              </w:rPr>
            </w:pPr>
            <w:r>
              <w:rPr>
                <w:rFonts w:ascii="Arial" w:cs="Arial" w:eastAsia="Arial" w:hAnsi="Arial"/>
                <w:sz w:val="18"/>
                <w:szCs w:val="18"/>
                <w:color w:val="003082"/>
              </w:rPr>
              <w:t>11,412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3D5588"/>
            </w:tcBorders>
            <w:shd w:val="clear" w:color="auto" w:fill="CCEEFF"/>
          </w:tcPr>
          <w:p>
            <w:pPr>
              <w:spacing w:after="0"/>
              <w:rPr>
                <w:sz w:val="22"/>
                <w:szCs w:val="22"/>
                <w:color w:val="auto"/>
              </w:rPr>
            </w:pPr>
          </w:p>
        </w:tc>
        <w:tc>
          <w:tcPr>
            <w:tcW w:w="960" w:type="dxa"/>
            <w:vAlign w:val="bottom"/>
            <w:tcBorders>
              <w:bottom w:val="single" w:sz="8" w:color="3D5588"/>
            </w:tcBorders>
            <w:shd w:val="clear" w:color="auto" w:fill="CCEEFF"/>
          </w:tcPr>
          <w:p>
            <w:pPr>
              <w:jc w:val="right"/>
              <w:ind w:right="31"/>
              <w:spacing w:after="0"/>
              <w:rPr>
                <w:sz w:val="20"/>
                <w:szCs w:val="20"/>
                <w:color w:val="auto"/>
              </w:rPr>
            </w:pPr>
            <w:r>
              <w:rPr>
                <w:rFonts w:ascii="Arial" w:cs="Arial" w:eastAsia="Arial" w:hAnsi="Arial"/>
                <w:sz w:val="18"/>
                <w:szCs w:val="18"/>
                <w:color w:val="003082"/>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3D5588"/>
            </w:tcBorders>
            <w:shd w:val="clear" w:color="auto" w:fill="CCEEFF"/>
          </w:tcPr>
          <w:p>
            <w:pPr>
              <w:spacing w:after="0"/>
              <w:rPr>
                <w:sz w:val="22"/>
                <w:szCs w:val="22"/>
                <w:color w:val="auto"/>
              </w:rPr>
            </w:pPr>
          </w:p>
        </w:tc>
        <w:tc>
          <w:tcPr>
            <w:tcW w:w="9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(308,960)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3D5588"/>
            </w:tcBorders>
            <w:shd w:val="clear" w:color="auto" w:fill="CCEEFF"/>
          </w:tcPr>
          <w:p>
            <w:pPr>
              <w:spacing w:after="0"/>
              <w:rPr>
                <w:sz w:val="22"/>
                <w:szCs w:val="22"/>
                <w:color w:val="auto"/>
              </w:rPr>
            </w:pPr>
          </w:p>
        </w:tc>
        <w:tc>
          <w:tcPr>
            <w:tcW w:w="10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7"/>
              </w:rPr>
              <w:t>(82,760,772)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3D5588"/>
            </w:tcBorders>
            <w:shd w:val="clear" w:color="auto" w:fill="CCEEFF"/>
          </w:tcPr>
          <w:p>
            <w:pPr>
              <w:spacing w:after="0"/>
              <w:rPr>
                <w:sz w:val="22"/>
                <w:szCs w:val="22"/>
                <w:color w:val="auto"/>
              </w:rPr>
            </w:pPr>
          </w:p>
        </w:tc>
        <w:tc>
          <w:tcPr>
            <w:tcW w:w="10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(83,058,320)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003082"/>
              </w:rPr>
              <w:t>Balance as of January 1, 2020</w:t>
            </w:r>
          </w:p>
        </w:tc>
        <w:tc>
          <w:tcPr>
            <w:tcW w:w="1100" w:type="dxa"/>
            <w:vAlign w:val="bottom"/>
          </w:tcPr>
          <w:p>
            <w:pPr>
              <w:jc w:val="right"/>
              <w:ind w:right="13"/>
              <w:spacing w:after="0"/>
              <w:rPr>
                <w:sz w:val="20"/>
                <w:szCs w:val="20"/>
                <w:color w:val="auto"/>
              </w:rPr>
            </w:pPr>
            <w:r>
              <w:rPr>
                <w:rFonts w:ascii="Arial" w:cs="Arial" w:eastAsia="Arial" w:hAnsi="Arial"/>
                <w:sz w:val="18"/>
                <w:szCs w:val="18"/>
                <w:color w:val="003082"/>
                <w:w w:val="97"/>
              </w:rPr>
              <w:t>119,074,382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003082"/>
              </w:rPr>
              <w:t>11,907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003082"/>
              </w:rPr>
              <w:t>(988,417)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w w:val="89"/>
              </w:rPr>
              <w:t>(126,316,043)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003082"/>
                <w:w w:val="90"/>
              </w:rPr>
              <w:t>(127,292,553)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Vesting of restricted shares (Note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1,683,333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003082"/>
                <w:w w:val="96"/>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003082"/>
              </w:rPr>
              <w:t>1,447,422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1,447,422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003082"/>
                <w:w w:val="97"/>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003082"/>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5"/>
              </w:rPr>
              <w:t>(1,447,254)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7"/>
              </w:rPr>
              <w:t>(34,516,325)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(35,963,579)</w:t>
            </w:r>
          </w:p>
        </w:tc>
        <w:tc>
          <w:tcPr>
            <w:tcW w:w="0" w:type="dxa"/>
            <w:vAlign w:val="bottom"/>
          </w:tcPr>
          <w:p>
            <w:pPr>
              <w:spacing w:after="0"/>
              <w:rPr>
                <w:sz w:val="1"/>
                <w:szCs w:val="1"/>
                <w:color w:val="auto"/>
              </w:rPr>
            </w:pPr>
          </w:p>
        </w:tc>
      </w:tr>
      <w:tr>
        <w:trPr>
          <w:trHeight w:val="243"/>
        </w:trPr>
        <w:tc>
          <w:tcPr>
            <w:tcW w:w="3780" w:type="dxa"/>
            <w:vAlign w:val="bottom"/>
          </w:tcPr>
          <w:p>
            <w:pPr>
              <w:ind w:left="160"/>
              <w:spacing w:after="0"/>
              <w:rPr>
                <w:sz w:val="20"/>
                <w:szCs w:val="20"/>
                <w:color w:val="auto"/>
              </w:rPr>
            </w:pPr>
            <w:r>
              <w:rPr>
                <w:rFonts w:ascii="Arial" w:cs="Arial" w:eastAsia="Arial" w:hAnsi="Arial"/>
                <w:sz w:val="18"/>
                <w:szCs w:val="18"/>
                <w:color w:val="003082"/>
              </w:rPr>
              <w:t>Net income</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003082"/>
              </w:rPr>
              <w:t>—</w:t>
            </w: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003082"/>
              </w:rPr>
              <w:t>2,987,190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003082"/>
              </w:rPr>
              <w:t>2,987,190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003082"/>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(501,198)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(501,198)</w:t>
            </w:r>
          </w:p>
        </w:tc>
        <w:tc>
          <w:tcPr>
            <w:tcW w:w="0" w:type="dxa"/>
            <w:vAlign w:val="bottom"/>
          </w:tcPr>
          <w:p>
            <w:pPr>
              <w:spacing w:after="0"/>
              <w:rPr>
                <w:sz w:val="1"/>
                <w:szCs w:val="1"/>
                <w:color w:val="auto"/>
              </w:rPr>
            </w:pPr>
          </w:p>
        </w:tc>
      </w:tr>
      <w:tr>
        <w:trPr>
          <w:trHeight w:val="257"/>
        </w:trPr>
        <w:tc>
          <w:tcPr>
            <w:tcW w:w="3780" w:type="dxa"/>
            <w:vAlign w:val="bottom"/>
          </w:tcPr>
          <w:p>
            <w:pPr>
              <w:ind w:left="20"/>
              <w:spacing w:after="0"/>
              <w:rPr>
                <w:sz w:val="20"/>
                <w:szCs w:val="20"/>
                <w:color w:val="auto"/>
              </w:rPr>
            </w:pPr>
            <w:r>
              <w:rPr>
                <w:rFonts w:ascii="Arial" w:cs="Arial" w:eastAsia="Arial" w:hAnsi="Arial"/>
                <w:sz w:val="18"/>
                <w:szCs w:val="18"/>
                <w:color w:val="003082"/>
              </w:rPr>
              <w:t>Balance as of March 31, 2020</w:t>
            </w:r>
          </w:p>
        </w:tc>
        <w:tc>
          <w:tcPr>
            <w:tcW w:w="110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w w:val="97"/>
              </w:rPr>
              <w:t>120,757,715</w:t>
            </w:r>
          </w:p>
        </w:tc>
        <w:tc>
          <w:tcPr>
            <w:tcW w:w="120" w:type="dxa"/>
            <w:vAlign w:val="bottom"/>
          </w:tcPr>
          <w:p>
            <w:pPr>
              <w:spacing w:after="0"/>
              <w:rPr>
                <w:sz w:val="22"/>
                <w:szCs w:val="22"/>
                <w:color w:val="auto"/>
              </w:rPr>
            </w:pPr>
          </w:p>
        </w:tc>
        <w:tc>
          <w:tcPr>
            <w:tcW w:w="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900" w:type="dxa"/>
            <w:vAlign w:val="bottom"/>
            <w:tcBorders>
              <w:top w:val="single" w:sz="8" w:color="3D5588"/>
              <w:bottom w:val="single" w:sz="8" w:color="3D5588"/>
            </w:tcBorders>
          </w:tcPr>
          <w:p>
            <w:pPr>
              <w:jc w:val="right"/>
              <w:ind w:right="11"/>
              <w:spacing w:after="0"/>
              <w:rPr>
                <w:sz w:val="20"/>
                <w:szCs w:val="20"/>
                <w:color w:val="auto"/>
              </w:rPr>
            </w:pPr>
            <w:r>
              <w:rPr>
                <w:rFonts w:ascii="Arial" w:cs="Arial" w:eastAsia="Arial" w:hAnsi="Arial"/>
                <w:sz w:val="18"/>
                <w:szCs w:val="18"/>
                <w:color w:val="003082"/>
              </w:rPr>
              <w:t>12,075</w:t>
            </w:r>
          </w:p>
        </w:tc>
        <w:tc>
          <w:tcPr>
            <w:tcW w:w="120" w:type="dxa"/>
            <w:vAlign w:val="bottom"/>
          </w:tcPr>
          <w:p>
            <w:pPr>
              <w:spacing w:after="0"/>
              <w:rPr>
                <w:sz w:val="22"/>
                <w:szCs w:val="22"/>
                <w:color w:val="auto"/>
              </w:rPr>
            </w:pPr>
          </w:p>
        </w:tc>
        <w:tc>
          <w:tcPr>
            <w:tcW w:w="1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79"/>
              </w:rPr>
              <w:t>$</w:t>
            </w:r>
          </w:p>
        </w:tc>
        <w:tc>
          <w:tcPr>
            <w:tcW w:w="960" w:type="dxa"/>
            <w:vAlign w:val="bottom"/>
            <w:tcBorders>
              <w:top w:val="single" w:sz="8" w:color="3D5588"/>
              <w:bottom w:val="single" w:sz="8" w:color="3D5588"/>
            </w:tcBorders>
          </w:tcPr>
          <w:p>
            <w:pPr>
              <w:jc w:val="right"/>
              <w:ind w:right="31"/>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2"/>
                <w:szCs w:val="22"/>
                <w:color w:val="auto"/>
              </w:rPr>
            </w:pPr>
          </w:p>
        </w:tc>
        <w:tc>
          <w:tcPr>
            <w:tcW w:w="14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9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(1,489,615)</w:t>
            </w:r>
          </w:p>
        </w:tc>
        <w:tc>
          <w:tcPr>
            <w:tcW w:w="100" w:type="dxa"/>
            <w:vAlign w:val="bottom"/>
          </w:tcPr>
          <w:p>
            <w:pPr>
              <w:spacing w:after="0"/>
              <w:rPr>
                <w:sz w:val="22"/>
                <w:szCs w:val="22"/>
                <w:color w:val="auto"/>
              </w:rPr>
            </w:pPr>
          </w:p>
        </w:tc>
        <w:tc>
          <w:tcPr>
            <w:tcW w:w="14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89"/>
              </w:rPr>
              <w:t>(157,845,178)</w:t>
            </w:r>
          </w:p>
        </w:tc>
        <w:tc>
          <w:tcPr>
            <w:tcW w:w="100" w:type="dxa"/>
            <w:vAlign w:val="bottom"/>
          </w:tcPr>
          <w:p>
            <w:pPr>
              <w:spacing w:after="0"/>
              <w:rPr>
                <w:sz w:val="22"/>
                <w:szCs w:val="22"/>
                <w:color w:val="auto"/>
              </w:rPr>
            </w:pPr>
          </w:p>
        </w:tc>
        <w:tc>
          <w:tcPr>
            <w:tcW w:w="1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0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0"/>
              </w:rPr>
              <w:t>(159,322,718)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9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3D5588"/>
            </w:tcBorders>
          </w:tcPr>
          <w:p>
            <w:pPr>
              <w:spacing w:after="0" w:line="20" w:lineRule="exact"/>
              <w:rPr>
                <w:sz w:val="1"/>
                <w:szCs w:val="1"/>
                <w:color w:val="auto"/>
              </w:rPr>
            </w:pPr>
          </w:p>
        </w:tc>
        <w:tc>
          <w:tcPr>
            <w:tcW w:w="96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9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08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003082"/>
        </w:rPr>
        <w:t>The accompanying notes are an integral part of these unaudited interim condensed consolidated financial statements.</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003082"/>
        </w:rPr>
        <w:t>F-51</w:t>
      </w:r>
    </w:p>
    <w:p>
      <w:pPr>
        <w:sectPr>
          <w:pgSz w:w="11900" w:h="16838" w:orient="portrait"/>
          <w:cols w:equalWidth="0" w:num="1">
            <w:col w:w="11180"/>
          </w:cols>
          <w:pgMar w:left="380" w:top="553"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UNAUDITED INTERIM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FOR THE THREE MONTHS ENDED MARCH 31, 2019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082"/>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531"/>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2"/>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1"/>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003082"/>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3082"/>
              </w:rPr>
              <w:t>(717,978)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2,987,190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929,830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1,447,422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Depreciation of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342,304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744,654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Accounts receivable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1,135,417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(15,446,318)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Prepayments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374,698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(2,165,912)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Other non-current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(15,312)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18,747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1,230,482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4,787,923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Advances from customers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(134,251)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(138,056)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(17,193)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232,461</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Accrued expenses and other current liabilities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490,565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6,612,474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generated from (used in)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3,618,562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(919,415)</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Cash flows from investing activities: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Purchase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(6,669,829)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Proceeds from sale and maturity of short-term investments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003082"/>
              </w:rPr>
              <w:t>1,482,184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Purchase of property and equipment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(763,642)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(2,496,289)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Net cash used in investing activities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(5,951,287)</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(2,496,289)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003082"/>
                <w:w w:val="91"/>
              </w:rPr>
              <w:t>Proceeds from issuance of Series C+ convertible redeemable preferred shares, net of the issuance costs of</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003082"/>
              </w:rPr>
              <w:t>nil</w:t>
            </w:r>
          </w:p>
        </w:tc>
        <w:tc>
          <w:tcPr>
            <w:tcW w:w="3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50,000,002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Payment of deferred initial public offering cost</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(231,312)</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Net cash provided by financing activities</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49,768,690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Effect of foreign exchange rate changes on cash, cash equivalents and restricted cash</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194,052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(303,484)</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Net increase (decrease) in cash, cash equivalents and restricted cash</w:t>
            </w:r>
          </w:p>
        </w:tc>
        <w:tc>
          <w:tcPr>
            <w:tcW w:w="36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rPr>
              <w:t>(2,138,673)</w:t>
            </w:r>
          </w:p>
        </w:tc>
        <w:tc>
          <w:tcPr>
            <w:tcW w:w="120" w:type="dxa"/>
            <w:vAlign w:val="bottom"/>
          </w:tcPr>
          <w:p>
            <w:pPr>
              <w:spacing w:after="0"/>
              <w:rPr>
                <w:sz w:val="20"/>
                <w:szCs w:val="20"/>
                <w:color w:val="auto"/>
              </w:rPr>
            </w:pPr>
          </w:p>
        </w:tc>
        <w:tc>
          <w:tcPr>
            <w:tcW w:w="340" w:type="dxa"/>
            <w:vAlign w:val="bottom"/>
            <w:tcBorders>
              <w:top w:val="single" w:sz="8" w:color="3D5588"/>
            </w:tcBorders>
          </w:tcPr>
          <w:p>
            <w:pPr>
              <w:spacing w:after="0"/>
              <w:rPr>
                <w:sz w:val="20"/>
                <w:szCs w:val="20"/>
                <w:color w:val="auto"/>
              </w:rPr>
            </w:pPr>
          </w:p>
        </w:tc>
        <w:tc>
          <w:tcPr>
            <w:tcW w:w="1220" w:type="dxa"/>
            <w:vAlign w:val="bottom"/>
            <w:tcBorders>
              <w:top w:val="single" w:sz="8" w:color="3D5588"/>
            </w:tcBorders>
          </w:tcPr>
          <w:p>
            <w:pPr>
              <w:jc w:val="right"/>
              <w:ind w:right="11"/>
              <w:spacing w:after="0"/>
              <w:rPr>
                <w:sz w:val="20"/>
                <w:szCs w:val="20"/>
                <w:color w:val="auto"/>
              </w:rPr>
            </w:pPr>
            <w:r>
              <w:rPr>
                <w:rFonts w:ascii="Arial" w:cs="Arial" w:eastAsia="Arial" w:hAnsi="Arial"/>
                <w:sz w:val="18"/>
                <w:szCs w:val="18"/>
                <w:color w:val="003082"/>
              </w:rPr>
              <w:t>46,049,502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Cash, cash equivalents and restricted cash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108,598,039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105,683,153</w:t>
            </w: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003082"/>
              </w:rPr>
              <w:t>Cash, cash equivalents and restricted cash at end of period</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ind w:right="12"/>
              <w:spacing w:after="0"/>
              <w:rPr>
                <w:sz w:val="20"/>
                <w:szCs w:val="20"/>
                <w:color w:val="auto"/>
              </w:rPr>
            </w:pPr>
            <w:r>
              <w:rPr>
                <w:rFonts w:ascii="Arial" w:cs="Arial" w:eastAsia="Arial" w:hAnsi="Arial"/>
                <w:sz w:val="18"/>
                <w:szCs w:val="18"/>
                <w:color w:val="003082"/>
              </w:rPr>
              <w:t>106,459,366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3D5588"/>
              <w:bottom w:val="single" w:sz="8" w:color="3D5588"/>
            </w:tcBorders>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ind w:right="11"/>
              <w:spacing w:after="0"/>
              <w:rPr>
                <w:sz w:val="20"/>
                <w:szCs w:val="20"/>
                <w:color w:val="auto"/>
              </w:rPr>
            </w:pPr>
            <w:r>
              <w:rPr>
                <w:rFonts w:ascii="Arial" w:cs="Arial" w:eastAsia="Arial" w:hAnsi="Arial"/>
                <w:sz w:val="18"/>
                <w:szCs w:val="18"/>
                <w:color w:val="003082"/>
              </w:rPr>
              <w:t>151,732,655</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Supplemental disclosure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Income taxes paid</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Non-cash financing and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Accretion to redemption value of convertible redeemable preferred shares</w:t>
            </w:r>
          </w:p>
        </w:tc>
        <w:tc>
          <w:tcPr>
            <w:tcW w:w="360" w:type="dxa"/>
            <w:vAlign w:val="bottom"/>
          </w:tcPr>
          <w:p>
            <w:pPr>
              <w:spacing w:after="0"/>
              <w:rPr>
                <w:sz w:val="21"/>
                <w:szCs w:val="21"/>
                <w:color w:val="auto"/>
              </w:rPr>
            </w:pPr>
          </w:p>
        </w:tc>
        <w:tc>
          <w:tcPr>
            <w:tcW w:w="1220" w:type="dxa"/>
            <w:vAlign w:val="bottom"/>
            <w:vMerge w:val="restart"/>
          </w:tcPr>
          <w:p>
            <w:pPr>
              <w:jc w:val="right"/>
              <w:ind w:right="12"/>
              <w:spacing w:after="0"/>
              <w:rPr>
                <w:sz w:val="20"/>
                <w:szCs w:val="20"/>
                <w:color w:val="auto"/>
              </w:rPr>
            </w:pPr>
            <w:r>
              <w:rPr>
                <w:rFonts w:ascii="Arial" w:cs="Arial" w:eastAsia="Arial" w:hAnsi="Arial"/>
                <w:sz w:val="18"/>
                <w:szCs w:val="18"/>
                <w:color w:val="003082"/>
              </w:rPr>
              <w:t>10,178,895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003082"/>
              </w:rPr>
              <w:t>35,963,579</w:t>
            </w:r>
          </w:p>
        </w:tc>
        <w:tc>
          <w:tcPr>
            <w:tcW w:w="0" w:type="dxa"/>
            <w:vAlign w:val="bottom"/>
          </w:tcPr>
          <w:p>
            <w:pPr>
              <w:spacing w:after="0"/>
              <w:rPr>
                <w:sz w:val="1"/>
                <w:szCs w:val="1"/>
                <w:color w:val="auto"/>
              </w:rPr>
            </w:pPr>
          </w:p>
        </w:tc>
      </w:tr>
      <w:tr>
        <w:trPr>
          <w:trHeight w:val="175"/>
        </w:trPr>
        <w:tc>
          <w:tcPr>
            <w:tcW w:w="7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003082"/>
              </w:rPr>
              <w:t>Payables for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479,249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003082"/>
              </w:rPr>
              <w:t>936,482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003082"/>
              </w:rPr>
              <w:t>Payables for deferred initial public offering cost</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003082"/>
              </w:rPr>
              <w:t>948,523</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The accompanying notes are an integral part of these unaudited interim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F-52</w:t>
      </w:r>
    </w:p>
    <w:p>
      <w:pPr>
        <w:sectPr>
          <w:pgSz w:w="11900" w:h="16838" w:orient="portrait"/>
          <w:cols w:equalWidth="0" w:num="1">
            <w:col w:w="11240"/>
          </w:cols>
          <w:pgMar w:left="320" w:top="553"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 Organization and Nature of Operations</w:t>
      </w:r>
    </w:p>
    <w:p>
      <w:pPr>
        <w:spacing w:after="0" w:line="283" w:lineRule="exact"/>
        <w:rPr>
          <w:sz w:val="20"/>
          <w:szCs w:val="20"/>
          <w:color w:val="auto"/>
        </w:rPr>
      </w:pPr>
    </w:p>
    <w:p>
      <w:pPr>
        <w:ind w:left="860" w:hanging="528"/>
        <w:spacing w:after="0"/>
        <w:tabs>
          <w:tab w:leader="none" w:pos="860" w:val="left"/>
        </w:tabs>
        <w:numPr>
          <w:ilvl w:val="0"/>
          <w:numId w:val="135"/>
        </w:numPr>
        <w:rPr>
          <w:rFonts w:ascii="Arial" w:cs="Arial" w:eastAsia="Arial" w:hAnsi="Arial"/>
          <w:sz w:val="18"/>
          <w:szCs w:val="18"/>
          <w:b w:val="1"/>
          <w:bCs w:val="1"/>
          <w:i w:val="1"/>
          <w:iCs w:val="1"/>
          <w:color w:val="003082"/>
        </w:rPr>
      </w:pPr>
      <w:r>
        <w:rPr>
          <w:rFonts w:ascii="Arial" w:cs="Arial" w:eastAsia="Arial" w:hAnsi="Arial"/>
          <w:sz w:val="18"/>
          <w:szCs w:val="18"/>
          <w:b w:val="1"/>
          <w:bCs w:val="1"/>
          <w:i w:val="1"/>
          <w:iCs w:val="1"/>
          <w:color w:val="003082"/>
        </w:rPr>
        <w:t>Principal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Agora, Inc. (the “Company”), an exempted company with limited liability, was incorporated in Cayman Islands on November 29, 2013. The Company, through its consolidated subsidiaries and variable interest entity (“VIE”) (collectively referred to as the “Group”) engages primarily in providing Real-Time Engagement Platform-as-a-Service (“RTE-PaaS”), which offers developers software tools to embed real-time video, voice and messaging capabilities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spacing w:after="0" w:line="232" w:lineRule="exact"/>
        <w:rPr>
          <w:sz w:val="20"/>
          <w:szCs w:val="20"/>
          <w:color w:val="auto"/>
        </w:rPr>
      </w:pPr>
    </w:p>
    <w:p>
      <w:pPr>
        <w:ind w:left="860" w:hanging="528"/>
        <w:spacing w:after="0"/>
        <w:tabs>
          <w:tab w:leader="none" w:pos="860" w:val="left"/>
        </w:tabs>
        <w:numPr>
          <w:ilvl w:val="0"/>
          <w:numId w:val="136"/>
        </w:numPr>
        <w:rPr>
          <w:rFonts w:ascii="Arial" w:cs="Arial" w:eastAsia="Arial" w:hAnsi="Arial"/>
          <w:sz w:val="18"/>
          <w:szCs w:val="18"/>
          <w:b w:val="1"/>
          <w:bCs w:val="1"/>
          <w:i w:val="1"/>
          <w:iCs w:val="1"/>
          <w:color w:val="003082"/>
        </w:rPr>
      </w:pPr>
      <w:r>
        <w:rPr>
          <w:rFonts w:ascii="Arial" w:cs="Arial" w:eastAsia="Arial" w:hAnsi="Arial"/>
          <w:sz w:val="18"/>
          <w:szCs w:val="18"/>
          <w:b w:val="1"/>
          <w:bCs w:val="1"/>
          <w:i w:val="1"/>
          <w:iCs w:val="1"/>
          <w:color w:val="003082"/>
        </w:rPr>
        <w:t>Reorganization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Group commenced its operations in 2014 through Agora Lab, Inc. and Shanghai Zhaoyan Network Technology Co., Ltd. (the “VIE”), both of which were established and controlled by Bin (Tony) Zhao (the “Founder”). In December 2014, Agora IO, Inc was formed as part of a reorganization through which the Company, Agora IO, Inc and their respective shareholders entered into a share swap arrangement resulting in the Company along with its subsidiary, Agora Lab, Inc., becoming Agora IO, Inc’s subsidiaries. Further, Agora IO Hongkong Limited and Dayin Network Technology Co., Ltd. (the “WFOE”) were established. The Group then entered into a series of contractual arrangements among the WFOE, the VIE and the VIE’s shareholders in June 2015, and thereafter the VIE became the variable interest entity of the Group (collectively referred to as the “Historical Reorganization”).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In January 2020, the Group underwent another reorganization (the “Corporate Reorganization”) which ultimately resulted in Agora, Inc. becoming the parent company of the Group and the issuer in connection with its planned initial public offering in the following steps: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First, Agora IO, Inc contributed 100% of the shares of Agora IO Hongkong Limited into Agora, Inc., after which Agora, Inc. held 100% of the equity securities of Agora IO Hongkong, Limited. Second, the Company obtained shares of Agora IO, Inc by having the shareholders swap their current Agora IO, Inc shares for the same number of shares in Agora, Inc., which mirrored the restrictions, rights, preferences and privileges as stipulated in the current shareholder agreements governing Agora IO, Inc. Agora IO, Inc became a wholly owned subsidiary of Agora, Inc., and in return, the shareholders of Agora IO, Inc became shareholders of Agora, Inc. As a result of the Corporate Reorganization, Agora, Inc. became wholly owned by the former shareholders of Agora IO, Inc while Agora IO, Inc became wholly owned by Agora, Inc.</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The Corporate Reorganization was completed on January 19, 2020. Through the Historical Reorganization and the Corporate Reorganization, the Group’s business continued to be carried out by Agora Lab, Inc. and the VIE without a change in control. The Historical Reorganization and the Corporate Reorganization were accounted for as transactions under common control and therefore, the carryover basis was used to record assets and liabilities of Agora Lab, Inc. and the VIE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F-53</w:t>
      </w:r>
    </w:p>
    <w:p>
      <w:pPr>
        <w:sectPr>
          <w:pgSz w:w="11900" w:h="16838" w:orient="portrait"/>
          <w:cols w:equalWidth="0" w:num="1">
            <w:col w:w="11240"/>
          </w:cols>
          <w:pgMar w:left="320" w:top="769" w:right="339" w:bottom="1440" w:gutter="0" w:footer="0" w:header="0"/>
        </w:sectPr>
      </w:pPr>
    </w:p>
    <w:bookmarkStart w:id="262" w:name="page263"/>
    <w:bookmarkEnd w:id="26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After the completion of the Corporate Reorganization, the Group’s consolidated financial statements include the financial statements of the Company, its subsidiaries and the consolidated VIE. The Company’s subsidiaries and VIE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003082"/>
                <w:w w:val="94"/>
              </w:rPr>
              <w:t>Date of Incorporation</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003082"/>
                <w:w w:val="93"/>
              </w:rPr>
              <w:t>Place of Incorporation</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88"/>
              </w:rPr>
              <w:t>Percentage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4"/>
              </w:rPr>
              <w:t>Principal Activities</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4"/>
              </w:rPr>
              <w:t>Direct or Indirect Ownership</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003082"/>
              </w:rPr>
              <w:t>Subsidiaries:</w:t>
            </w:r>
          </w:p>
        </w:tc>
        <w:tc>
          <w:tcPr>
            <w:tcW w:w="1920" w:type="dxa"/>
            <w:vAlign w:val="bottom"/>
            <w:tcBorders>
              <w:top w:val="single" w:sz="8" w:color="3D5588"/>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3D5588"/>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3D5588"/>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3D5588"/>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003082"/>
              </w:rPr>
              <w:t>Agora Lab, Inc.</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003082"/>
                <w:w w:val="88"/>
              </w:rPr>
              <w:t>January 13, 2014</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003082"/>
                <w:w w:val="93"/>
              </w:rPr>
              <w:t>California, United States</w:t>
            </w:r>
          </w:p>
        </w:tc>
        <w:tc>
          <w:tcPr>
            <w:tcW w:w="1900" w:type="dxa"/>
            <w:vAlign w:val="bottom"/>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003082"/>
                <w:w w:val="92"/>
              </w:rPr>
              <w:t>Provision of services</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003082"/>
              </w:rPr>
              <w:t>Agora IO, Inc</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003082"/>
                <w:w w:val="89"/>
              </w:rPr>
              <w:t>December 2, 2014</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003082"/>
                <w:w w:val="90"/>
              </w:rPr>
              <w:t>Cayman Islands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3"/>
              </w:rPr>
              <w:t>Investment holding</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003082"/>
              </w:rPr>
              <w:t>Agora IO Hongkong Limited</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003082"/>
                <w:w w:val="89"/>
              </w:rPr>
              <w:t>December 12, 2014</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003082"/>
                <w:w w:val="94"/>
              </w:rPr>
              <w:t>Hong Kong</w:t>
            </w:r>
          </w:p>
        </w:tc>
        <w:tc>
          <w:tcPr>
            <w:tcW w:w="1900" w:type="dxa"/>
            <w:vAlign w:val="bottom"/>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003082"/>
                <w:w w:val="93"/>
              </w:rPr>
              <w:t>Investment holding</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003082"/>
              </w:rPr>
              <w:t>Dayin Network Technology Co., Ltd.</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003082"/>
              </w:rPr>
              <w:t>(“WFOE”)</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003082"/>
                <w:w w:val="95"/>
              </w:rPr>
              <w:t>April 30, 2015</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003082"/>
                <w:w w:val="88"/>
              </w:rPr>
              <w:t>PRC</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003082"/>
                <w:w w:val="92"/>
              </w:rPr>
              <w:t>Provision of services</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003082"/>
              </w:rPr>
              <w:t>Agora IO, Ltd.</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003082"/>
                <w:w w:val="92"/>
              </w:rPr>
              <w:t>July 25, 2019</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003082"/>
                <w:w w:val="96"/>
              </w:rPr>
              <w:t>United Kingdom</w:t>
            </w:r>
          </w:p>
        </w:tc>
        <w:tc>
          <w:tcPr>
            <w:tcW w:w="1900" w:type="dxa"/>
            <w:vAlign w:val="bottom"/>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003082"/>
                <w:w w:val="89"/>
              </w:rPr>
              <w:t>Startup</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003082"/>
              </w:rPr>
              <w:t>VIE:</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003082"/>
                <w:w w:val="92"/>
              </w:rPr>
              <w:t>Shanghai Zhaoyan Network Technology Co.,</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340"/>
              <w:spacing w:after="0"/>
              <w:rPr>
                <w:sz w:val="20"/>
                <w:szCs w:val="20"/>
                <w:color w:val="auto"/>
              </w:rPr>
            </w:pPr>
            <w:r>
              <w:rPr>
                <w:rFonts w:ascii="Arial" w:cs="Arial" w:eastAsia="Arial" w:hAnsi="Arial"/>
                <w:sz w:val="16"/>
                <w:szCs w:val="16"/>
                <w:color w:val="003082"/>
              </w:rPr>
              <w:t>Ltd. (“VIE”)</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003082"/>
                <w:w w:val="91"/>
              </w:rPr>
              <w:t>March 28, 2014</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003082"/>
                <w:w w:val="88"/>
              </w:rPr>
              <w:t>PRC</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2"/>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003082"/>
                <w:w w:val="92"/>
              </w:rPr>
              <w:t>Provision of services</w:t>
            </w:r>
          </w:p>
        </w:tc>
        <w:tc>
          <w:tcPr>
            <w:tcW w:w="0" w:type="dxa"/>
            <w:vAlign w:val="bottom"/>
          </w:tcPr>
          <w:p>
            <w:pPr>
              <w:spacing w:after="0"/>
              <w:rPr>
                <w:sz w:val="1"/>
                <w:szCs w:val="1"/>
                <w:color w:val="auto"/>
              </w:rPr>
            </w:pPr>
          </w:p>
        </w:tc>
      </w:tr>
      <w:tr>
        <w:trPr>
          <w:trHeight w:val="33"/>
        </w:trPr>
        <w:tc>
          <w:tcPr>
            <w:tcW w:w="3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  Consolidated Variable Interest Entities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In order to comply with the PRC laws and regulations which prohibit or restrict foreign control of companies involved in the internet sector, the Group operates its businesses in the PRC through the VIE, whose equity interests are controlled by the Founder of the Group. The Company obtained control over the VIE by entering into a series of contractual arrangements, including the Exclusive Technology Consulting and Services Agreement, Voting Rights Proxy Agreement and Irrevocable Powers of Attorney, Share Pledge Agreement, and Exclusive Option Agreement, with the legal shareholders who are also referred to as nominee shareholders. These nominee shareholders are the legal owners of the VIE. However, the rights of those nominee shareholders have been transferred to the Company through a series of contractual arrangement as described in Note 1(c) of the audited consolidated financial statements as of and for the year ended December 31, 2019.</w:t>
      </w:r>
    </w:p>
    <w:p>
      <w:pPr>
        <w:spacing w:after="0" w:line="12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Management concluded that the Company, through the WFOE and the contractual arrangements, has the power and control to direct the activities that most significantly impact the VIE’s economic performance, bears the risks and enjoys the rewards normally associated with ownership of the VIE, receive substantially all of the economic benefits and residual returns, and absorb substantially all the risks and expected losses from the VIE as if it was their sole shareholder and therefore the Company is the ultimate primary beneficiary of the VIE. As such, the Group consolidates the financial results of the VIE which are prepared in accordance with the basis of presentation as stated in Note 2 below.</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F-54</w:t>
      </w:r>
    </w:p>
    <w:p>
      <w:pPr>
        <w:sectPr>
          <w:pgSz w:w="11900" w:h="16838" w:orient="portrait"/>
          <w:cols w:equalWidth="0" w:num="1">
            <w:col w:w="11240"/>
          </w:cols>
          <w:pgMar w:left="320" w:top="769" w:right="339" w:bottom="1440" w:gutter="0" w:footer="0" w:header="0"/>
        </w:sectPr>
      </w:pPr>
    </w:p>
    <w:bookmarkStart w:id="263" w:name="page264"/>
    <w:bookmarkEnd w:id="263"/>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The following financial information of the Group’s VIE as of December 31, 2019 and March 31, 2020 and for the three months ended March 31, 2019 and 2020 set forth the assets, liabilities, results of operations and changes in cash and cash equivalents of the consolidated VIE taken as a whole, which was included in the accompanying unaudited interim condensed consolidated financial statements of the Group with intercompany transactions eliminated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3082"/>
                <w:w w:val="99"/>
              </w:rPr>
              <w:t>As of December 31, 2019</w:t>
            </w:r>
          </w:p>
        </w:tc>
        <w:tc>
          <w:tcPr>
            <w:tcW w:w="200" w:type="dxa"/>
            <w:vAlign w:val="bottom"/>
          </w:tcPr>
          <w:p>
            <w:pPr>
              <w:spacing w:after="0"/>
              <w:rPr>
                <w:sz w:val="14"/>
                <w:szCs w:val="14"/>
                <w:color w:val="auto"/>
              </w:rPr>
            </w:pPr>
          </w:p>
        </w:tc>
        <w:tc>
          <w:tcPr>
            <w:tcW w:w="1360" w:type="dxa"/>
            <w:vAlign w:val="bottom"/>
          </w:tcPr>
          <w:p>
            <w:pPr>
              <w:jc w:val="right"/>
              <w:ind w:right="213"/>
              <w:spacing w:after="0"/>
              <w:rPr>
                <w:sz w:val="20"/>
                <w:szCs w:val="20"/>
                <w:color w:val="auto"/>
              </w:rPr>
            </w:pPr>
            <w:r>
              <w:rPr>
                <w:rFonts w:ascii="Arial" w:cs="Arial" w:eastAsia="Arial" w:hAnsi="Arial"/>
                <w:sz w:val="14"/>
                <w:szCs w:val="14"/>
                <w:b w:val="1"/>
                <w:bCs w:val="1"/>
                <w:color w:val="003082"/>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3D5588"/>
            </w:tcBorders>
            <w:gridSpan w:val="3"/>
            <w:vMerge w:val="continue"/>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136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4"/>
              <w:spacing w:after="0"/>
              <w:rPr>
                <w:sz w:val="20"/>
                <w:szCs w:val="20"/>
                <w:color w:val="auto"/>
              </w:rPr>
            </w:pPr>
            <w:r>
              <w:rPr>
                <w:rFonts w:ascii="Arial" w:cs="Arial" w:eastAsia="Arial" w:hAnsi="Arial"/>
                <w:sz w:val="14"/>
                <w:szCs w:val="14"/>
                <w:color w:val="003082"/>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Cash and cash equivalents</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17,308,887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16,770,070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Accounts receivable, net</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14,827,841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003082"/>
              </w:rPr>
              <w:t>29,487,637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Amounts due from related parties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2,445,447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2,557,014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Prepayments and other current assets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886,022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003082"/>
              </w:rPr>
              <w:t>1,742,389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35,468,197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50,557,110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Non-current assets:</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3D5588"/>
            </w:tcBorders>
          </w:tcPr>
          <w:p>
            <w:pPr>
              <w:spacing w:after="0"/>
              <w:rPr>
                <w:sz w:val="20"/>
                <w:szCs w:val="20"/>
                <w:color w:val="auto"/>
              </w:rPr>
            </w:pPr>
          </w:p>
        </w:tc>
        <w:tc>
          <w:tcPr>
            <w:tcW w:w="1360" w:type="dxa"/>
            <w:vAlign w:val="bottom"/>
            <w:tcBorders>
              <w:top w:val="single" w:sz="8" w:color="3D5588"/>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3,292,978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4,785,792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Deferred tax assets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387,950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003082"/>
              </w:rPr>
              <w:t>381,987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non-current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69,968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69,316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non-current assets</w:t>
            </w:r>
          </w:p>
        </w:tc>
        <w:tc>
          <w:tcPr>
            <w:tcW w:w="380" w:type="dxa"/>
            <w:vAlign w:val="bottom"/>
            <w:tcBorders>
              <w:top w:val="single" w:sz="8" w:color="3D5588"/>
            </w:tcBorders>
          </w:tcPr>
          <w:p>
            <w:pPr>
              <w:spacing w:after="0"/>
              <w:rPr>
                <w:sz w:val="20"/>
                <w:szCs w:val="20"/>
                <w:color w:val="auto"/>
              </w:rPr>
            </w:pPr>
          </w:p>
        </w:tc>
        <w:tc>
          <w:tcPr>
            <w:tcW w:w="1200" w:type="dxa"/>
            <w:vAlign w:val="bottom"/>
            <w:tcBorders>
              <w:top w:val="single" w:sz="8" w:color="3D5588"/>
            </w:tcBorders>
          </w:tcPr>
          <w:p>
            <w:pPr>
              <w:jc w:val="right"/>
              <w:ind w:right="14"/>
              <w:spacing w:after="0"/>
              <w:rPr>
                <w:sz w:val="20"/>
                <w:szCs w:val="20"/>
                <w:color w:val="auto"/>
              </w:rPr>
            </w:pPr>
            <w:r>
              <w:rPr>
                <w:rFonts w:ascii="Arial" w:cs="Arial" w:eastAsia="Arial" w:hAnsi="Arial"/>
                <w:sz w:val="18"/>
                <w:szCs w:val="18"/>
                <w:color w:val="003082"/>
              </w:rPr>
              <w:t>3,750,896</w:t>
            </w:r>
          </w:p>
        </w:tc>
        <w:tc>
          <w:tcPr>
            <w:tcW w:w="120" w:type="dxa"/>
            <w:vAlign w:val="bottom"/>
          </w:tcPr>
          <w:p>
            <w:pPr>
              <w:spacing w:after="0"/>
              <w:rPr>
                <w:sz w:val="20"/>
                <w:szCs w:val="20"/>
                <w:color w:val="auto"/>
              </w:rPr>
            </w:pPr>
          </w:p>
        </w:tc>
        <w:tc>
          <w:tcPr>
            <w:tcW w:w="200" w:type="dxa"/>
            <w:vAlign w:val="bottom"/>
            <w:tcBorders>
              <w:top w:val="single" w:sz="8" w:color="3D5588"/>
            </w:tcBorders>
          </w:tcPr>
          <w:p>
            <w:pPr>
              <w:spacing w:after="0"/>
              <w:rPr>
                <w:sz w:val="20"/>
                <w:szCs w:val="20"/>
                <w:color w:val="auto"/>
              </w:rPr>
            </w:pPr>
          </w:p>
        </w:tc>
        <w:tc>
          <w:tcPr>
            <w:tcW w:w="1360" w:type="dxa"/>
            <w:vAlign w:val="bottom"/>
            <w:tcBorders>
              <w:top w:val="single" w:sz="8" w:color="3D5588"/>
            </w:tcBorders>
          </w:tcPr>
          <w:p>
            <w:pPr>
              <w:jc w:val="right"/>
              <w:ind w:right="13"/>
              <w:spacing w:after="0"/>
              <w:rPr>
                <w:sz w:val="20"/>
                <w:szCs w:val="20"/>
                <w:color w:val="auto"/>
              </w:rPr>
            </w:pPr>
            <w:r>
              <w:rPr>
                <w:rFonts w:ascii="Arial" w:cs="Arial" w:eastAsia="Arial" w:hAnsi="Arial"/>
                <w:sz w:val="18"/>
                <w:szCs w:val="18"/>
                <w:color w:val="003082"/>
              </w:rPr>
              <w:t>5,237,095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assets</w:t>
            </w:r>
          </w:p>
        </w:tc>
        <w:tc>
          <w:tcPr>
            <w:tcW w:w="380" w:type="dxa"/>
            <w:vAlign w:val="bottom"/>
            <w:tcBorders>
              <w:bottom w:val="single" w:sz="8" w:color="3D5588"/>
            </w:tcBorders>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3D5588"/>
            </w:tcBorders>
            <w:shd w:val="clear" w:color="auto" w:fill="CCEEFF"/>
          </w:tcPr>
          <w:p>
            <w:pPr>
              <w:jc w:val="right"/>
              <w:ind w:right="14"/>
              <w:spacing w:after="0"/>
              <w:rPr>
                <w:sz w:val="20"/>
                <w:szCs w:val="20"/>
                <w:color w:val="auto"/>
              </w:rPr>
            </w:pPr>
            <w:r>
              <w:rPr>
                <w:rFonts w:ascii="Arial" w:cs="Arial" w:eastAsia="Arial" w:hAnsi="Arial"/>
                <w:sz w:val="18"/>
                <w:szCs w:val="18"/>
                <w:color w:val="003082"/>
              </w:rPr>
              <w:t>39,219,093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3D5588"/>
            </w:tcBorders>
            <w:shd w:val="clear" w:color="auto" w:fill="CCEEFF"/>
          </w:tcPr>
          <w:p>
            <w:pPr>
              <w:jc w:val="right"/>
              <w:ind w:right="13"/>
              <w:spacing w:after="0"/>
              <w:rPr>
                <w:sz w:val="20"/>
                <w:szCs w:val="20"/>
                <w:color w:val="auto"/>
              </w:rPr>
            </w:pPr>
            <w:r>
              <w:rPr>
                <w:rFonts w:ascii="Arial" w:cs="Arial" w:eastAsia="Arial" w:hAnsi="Arial"/>
                <w:sz w:val="18"/>
                <w:szCs w:val="18"/>
                <w:color w:val="003082"/>
              </w:rPr>
              <w:t>55,794,205</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003082"/>
              </w:rPr>
              <w:t>Liabilities</w:t>
            </w: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Accounts payable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2,992,628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003082"/>
              </w:rPr>
              <w:t>7,156,391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Amounts due to related parties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27,780,440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38,524,641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Advances from customers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733,518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003082"/>
              </w:rPr>
              <w:t>699,464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756,020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701,612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Accrued expenses and other current liabilities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3,440,748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003082"/>
              </w:rPr>
              <w:t>5,273,857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35,703,354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52,355,965</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Total liabilities</w:t>
            </w:r>
          </w:p>
        </w:tc>
        <w:tc>
          <w:tcPr>
            <w:tcW w:w="380" w:type="dxa"/>
            <w:vAlign w:val="bottom"/>
            <w:tcBorders>
              <w:top w:val="single" w:sz="8" w:color="3D5588"/>
              <w:bottom w:val="single" w:sz="8" w:color="3D5588"/>
            </w:tcBorders>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top w:val="single" w:sz="8" w:color="3D5588"/>
              <w:bottom w:val="single" w:sz="8" w:color="3D5588"/>
            </w:tcBorders>
          </w:tcPr>
          <w:p>
            <w:pPr>
              <w:jc w:val="right"/>
              <w:ind w:right="14"/>
              <w:spacing w:after="0"/>
              <w:rPr>
                <w:sz w:val="20"/>
                <w:szCs w:val="20"/>
                <w:color w:val="auto"/>
              </w:rPr>
            </w:pPr>
            <w:r>
              <w:rPr>
                <w:rFonts w:ascii="Arial" w:cs="Arial" w:eastAsia="Arial" w:hAnsi="Arial"/>
                <w:sz w:val="18"/>
                <w:szCs w:val="18"/>
                <w:color w:val="003082"/>
              </w:rPr>
              <w:t>35,703,354</w:t>
            </w:r>
          </w:p>
        </w:tc>
        <w:tc>
          <w:tcPr>
            <w:tcW w:w="120" w:type="dxa"/>
            <w:vAlign w:val="bottom"/>
          </w:tcPr>
          <w:p>
            <w:pPr>
              <w:spacing w:after="0"/>
              <w:rPr>
                <w:sz w:val="22"/>
                <w:szCs w:val="22"/>
                <w:color w:val="auto"/>
              </w:rPr>
            </w:pPr>
          </w:p>
        </w:tc>
        <w:tc>
          <w:tcPr>
            <w:tcW w:w="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bottom w:val="single" w:sz="8" w:color="3D5588"/>
            </w:tcBorders>
          </w:tcPr>
          <w:p>
            <w:pPr>
              <w:jc w:val="right"/>
              <w:ind w:right="13"/>
              <w:spacing w:after="0"/>
              <w:rPr>
                <w:sz w:val="20"/>
                <w:szCs w:val="20"/>
                <w:color w:val="auto"/>
              </w:rPr>
            </w:pPr>
            <w:r>
              <w:rPr>
                <w:rFonts w:ascii="Arial" w:cs="Arial" w:eastAsia="Arial" w:hAnsi="Arial"/>
                <w:sz w:val="18"/>
                <w:szCs w:val="18"/>
                <w:color w:val="003082"/>
              </w:rPr>
              <w:t>52,355,965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3D5588"/>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53"/>
              <w:spacing w:after="0"/>
              <w:rPr>
                <w:sz w:val="20"/>
                <w:szCs w:val="20"/>
                <w:color w:val="auto"/>
              </w:rPr>
            </w:pPr>
            <w:r>
              <w:rPr>
                <w:rFonts w:ascii="Arial" w:cs="Arial" w:eastAsia="Arial" w:hAnsi="Arial"/>
                <w:sz w:val="14"/>
                <w:szCs w:val="14"/>
                <w:b w:val="1"/>
                <w:bCs w:val="1"/>
                <w:color w:val="003082"/>
                <w:w w:val="95"/>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200" w:type="dxa"/>
            <w:vAlign w:val="bottom"/>
            <w:tcBorders>
              <w:bottom w:val="single" w:sz="8" w:color="3D5588"/>
            </w:tcBorders>
          </w:tcPr>
          <w:p>
            <w:pPr>
              <w:spacing w:after="0"/>
              <w:rPr>
                <w:sz w:val="22"/>
                <w:szCs w:val="22"/>
                <w:color w:val="auto"/>
              </w:rPr>
            </w:pPr>
          </w:p>
        </w:tc>
        <w:tc>
          <w:tcPr>
            <w:tcW w:w="136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4"/>
              <w:spacing w:after="0"/>
              <w:rPr>
                <w:sz w:val="20"/>
                <w:szCs w:val="20"/>
                <w:color w:val="auto"/>
              </w:rPr>
            </w:pPr>
            <w:r>
              <w:rPr>
                <w:rFonts w:ascii="Arial" w:cs="Arial" w:eastAsia="Arial" w:hAnsi="Arial"/>
                <w:sz w:val="14"/>
                <w:szCs w:val="14"/>
                <w:color w:val="003082"/>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11,391,849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33,776,066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income (loss)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003082"/>
              </w:rPr>
              <w:t>243,648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3082"/>
              </w:rPr>
              <w:t>(410,284)</w:t>
            </w:r>
          </w:p>
        </w:tc>
        <w:tc>
          <w:tcPr>
            <w:tcW w:w="0" w:type="dxa"/>
            <w:vAlign w:val="bottom"/>
          </w:tcPr>
          <w:p>
            <w:pPr>
              <w:spacing w:after="0"/>
              <w:rPr>
                <w:sz w:val="1"/>
                <w:szCs w:val="1"/>
                <w:color w:val="auto"/>
              </w:rPr>
            </w:pPr>
          </w:p>
        </w:tc>
      </w:tr>
      <w:tr>
        <w:trPr>
          <w:trHeight w:val="588"/>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53"/>
              <w:spacing w:after="0"/>
              <w:rPr>
                <w:sz w:val="20"/>
                <w:szCs w:val="20"/>
                <w:color w:val="auto"/>
              </w:rPr>
            </w:pPr>
            <w:r>
              <w:rPr>
                <w:rFonts w:ascii="Arial" w:cs="Arial" w:eastAsia="Arial" w:hAnsi="Arial"/>
                <w:sz w:val="14"/>
                <w:szCs w:val="14"/>
                <w:b w:val="1"/>
                <w:bCs w:val="1"/>
                <w:color w:val="003082"/>
                <w:w w:val="95"/>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200" w:type="dxa"/>
            <w:vAlign w:val="bottom"/>
            <w:tcBorders>
              <w:bottom w:val="single" w:sz="8" w:color="3D5588"/>
            </w:tcBorders>
          </w:tcPr>
          <w:p>
            <w:pPr>
              <w:spacing w:after="0"/>
              <w:rPr>
                <w:sz w:val="22"/>
                <w:szCs w:val="22"/>
                <w:color w:val="auto"/>
              </w:rPr>
            </w:pPr>
          </w:p>
        </w:tc>
        <w:tc>
          <w:tcPr>
            <w:tcW w:w="136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4"/>
              <w:spacing w:after="0"/>
              <w:rPr>
                <w:sz w:val="20"/>
                <w:szCs w:val="20"/>
                <w:color w:val="auto"/>
              </w:rPr>
            </w:pPr>
            <w:r>
              <w:rPr>
                <w:rFonts w:ascii="Arial" w:cs="Arial" w:eastAsia="Arial" w:hAnsi="Arial"/>
                <w:sz w:val="14"/>
                <w:szCs w:val="14"/>
                <w:color w:val="003082"/>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cash and cash equivalents generated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6,416,507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1,383,106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cash and cash equivalents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(5,435,194)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3082"/>
              </w:rPr>
              <w:t>(1,921,923)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Net cash and cash equivalents used in financing activities</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9"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3082"/>
        </w:rPr>
        <w:t>F-55</w:t>
      </w:r>
    </w:p>
    <w:p>
      <w:pPr>
        <w:sectPr>
          <w:pgSz w:w="11900" w:h="16838" w:orient="portrait"/>
          <w:cols w:equalWidth="0" w:num="1">
            <w:col w:w="11240"/>
          </w:cols>
          <w:pgMar w:left="320" w:top="769" w:right="339" w:bottom="1440" w:gutter="0" w:footer="0" w:header="0"/>
          <w:type w:val="continuous"/>
        </w:sectPr>
      </w:pPr>
    </w:p>
    <w:bookmarkStart w:id="264" w:name="page265"/>
    <w:bookmarkEnd w:id="264"/>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2. Principal Accounting Policies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(a) Basis of Presentation</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003082"/>
        </w:rPr>
        <w:t>The accompanying unaudited interim condensed consolidated financial statements (the “consolidated financial statements”) of the Group have been prepared in accordance with accounting principles generally accepted in the United States of America (“U.S. GAAP”) for interim financial information. Accordingly, they do not include all of the information and footnotes normally included in the annual financial statements prepared in accordance with U.S. GAAP. Certain information and footnote disclosures normally included in the annual financial statements prepared in accordance with U.S. GAAP have been condensed or omitted consistent with Article 10 of Regulation S-X. In the opinion of management, the Group’s unaudited interim condensed consolidated financial statements and accompanying notes include all adjustments (consisting of normal recurring adjustments) considered necessary for the fair statement of the Group’s financial position as of March 31, 2020, and results of operations and cash flows for the three months ended March 31, 2019 and 2020. Interim results of operations are not necessarily indicative of the results for the full year or for any future period. These unaudited interim condensed consolidated financial statements should be read in conjunction with the audited consolidated financial statements as of and for the year ended December 31, 2019, and related notes included in the Group’s audited consolidated financial statements. The financial information as of December 31, 2019 presented in the unaudited interim condensed consolidated financial statements is derived from the audited consolidated financial statements as of December 31, 2019. Significant accounting policies followed by the Group in the preparation of the accompanying unaudited interim condensed consolidated financial statements are summarized below.</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(b) Basis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Group’s unaudited interim condensed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The Company applies the guidance codified in Accounting Standard Codification (“ASC”) 810, </w:t>
      </w:r>
      <w:r>
        <w:rPr>
          <w:rFonts w:ascii="Arial" w:cs="Arial" w:eastAsia="Arial" w:hAnsi="Arial"/>
          <w:sz w:val="18"/>
          <w:szCs w:val="18"/>
          <w:i w:val="1"/>
          <w:iCs w:val="1"/>
          <w:color w:val="003082"/>
        </w:rPr>
        <w:t>Consolidations</w:t>
      </w:r>
      <w:r>
        <w:rPr>
          <w:rFonts w:ascii="Arial" w:cs="Arial" w:eastAsia="Arial" w:hAnsi="Arial"/>
          <w:sz w:val="18"/>
          <w:szCs w:val="18"/>
          <w:color w:val="003082"/>
        </w:rPr>
        <w:t>, which contains guidance of accounting for VIEs.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  Use of Estimates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 and the reported revenues and expenses during the reporting periods in the consolidated financial statements and accompanying notes. The Company believes that the valuation of the Company’s preferred shares and share-based awards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F-56</w:t>
      </w:r>
    </w:p>
    <w:p>
      <w:pPr>
        <w:sectPr>
          <w:pgSz w:w="11900" w:h="16838" w:orient="portrait"/>
          <w:cols w:equalWidth="0" w:num="1">
            <w:col w:w="11240"/>
          </w:cols>
          <w:pgMar w:left="320" w:top="769"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(d) Functional Currencies and Foreign Currency Translation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The Group uses U.S. dollars (“US$”) as its reporting currency. The functional currency of the Company and its subsidiaries incorporated outside of PRC is US$, while the functional currency of the PRC entities in the Group is Renminbi (“RMB”) as determined based on the criteria of ASC 830, </w:t>
      </w:r>
      <w:r>
        <w:rPr>
          <w:rFonts w:ascii="Arial" w:cs="Arial" w:eastAsia="Arial" w:hAnsi="Arial"/>
          <w:sz w:val="18"/>
          <w:szCs w:val="18"/>
          <w:i w:val="1"/>
          <w:iCs w:val="1"/>
          <w:color w:val="003082"/>
        </w:rPr>
        <w:t>Foreign</w:t>
      </w:r>
      <w:r>
        <w:rPr>
          <w:rFonts w:ascii="Arial" w:cs="Arial" w:eastAsia="Arial" w:hAnsi="Arial"/>
          <w:sz w:val="18"/>
          <w:szCs w:val="18"/>
          <w:color w:val="003082"/>
        </w:rPr>
        <w:t xml:space="preserve"> </w:t>
      </w:r>
      <w:r>
        <w:rPr>
          <w:rFonts w:ascii="Arial" w:cs="Arial" w:eastAsia="Arial" w:hAnsi="Arial"/>
          <w:sz w:val="18"/>
          <w:szCs w:val="18"/>
          <w:i w:val="1"/>
          <w:iCs w:val="1"/>
          <w:color w:val="003082"/>
        </w:rPr>
        <w:t>Currency Matters</w:t>
      </w:r>
      <w:r>
        <w:rPr>
          <w:rFonts w:ascii="Arial" w:cs="Arial" w:eastAsia="Arial" w:hAnsi="Arial"/>
          <w:sz w:val="18"/>
          <w:szCs w:val="18"/>
          <w:color w:val="003082"/>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income (loss) as foreign exchange related gain or loss.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income (loss) on the consolidated financial statement.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  Concentration of Credit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Financial instruments that potentially subject the Group to concentration of credit risk consist of cash and cash equivalents, short-term investments and accounts receivable.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Group deposits its cash and cash equivalents and short-term investments with major financial institutions which the Group believes that no significant credit risk with high credit quality.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003082"/>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summarizes customers with greater than 10% of the accounts receivables: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1"/>
              </w:rPr>
              <w:t>As of</w:t>
            </w:r>
          </w:p>
        </w:tc>
        <w:tc>
          <w:tcPr>
            <w:tcW w:w="1640" w:type="dxa"/>
            <w:vAlign w:val="bottom"/>
          </w:tcPr>
          <w:p>
            <w:pPr>
              <w:jc w:val="right"/>
              <w:ind w:right="579"/>
              <w:spacing w:after="0"/>
              <w:rPr>
                <w:sz w:val="20"/>
                <w:szCs w:val="20"/>
                <w:color w:val="auto"/>
              </w:rPr>
            </w:pPr>
            <w:r>
              <w:rPr>
                <w:rFonts w:ascii="Arial" w:cs="Arial" w:eastAsia="Arial" w:hAnsi="Arial"/>
                <w:sz w:val="14"/>
                <w:szCs w:val="14"/>
                <w:b w:val="1"/>
                <w:bCs w:val="1"/>
                <w:color w:val="003082"/>
              </w:rPr>
              <w:t>As of</w:t>
            </w:r>
          </w:p>
        </w:tc>
      </w:tr>
      <w:tr>
        <w:trPr>
          <w:trHeight w:val="192"/>
        </w:trPr>
        <w:tc>
          <w:tcPr>
            <w:tcW w:w="786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1"/>
              </w:rPr>
              <w:t>December 31, 2019</w:t>
            </w:r>
          </w:p>
        </w:tc>
        <w:tc>
          <w:tcPr>
            <w:tcW w:w="1640" w:type="dxa"/>
            <w:vAlign w:val="bottom"/>
          </w:tcPr>
          <w:p>
            <w:pPr>
              <w:jc w:val="right"/>
              <w:ind w:right="259"/>
              <w:spacing w:after="0"/>
              <w:rPr>
                <w:sz w:val="20"/>
                <w:szCs w:val="20"/>
                <w:color w:val="auto"/>
              </w:rPr>
            </w:pPr>
            <w:r>
              <w:rPr>
                <w:rFonts w:ascii="Arial" w:cs="Arial" w:eastAsia="Arial" w:hAnsi="Arial"/>
                <w:sz w:val="14"/>
                <w:szCs w:val="14"/>
                <w:b w:val="1"/>
                <w:bCs w:val="1"/>
                <w:color w:val="003082"/>
              </w:rPr>
              <w:t>March 31, 2020</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Customer A - Social media platform</w:t>
            </w:r>
          </w:p>
        </w:tc>
        <w:tc>
          <w:tcPr>
            <w:tcW w:w="1640" w:type="dxa"/>
            <w:vAlign w:val="bottom"/>
            <w:tcBorders>
              <w:top w:val="single" w:sz="8" w:color="3D5588"/>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3D5588"/>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003082"/>
              </w:rPr>
              <w:t>Customer B - Educational institution application</w:t>
            </w:r>
          </w:p>
        </w:tc>
        <w:tc>
          <w:tcPr>
            <w:tcW w:w="1640" w:type="dxa"/>
            <w:vAlign w:val="bottom"/>
          </w:tcPr>
          <w:p>
            <w:pPr>
              <w:jc w:val="right"/>
              <w:ind w:right="119"/>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003082"/>
              </w:rPr>
              <w:t>15%</w:t>
            </w:r>
          </w:p>
        </w:tc>
      </w:tr>
      <w:tr>
        <w:trPr>
          <w:trHeight w:val="220"/>
        </w:trPr>
        <w:tc>
          <w:tcPr>
            <w:tcW w:w="7860" w:type="dxa"/>
            <w:vAlign w:val="bottom"/>
          </w:tcPr>
          <w:p>
            <w:pPr>
              <w:jc w:val="right"/>
              <w:ind w:right="6473"/>
              <w:spacing w:after="0"/>
              <w:rPr>
                <w:sz w:val="20"/>
                <w:szCs w:val="20"/>
                <w:color w:val="auto"/>
              </w:rPr>
            </w:pPr>
            <w:r>
              <w:rPr>
                <w:rFonts w:ascii="Arial" w:cs="Arial" w:eastAsia="Arial" w:hAnsi="Arial"/>
                <w:sz w:val="16"/>
                <w:szCs w:val="16"/>
                <w:color w:val="003082"/>
                <w:w w:val="89"/>
              </w:rPr>
              <w:t>________________</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ind w:left="340" w:hanging="332"/>
        <w:spacing w:after="0"/>
        <w:tabs>
          <w:tab w:leader="none" w:pos="340" w:val="left"/>
        </w:tabs>
        <w:numPr>
          <w:ilvl w:val="0"/>
          <w:numId w:val="137"/>
        </w:numPr>
        <w:rPr>
          <w:rFonts w:ascii="Arial" w:cs="Arial" w:eastAsia="Arial" w:hAnsi="Arial"/>
          <w:sz w:val="16"/>
          <w:szCs w:val="16"/>
          <w:color w:val="003082"/>
        </w:rPr>
      </w:pPr>
      <w:r>
        <w:rPr>
          <w:rFonts w:ascii="Arial" w:cs="Arial" w:eastAsia="Arial" w:hAnsi="Arial"/>
          <w:sz w:val="16"/>
          <w:szCs w:val="16"/>
          <w:color w:val="003082"/>
        </w:rPr>
        <w:t>Less than 10%.</w:t>
      </w:r>
    </w:p>
    <w:p>
      <w:pPr>
        <w:spacing w:after="0" w:line="148" w:lineRule="exact"/>
        <w:rPr>
          <w:rFonts w:ascii="Arial" w:cs="Arial" w:eastAsia="Arial" w:hAnsi="Arial"/>
          <w:sz w:val="16"/>
          <w:szCs w:val="16"/>
          <w:color w:val="003082"/>
        </w:rPr>
      </w:pPr>
    </w:p>
    <w:p>
      <w:pPr>
        <w:ind w:left="340"/>
        <w:spacing w:after="0"/>
        <w:rPr>
          <w:rFonts w:ascii="Arial" w:cs="Arial" w:eastAsia="Arial" w:hAnsi="Arial"/>
          <w:sz w:val="16"/>
          <w:szCs w:val="16"/>
          <w:color w:val="003082"/>
        </w:rPr>
      </w:pPr>
      <w:r>
        <w:rPr>
          <w:rFonts w:ascii="Arial" w:cs="Arial" w:eastAsia="Arial" w:hAnsi="Arial"/>
          <w:sz w:val="18"/>
          <w:szCs w:val="18"/>
          <w:color w:val="003082"/>
        </w:rPr>
        <w:t>The following table summarizes customers with greater than 10% of the total revenues:</w:t>
      </w:r>
    </w:p>
    <w:p>
      <w:pPr>
        <w:spacing w:after="0" w:line="392"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003082"/>
        </w:rPr>
        <w:t>For the 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23495</wp:posOffset>
            </wp:positionV>
            <wp:extent cx="2108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gridSpan w:val="2"/>
          </w:tcPr>
          <w:p>
            <w:pPr>
              <w:ind w:left="8560"/>
              <w:spacing w:after="0"/>
              <w:rPr>
                <w:sz w:val="20"/>
                <w:szCs w:val="20"/>
                <w:color w:val="auto"/>
              </w:rPr>
            </w:pPr>
            <w:r>
              <w:rPr>
                <w:rFonts w:ascii="Arial" w:cs="Arial" w:eastAsia="Arial" w:hAnsi="Arial"/>
                <w:sz w:val="14"/>
                <w:szCs w:val="14"/>
                <w:b w:val="1"/>
                <w:bCs w:val="1"/>
                <w:color w:val="003082"/>
              </w:rPr>
              <w:t>2019</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6"/>
              <w:spacing w:after="0"/>
              <w:rPr>
                <w:sz w:val="20"/>
                <w:szCs w:val="20"/>
                <w:color w:val="auto"/>
              </w:rPr>
            </w:pPr>
            <w:r>
              <w:rPr>
                <w:rFonts w:ascii="Arial" w:cs="Arial" w:eastAsia="Arial" w:hAnsi="Arial"/>
                <w:sz w:val="14"/>
                <w:szCs w:val="14"/>
                <w:b w:val="1"/>
                <w:bCs w:val="1"/>
                <w:color w:val="003082"/>
              </w:rPr>
              <w:t>2020</w:t>
            </w:r>
          </w:p>
        </w:tc>
      </w:tr>
      <w:tr>
        <w:trPr>
          <w:trHeight w:val="53"/>
        </w:trPr>
        <w:tc>
          <w:tcPr>
            <w:tcW w:w="7920" w:type="dxa"/>
            <w:vAlign w:val="bottom"/>
            <w:tcBorders>
              <w:bottom w:val="single" w:sz="8" w:color="CCEEFF"/>
            </w:tcBorders>
          </w:tcPr>
          <w:p>
            <w:pPr>
              <w:spacing w:after="0"/>
              <w:rPr>
                <w:sz w:val="4"/>
                <w:szCs w:val="4"/>
                <w:color w:val="auto"/>
              </w:rPr>
            </w:pPr>
          </w:p>
        </w:tc>
        <w:tc>
          <w:tcPr>
            <w:tcW w:w="1180" w:type="dxa"/>
            <w:vAlign w:val="bottom"/>
            <w:tcBorders>
              <w:bottom w:val="single" w:sz="8" w:color="3D5588"/>
            </w:tcBorders>
          </w:tcPr>
          <w:p>
            <w:pPr>
              <w:spacing w:after="0"/>
              <w:rPr>
                <w:sz w:val="4"/>
                <w:szCs w:val="4"/>
                <w:color w:val="auto"/>
              </w:rPr>
            </w:pPr>
          </w:p>
        </w:tc>
        <w:tc>
          <w:tcPr>
            <w:tcW w:w="380" w:type="dxa"/>
            <w:vAlign w:val="bottom"/>
            <w:tcBorders>
              <w:bottom w:val="single" w:sz="8" w:color="3D5588"/>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40" w:type="dxa"/>
            <w:vAlign w:val="bottom"/>
            <w:tcBorders>
              <w:bottom w:val="single" w:sz="8" w:color="3D5588"/>
            </w:tcBorders>
          </w:tcPr>
          <w:p>
            <w:pPr>
              <w:spacing w:after="0"/>
              <w:rPr>
                <w:sz w:val="4"/>
                <w:szCs w:val="4"/>
                <w:color w:val="auto"/>
              </w:rPr>
            </w:pPr>
          </w:p>
        </w:tc>
      </w:tr>
      <w:tr>
        <w:trPr>
          <w:trHeight w:val="243"/>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003082"/>
              </w:rPr>
              <w:t>Customer A - Social media platform</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w:t>
            </w:r>
          </w:p>
        </w:tc>
      </w:tr>
      <w:tr>
        <w:trPr>
          <w:trHeight w:val="243"/>
        </w:trPr>
        <w:tc>
          <w:tcPr>
            <w:tcW w:w="9100" w:type="dxa"/>
            <w:vAlign w:val="bottom"/>
            <w:gridSpan w:val="2"/>
          </w:tcPr>
          <w:p>
            <w:pPr>
              <w:ind w:left="40"/>
              <w:spacing w:after="0"/>
              <w:rPr>
                <w:sz w:val="20"/>
                <w:szCs w:val="20"/>
                <w:color w:val="auto"/>
              </w:rPr>
            </w:pPr>
            <w:r>
              <w:rPr>
                <w:rFonts w:ascii="Arial" w:cs="Arial" w:eastAsia="Arial" w:hAnsi="Arial"/>
                <w:sz w:val="18"/>
                <w:szCs w:val="18"/>
                <w:color w:val="003082"/>
              </w:rPr>
              <w:t>Customer B - Educational institution application</w:t>
            </w:r>
          </w:p>
        </w:tc>
        <w:tc>
          <w:tcPr>
            <w:tcW w:w="380" w:type="dxa"/>
            <w:vAlign w:val="bottom"/>
          </w:tcPr>
          <w:p>
            <w:pPr>
              <w:jc w:val="right"/>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003082"/>
              </w:rPr>
              <w:t>14%</w:t>
            </w:r>
          </w:p>
        </w:tc>
      </w:tr>
      <w:tr>
        <w:trPr>
          <w:trHeight w:val="206"/>
        </w:trPr>
        <w:tc>
          <w:tcPr>
            <w:tcW w:w="7920" w:type="dxa"/>
            <w:vAlign w:val="bottom"/>
          </w:tcPr>
          <w:p>
            <w:pPr>
              <w:spacing w:after="0"/>
              <w:rPr>
                <w:sz w:val="20"/>
                <w:szCs w:val="20"/>
                <w:color w:val="auto"/>
              </w:rPr>
            </w:pPr>
            <w:r>
              <w:rPr>
                <w:rFonts w:ascii="Arial" w:cs="Arial" w:eastAsia="Arial" w:hAnsi="Arial"/>
                <w:sz w:val="16"/>
                <w:szCs w:val="16"/>
                <w:color w:val="003082"/>
              </w:rPr>
              <w:t>________________</w:t>
            </w: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9100" w:type="dxa"/>
            <w:vAlign w:val="bottom"/>
            <w:gridSpan w:val="2"/>
          </w:tcPr>
          <w:p>
            <w:pPr>
              <w:spacing w:after="0"/>
              <w:rPr>
                <w:sz w:val="20"/>
                <w:szCs w:val="20"/>
                <w:color w:val="auto"/>
              </w:rPr>
            </w:pPr>
            <w:r>
              <w:rPr>
                <w:rFonts w:ascii="Arial" w:cs="Arial" w:eastAsia="Arial" w:hAnsi="Arial"/>
                <w:sz w:val="16"/>
                <w:szCs w:val="16"/>
                <w:color w:val="003082"/>
              </w:rPr>
              <w:t>*   Less than 10%.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(f)</w:t>
      </w:r>
      <w:r>
        <w:rPr>
          <w:sz w:val="20"/>
          <w:szCs w:val="20"/>
          <w:color w:val="auto"/>
        </w:rPr>
        <w:tab/>
      </w:r>
      <w:r>
        <w:rPr>
          <w:rFonts w:ascii="Arial" w:cs="Arial" w:eastAsia="Arial" w:hAnsi="Arial"/>
          <w:sz w:val="16"/>
          <w:szCs w:val="16"/>
          <w:b w:val="1"/>
          <w:bCs w:val="1"/>
          <w:i w:val="1"/>
          <w:iCs w:val="1"/>
          <w:color w:val="003082"/>
        </w:rPr>
        <w:t>Mezzanine Equity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Mezzanine equity represents the Series A, Series B, Series B+, Series C and Series C+ convertible redeemable preferred shares (collectively, the “Preferred Shares”) issued by the Company. Preferred Shares are redeemable at the holders’ option any time after a certain date and were contingently redeemable upon the occurrence of certain liquidation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F-57</w:t>
      </w:r>
    </w:p>
    <w:p>
      <w:pPr>
        <w:sectPr>
          <w:pgSz w:w="11900" w:h="16838" w:orient="portrait"/>
          <w:cols w:equalWidth="0" w:num="1">
            <w:col w:w="11240"/>
          </w:cols>
          <w:pgMar w:left="320" w:top="769" w:right="33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3082"/>
        </w:rPr>
        <w:t>events outside of the Company’s control. Therefore, the Group classifies the Preferred Shares as mezzanine equity. See Note 9—Convertible Redeemable Preferred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(g) Deferred Equity Offering Costs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 Or in the case that the equity financing is related to mezzanine equity, these costs are recorded as a reduction of mezzanine equity. Should the in-process equity financing be abandoned, the deferred offering costs will be expensed immediately as a charge to operating expenses in the consolidated statements of comprehensive (loss).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As of December 31, 2019 and March 31, 2020, deferred offering costs of US$287,331 and US$1,179,835 were recorded in the consolidated balance sheet. See Note 6—Other Non-current Assets.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(h) 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The Group early adopted ASC Topic 606, </w:t>
      </w:r>
      <w:r>
        <w:rPr>
          <w:rFonts w:ascii="Arial" w:cs="Arial" w:eastAsia="Arial" w:hAnsi="Arial"/>
          <w:sz w:val="17"/>
          <w:szCs w:val="17"/>
          <w:i w:val="1"/>
          <w:iCs w:val="1"/>
          <w:color w:val="003082"/>
        </w:rPr>
        <w:t>Revenue from Contracts with Customers (ASC 606)</w:t>
      </w:r>
      <w:r>
        <w:rPr>
          <w:rFonts w:ascii="Arial" w:cs="Arial" w:eastAsia="Arial" w:hAnsi="Arial"/>
          <w:sz w:val="17"/>
          <w:szCs w:val="17"/>
          <w:color w:val="003082"/>
        </w:rPr>
        <w:t xml:space="preserve">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is recognized over time as the Group’s performance enhances an asset controlled by the customer. Revenue recognition is based on the measurement of progress toward complete satisfaction of the performance obligation, for which the Group utilizes the output method.</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Timing of revenue recognition may differ from the timing of invoicing to customers. The Group records a contract asset when the Group has a right to consideration in exchange for goods or services that it has transferred to a customer and when that right is conditioned on something other than the passage of time (for example, the entity’s future performance). Accounts receivables represent amounts invoiced and revenue recognized prior to invoicing, when the Group has satisfied its performance obligations and has the unconditional right to payment. As of December 31, 2019 and March 31, 2020, contract assets recorded in the Group’s consolidated balance sheets was immaterial.</w:t>
      </w:r>
    </w:p>
    <w:p>
      <w:pPr>
        <w:spacing w:after="0" w:line="12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Due to the generally short-term duration of the contracts, the majority of the performance obligations are satisfied in the following reporting period. As of December 31, 2019 and March 31, 2020, contract liabilities recorded as advances from customers are US$920,925 and US$771,941 as of December 31, 2019 and March 31, 2020, respectively, in the Group’s consolidated balance sheets. Revenue recognized for the three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F-58</w:t>
      </w:r>
    </w:p>
    <w:p>
      <w:pPr>
        <w:sectPr>
          <w:pgSz w:w="11900" w:h="16838" w:orient="portrait"/>
          <w:cols w:equalWidth="0" w:num="1">
            <w:col w:w="11240"/>
          </w:cols>
          <w:pgMar w:left="320" w:top="769"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003082"/>
        </w:rPr>
        <w:t>months ended March 31, 2019 and 2020 that was included in the contract liabilities balance at the beginning of the period was US$261,285 and US$379,864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Practical Expedients and Exemptions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Upon the election of the practical expedient under ASC 340-40-25-4, the incremental costs of obtaining a contract are expensed when incurred if the amortization period of the asset that the entity otherwise would have recognized is one year or less. For the three months ended March 31, 2019 and 2020, no incremental contract obtaining cost was capitalized as assets due to short term of the amortization period.</w:t>
      </w:r>
    </w:p>
    <w:p>
      <w:pPr>
        <w:spacing w:after="0" w:line="219"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(i)</w:t>
      </w:r>
      <w:r>
        <w:rPr>
          <w:sz w:val="20"/>
          <w:szCs w:val="20"/>
          <w:color w:val="auto"/>
        </w:rPr>
        <w:tab/>
      </w:r>
      <w:r>
        <w:rPr>
          <w:rFonts w:ascii="Arial" w:cs="Arial" w:eastAsia="Arial" w:hAnsi="Arial"/>
          <w:sz w:val="15"/>
          <w:szCs w:val="15"/>
          <w:b w:val="1"/>
          <w:bCs w:val="1"/>
          <w:i w:val="1"/>
          <w:iCs w:val="1"/>
          <w:color w:val="003082"/>
        </w:rPr>
        <w:t>Cost of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income (loss) as incurred.</w:t>
      </w:r>
    </w:p>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(j)</w:t>
      </w:r>
      <w:r>
        <w:rPr>
          <w:sz w:val="20"/>
          <w:szCs w:val="20"/>
          <w:color w:val="auto"/>
        </w:rPr>
        <w:tab/>
      </w:r>
      <w:r>
        <w:rPr>
          <w:rFonts w:ascii="Arial" w:cs="Arial" w:eastAsia="Arial" w:hAnsi="Arial"/>
          <w:sz w:val="15"/>
          <w:szCs w:val="15"/>
          <w:b w:val="1"/>
          <w:bCs w:val="1"/>
          <w:i w:val="1"/>
          <w:iCs w:val="1"/>
          <w:color w:val="003082"/>
        </w:rPr>
        <w:t>Research and Development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 xml:space="preserve">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w:t>
      </w:r>
      <w:r>
        <w:rPr>
          <w:rFonts w:ascii="Arial" w:cs="Arial" w:eastAsia="Arial" w:hAnsi="Arial"/>
          <w:sz w:val="18"/>
          <w:szCs w:val="18"/>
          <w:i w:val="1"/>
          <w:iCs w:val="1"/>
          <w:color w:val="003082"/>
        </w:rPr>
        <w:t>Research and Development</w:t>
      </w:r>
      <w:r>
        <w:rPr>
          <w:rFonts w:ascii="Arial" w:cs="Arial" w:eastAsia="Arial" w:hAnsi="Arial"/>
          <w:sz w:val="18"/>
          <w:szCs w:val="18"/>
          <w:color w:val="003082"/>
        </w:rPr>
        <w: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(k) Software Development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 xml:space="preserve">The Group accounts for costs to develop or obtain internal use software in accordance with ASC 350-40, </w:t>
      </w:r>
      <w:r>
        <w:rPr>
          <w:rFonts w:ascii="Arial" w:cs="Arial" w:eastAsia="Arial" w:hAnsi="Arial"/>
          <w:sz w:val="18"/>
          <w:szCs w:val="18"/>
          <w:i w:val="1"/>
          <w:iCs w:val="1"/>
          <w:color w:val="003082"/>
        </w:rPr>
        <w:t>Internal-Use Software</w:t>
      </w:r>
      <w:r>
        <w:rPr>
          <w:rFonts w:ascii="Arial" w:cs="Arial" w:eastAsia="Arial" w:hAnsi="Arial"/>
          <w:sz w:val="18"/>
          <w:szCs w:val="18"/>
          <w:color w:val="003082"/>
        </w:rPr>
        <w:t>.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 and amortized on a straight-line basis over the estimated useful life. Development costs related to internal use software qualifying for capitalization have been immaterial, and as a result have been expensed as incurred.</w:t>
      </w:r>
    </w:p>
    <w:p>
      <w:pPr>
        <w:spacing w:after="0" w:line="24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003082"/>
        </w:rPr>
        <w:t>(l)</w:t>
      </w:r>
      <w:r>
        <w:rPr>
          <w:sz w:val="20"/>
          <w:szCs w:val="20"/>
          <w:color w:val="auto"/>
        </w:rPr>
        <w:tab/>
      </w:r>
      <w:r>
        <w:rPr>
          <w:rFonts w:ascii="Arial" w:cs="Arial" w:eastAsia="Arial" w:hAnsi="Arial"/>
          <w:sz w:val="15"/>
          <w:szCs w:val="15"/>
          <w:b w:val="1"/>
          <w:bCs w:val="1"/>
          <w:i w:val="1"/>
          <w:iCs w:val="1"/>
          <w:color w:val="003082"/>
        </w:rPr>
        <w:t>Sales and Marketing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three months ended March 31, 2019 and 2020, advertising and marketing costs totaled US$288,103 and US$195,783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(m) General and Administrative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General and administrative expenses consist of employee wages and benefits for corporate employees, rental expenses, audit and legal fees, depreciation of property and equipment, and other corporate overhead costs.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(n) Operating Leases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leaser at the inception date. The Group had no capital leases for the three months ended March 31, 2019 and 2020. Rental expense is recognized from the date of initial possession of the leased property on a straight-line basis over the term of the lease.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F-59</w:t>
      </w:r>
    </w:p>
    <w:p>
      <w:pPr>
        <w:sectPr>
          <w:pgSz w:w="11900" w:h="16838" w:orient="portrait"/>
          <w:cols w:equalWidth="0" w:num="1">
            <w:col w:w="11240"/>
          </w:cols>
          <w:pgMar w:left="320" w:top="769" w:right="3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 Income Tax</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003082"/>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which temporary differences are expected to be received or settled. The effect on deferred tax assets and liabilities of changes in tax rates is recognized in the statement of comprehensive income (loss) in the period of the enactment of the change.</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003082"/>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003082"/>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classify interest and penalties recognized on the liability for unrecognized tax benefits as income tax expense. As of December 31, 2019 and March 31, 2020, there were no uncertain tax position liabilities or deferred tax recognized.</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(p) Segment Reporting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003082"/>
        </w:rPr>
        <w:t xml:space="preserve">ASC 280, </w:t>
      </w:r>
      <w:r>
        <w:rPr>
          <w:rFonts w:ascii="Arial" w:cs="Arial" w:eastAsia="Arial" w:hAnsi="Arial"/>
          <w:sz w:val="18"/>
          <w:szCs w:val="18"/>
          <w:i w:val="1"/>
          <w:iCs w:val="1"/>
          <w:color w:val="003082"/>
        </w:rPr>
        <w:t>Segment Reporting</w:t>
      </w:r>
      <w:r>
        <w:rPr>
          <w:rFonts w:ascii="Arial" w:cs="Arial" w:eastAsia="Arial" w:hAnsi="Arial"/>
          <w:sz w:val="18"/>
          <w:szCs w:val="18"/>
          <w:color w:val="003082"/>
        </w:rPr>
        <w:t>,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F-60</w:t>
      </w:r>
    </w:p>
    <w:p>
      <w:pPr>
        <w:sectPr>
          <w:pgSz w:w="11900" w:h="16838" w:orient="portrait"/>
          <w:cols w:equalWidth="0" w:num="1">
            <w:col w:w="11240"/>
          </w:cols>
          <w:pgMar w:left="320" w:top="769" w:right="3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presents the Group’s revenues disaggregated by primary geographical markets: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right"/>
              <w:ind w:right="554"/>
              <w:spacing w:after="0"/>
              <w:rPr>
                <w:sz w:val="20"/>
                <w:szCs w:val="20"/>
                <w:color w:val="auto"/>
              </w:rPr>
            </w:pPr>
            <w:r>
              <w:rPr>
                <w:rFonts w:ascii="Arial" w:cs="Arial" w:eastAsia="Arial" w:hAnsi="Arial"/>
                <w:sz w:val="14"/>
                <w:szCs w:val="14"/>
                <w:b w:val="1"/>
                <w:bCs w:val="1"/>
                <w:color w:val="003082"/>
              </w:rPr>
              <w:t>Three months Ended March 31,</w:t>
            </w: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8"/>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2020</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003082"/>
              </w:rPr>
              <w:t>(US$)</w:t>
            </w:r>
          </w:p>
        </w:tc>
        <w:tc>
          <w:tcPr>
            <w:tcW w:w="11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Primary geographical markets based on customers’ location</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PRC</w:t>
            </w:r>
          </w:p>
        </w:tc>
        <w:tc>
          <w:tcPr>
            <w:tcW w:w="380" w:type="dxa"/>
            <w:vAlign w:val="bottom"/>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003082"/>
              </w:rPr>
              <w:t>9,767,402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003082"/>
              </w:rPr>
              <w:t>31,933,887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1,669,754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1,332,261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Others</w:t>
            </w: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003082"/>
              </w:rPr>
              <w:t>1,925,337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003082"/>
              </w:rPr>
              <w:t>2,294,287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003082"/>
              </w:rPr>
              <w:t>13,362,493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35,560,435</w:t>
            </w:r>
          </w:p>
        </w:tc>
      </w:tr>
      <w:tr>
        <w:trPr>
          <w:trHeight w:val="20"/>
        </w:trPr>
        <w:tc>
          <w:tcPr>
            <w:tcW w:w="7980" w:type="dxa"/>
            <w:vAlign w:val="bottom"/>
          </w:tcPr>
          <w:p>
            <w:pPr>
              <w:spacing w:after="0" w:line="20" w:lineRule="exact"/>
              <w:rPr>
                <w:sz w:val="1"/>
                <w:szCs w:val="1"/>
                <w:color w:val="auto"/>
              </w:rPr>
            </w:pPr>
          </w:p>
        </w:tc>
        <w:tc>
          <w:tcPr>
            <w:tcW w:w="380" w:type="dxa"/>
            <w:vAlign w:val="bottom"/>
            <w:shd w:val="clear" w:color="auto" w:fill="3D5588"/>
          </w:tcPr>
          <w:p>
            <w:pPr>
              <w:spacing w:after="0" w:line="20" w:lineRule="exact"/>
              <w:rPr>
                <w:sz w:val="1"/>
                <w:szCs w:val="1"/>
                <w:color w:val="auto"/>
              </w:rPr>
            </w:pPr>
          </w:p>
        </w:tc>
        <w:tc>
          <w:tcPr>
            <w:tcW w:w="1200" w:type="dxa"/>
            <w:vAlign w:val="bottom"/>
            <w:shd w:val="clear" w:color="auto" w:fill="3D55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3D5588"/>
          </w:tcPr>
          <w:p>
            <w:pPr>
              <w:spacing w:after="0" w:line="20" w:lineRule="exact"/>
              <w:rPr>
                <w:sz w:val="1"/>
                <w:szCs w:val="1"/>
                <w:color w:val="auto"/>
              </w:rPr>
            </w:pPr>
          </w:p>
        </w:tc>
        <w:tc>
          <w:tcPr>
            <w:tcW w:w="1180" w:type="dxa"/>
            <w:vAlign w:val="bottom"/>
            <w:shd w:val="clear" w:color="auto" w:fill="3D5588"/>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majority of the Group’s long-lived assets are located and maintained within the PRC.</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(q) Recently Issued Accounting Pronouncements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New and Amended Standards Adopted by the Group</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003082"/>
        </w:rPr>
        <w:t xml:space="preserve">In August 2018, the FASB issued ASU 2018-13, </w:t>
      </w:r>
      <w:r>
        <w:rPr>
          <w:rFonts w:ascii="Arial" w:cs="Arial" w:eastAsia="Arial" w:hAnsi="Arial"/>
          <w:sz w:val="17"/>
          <w:szCs w:val="17"/>
          <w:i w:val="1"/>
          <w:iCs w:val="1"/>
          <w:color w:val="003082"/>
        </w:rPr>
        <w:t>Fair Value Measurement (Topic 820): Disclosure Framework-Changes to the Disclosure</w:t>
      </w:r>
      <w:r>
        <w:rPr>
          <w:rFonts w:ascii="Arial" w:cs="Arial" w:eastAsia="Arial" w:hAnsi="Arial"/>
          <w:sz w:val="17"/>
          <w:szCs w:val="17"/>
          <w:color w:val="003082"/>
        </w:rPr>
        <w:t xml:space="preserve"> </w:t>
      </w:r>
      <w:r>
        <w:rPr>
          <w:rFonts w:ascii="Arial" w:cs="Arial" w:eastAsia="Arial" w:hAnsi="Arial"/>
          <w:sz w:val="17"/>
          <w:szCs w:val="17"/>
          <w:i w:val="1"/>
          <w:iCs w:val="1"/>
          <w:color w:val="003082"/>
        </w:rPr>
        <w:t>Requirements for Fair Value Measurement</w:t>
      </w:r>
      <w:r>
        <w:rPr>
          <w:rFonts w:ascii="Arial" w:cs="Arial" w:eastAsia="Arial" w:hAnsi="Arial"/>
          <w:sz w:val="17"/>
          <w:szCs w:val="17"/>
          <w:color w:val="003082"/>
        </w:rPr>
        <w:t>, which eliminates, adds and modifies certain disclosure requirements for fair value measurements. Under the</w:t>
      </w:r>
      <w:r>
        <w:rPr>
          <w:rFonts w:ascii="Arial" w:cs="Arial" w:eastAsia="Arial" w:hAnsi="Arial"/>
          <w:sz w:val="17"/>
          <w:szCs w:val="17"/>
          <w:i w:val="1"/>
          <w:iCs w:val="1"/>
          <w:color w:val="003082"/>
        </w:rPr>
        <w:t xml:space="preserve"> </w:t>
      </w:r>
      <w:r>
        <w:rPr>
          <w:rFonts w:ascii="Arial" w:cs="Arial" w:eastAsia="Arial" w:hAnsi="Arial"/>
          <w:sz w:val="17"/>
          <w:szCs w:val="17"/>
          <w:color w:val="003082"/>
        </w:rPr>
        <w:t>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Group adopted the standard on January 1, 2020 and the impact of the adoption was not material.</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New and Amended Standards not yet Adopted by the Group</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003082"/>
        </w:rPr>
        <w:t>In February 2016, the FASB issued ASU 2016-02</w:t>
      </w:r>
      <w:r>
        <w:rPr>
          <w:rFonts w:ascii="Arial" w:cs="Arial" w:eastAsia="Arial" w:hAnsi="Arial"/>
          <w:sz w:val="16"/>
          <w:szCs w:val="16"/>
          <w:i w:val="1"/>
          <w:iCs w:val="1"/>
          <w:color w:val="003082"/>
        </w:rPr>
        <w:t>, Leases (Topic 842)</w:t>
      </w:r>
      <w:r>
        <w:rPr>
          <w:rFonts w:ascii="Arial" w:cs="Arial" w:eastAsia="Arial" w:hAnsi="Arial"/>
          <w:sz w:val="16"/>
          <w:szCs w:val="16"/>
          <w:color w:val="003082"/>
        </w:rPr>
        <w:t>. Under the new guidance, lessees will be required to recognize a lease liability and a lease asset for all leases, including operating leases, with a term greater than 12 months on its balance sheet. The update also expands the required quantitative and qualitative disclosures surrounding leases. ASU 2016-02 initially required adoption using a modified retrospective approach, under which all years presented in the financial statements would be prepared under the revised guidance. In July 2018, the FASB issued ASU 2018-11, Leases (Topic 842),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standard is effective for the Company beginning January 1, 2021 and interim periods within the following fiscal year, with early adoption permitted. The Company is currently evaluating the impact ASC 842 will have on its consolidated financial statements and associated disclosures.</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 xml:space="preserve">In June 2016, the FASB issued ASU 2016-13, </w:t>
      </w:r>
      <w:r>
        <w:rPr>
          <w:rFonts w:ascii="Arial" w:cs="Arial" w:eastAsia="Arial" w:hAnsi="Arial"/>
          <w:sz w:val="17"/>
          <w:szCs w:val="17"/>
          <w:i w:val="1"/>
          <w:iCs w:val="1"/>
          <w:color w:val="003082"/>
        </w:rPr>
        <w:t>Financial Instruments - Credit Losses (Topic 326)</w:t>
      </w:r>
      <w:r>
        <w:rPr>
          <w:rFonts w:ascii="Arial" w:cs="Arial" w:eastAsia="Arial" w:hAnsi="Arial"/>
          <w:sz w:val="17"/>
          <w:szCs w:val="17"/>
          <w:color w:val="003082"/>
        </w:rPr>
        <w:t>, to provide financial statement users with more useful information about expected credit losses. ASU 2016-13 also changes how entities measure credit losses on financial instruments and the timing of when such losses are recorded. The FASB further issued Accounting Standards Update No. 2018-19, “Codification Improvements to Topic 326, Financial Instruments-Credit Losses,” or ASU 2018-19, Accounting Standards Update No. 2019-04, “Codification Improvements to Topic 326, Financial Instruments-Credit Losses,” or ASU 2019-04, Accounting Standards Update No. 2019-05, “Financial</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F-61</w:t>
      </w:r>
    </w:p>
    <w:p>
      <w:pPr>
        <w:sectPr>
          <w:pgSz w:w="11900" w:h="16838" w:orient="portrait"/>
          <w:cols w:equalWidth="0" w:num="1">
            <w:col w:w="11240"/>
          </w:cols>
          <w:pgMar w:left="320" w:top="769" w:right="339" w:bottom="1440" w:gutter="0" w:footer="0" w:header="0"/>
        </w:sectPr>
      </w:pPr>
    </w:p>
    <w:bookmarkStart w:id="270" w:name="page271"/>
    <w:bookmarkEnd w:id="27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003082"/>
        </w:rPr>
        <w:t>Instruments-Credit Losses (Topic 326): Targeted Transition Relief,” or ASU 2019-05, Accounting Standards Update No. 2019-10, “Financial Instruments-Credit Losses (Topic 326): Effective Dates,” or ASU 2019-10 and Accounting Standards Update No. 2019-11, “Codification Improvements to Topic 326, Financial Instruments-Credit Losses,” or ASU 2019-11. The amendments in these ASUs provide clarifications to ASU 2016-13. The standard is effective for fiscal years and interim periods within those years beginning after December 15, 2023 for the Company, with early adoption permitted. The Company is currently evaluating the impact ASC 326 will have on its consolidated financial statements and associated disclosures.</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In December 2019, the FASB issued ASU 2019-12-Income Taxes (Topic 740): Simplifying the Accounting for Income Taxes. The amendments in ASU 2019-12 simplify the accounting for income taxes by removing certain exceptions to the general principles in Topic 740. The amendments also improve consistent application of and simplify GAAP for other areas of Topic 740 by clarifying and amending existing guidance. ASU 2019-12 is effective for the Company beginning on January 1, 2022. Early adoption of the amendments is permitted. The Company is currently evaluating the impact of ASU 2019-12 on its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3. Accounts Receivable, Net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3082"/>
                <w:w w:val="99"/>
              </w:rPr>
              <w:t>As of December 31, 2019</w:t>
            </w:r>
          </w:p>
        </w:tc>
        <w:tc>
          <w:tcPr>
            <w:tcW w:w="200" w:type="dxa"/>
            <w:vAlign w:val="bottom"/>
          </w:tcPr>
          <w:p>
            <w:pPr>
              <w:spacing w:after="0"/>
              <w:rPr>
                <w:sz w:val="14"/>
                <w:szCs w:val="1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003082"/>
                <w:w w:val="94"/>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3D5588"/>
            </w:tcBorders>
            <w:gridSpan w:val="3"/>
            <w:vMerge w:val="continue"/>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1360" w:type="dxa"/>
            <w:vAlign w:val="bottom"/>
            <w:tcBorders>
              <w:bottom w:val="single" w:sz="8" w:color="3D5588"/>
            </w:tcBorders>
          </w:tcPr>
          <w:p>
            <w:pPr>
              <w:jc w:val="center"/>
              <w:ind w:right="115"/>
              <w:spacing w:after="0"/>
              <w:rPr>
                <w:sz w:val="20"/>
                <w:szCs w:val="20"/>
                <w:color w:val="auto"/>
              </w:rPr>
            </w:pPr>
            <w:r>
              <w:rPr>
                <w:rFonts w:ascii="Arial" w:cs="Arial" w:eastAsia="Arial" w:hAnsi="Arial"/>
                <w:sz w:val="14"/>
                <w:szCs w:val="14"/>
                <w:b w:val="1"/>
                <w:bCs w:val="1"/>
                <w:color w:val="003082"/>
                <w:w w:val="89"/>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5"/>
              <w:spacing w:after="0"/>
              <w:rPr>
                <w:sz w:val="20"/>
                <w:szCs w:val="20"/>
                <w:color w:val="auto"/>
              </w:rPr>
            </w:pPr>
            <w:r>
              <w:rPr>
                <w:rFonts w:ascii="Arial" w:cs="Arial" w:eastAsia="Arial" w:hAnsi="Arial"/>
                <w:sz w:val="14"/>
                <w:szCs w:val="14"/>
                <w:color w:val="003082"/>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Accounts receivable</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17,283,107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32,410,013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Less: allowance for doubtful accounts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(1,035,542)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3082"/>
              </w:rPr>
              <w:t>(1,170,372)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Accounts receivable, net</w:t>
            </w:r>
          </w:p>
        </w:tc>
        <w:tc>
          <w:tcPr>
            <w:tcW w:w="380" w:type="dxa"/>
            <w:vAlign w:val="bottom"/>
            <w:tcBorders>
              <w:bottom w:val="single" w:sz="8" w:color="3D5588"/>
            </w:tcBorders>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16,247,565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31,239,641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color w:val="003082"/>
              </w:rPr>
              <w:t>Movement of allowance of doubtful accounts was as follows:</w:t>
            </w: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center"/>
              <w:ind w:right="275"/>
              <w:spacing w:after="0"/>
              <w:rPr>
                <w:sz w:val="20"/>
                <w:szCs w:val="20"/>
                <w:color w:val="auto"/>
              </w:rPr>
            </w:pPr>
            <w:r>
              <w:rPr>
                <w:rFonts w:ascii="Arial" w:cs="Arial" w:eastAsia="Arial" w:hAnsi="Arial"/>
                <w:sz w:val="14"/>
                <w:szCs w:val="14"/>
                <w:b w:val="1"/>
                <w:bCs w:val="1"/>
                <w:color w:val="003082"/>
                <w:w w:val="94"/>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200" w:type="dxa"/>
            <w:vAlign w:val="bottom"/>
            <w:tcBorders>
              <w:bottom w:val="single" w:sz="8" w:color="3D5588"/>
            </w:tcBorders>
          </w:tcPr>
          <w:p>
            <w:pPr>
              <w:spacing w:after="0"/>
              <w:rPr>
                <w:sz w:val="22"/>
                <w:szCs w:val="22"/>
                <w:color w:val="auto"/>
              </w:rPr>
            </w:pPr>
          </w:p>
        </w:tc>
        <w:tc>
          <w:tcPr>
            <w:tcW w:w="1360" w:type="dxa"/>
            <w:vAlign w:val="bottom"/>
            <w:tcBorders>
              <w:bottom w:val="single" w:sz="8" w:color="3D5588"/>
            </w:tcBorders>
          </w:tcPr>
          <w:p>
            <w:pPr>
              <w:jc w:val="center"/>
              <w:ind w:right="115"/>
              <w:spacing w:after="0"/>
              <w:rPr>
                <w:sz w:val="20"/>
                <w:szCs w:val="20"/>
                <w:color w:val="auto"/>
              </w:rPr>
            </w:pPr>
            <w:r>
              <w:rPr>
                <w:rFonts w:ascii="Arial" w:cs="Arial" w:eastAsia="Arial" w:hAnsi="Arial"/>
                <w:sz w:val="14"/>
                <w:szCs w:val="14"/>
                <w:b w:val="1"/>
                <w:bCs w:val="1"/>
                <w:color w:val="003082"/>
                <w:w w:val="89"/>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5"/>
              <w:spacing w:after="0"/>
              <w:rPr>
                <w:sz w:val="20"/>
                <w:szCs w:val="20"/>
                <w:color w:val="auto"/>
              </w:rPr>
            </w:pPr>
            <w:r>
              <w:rPr>
                <w:rFonts w:ascii="Arial" w:cs="Arial" w:eastAsia="Arial" w:hAnsi="Arial"/>
                <w:sz w:val="14"/>
                <w:szCs w:val="14"/>
                <w:color w:val="003082"/>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At beginning of the period</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(367,044)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(1,035,542)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Addition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003082"/>
              </w:rPr>
              <w:t>(181,196)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003082"/>
              </w:rPr>
              <w:t>(147,878)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Foreign currency translation impact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(6,716)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13,048</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At end of the period</w:t>
            </w:r>
          </w:p>
        </w:tc>
        <w:tc>
          <w:tcPr>
            <w:tcW w:w="380" w:type="dxa"/>
            <w:vAlign w:val="bottom"/>
            <w:tcBorders>
              <w:top w:val="single" w:sz="8" w:color="3D5588"/>
              <w:bottom w:val="single" w:sz="8" w:color="3D5588"/>
            </w:tcBorders>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(554,956)</w:t>
            </w:r>
          </w:p>
        </w:tc>
        <w:tc>
          <w:tcPr>
            <w:tcW w:w="120" w:type="dxa"/>
            <w:vAlign w:val="bottom"/>
          </w:tcPr>
          <w:p>
            <w:pPr>
              <w:spacing w:after="0"/>
              <w:rPr>
                <w:sz w:val="22"/>
                <w:szCs w:val="22"/>
                <w:color w:val="auto"/>
              </w:rPr>
            </w:pPr>
          </w:p>
        </w:tc>
        <w:tc>
          <w:tcPr>
            <w:tcW w:w="20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(1,170,372)</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003082"/>
              </w:rPr>
              <w:t>4. Prepayments and Other Current Assets</w:t>
            </w: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003082"/>
              </w:rPr>
              <w:t>The prepayments and other current assets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980" w:type="dxa"/>
            <w:vAlign w:val="bottom"/>
          </w:tcPr>
          <w:p>
            <w:pPr>
              <w:spacing w:after="0"/>
              <w:rPr>
                <w:sz w:val="24"/>
                <w:szCs w:val="2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3082"/>
                <w:w w:val="99"/>
              </w:rPr>
              <w:t>As of December 31, 2019</w:t>
            </w:r>
          </w:p>
        </w:tc>
        <w:tc>
          <w:tcPr>
            <w:tcW w:w="200" w:type="dxa"/>
            <w:vAlign w:val="bottom"/>
          </w:tcPr>
          <w:p>
            <w:pPr>
              <w:spacing w:after="0"/>
              <w:rPr>
                <w:sz w:val="24"/>
                <w:szCs w:val="24"/>
                <w:color w:val="auto"/>
              </w:rPr>
            </w:pPr>
          </w:p>
        </w:tc>
        <w:tc>
          <w:tcPr>
            <w:tcW w:w="1360" w:type="dxa"/>
            <w:vAlign w:val="bottom"/>
          </w:tcPr>
          <w:p>
            <w:pPr>
              <w:jc w:val="center"/>
              <w:ind w:right="135"/>
              <w:spacing w:after="0"/>
              <w:rPr>
                <w:sz w:val="20"/>
                <w:szCs w:val="20"/>
                <w:color w:val="auto"/>
              </w:rPr>
            </w:pPr>
            <w:r>
              <w:rPr>
                <w:rFonts w:ascii="Arial" w:cs="Arial" w:eastAsia="Arial" w:hAnsi="Arial"/>
                <w:sz w:val="14"/>
                <w:szCs w:val="14"/>
                <w:b w:val="1"/>
                <w:bCs w:val="1"/>
                <w:color w:val="003082"/>
                <w:w w:val="94"/>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3D5588"/>
            </w:tcBorders>
            <w:gridSpan w:val="3"/>
            <w:vMerge w:val="continue"/>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1360" w:type="dxa"/>
            <w:vAlign w:val="bottom"/>
            <w:tcBorders>
              <w:bottom w:val="single" w:sz="8" w:color="3D5588"/>
            </w:tcBorders>
          </w:tcPr>
          <w:p>
            <w:pPr>
              <w:jc w:val="center"/>
              <w:ind w:right="115"/>
              <w:spacing w:after="0"/>
              <w:rPr>
                <w:sz w:val="20"/>
                <w:szCs w:val="20"/>
                <w:color w:val="auto"/>
              </w:rPr>
            </w:pPr>
            <w:r>
              <w:rPr>
                <w:rFonts w:ascii="Arial" w:cs="Arial" w:eastAsia="Arial" w:hAnsi="Arial"/>
                <w:sz w:val="14"/>
                <w:szCs w:val="14"/>
                <w:b w:val="1"/>
                <w:bCs w:val="1"/>
                <w:color w:val="003082"/>
                <w:w w:val="89"/>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3"/>
          </w:tcPr>
          <w:p>
            <w:pPr>
              <w:jc w:val="center"/>
              <w:ind w:left="935"/>
              <w:spacing w:after="0"/>
              <w:rPr>
                <w:sz w:val="20"/>
                <w:szCs w:val="20"/>
                <w:color w:val="auto"/>
              </w:rPr>
            </w:pPr>
            <w:r>
              <w:rPr>
                <w:rFonts w:ascii="Arial" w:cs="Arial" w:eastAsia="Arial" w:hAnsi="Arial"/>
                <w:sz w:val="14"/>
                <w:szCs w:val="14"/>
                <w:color w:val="003082"/>
                <w:w w:val="9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003082"/>
              </w:rPr>
              <w:t>Loans and advance to employees</w:t>
            </w:r>
            <w:r>
              <w:rPr>
                <w:rFonts w:ascii="Arial" w:cs="Arial" w:eastAsia="Arial" w:hAnsi="Arial"/>
                <w:sz w:val="25"/>
                <w:szCs w:val="25"/>
                <w:color w:val="003082"/>
                <w:vertAlign w:val="superscript"/>
              </w:rPr>
              <w:t>(3)</w:t>
            </w:r>
          </w:p>
        </w:tc>
        <w:tc>
          <w:tcPr>
            <w:tcW w:w="38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0030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2,059,749</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003082"/>
              </w:rPr>
              <w:t>VAT recoverable</w:t>
            </w:r>
            <w:r>
              <w:rPr>
                <w:rFonts w:ascii="Arial" w:cs="Arial" w:eastAsia="Arial" w:hAnsi="Arial"/>
                <w:sz w:val="25"/>
                <w:szCs w:val="25"/>
                <w:color w:val="003082"/>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776,141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003082"/>
              </w:rPr>
              <w:t>607,986</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003082"/>
              </w:rPr>
              <w:t>Prepayments</w:t>
            </w:r>
            <w:r>
              <w:rPr>
                <w:rFonts w:ascii="Arial" w:cs="Arial" w:eastAsia="Arial" w:hAnsi="Arial"/>
                <w:sz w:val="25"/>
                <w:szCs w:val="25"/>
                <w:color w:val="003082"/>
                <w:vertAlign w:val="superscript"/>
              </w:rPr>
              <w:t>(2)</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419,376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003082"/>
              </w:rPr>
              <w:t>556,727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Restricted cash</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003082"/>
              </w:rPr>
              <w:t>80,000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003082"/>
              </w:rPr>
              <w:t>80,000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105,520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196,655</w:t>
            </w:r>
          </w:p>
        </w:tc>
        <w:tc>
          <w:tcPr>
            <w:tcW w:w="0" w:type="dxa"/>
            <w:vAlign w:val="bottom"/>
          </w:tcPr>
          <w:p>
            <w:pPr>
              <w:spacing w:after="0"/>
              <w:rPr>
                <w:sz w:val="1"/>
                <w:szCs w:val="1"/>
                <w:color w:val="auto"/>
              </w:rPr>
            </w:pPr>
          </w:p>
        </w:tc>
      </w:tr>
      <w:tr>
        <w:trPr>
          <w:trHeight w:val="236"/>
        </w:trPr>
        <w:tc>
          <w:tcPr>
            <w:tcW w:w="7980" w:type="dxa"/>
            <w:vAlign w:val="bottom"/>
          </w:tcPr>
          <w:p>
            <w:pPr>
              <w:spacing w:after="0"/>
              <w:rPr>
                <w:sz w:val="20"/>
                <w:szCs w:val="20"/>
                <w:color w:val="auto"/>
              </w:rPr>
            </w:pPr>
          </w:p>
        </w:tc>
        <w:tc>
          <w:tcPr>
            <w:tcW w:w="380" w:type="dxa"/>
            <w:vAlign w:val="bottom"/>
            <w:tcBorders>
              <w:top w:val="single" w:sz="8" w:color="3D5588"/>
            </w:tcBorders>
          </w:tcPr>
          <w:p>
            <w:pPr>
              <w:ind w:left="40"/>
              <w:spacing w:after="0"/>
              <w:rPr>
                <w:sz w:val="20"/>
                <w:szCs w:val="20"/>
                <w:color w:val="auto"/>
              </w:rPr>
            </w:pPr>
            <w:r>
              <w:rPr>
                <w:rFonts w:ascii="Arial" w:cs="Arial" w:eastAsia="Arial" w:hAnsi="Arial"/>
                <w:sz w:val="18"/>
                <w:szCs w:val="18"/>
                <w:color w:val="003082"/>
              </w:rPr>
              <w:t>$</w:t>
            </w:r>
          </w:p>
        </w:tc>
        <w:tc>
          <w:tcPr>
            <w:tcW w:w="120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1,381,037</w:t>
            </w:r>
          </w:p>
        </w:tc>
        <w:tc>
          <w:tcPr>
            <w:tcW w:w="120" w:type="dxa"/>
            <w:vAlign w:val="bottom"/>
          </w:tcPr>
          <w:p>
            <w:pPr>
              <w:spacing w:after="0"/>
              <w:rPr>
                <w:sz w:val="20"/>
                <w:szCs w:val="20"/>
                <w:color w:val="auto"/>
              </w:rPr>
            </w:pPr>
          </w:p>
        </w:tc>
        <w:tc>
          <w:tcPr>
            <w:tcW w:w="2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tcBorders>
          </w:tcPr>
          <w:p>
            <w:pPr>
              <w:jc w:val="right"/>
              <w:ind w:right="15"/>
              <w:spacing w:after="0"/>
              <w:rPr>
                <w:sz w:val="20"/>
                <w:szCs w:val="20"/>
                <w:color w:val="auto"/>
              </w:rPr>
            </w:pPr>
            <w:r>
              <w:rPr>
                <w:rFonts w:ascii="Arial" w:cs="Arial" w:eastAsia="Arial" w:hAnsi="Arial"/>
                <w:sz w:val="18"/>
                <w:szCs w:val="18"/>
                <w:color w:val="003082"/>
              </w:rPr>
              <w:t>3,501,117</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6"/>
                <w:szCs w:val="16"/>
                <w:color w:val="003082"/>
              </w:rPr>
              <w:t>________________</w:t>
            </w: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3D5588"/>
            </w:tcBorders>
          </w:tcPr>
          <w:p>
            <w:pPr>
              <w:spacing w:after="0" w:line="20" w:lineRule="exact"/>
              <w:rPr>
                <w:sz w:val="1"/>
                <w:szCs w:val="1"/>
                <w:color w:val="auto"/>
              </w:rPr>
            </w:pPr>
          </w:p>
        </w:tc>
        <w:tc>
          <w:tcPr>
            <w:tcW w:w="12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8"/>
        </w:numPr>
        <w:rPr>
          <w:rFonts w:ascii="Arial" w:cs="Arial" w:eastAsia="Arial" w:hAnsi="Arial"/>
          <w:sz w:val="16"/>
          <w:szCs w:val="16"/>
          <w:color w:val="003082"/>
        </w:rPr>
      </w:pPr>
      <w:r>
        <w:rPr>
          <w:rFonts w:ascii="Arial" w:cs="Arial" w:eastAsia="Arial" w:hAnsi="Arial"/>
          <w:sz w:val="16"/>
          <w:szCs w:val="16"/>
          <w:color w:val="003082"/>
        </w:rPr>
        <w:t>VAT recoverable represented the balances that the Group can utilize to deduct its VAT liabilities within the next 12 months.</w:t>
      </w:r>
    </w:p>
    <w:p>
      <w:pPr>
        <w:spacing w:after="0" w:line="202" w:lineRule="exact"/>
        <w:rPr>
          <w:rFonts w:ascii="Arial" w:cs="Arial" w:eastAsia="Arial" w:hAnsi="Arial"/>
          <w:sz w:val="16"/>
          <w:szCs w:val="16"/>
          <w:color w:val="003082"/>
        </w:rPr>
      </w:pPr>
    </w:p>
    <w:p>
      <w:pPr>
        <w:ind w:left="5460"/>
        <w:spacing w:after="0"/>
        <w:rPr>
          <w:rFonts w:ascii="Arial" w:cs="Arial" w:eastAsia="Arial" w:hAnsi="Arial"/>
          <w:sz w:val="16"/>
          <w:szCs w:val="16"/>
          <w:color w:val="003082"/>
        </w:rPr>
      </w:pPr>
      <w:r>
        <w:rPr>
          <w:rFonts w:ascii="Arial" w:cs="Arial" w:eastAsia="Arial" w:hAnsi="Arial"/>
          <w:sz w:val="18"/>
          <w:szCs w:val="18"/>
          <w:color w:val="003082"/>
        </w:rPr>
        <w:t>F-62</w:t>
      </w:r>
    </w:p>
    <w:p>
      <w:pPr>
        <w:sectPr>
          <w:pgSz w:w="11900" w:h="16838" w:orient="portrait"/>
          <w:cols w:equalWidth="0" w:num="1">
            <w:col w:w="11240"/>
          </w:cols>
          <w:pgMar w:left="320" w:top="769" w:right="33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90"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6"/>
          <w:szCs w:val="16"/>
          <w:color w:val="003082"/>
        </w:rPr>
      </w:pPr>
      <w:r>
        <w:rPr>
          <w:rFonts w:ascii="Arial" w:cs="Arial" w:eastAsia="Arial" w:hAnsi="Arial"/>
          <w:sz w:val="16"/>
          <w:szCs w:val="16"/>
          <w:color w:val="003082"/>
        </w:rPr>
        <w:t>Prepayments are primarily related to a prepayment for company events, prepaid rental expenses and other deposits.</w:t>
      </w:r>
    </w:p>
    <w:p>
      <w:pPr>
        <w:spacing w:after="0" w:line="19" w:lineRule="exact"/>
        <w:rPr>
          <w:rFonts w:ascii="Arial" w:cs="Arial" w:eastAsia="Arial" w:hAnsi="Arial"/>
          <w:sz w:val="16"/>
          <w:szCs w:val="16"/>
          <w:color w:val="003082"/>
        </w:rPr>
      </w:pPr>
    </w:p>
    <w:p>
      <w:pPr>
        <w:jc w:val="both"/>
        <w:ind w:left="340" w:hanging="332"/>
        <w:spacing w:after="0" w:line="276" w:lineRule="auto"/>
        <w:tabs>
          <w:tab w:leader="none" w:pos="340" w:val="left"/>
        </w:tabs>
        <w:numPr>
          <w:ilvl w:val="0"/>
          <w:numId w:val="139"/>
        </w:numPr>
        <w:rPr>
          <w:rFonts w:ascii="Arial" w:cs="Arial" w:eastAsia="Arial" w:hAnsi="Arial"/>
          <w:sz w:val="15"/>
          <w:szCs w:val="15"/>
          <w:color w:val="003082"/>
        </w:rPr>
      </w:pPr>
      <w:r>
        <w:rPr>
          <w:rFonts w:ascii="Arial" w:cs="Arial" w:eastAsia="Arial" w:hAnsi="Arial"/>
          <w:sz w:val="15"/>
          <w:szCs w:val="15"/>
          <w:color w:val="003082"/>
        </w:rPr>
        <w:t>Loans and advance to employees as of March 31, 2020 primarily consist of loans to the employees for the payment of individual income taxes for granted options. The interest associated with these loans are based on the one year risk-free interest rate stipulated by the People’s Bank of China, and the loan plus interest will be repaid by the employee within one year. As of March 31, 2020, the loan balance due from a related party was US$146,000, which was repaid on May 14, 2020.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5. Property and Equipment,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Property and equipment, net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1700" w:type="dxa"/>
            <w:vAlign w:val="bottom"/>
            <w:tcBorders>
              <w:bottom w:val="single" w:sz="8" w:color="3D5588"/>
            </w:tcBorders>
            <w:gridSpan w:val="3"/>
          </w:tcPr>
          <w:p>
            <w:pPr>
              <w:ind w:left="40"/>
              <w:spacing w:after="0"/>
              <w:rPr>
                <w:sz w:val="20"/>
                <w:szCs w:val="20"/>
                <w:color w:val="auto"/>
              </w:rPr>
            </w:pPr>
            <w:r>
              <w:rPr>
                <w:rFonts w:ascii="Arial" w:cs="Arial" w:eastAsia="Arial" w:hAnsi="Arial"/>
                <w:sz w:val="14"/>
                <w:szCs w:val="14"/>
                <w:b w:val="1"/>
                <w:bCs w:val="1"/>
                <w:color w:val="003082"/>
                <w:w w:val="99"/>
              </w:rPr>
              <w:t>As of December 31, 2019</w:t>
            </w:r>
          </w:p>
        </w:tc>
        <w:tc>
          <w:tcPr>
            <w:tcW w:w="120" w:type="dxa"/>
            <w:vAlign w:val="bottom"/>
            <w:tcBorders>
              <w:bottom w:val="single" w:sz="8" w:color="3D5588"/>
            </w:tcBorders>
          </w:tcPr>
          <w:p>
            <w:pPr>
              <w:spacing w:after="0"/>
              <w:rPr>
                <w:sz w:val="16"/>
                <w:szCs w:val="16"/>
                <w:color w:val="auto"/>
              </w:rPr>
            </w:pPr>
          </w:p>
        </w:tc>
        <w:tc>
          <w:tcPr>
            <w:tcW w:w="1440" w:type="dxa"/>
            <w:vAlign w:val="bottom"/>
            <w:tcBorders>
              <w:bottom w:val="single" w:sz="8" w:color="3D5588"/>
            </w:tcBorders>
          </w:tcPr>
          <w:p>
            <w:pPr>
              <w:jc w:val="right"/>
              <w:ind w:right="52"/>
              <w:spacing w:after="0"/>
              <w:rPr>
                <w:sz w:val="20"/>
                <w:szCs w:val="20"/>
                <w:color w:val="auto"/>
              </w:rPr>
            </w:pPr>
            <w:r>
              <w:rPr>
                <w:rFonts w:ascii="Arial" w:cs="Arial" w:eastAsia="Arial" w:hAnsi="Arial"/>
                <w:sz w:val="14"/>
                <w:szCs w:val="14"/>
                <w:b w:val="1"/>
                <w:bCs w:val="1"/>
                <w:color w:val="003082"/>
                <w:w w:val="92"/>
              </w:rPr>
              <w:t>As of March 31, 2020</w:t>
            </w:r>
          </w:p>
        </w:tc>
      </w:tr>
      <w:tr>
        <w:trPr>
          <w:trHeight w:val="250"/>
        </w:trPr>
        <w:tc>
          <w:tcPr>
            <w:tcW w:w="7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003082"/>
              </w:rPr>
              <w:t>(US$)</w:t>
            </w:r>
          </w:p>
        </w:tc>
        <w:tc>
          <w:tcPr>
            <w:tcW w:w="144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Network equipment</w:t>
            </w:r>
          </w:p>
        </w:tc>
        <w:tc>
          <w:tcPr>
            <w:tcW w:w="420" w:type="dxa"/>
            <w:vAlign w:val="bottom"/>
          </w:tcPr>
          <w:p>
            <w:pPr>
              <w:ind w:left="40"/>
              <w:spacing w:after="0"/>
              <w:rPr>
                <w:sz w:val="20"/>
                <w:szCs w:val="20"/>
                <w:color w:val="auto"/>
              </w:rPr>
            </w:pPr>
            <w:r>
              <w:rPr>
                <w:rFonts w:ascii="Arial" w:cs="Arial" w:eastAsia="Arial" w:hAnsi="Arial"/>
                <w:sz w:val="18"/>
                <w:szCs w:val="18"/>
                <w:color w:val="003082"/>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003082"/>
              </w:rPr>
              <w:t>6,976,107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003082"/>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003082"/>
              </w:rPr>
              <w:t>9,468,745</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Leasehold improvements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1,089,970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1,084,092</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003082"/>
              </w:rPr>
              <w:t>Electronic equipment</w:t>
            </w:r>
          </w:p>
        </w:tc>
        <w:tc>
          <w:tcPr>
            <w:tcW w:w="4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003082"/>
              </w:rPr>
              <w:t>1,170,866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003082"/>
              </w:rPr>
              <w:t>1,281,616</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003082"/>
              </w:rPr>
              <w:t>Furniture, computers and office equipment</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443,453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438,361</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003082"/>
              </w:rPr>
              <w:t>Total cost</w:t>
            </w:r>
          </w:p>
        </w:tc>
        <w:tc>
          <w:tcPr>
            <w:tcW w:w="420" w:type="dxa"/>
            <w:vAlign w:val="bottom"/>
            <w:tcBorders>
              <w:top w:val="single" w:sz="8" w:color="3D5588"/>
            </w:tcBorders>
          </w:tcPr>
          <w:p>
            <w:pPr>
              <w:spacing w:after="0"/>
              <w:rPr>
                <w:sz w:val="20"/>
                <w:szCs w:val="20"/>
                <w:color w:val="auto"/>
              </w:rPr>
            </w:pPr>
          </w:p>
        </w:tc>
        <w:tc>
          <w:tcPr>
            <w:tcW w:w="116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9,680,396</w:t>
            </w:r>
          </w:p>
        </w:tc>
        <w:tc>
          <w:tcPr>
            <w:tcW w:w="120" w:type="dxa"/>
            <w:vAlign w:val="bottom"/>
          </w:tcPr>
          <w:p>
            <w:pPr>
              <w:spacing w:after="0"/>
              <w:rPr>
                <w:sz w:val="20"/>
                <w:szCs w:val="20"/>
                <w:color w:val="auto"/>
              </w:rPr>
            </w:pPr>
          </w:p>
        </w:tc>
        <w:tc>
          <w:tcPr>
            <w:tcW w:w="120" w:type="dxa"/>
            <w:vAlign w:val="bottom"/>
            <w:tcBorders>
              <w:top w:val="single" w:sz="8" w:color="3D5588"/>
            </w:tcBorders>
          </w:tcPr>
          <w:p>
            <w:pPr>
              <w:spacing w:after="0"/>
              <w:rPr>
                <w:sz w:val="20"/>
                <w:szCs w:val="20"/>
                <w:color w:val="auto"/>
              </w:rPr>
            </w:pPr>
          </w:p>
        </w:tc>
        <w:tc>
          <w:tcPr>
            <w:tcW w:w="1440" w:type="dxa"/>
            <w:vAlign w:val="bottom"/>
            <w:tcBorders>
              <w:top w:val="single" w:sz="8" w:color="3D5588"/>
            </w:tcBorders>
          </w:tcPr>
          <w:p>
            <w:pPr>
              <w:jc w:val="right"/>
              <w:ind w:right="12"/>
              <w:spacing w:after="0"/>
              <w:rPr>
                <w:sz w:val="20"/>
                <w:szCs w:val="20"/>
                <w:color w:val="auto"/>
              </w:rPr>
            </w:pPr>
            <w:r>
              <w:rPr>
                <w:rFonts w:ascii="Arial" w:cs="Arial" w:eastAsia="Arial" w:hAnsi="Arial"/>
                <w:sz w:val="18"/>
                <w:szCs w:val="18"/>
                <w:color w:val="003082"/>
              </w:rPr>
              <w:t>12,272,814</w:t>
            </w:r>
          </w:p>
        </w:tc>
      </w:tr>
      <w:tr>
        <w:trPr>
          <w:trHeight w:val="27"/>
        </w:trPr>
        <w:tc>
          <w:tcPr>
            <w:tcW w:w="7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Less: accumulated depreciation</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(3,398,406)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(4,095,590)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Construction-in-process</w:t>
            </w:r>
          </w:p>
        </w:tc>
        <w:tc>
          <w:tcPr>
            <w:tcW w:w="4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003082"/>
              </w:rPr>
              <w:t>104,818</w:t>
            </w:r>
          </w:p>
        </w:tc>
      </w:tr>
      <w:tr>
        <w:trPr>
          <w:trHeight w:val="27"/>
        </w:trPr>
        <w:tc>
          <w:tcPr>
            <w:tcW w:w="7980" w:type="dxa"/>
            <w:vAlign w:val="bottom"/>
            <w:tcBorders>
              <w:bottom w:val="single" w:sz="8" w:color="CCEEFF"/>
            </w:tcBorders>
          </w:tcPr>
          <w:p>
            <w:pPr>
              <w:spacing w:after="0"/>
              <w:rPr>
                <w:sz w:val="2"/>
                <w:szCs w:val="2"/>
                <w:color w:val="auto"/>
              </w:rPr>
            </w:pPr>
          </w:p>
        </w:tc>
        <w:tc>
          <w:tcPr>
            <w:tcW w:w="420" w:type="dxa"/>
            <w:vAlign w:val="bottom"/>
            <w:tcBorders>
              <w:bottom w:val="single" w:sz="8" w:color="3D5588"/>
            </w:tcBorders>
          </w:tcPr>
          <w:p>
            <w:pPr>
              <w:spacing w:after="0"/>
              <w:rPr>
                <w:sz w:val="2"/>
                <w:szCs w:val="2"/>
                <w:color w:val="auto"/>
              </w:rPr>
            </w:pPr>
          </w:p>
        </w:tc>
        <w:tc>
          <w:tcPr>
            <w:tcW w:w="116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3D5588"/>
            </w:tcBorders>
          </w:tcPr>
          <w:p>
            <w:pPr>
              <w:spacing w:after="0"/>
              <w:rPr>
                <w:sz w:val="2"/>
                <w:szCs w:val="2"/>
                <w:color w:val="auto"/>
              </w:rPr>
            </w:pPr>
          </w:p>
        </w:tc>
        <w:tc>
          <w:tcPr>
            <w:tcW w:w="1440" w:type="dxa"/>
            <w:vAlign w:val="bottom"/>
            <w:tcBorders>
              <w:bottom w:val="single" w:sz="8" w:color="3D5588"/>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Property and equipment, net</w:t>
            </w:r>
          </w:p>
        </w:tc>
        <w:tc>
          <w:tcPr>
            <w:tcW w:w="420" w:type="dxa"/>
            <w:vAlign w:val="bottom"/>
            <w:tcBorders>
              <w:bottom w:val="single" w:sz="8" w:color="3D5588"/>
            </w:tcBorders>
            <w:shd w:val="clear" w:color="auto" w:fill="CCEEFF"/>
          </w:tcPr>
          <w:p>
            <w:pPr>
              <w:ind w:left="40"/>
              <w:spacing w:after="0"/>
              <w:rPr>
                <w:sz w:val="20"/>
                <w:szCs w:val="20"/>
                <w:color w:val="auto"/>
              </w:rPr>
            </w:pPr>
            <w:r>
              <w:rPr>
                <w:rFonts w:ascii="Arial" w:cs="Arial" w:eastAsia="Arial" w:hAnsi="Arial"/>
                <w:sz w:val="18"/>
                <w:szCs w:val="18"/>
                <w:color w:val="003082"/>
              </w:rPr>
              <w:t>$</w:t>
            </w:r>
          </w:p>
        </w:tc>
        <w:tc>
          <w:tcPr>
            <w:tcW w:w="116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6,281,990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440" w:type="dxa"/>
            <w:vAlign w:val="bottom"/>
            <w:tcBorders>
              <w:bottom w:val="single" w:sz="8" w:color="3D5588"/>
            </w:tcBorders>
            <w:shd w:val="clear" w:color="auto" w:fill="CCEEFF"/>
          </w:tcPr>
          <w:p>
            <w:pPr>
              <w:jc w:val="right"/>
              <w:ind w:right="12"/>
              <w:spacing w:after="0"/>
              <w:rPr>
                <w:sz w:val="20"/>
                <w:szCs w:val="20"/>
                <w:color w:val="auto"/>
              </w:rPr>
            </w:pPr>
            <w:r>
              <w:rPr>
                <w:rFonts w:ascii="Arial" w:cs="Arial" w:eastAsia="Arial" w:hAnsi="Arial"/>
                <w:sz w:val="18"/>
                <w:szCs w:val="18"/>
                <w:color w:val="003082"/>
              </w:rPr>
              <w:t>8,282,042</w:t>
            </w:r>
          </w:p>
        </w:tc>
      </w:tr>
      <w:tr>
        <w:trPr>
          <w:trHeight w:val="20"/>
        </w:trPr>
        <w:tc>
          <w:tcPr>
            <w:tcW w:w="7980" w:type="dxa"/>
            <w:vAlign w:val="bottom"/>
          </w:tcPr>
          <w:p>
            <w:pPr>
              <w:spacing w:after="0" w:line="20" w:lineRule="exact"/>
              <w:rPr>
                <w:sz w:val="1"/>
                <w:szCs w:val="1"/>
                <w:color w:val="auto"/>
              </w:rPr>
            </w:pPr>
          </w:p>
        </w:tc>
        <w:tc>
          <w:tcPr>
            <w:tcW w:w="420" w:type="dxa"/>
            <w:vAlign w:val="bottom"/>
            <w:tcBorders>
              <w:bottom w:val="single" w:sz="8" w:color="3D5588"/>
            </w:tcBorders>
          </w:tcPr>
          <w:p>
            <w:pPr>
              <w:spacing w:after="0" w:line="20" w:lineRule="exact"/>
              <w:rPr>
                <w:sz w:val="1"/>
                <w:szCs w:val="1"/>
                <w:color w:val="auto"/>
              </w:rPr>
            </w:pPr>
          </w:p>
        </w:tc>
        <w:tc>
          <w:tcPr>
            <w:tcW w:w="116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3D5588"/>
            </w:tcBorders>
          </w:tcPr>
          <w:p>
            <w:pPr>
              <w:spacing w:after="0" w:line="20" w:lineRule="exact"/>
              <w:rPr>
                <w:sz w:val="1"/>
                <w:szCs w:val="1"/>
                <w:color w:val="auto"/>
              </w:rPr>
            </w:pPr>
          </w:p>
        </w:tc>
        <w:tc>
          <w:tcPr>
            <w:tcW w:w="144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003082"/>
        </w:rPr>
        <w:t>Depreciation expense recognized for the three months ended March 31, 2019 and 2020 were US$342,304 and US$744,654,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6. Other Non-current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Other non-current assets consisted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3082"/>
                <w:w w:val="99"/>
              </w:rPr>
              <w:t>As of December 31, 2019</w:t>
            </w:r>
          </w:p>
        </w:tc>
        <w:tc>
          <w:tcPr>
            <w:tcW w:w="200" w:type="dxa"/>
            <w:vAlign w:val="bottom"/>
          </w:tcPr>
          <w:p>
            <w:pPr>
              <w:spacing w:after="0"/>
              <w:rPr>
                <w:sz w:val="14"/>
                <w:szCs w:val="1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003082"/>
                <w:w w:val="94"/>
              </w:rPr>
              <w:t>As of March 31,</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00" w:type="dxa"/>
            <w:vAlign w:val="bottom"/>
            <w:tcBorders>
              <w:bottom w:val="single" w:sz="8" w:color="3D5588"/>
            </w:tcBorders>
            <w:gridSpan w:val="3"/>
            <w:vMerge w:val="continue"/>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1360" w:type="dxa"/>
            <w:vAlign w:val="bottom"/>
            <w:tcBorders>
              <w:bottom w:val="single" w:sz="8" w:color="3D5588"/>
            </w:tcBorders>
          </w:tcPr>
          <w:p>
            <w:pPr>
              <w:jc w:val="center"/>
              <w:ind w:right="116"/>
              <w:spacing w:after="0"/>
              <w:rPr>
                <w:sz w:val="20"/>
                <w:szCs w:val="20"/>
                <w:color w:val="auto"/>
              </w:rPr>
            </w:pPr>
            <w:r>
              <w:rPr>
                <w:rFonts w:ascii="Arial" w:cs="Arial" w:eastAsia="Arial" w:hAnsi="Arial"/>
                <w:sz w:val="14"/>
                <w:szCs w:val="14"/>
                <w:b w:val="1"/>
                <w:bCs w:val="1"/>
                <w:color w:val="003082"/>
                <w:w w:val="89"/>
              </w:rPr>
              <w:t>2020</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00308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Long-term deposits</w:t>
            </w:r>
          </w:p>
        </w:tc>
        <w:tc>
          <w:tcPr>
            <w:tcW w:w="4040" w:type="dxa"/>
            <w:vAlign w:val="bottom"/>
            <w:tcBorders>
              <w:bottom w:val="single" w:sz="8" w:color="CCEEFF"/>
            </w:tcBorders>
            <w:gridSpan w:val="2"/>
            <w:shd w:val="clear" w:color="auto" w:fill="CCEEFF"/>
          </w:tcPr>
          <w:p>
            <w:pPr>
              <w:ind w:left="3640"/>
              <w:spacing w:after="0"/>
              <w:rPr>
                <w:sz w:val="20"/>
                <w:szCs w:val="20"/>
                <w:color w:val="auto"/>
              </w:rPr>
            </w:pPr>
            <w:r>
              <w:rPr>
                <w:rFonts w:ascii="Arial" w:cs="Arial" w:eastAsia="Arial" w:hAnsi="Arial"/>
                <w:sz w:val="18"/>
                <w:szCs w:val="18"/>
                <w:color w:val="003082"/>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470,086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463,899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003082"/>
              </w:rPr>
              <w:t>Deferral of initial public offering costs</w:t>
            </w: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003082"/>
              </w:rPr>
              <w:t>287,331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003082"/>
              </w:rPr>
              <w:t>1,179,835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Others</w:t>
            </w:r>
          </w:p>
        </w:tc>
        <w:tc>
          <w:tcPr>
            <w:tcW w:w="36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51,445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11,241</w:t>
            </w: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40" w:type="dxa"/>
            <w:vAlign w:val="bottom"/>
            <w:tcBorders>
              <w:top w:val="single" w:sz="8" w:color="3D5588"/>
            </w:tcBorders>
          </w:tcPr>
          <w:p>
            <w:pPr>
              <w:ind w:left="40"/>
              <w:spacing w:after="0"/>
              <w:rPr>
                <w:sz w:val="20"/>
                <w:szCs w:val="20"/>
                <w:color w:val="auto"/>
              </w:rPr>
            </w:pPr>
            <w:r>
              <w:rPr>
                <w:rFonts w:ascii="Arial" w:cs="Arial" w:eastAsia="Arial" w:hAnsi="Arial"/>
                <w:sz w:val="18"/>
                <w:szCs w:val="18"/>
                <w:color w:val="003082"/>
              </w:rPr>
              <w:t>$</w:t>
            </w:r>
          </w:p>
        </w:tc>
        <w:tc>
          <w:tcPr>
            <w:tcW w:w="1140" w:type="dxa"/>
            <w:vAlign w:val="bottom"/>
            <w:tcBorders>
              <w:top w:val="single" w:sz="8" w:color="3D5588"/>
            </w:tcBorders>
          </w:tcPr>
          <w:p>
            <w:pPr>
              <w:jc w:val="right"/>
              <w:ind w:right="14"/>
              <w:spacing w:after="0"/>
              <w:rPr>
                <w:sz w:val="20"/>
                <w:szCs w:val="20"/>
                <w:color w:val="auto"/>
              </w:rPr>
            </w:pPr>
            <w:r>
              <w:rPr>
                <w:rFonts w:ascii="Arial" w:cs="Arial" w:eastAsia="Arial" w:hAnsi="Arial"/>
                <w:sz w:val="18"/>
                <w:szCs w:val="18"/>
                <w:color w:val="003082"/>
              </w:rPr>
              <w:t>808,862</w:t>
            </w:r>
          </w:p>
        </w:tc>
        <w:tc>
          <w:tcPr>
            <w:tcW w:w="120" w:type="dxa"/>
            <w:vAlign w:val="bottom"/>
          </w:tcPr>
          <w:p>
            <w:pPr>
              <w:spacing w:after="0"/>
              <w:rPr>
                <w:sz w:val="20"/>
                <w:szCs w:val="20"/>
                <w:color w:val="auto"/>
              </w:rPr>
            </w:pPr>
          </w:p>
        </w:tc>
        <w:tc>
          <w:tcPr>
            <w:tcW w:w="2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tcBorders>
          </w:tcPr>
          <w:p>
            <w:pPr>
              <w:jc w:val="right"/>
              <w:ind w:right="16"/>
              <w:spacing w:after="0"/>
              <w:rPr>
                <w:sz w:val="20"/>
                <w:szCs w:val="20"/>
                <w:color w:val="auto"/>
              </w:rPr>
            </w:pPr>
            <w:r>
              <w:rPr>
                <w:rFonts w:ascii="Arial" w:cs="Arial" w:eastAsia="Arial" w:hAnsi="Arial"/>
                <w:sz w:val="18"/>
                <w:szCs w:val="18"/>
                <w:color w:val="003082"/>
              </w:rPr>
              <w:t>1,654,975</w:t>
            </w:r>
          </w:p>
        </w:tc>
        <w:tc>
          <w:tcPr>
            <w:tcW w:w="0" w:type="dxa"/>
            <w:vAlign w:val="bottom"/>
          </w:tcPr>
          <w:p>
            <w:pPr>
              <w:spacing w:after="0"/>
              <w:rPr>
                <w:sz w:val="1"/>
                <w:szCs w:val="1"/>
                <w:color w:val="auto"/>
              </w:rPr>
            </w:pPr>
          </w:p>
        </w:tc>
      </w:tr>
      <w:tr>
        <w:trPr>
          <w:trHeight w:val="27"/>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003082"/>
              </w:rPr>
              <w:t>7. Taxes Payable</w:t>
            </w:r>
          </w:p>
        </w:tc>
        <w:tc>
          <w:tcPr>
            <w:tcW w:w="3600" w:type="dxa"/>
            <w:vAlign w:val="bottom"/>
          </w:tcPr>
          <w:p>
            <w:pPr>
              <w:spacing w:after="0"/>
              <w:rPr>
                <w:sz w:val="2"/>
                <w:szCs w:val="2"/>
                <w:color w:val="auto"/>
              </w:rPr>
            </w:pPr>
          </w:p>
        </w:tc>
        <w:tc>
          <w:tcPr>
            <w:tcW w:w="44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vMerge w:val="continu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38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80" w:type="dxa"/>
            <w:vAlign w:val="bottom"/>
          </w:tcPr>
          <w:p>
            <w:pPr>
              <w:ind w:left="340"/>
              <w:spacing w:after="0"/>
              <w:rPr>
                <w:sz w:val="20"/>
                <w:szCs w:val="20"/>
                <w:color w:val="auto"/>
              </w:rPr>
            </w:pPr>
            <w:r>
              <w:rPr>
                <w:rFonts w:ascii="Arial" w:cs="Arial" w:eastAsia="Arial" w:hAnsi="Arial"/>
                <w:sz w:val="18"/>
                <w:szCs w:val="18"/>
                <w:color w:val="003082"/>
              </w:rPr>
              <w:t>Taxes payable consisted of the following:</w:t>
            </w:r>
          </w:p>
        </w:tc>
        <w:tc>
          <w:tcPr>
            <w:tcW w:w="3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3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003082"/>
                <w:w w:val="99"/>
              </w:rPr>
              <w:t>As of December 31, 2019</w:t>
            </w:r>
          </w:p>
        </w:tc>
        <w:tc>
          <w:tcPr>
            <w:tcW w:w="200" w:type="dxa"/>
            <w:vAlign w:val="bottom"/>
          </w:tcPr>
          <w:p>
            <w:pPr>
              <w:spacing w:after="0"/>
              <w:rPr>
                <w:sz w:val="24"/>
                <w:szCs w:val="24"/>
                <w:color w:val="auto"/>
              </w:rPr>
            </w:pPr>
          </w:p>
        </w:tc>
        <w:tc>
          <w:tcPr>
            <w:tcW w:w="1360" w:type="dxa"/>
            <w:vAlign w:val="bottom"/>
          </w:tcPr>
          <w:p>
            <w:pPr>
              <w:jc w:val="center"/>
              <w:ind w:right="136"/>
              <w:spacing w:after="0"/>
              <w:rPr>
                <w:sz w:val="20"/>
                <w:szCs w:val="20"/>
                <w:color w:val="auto"/>
              </w:rPr>
            </w:pPr>
            <w:r>
              <w:rPr>
                <w:rFonts w:ascii="Arial" w:cs="Arial" w:eastAsia="Arial" w:hAnsi="Arial"/>
                <w:sz w:val="14"/>
                <w:szCs w:val="14"/>
                <w:b w:val="1"/>
                <w:bCs w:val="1"/>
                <w:color w:val="003082"/>
                <w:w w:val="94"/>
              </w:rPr>
              <w:t>As of March 31,</w:t>
            </w:r>
          </w:p>
        </w:tc>
        <w:tc>
          <w:tcPr>
            <w:tcW w:w="0" w:type="dxa"/>
            <w:vAlign w:val="bottom"/>
          </w:tcPr>
          <w:p>
            <w:pPr>
              <w:spacing w:after="0"/>
              <w:rPr>
                <w:sz w:val="1"/>
                <w:szCs w:val="1"/>
                <w:color w:val="auto"/>
              </w:rPr>
            </w:pPr>
          </w:p>
        </w:tc>
      </w:tr>
      <w:tr>
        <w:trPr>
          <w:trHeight w:val="192"/>
        </w:trPr>
        <w:tc>
          <w:tcPr>
            <w:tcW w:w="43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700" w:type="dxa"/>
            <w:vAlign w:val="bottom"/>
            <w:tcBorders>
              <w:bottom w:val="single" w:sz="8" w:color="3D5588"/>
            </w:tcBorders>
            <w:gridSpan w:val="3"/>
            <w:vMerge w:val="continue"/>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1360" w:type="dxa"/>
            <w:vAlign w:val="bottom"/>
            <w:tcBorders>
              <w:bottom w:val="single" w:sz="8" w:color="3D5588"/>
            </w:tcBorders>
          </w:tcPr>
          <w:p>
            <w:pPr>
              <w:jc w:val="center"/>
              <w:ind w:right="116"/>
              <w:spacing w:after="0"/>
              <w:rPr>
                <w:sz w:val="20"/>
                <w:szCs w:val="20"/>
                <w:color w:val="auto"/>
              </w:rPr>
            </w:pPr>
            <w:r>
              <w:rPr>
                <w:rFonts w:ascii="Arial" w:cs="Arial" w:eastAsia="Arial" w:hAnsi="Arial"/>
                <w:sz w:val="14"/>
                <w:szCs w:val="14"/>
                <w:b w:val="1"/>
                <w:bCs w:val="1"/>
                <w:color w:val="003082"/>
                <w:w w:val="89"/>
              </w:rPr>
              <w:t>2020</w:t>
            </w: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00308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VAT payable</w:t>
            </w:r>
          </w:p>
        </w:tc>
        <w:tc>
          <w:tcPr>
            <w:tcW w:w="4040" w:type="dxa"/>
            <w:vAlign w:val="bottom"/>
            <w:tcBorders>
              <w:bottom w:val="single" w:sz="8" w:color="CCEEFF"/>
            </w:tcBorders>
            <w:gridSpan w:val="2"/>
            <w:shd w:val="clear" w:color="auto" w:fill="CCEEFF"/>
          </w:tcPr>
          <w:p>
            <w:pPr>
              <w:ind w:left="3640"/>
              <w:spacing w:after="0"/>
              <w:rPr>
                <w:sz w:val="20"/>
                <w:szCs w:val="20"/>
                <w:color w:val="auto"/>
              </w:rPr>
            </w:pPr>
            <w:r>
              <w:rPr>
                <w:rFonts w:ascii="Arial" w:cs="Arial" w:eastAsia="Arial" w:hAnsi="Arial"/>
                <w:sz w:val="18"/>
                <w:szCs w:val="18"/>
                <w:color w:val="003082"/>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868,270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916,039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003082"/>
              </w:rPr>
              <w:t>Corporate income taxes payable</w:t>
            </w:r>
          </w:p>
        </w:tc>
        <w:tc>
          <w:tcPr>
            <w:tcW w:w="3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003082"/>
              </w:rPr>
              <w:t>1,165,660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003082"/>
              </w:rPr>
              <w:t>1,517,348</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Other taxes payable</w:t>
            </w:r>
          </w:p>
        </w:tc>
        <w:tc>
          <w:tcPr>
            <w:tcW w:w="36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459,207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255,957</w:t>
            </w:r>
          </w:p>
        </w:tc>
        <w:tc>
          <w:tcPr>
            <w:tcW w:w="0" w:type="dxa"/>
            <w:vAlign w:val="bottom"/>
          </w:tcPr>
          <w:p>
            <w:pPr>
              <w:spacing w:after="0"/>
              <w:rPr>
                <w:sz w:val="1"/>
                <w:szCs w:val="1"/>
                <w:color w:val="auto"/>
              </w:rPr>
            </w:pPr>
          </w:p>
        </w:tc>
      </w:tr>
      <w:tr>
        <w:trPr>
          <w:trHeight w:val="236"/>
        </w:trPr>
        <w:tc>
          <w:tcPr>
            <w:tcW w:w="43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40" w:type="dxa"/>
            <w:vAlign w:val="bottom"/>
            <w:tcBorders>
              <w:top w:val="single" w:sz="8" w:color="3D5588"/>
            </w:tcBorders>
          </w:tcPr>
          <w:p>
            <w:pPr>
              <w:ind w:left="40"/>
              <w:spacing w:after="0"/>
              <w:rPr>
                <w:sz w:val="20"/>
                <w:szCs w:val="20"/>
                <w:color w:val="auto"/>
              </w:rPr>
            </w:pPr>
            <w:r>
              <w:rPr>
                <w:rFonts w:ascii="Arial" w:cs="Arial" w:eastAsia="Arial" w:hAnsi="Arial"/>
                <w:sz w:val="18"/>
                <w:szCs w:val="18"/>
                <w:color w:val="003082"/>
              </w:rPr>
              <w:t>$</w:t>
            </w:r>
          </w:p>
        </w:tc>
        <w:tc>
          <w:tcPr>
            <w:tcW w:w="1140" w:type="dxa"/>
            <w:vAlign w:val="bottom"/>
            <w:tcBorders>
              <w:top w:val="single" w:sz="8" w:color="3D5588"/>
            </w:tcBorders>
          </w:tcPr>
          <w:p>
            <w:pPr>
              <w:jc w:val="right"/>
              <w:ind w:right="14"/>
              <w:spacing w:after="0"/>
              <w:rPr>
                <w:sz w:val="20"/>
                <w:szCs w:val="20"/>
                <w:color w:val="auto"/>
              </w:rPr>
            </w:pPr>
            <w:r>
              <w:rPr>
                <w:rFonts w:ascii="Arial" w:cs="Arial" w:eastAsia="Arial" w:hAnsi="Arial"/>
                <w:sz w:val="18"/>
                <w:szCs w:val="18"/>
                <w:color w:val="003082"/>
              </w:rPr>
              <w:t>2,493,137</w:t>
            </w:r>
          </w:p>
        </w:tc>
        <w:tc>
          <w:tcPr>
            <w:tcW w:w="120" w:type="dxa"/>
            <w:vAlign w:val="bottom"/>
          </w:tcPr>
          <w:p>
            <w:pPr>
              <w:spacing w:after="0"/>
              <w:rPr>
                <w:sz w:val="20"/>
                <w:szCs w:val="20"/>
                <w:color w:val="auto"/>
              </w:rPr>
            </w:pPr>
          </w:p>
        </w:tc>
        <w:tc>
          <w:tcPr>
            <w:tcW w:w="200" w:type="dxa"/>
            <w:vAlign w:val="bottom"/>
            <w:tcBorders>
              <w:top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top w:val="single" w:sz="8" w:color="3D5588"/>
            </w:tcBorders>
          </w:tcPr>
          <w:p>
            <w:pPr>
              <w:jc w:val="right"/>
              <w:ind w:right="16"/>
              <w:spacing w:after="0"/>
              <w:rPr>
                <w:sz w:val="20"/>
                <w:szCs w:val="20"/>
                <w:color w:val="auto"/>
              </w:rPr>
            </w:pPr>
            <w:r>
              <w:rPr>
                <w:rFonts w:ascii="Arial" w:cs="Arial" w:eastAsia="Arial" w:hAnsi="Arial"/>
                <w:sz w:val="18"/>
                <w:szCs w:val="18"/>
                <w:color w:val="003082"/>
              </w:rPr>
              <w:t>2,689,344</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40" w:type="dxa"/>
            <w:vAlign w:val="bottom"/>
            <w:tcBorders>
              <w:bottom w:val="single" w:sz="8" w:color="3D5588"/>
            </w:tcBorders>
          </w:tcPr>
          <w:p>
            <w:pPr>
              <w:spacing w:after="0"/>
              <w:rPr>
                <w:sz w:val="2"/>
                <w:szCs w:val="2"/>
                <w:color w:val="auto"/>
              </w:rPr>
            </w:pPr>
          </w:p>
        </w:tc>
        <w:tc>
          <w:tcPr>
            <w:tcW w:w="1140" w:type="dxa"/>
            <w:vAlign w:val="bottom"/>
            <w:tcBorders>
              <w:bottom w:val="single" w:sz="8" w:color="3D5588"/>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40" w:type="dxa"/>
            <w:vAlign w:val="bottom"/>
            <w:tcBorders>
              <w:bottom w:val="single" w:sz="8" w:color="3D5588"/>
            </w:tcBorders>
          </w:tcPr>
          <w:p>
            <w:pPr>
              <w:spacing w:after="0" w:line="20" w:lineRule="exact"/>
              <w:rPr>
                <w:sz w:val="1"/>
                <w:szCs w:val="1"/>
                <w:color w:val="auto"/>
              </w:rPr>
            </w:pPr>
          </w:p>
        </w:tc>
        <w:tc>
          <w:tcPr>
            <w:tcW w:w="114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3D5588"/>
            </w:tcBorders>
          </w:tcPr>
          <w:p>
            <w:pPr>
              <w:spacing w:after="0" w:line="20" w:lineRule="exact"/>
              <w:rPr>
                <w:sz w:val="1"/>
                <w:szCs w:val="1"/>
                <w:color w:val="auto"/>
              </w:rPr>
            </w:pPr>
          </w:p>
        </w:tc>
        <w:tc>
          <w:tcPr>
            <w:tcW w:w="136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380" w:type="dxa"/>
            <w:vAlign w:val="bottom"/>
          </w:tcPr>
          <w:p>
            <w:pPr>
              <w:spacing w:after="0"/>
              <w:rPr>
                <w:sz w:val="24"/>
                <w:szCs w:val="24"/>
                <w:color w:val="auto"/>
              </w:rPr>
            </w:pPr>
          </w:p>
        </w:tc>
        <w:tc>
          <w:tcPr>
            <w:tcW w:w="4040" w:type="dxa"/>
            <w:vAlign w:val="bottom"/>
            <w:gridSpan w:val="2"/>
          </w:tcPr>
          <w:p>
            <w:pPr>
              <w:ind w:left="1080"/>
              <w:spacing w:after="0"/>
              <w:rPr>
                <w:sz w:val="20"/>
                <w:szCs w:val="20"/>
                <w:color w:val="auto"/>
              </w:rPr>
            </w:pPr>
            <w:r>
              <w:rPr>
                <w:rFonts w:ascii="Arial" w:cs="Arial" w:eastAsia="Arial" w:hAnsi="Arial"/>
                <w:sz w:val="18"/>
                <w:szCs w:val="18"/>
                <w:color w:val="003082"/>
              </w:rPr>
              <w:t>F-63</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8. 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Accrued expenses and other current liabilities consisted of the following: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7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003082"/>
              </w:rPr>
              <w:t>As of December 31,2019</w:t>
            </w:r>
          </w:p>
        </w:tc>
        <w:tc>
          <w:tcPr>
            <w:tcW w:w="200" w:type="dxa"/>
            <w:vAlign w:val="bottom"/>
          </w:tcPr>
          <w:p>
            <w:pPr>
              <w:spacing w:after="0"/>
              <w:rPr>
                <w:sz w:val="14"/>
                <w:szCs w:val="14"/>
                <w:color w:val="auto"/>
              </w:rPr>
            </w:pPr>
          </w:p>
        </w:tc>
        <w:tc>
          <w:tcPr>
            <w:tcW w:w="1360" w:type="dxa"/>
            <w:vAlign w:val="bottom"/>
          </w:tcPr>
          <w:p>
            <w:pPr>
              <w:jc w:val="right"/>
              <w:ind w:right="214"/>
              <w:spacing w:after="0"/>
              <w:rPr>
                <w:sz w:val="20"/>
                <w:szCs w:val="20"/>
                <w:color w:val="auto"/>
              </w:rPr>
            </w:pPr>
            <w:r>
              <w:rPr>
                <w:rFonts w:ascii="Arial" w:cs="Arial" w:eastAsia="Arial" w:hAnsi="Arial"/>
                <w:sz w:val="14"/>
                <w:szCs w:val="14"/>
                <w:b w:val="1"/>
                <w:bCs w:val="1"/>
                <w:color w:val="003082"/>
              </w:rPr>
              <w:t>As of March 31,</w:t>
            </w:r>
          </w:p>
        </w:tc>
        <w:tc>
          <w:tcPr>
            <w:tcW w:w="0" w:type="dxa"/>
            <w:vAlign w:val="bottom"/>
          </w:tcPr>
          <w:p>
            <w:pPr>
              <w:spacing w:after="0"/>
              <w:rPr>
                <w:sz w:val="1"/>
                <w:szCs w:val="1"/>
                <w:color w:val="auto"/>
              </w:rPr>
            </w:pPr>
          </w:p>
        </w:tc>
      </w:tr>
      <w:tr>
        <w:trPr>
          <w:trHeight w:val="192"/>
        </w:trPr>
        <w:tc>
          <w:tcPr>
            <w:tcW w:w="7980" w:type="dxa"/>
            <w:vAlign w:val="bottom"/>
          </w:tcPr>
          <w:p>
            <w:pPr>
              <w:spacing w:after="0"/>
              <w:rPr>
                <w:sz w:val="16"/>
                <w:szCs w:val="16"/>
                <w:color w:val="auto"/>
              </w:rPr>
            </w:pPr>
          </w:p>
        </w:tc>
        <w:tc>
          <w:tcPr>
            <w:tcW w:w="1700" w:type="dxa"/>
            <w:vAlign w:val="bottom"/>
            <w:tcBorders>
              <w:bottom w:val="single" w:sz="8" w:color="3D5588"/>
            </w:tcBorders>
            <w:gridSpan w:val="3"/>
            <w:vMerge w:val="continue"/>
          </w:tcPr>
          <w:p>
            <w:pPr>
              <w:spacing w:after="0"/>
              <w:rPr>
                <w:sz w:val="16"/>
                <w:szCs w:val="16"/>
                <w:color w:val="auto"/>
              </w:rPr>
            </w:pPr>
          </w:p>
        </w:tc>
        <w:tc>
          <w:tcPr>
            <w:tcW w:w="200" w:type="dxa"/>
            <w:vAlign w:val="bottom"/>
            <w:tcBorders>
              <w:bottom w:val="single" w:sz="8" w:color="3D5588"/>
            </w:tcBorders>
          </w:tcPr>
          <w:p>
            <w:pPr>
              <w:spacing w:after="0"/>
              <w:rPr>
                <w:sz w:val="16"/>
                <w:szCs w:val="16"/>
                <w:color w:val="auto"/>
              </w:rPr>
            </w:pPr>
          </w:p>
        </w:tc>
        <w:tc>
          <w:tcPr>
            <w:tcW w:w="1360" w:type="dxa"/>
            <w:vAlign w:val="bottom"/>
            <w:tcBorders>
              <w:bottom w:val="single" w:sz="8" w:color="3D5588"/>
            </w:tcBorders>
          </w:tcPr>
          <w:p>
            <w:pPr>
              <w:jc w:val="right"/>
              <w:ind w:right="554"/>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003082"/>
              </w:rPr>
              <w:t>(US$)</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Accrued salary and social welfare costs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8,388,819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15,134,411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Accrued professional service fees</w:t>
            </w:r>
          </w:p>
        </w:tc>
        <w:tc>
          <w:tcPr>
            <w:tcW w:w="4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788,313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003082"/>
              </w:rPr>
              <w:t>1,495,516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Accrued staff reimbursements</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332,578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138,789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Stock option deposit held on behalf of employees</w:t>
            </w:r>
          </w:p>
        </w:tc>
        <w:tc>
          <w:tcPr>
            <w:tcW w:w="4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400,680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003082"/>
              </w:rPr>
              <w:t>411,783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Accrued rental fee</w:t>
            </w: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204,669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157,511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Others</w:t>
            </w:r>
          </w:p>
        </w:tc>
        <w:tc>
          <w:tcPr>
            <w:tcW w:w="4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003082"/>
              </w:rPr>
              <w:t>863,873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003082"/>
              </w:rPr>
              <w:t>656,284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3D5588"/>
            </w:tcBorders>
          </w:tcPr>
          <w:p>
            <w:pPr>
              <w:spacing w:after="0"/>
              <w:rPr>
                <w:sz w:val="2"/>
                <w:szCs w:val="2"/>
                <w:color w:val="auto"/>
              </w:rPr>
            </w:pPr>
          </w:p>
        </w:tc>
        <w:tc>
          <w:tcPr>
            <w:tcW w:w="136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003082"/>
              </w:rPr>
              <w:t>10,978,932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003082"/>
              </w:rPr>
              <w:t>17,994,294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3D5588"/>
              <w:bottom w:val="single" w:sz="8" w:color="3D5588"/>
            </w:tcBorders>
          </w:tcPr>
          <w:p>
            <w:pPr>
              <w:spacing w:after="0" w:line="20" w:lineRule="exact"/>
              <w:rPr>
                <w:sz w:val="1"/>
                <w:szCs w:val="1"/>
                <w:color w:val="auto"/>
              </w:rPr>
            </w:pPr>
          </w:p>
        </w:tc>
        <w:tc>
          <w:tcPr>
            <w:tcW w:w="136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9. Convertible Redeemable Preferred Shares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On December 16, 2013, Agora, Inc. issued 57,200,000 Series A Convertible Redeemable Preferred Shares (“Former Series A Preferred Shares”) for a total cash consideration of US$5,720,000. As part of the Historical Reorganization in December 2014, the Former Series A Preferred Shares were exchanged for Series A Convertible Redeemable Preferred Shares of Agora IO, Inc. (“Series A Preferred Shares”).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December 20, 2014, Agora IO, Inc. issued 50,783,698 Series B Convertible Redeemable Preferred Shares (“Series B Preferred Shares”) for cash consideration of US$20,250,000.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May 18, 2017, Agora IO, Inc. issued 26,651,410 Series B+ Convertible Redeemable Preferred Shares (“Series B+ Preferred Shares”) for a total cash consideration of US$31,881,749.</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On May 18, 2017, 1,573,040 Series A Preferred Shares were repurchased and retired by Agora IO, Inc. for a total cash consideration of US$1,599,487. On the same date, Agora IO, Inc. repurchased 2,777,778 Series A Preferred Shares for a total cash consideration of US$278 from the Founder and reissued the shares to a third party entity at the same nominal cash consideration. As the third party entity assisted the Group in finding a new investor to participate in the Series B+ Preferred Shares financing, the 2,777,778 Series A Preferred Shares were considered a commission to the third party entity, and were considered a Series B+ issuance cost that was net off the proceeds received during that round of financing.</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October 1, 2018 and October 23, 2018, Agora IO, Inc. issued an aggregate of 34,793,413 Series C Convertible Redeemable Preferred Shares (“Series C Preferred Shares”) for a total cash consideration of US$66,666,667.</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On February 12, 2020, Agora, Inc. issued an aggregate of 15,062,510 Series C+ Convertible Redeemable Preferred Shares (“Series C+ Preferred Shares”) for a total cash consideration of US$50,000,002.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above mentioned Series A, Series B, Series B+, Series C and Series C+ Preferred Shares are collectively referred as the “Preferred Shares.”</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003082"/>
        </w:rPr>
        <w:t>As disclosed in Note 1(b), the Group had undergone two reorganizations and each reorganization changed the issuer of the Preferred Shares to be the reporting entity through share swaps. The major terms and number of shares of the Preferred Shares have remained the same. Thus, there is no accounting impact on the Preferred Shares as a result of the Historical Reorganization or the Corporate Reorganization at the consolidated level. As further discussed in Note 1(b), the Historical Reorganization and the Corporate Reorganization were transactions by Group entities under common control. The equity section of the Company after the Corporate Reorganization is assumed to have existed from the earliest period presented in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F-64</w:t>
      </w:r>
    </w:p>
    <w:p>
      <w:pPr>
        <w:sectPr>
          <w:pgSz w:w="11900" w:h="16838" w:orient="portrait"/>
          <w:cols w:equalWidth="0" w:num="1">
            <w:col w:w="11240"/>
          </w:cols>
          <w:pgMar w:left="320" w:top="769"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key terms of the Preferred Shares issued by the Company are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Optional Conversion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Each Series A, B, B+, C or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A Preferred Shares, Series B Preferred Shares, Series B+ Preferred Shares, Series C Preferred Shares or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Upon the closing of a Qualified IPO (as defined in the Company’s memorandum and articles of association), all outstanding Preferred Shares shall automatically be converted into Ordinary Shares, at the then effective conversion price.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Voting Rights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003082"/>
        </w:rPr>
        <w:t>Each holder of Series A, Series B, Series B+, Series C and Series C+ Preferred Shares is entitled to cast the number of votes equal to the number of Ordinary Shares such Preferred Shares would be entitled to convert into at the then effective conversion price. There was a modification to the voting rights of the shares controlled by the Founder when the Series B and Series B+ Preferred Shares were issued as follows:</w:t>
      </w:r>
    </w:p>
    <w:p>
      <w:pPr>
        <w:spacing w:after="0" w:line="111"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6"/>
          <w:szCs w:val="16"/>
          <w:color w:val="003082"/>
        </w:rPr>
      </w:pPr>
      <w:r>
        <w:rPr>
          <w:rFonts w:ascii="Arial" w:cs="Arial" w:eastAsia="Arial" w:hAnsi="Arial"/>
          <w:sz w:val="16"/>
          <w:szCs w:val="16"/>
          <w:color w:val="003082"/>
        </w:rPr>
        <w:t>the voting rights of shares controlled by the Founder was modified to carry 2 votes in connection with the Series B Preferred Shares financing; and</w:t>
      </w:r>
    </w:p>
    <w:p>
      <w:pPr>
        <w:spacing w:after="0" w:line="194" w:lineRule="exact"/>
        <w:rPr>
          <w:rFonts w:ascii="Arial" w:cs="Arial" w:eastAsia="Arial" w:hAnsi="Arial"/>
          <w:sz w:val="16"/>
          <w:szCs w:val="16"/>
          <w:color w:val="003082"/>
        </w:rPr>
      </w:pPr>
    </w:p>
    <w:p>
      <w:pPr>
        <w:ind w:left="660" w:hanging="328"/>
        <w:spacing w:after="0"/>
        <w:tabs>
          <w:tab w:leader="none" w:pos="660" w:val="left"/>
        </w:tabs>
        <w:numPr>
          <w:ilvl w:val="0"/>
          <w:numId w:val="140"/>
        </w:numPr>
        <w:rPr>
          <w:rFonts w:ascii="Arial" w:cs="Arial" w:eastAsia="Arial" w:hAnsi="Arial"/>
          <w:sz w:val="16"/>
          <w:szCs w:val="16"/>
          <w:color w:val="003082"/>
        </w:rPr>
      </w:pPr>
      <w:r>
        <w:rPr>
          <w:rFonts w:ascii="Arial" w:cs="Arial" w:eastAsia="Arial" w:hAnsi="Arial"/>
          <w:sz w:val="16"/>
          <w:szCs w:val="16"/>
          <w:color w:val="003082"/>
        </w:rPr>
        <w:t>the voting rights of shares controlled by the Founder was modified to carry 3 votes in connection with the Series B+ Preferred Shares financing.</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Dividend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First,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Second, after full payment of dividends to the holders of the Series C+ Preferred Shares,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Third, after full payment of dividends to the holders of the Series C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F-65</w:t>
      </w:r>
    </w:p>
    <w:p>
      <w:pPr>
        <w:sectPr>
          <w:pgSz w:w="11900" w:h="16838" w:orient="portrait"/>
          <w:cols w:equalWidth="0" w:num="1">
            <w:col w:w="11240"/>
          </w:cols>
          <w:pgMar w:left="320" w:top="769"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Fourth, after full payment of dividends to the holders of the Series B+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Fifth, after full payment of dividends to the holders of the Series B Preferred Shares, each holder of the Series A Preferred Shares is entitled to receive cumulative dividends out of any funds legally available of the Company, at the simple rate per annum of 8% of the Series A issue price, payable if and when declared by the board of directors.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Lastly, if after the preferential dividends relating to the Preferred Shares as described above have been paid in full or declared and set apart for payment in any fiscal year of the Company, the board of directors shall decide to declare a dividend or similar distribution to the holders of Ordinary Shares, then, in each such case, the holders of Preferred Shares shall be entitled to a proportionate share of any such dividend or distribution as though the holders of Preferred Shares were holders of the number of Ordinary Shares into which their Preferred Shares are convertible as of the record date fixed for the determination of the holders of Ordinary Shares entitled to receive such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003082"/>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First,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Second,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Third,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Fourth,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Fifth, the holders of Series A Preferred Shares then outstanding shall be entitled to be paid an amount per share equal to 150% of the Series A issue price, plus all accrued or declared but unpaid dividends (if applicable) on such Series A Preferred Shares, out of funds legally available of the Company (the “Series A Preference Amount”). If the legally available funds are insufficient to permit the payment to all holders of Series A Preferred Shares the full Series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F-66</w:t>
      </w:r>
    </w:p>
    <w:p>
      <w:pPr>
        <w:sectPr>
          <w:pgSz w:w="11900" w:h="16838" w:orient="portrait"/>
          <w:cols w:equalWidth="0" w:num="1">
            <w:col w:w="11240"/>
          </w:cols>
          <w:pgMar w:left="320" w:top="769" w:right="339"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003082"/>
        </w:rPr>
        <w:t>A Preference Amount, then the entire assets and funds of the Company legally available for distribution shall be distributed pro rata among the holders of the Series A Preferred Shares.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Lastly, if there are any assets or funds remaining after the aggregate of the Series C+ Preference Amount, Series C Preference Amount, Series B+ Preference Amount, Series B Preference Amount and Series A Preference Amount has been distributed or paid in full to the applicable holders of Series C Preferred Shares, Series B+ Preferred Shares, Series B Preferred Shares and Series A Preferred Shares, respectively, the remaining assets and funds of the Company available for distribution to the members shall be distributed pro rata among all members based on the number of Ordinary Shares held by such member (including Preferred Shares on as-converted basis).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Redemption Right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The Series C+, Series C, Series B+, and Series B Preferred Shares can be redeemed (1) at any time and from time to time commencing on the fifth anniversary of October 1, 2018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Series C, Series B+, and Series B Preferred Shares is entitled to, by written request to the Company, request the Company to redeem all or part of the Series C+, Series C, Series B+, and Series B Preferred Shares then outstanding held by such holder. The redemption request shall be given by hand or by mail to the registered office of the Company at least 60 days prior to the date set forth therein on which the Series C+, Series C, Series B+, or Series B Preferred Shares are to be redeemed.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The Series A Preferred Shares can be redeemed (1) at any time and from time to time commencing on the Maturity Date, if there has not occurred any Qualified IPO, or (2) on such earlier date as another series of Preferred Shares is redeemable. Upon the occurrence of an event described in (1) or (2) above, each holder of the then outstanding Series A Preferred Shares is entitled to, by written request to the Company, request the Company to redeem all or part of the Series A Preferred Shares then outstanding held by such holder. The redemption request shall be given by hand or by mail to the registered office of the Company at least 60 days prior to the date set forth therein on which the Series A Preferred Shares are to be redeemed.</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Maturity Date definition has been modified upon the issuance of Series C Preferred Shares. Previously, the applicable Maturity Date for Series B+, Series B and Series A Preferred Shares was the fifth anniversary of their respective issuance dates.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F-67</w:t>
      </w:r>
    </w:p>
    <w:p>
      <w:pPr>
        <w:sectPr>
          <w:pgSz w:w="11900" w:h="16838" w:orient="portrait"/>
          <w:cols w:equalWidth="0" w:num="1">
            <w:col w:w="11240"/>
          </w:cols>
          <w:pgMar w:left="320" w:top="769" w:right="339" w:bottom="1440" w:gutter="0" w:footer="0" w:header="0"/>
        </w:sectPr>
      </w:pPr>
    </w:p>
    <w:bookmarkStart w:id="276" w:name="page277"/>
    <w:bookmarkEnd w:id="276"/>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003082"/>
        </w:rPr>
        <w:t>of the Series C Preferred Share determined by an independent third party appraising firm jointly selected by the board of directors and the Series C requesting holder.</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redemption price for each Series A Preferred Share redeemed (the “Series A Redemption Price”) shall be the greater of:</w:t>
      </w:r>
    </w:p>
    <w:p>
      <w:pPr>
        <w:spacing w:after="0" w:line="171" w:lineRule="exact"/>
        <w:rPr>
          <w:sz w:val="20"/>
          <w:szCs w:val="20"/>
          <w:color w:val="auto"/>
        </w:rPr>
      </w:pPr>
    </w:p>
    <w:p>
      <w:pPr>
        <w:jc w:val="both"/>
        <w:ind w:left="660" w:hanging="328"/>
        <w:spacing w:after="0" w:line="311" w:lineRule="auto"/>
        <w:tabs>
          <w:tab w:leader="none" w:pos="660" w:val="left"/>
        </w:tabs>
        <w:numPr>
          <w:ilvl w:val="0"/>
          <w:numId w:val="141"/>
        </w:numPr>
        <w:rPr>
          <w:rFonts w:ascii="Arial" w:cs="Arial" w:eastAsia="Arial" w:hAnsi="Arial"/>
          <w:sz w:val="16"/>
          <w:szCs w:val="16"/>
          <w:color w:val="003082"/>
        </w:rPr>
      </w:pPr>
      <w:r>
        <w:rPr>
          <w:rFonts w:ascii="Arial" w:cs="Arial" w:eastAsia="Arial" w:hAnsi="Arial"/>
          <w:sz w:val="16"/>
          <w:szCs w:val="16"/>
          <w:color w:val="003082"/>
        </w:rPr>
        <w:t>an amount equal to the Series A issue price, plus all accrued or declared but unpaid dividends on such Series A Preferred Share (for a partial year, the dividends shall be calculated proportionally), plus an amount that would accrue on the Series A issue price at a rate of 15% per annum, compounding annually, during the period commencing from December 16, 2013 and ending on the date of the Series A redemption notice, and</w:t>
      </w:r>
    </w:p>
    <w:p>
      <w:pPr>
        <w:spacing w:after="0" w:line="94" w:lineRule="exact"/>
        <w:rPr>
          <w:rFonts w:ascii="Arial" w:cs="Arial" w:eastAsia="Arial" w:hAnsi="Arial"/>
          <w:sz w:val="16"/>
          <w:szCs w:val="16"/>
          <w:color w:val="003082"/>
        </w:rPr>
      </w:pPr>
    </w:p>
    <w:p>
      <w:pPr>
        <w:jc w:val="both"/>
        <w:ind w:left="660" w:hanging="328"/>
        <w:spacing w:after="0" w:line="259" w:lineRule="auto"/>
        <w:tabs>
          <w:tab w:leader="none" w:pos="660" w:val="left"/>
        </w:tabs>
        <w:numPr>
          <w:ilvl w:val="0"/>
          <w:numId w:val="141"/>
        </w:numPr>
        <w:rPr>
          <w:rFonts w:ascii="Arial" w:cs="Arial" w:eastAsia="Arial" w:hAnsi="Arial"/>
          <w:sz w:val="18"/>
          <w:szCs w:val="18"/>
          <w:color w:val="003082"/>
        </w:rPr>
      </w:pPr>
      <w:r>
        <w:rPr>
          <w:rFonts w:ascii="Arial" w:cs="Arial" w:eastAsia="Arial" w:hAnsi="Arial"/>
          <w:sz w:val="18"/>
          <w:szCs w:val="18"/>
          <w:color w:val="003082"/>
        </w:rPr>
        <w:t>the fair market value of the Series A Preferred Share determined by an independent third party appraising firm selected jointly by the board of directors and the requesting holder, provided however, that any redemption of all or any part of Series A Preferred Shares held by a holder of Series A Preferred Shares at a price determined by an independent third party appraising firm shall not cause any material adverse effect to the Group companies taken as a whole.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Accounting for Preferred Shares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Company classifies the Preferred Shares as mezzanine equity in the consolidated balance sheets because they are redeemable at the holders’ option any time after a certain date or are contingently redeemable upon the occurrence of certain Deemed Liquidation Events outside of the Company’s control. The Preferred Shares are recorded initially at fair value, net of issuance costs. For the three months ended March 31, 2019 and 2020, the issuance costs incurred were nil. The aggregate amount of cumulative undeclared dividends in arrears on convertible redeemable preferred shares was US$31,241,486 and US$34,640,619 as of December 31, 2019 and March 31, 2020, respectively. The cumulative undeclared dividends are not recorded in the consolidated balance sheet as the Company does not have the obligation to pay the cumulative dividend before it is declared by the board of directors.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For each reporting period, the Company recorded accretions on the Series C+, Series C, Series B+ and Series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accretion is recorded against retained earnings, or in the absence of retained earnings, by charges against additional paid-in-capital, or in the absence of additional paid-in-capital, by charges to accumulated deficit. The accretion of the Preferred Shares was US$10,178,895 and US$35,963,579 for the three months ended March 31, 2019 and 2020.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F-68</w:t>
      </w:r>
    </w:p>
    <w:p>
      <w:pPr>
        <w:sectPr>
          <w:pgSz w:w="11900" w:h="16838" w:orient="portrait"/>
          <w:cols w:equalWidth="0" w:num="1">
            <w:col w:w="11240"/>
          </w:cols>
          <w:pgMar w:left="320" w:top="769"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Company’s Preferred Shares activities for the three months ended March 31, 2019 and 2020 are summarized in the following table: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900" w:type="dxa"/>
            <w:vAlign w:val="bottom"/>
            <w:gridSpan w:val="6"/>
          </w:tcPr>
          <w:p>
            <w:pPr>
              <w:ind w:left="380"/>
              <w:spacing w:after="0"/>
              <w:rPr>
                <w:sz w:val="20"/>
                <w:szCs w:val="20"/>
                <w:color w:val="auto"/>
              </w:rPr>
            </w:pPr>
            <w:r>
              <w:rPr>
                <w:rFonts w:ascii="Arial" w:cs="Arial" w:eastAsia="Arial" w:hAnsi="Arial"/>
                <w:sz w:val="14"/>
                <w:szCs w:val="14"/>
                <w:color w:val="003082"/>
              </w:rPr>
              <w:t>Series A Preferred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720" w:type="dxa"/>
            <w:vAlign w:val="bottom"/>
            <w:tcBorders>
              <w:bottom w:val="single" w:sz="8" w:color="3D5588"/>
            </w:tcBorders>
          </w:tcPr>
          <w:p>
            <w:pPr>
              <w:spacing w:after="0"/>
              <w:rPr>
                <w:sz w:val="16"/>
                <w:szCs w:val="16"/>
                <w:color w:val="auto"/>
              </w:rPr>
            </w:pPr>
          </w:p>
        </w:tc>
        <w:tc>
          <w:tcPr>
            <w:tcW w:w="1060" w:type="dxa"/>
            <w:vAlign w:val="bottom"/>
            <w:tcBorders>
              <w:bottom w:val="single" w:sz="8" w:color="3D5588"/>
            </w:tcBorders>
            <w:gridSpan w:val="4"/>
          </w:tcPr>
          <w:p>
            <w:pPr>
              <w:jc w:val="center"/>
              <w:ind w:right="566"/>
              <w:spacing w:after="0"/>
              <w:rPr>
                <w:sz w:val="20"/>
                <w:szCs w:val="20"/>
                <w:color w:val="auto"/>
              </w:rPr>
            </w:pPr>
            <w:r>
              <w:rPr>
                <w:rFonts w:ascii="Arial" w:cs="Arial" w:eastAsia="Arial" w:hAnsi="Arial"/>
                <w:sz w:val="14"/>
                <w:szCs w:val="14"/>
                <w:color w:val="003082"/>
                <w:w w:val="85"/>
              </w:rPr>
              <w:t>Shares</w:t>
            </w:r>
          </w:p>
        </w:tc>
        <w:tc>
          <w:tcPr>
            <w:tcW w:w="120" w:type="dxa"/>
            <w:vAlign w:val="bottom"/>
          </w:tcPr>
          <w:p>
            <w:pPr>
              <w:spacing w:after="0"/>
              <w:rPr>
                <w:sz w:val="16"/>
                <w:szCs w:val="16"/>
                <w:color w:val="auto"/>
              </w:rPr>
            </w:pPr>
          </w:p>
        </w:tc>
        <w:tc>
          <w:tcPr>
            <w:tcW w:w="1700" w:type="dxa"/>
            <w:vAlign w:val="bottom"/>
            <w:tcBorders>
              <w:bottom w:val="single" w:sz="8" w:color="3D5588"/>
            </w:tcBorders>
            <w:gridSpan w:val="3"/>
          </w:tcPr>
          <w:p>
            <w:pPr>
              <w:jc w:val="right"/>
              <w:ind w:right="26"/>
              <w:spacing w:after="0"/>
              <w:rPr>
                <w:sz w:val="20"/>
                <w:szCs w:val="20"/>
                <w:color w:val="auto"/>
              </w:rPr>
            </w:pPr>
            <w:r>
              <w:rPr>
                <w:rFonts w:ascii="Arial" w:cs="Arial" w:eastAsia="Arial" w:hAnsi="Arial"/>
                <w:sz w:val="14"/>
                <w:szCs w:val="14"/>
                <w:color w:val="003082"/>
                <w:w w:val="96"/>
              </w:rPr>
              <w:t>Series B Preferred Shares</w:t>
            </w:r>
          </w:p>
        </w:tc>
        <w:tc>
          <w:tcPr>
            <w:tcW w:w="100" w:type="dxa"/>
            <w:vAlign w:val="bottom"/>
          </w:tcPr>
          <w:p>
            <w:pPr>
              <w:spacing w:after="0"/>
              <w:rPr>
                <w:sz w:val="16"/>
                <w:szCs w:val="16"/>
                <w:color w:val="auto"/>
              </w:rPr>
            </w:pPr>
          </w:p>
        </w:tc>
        <w:tc>
          <w:tcPr>
            <w:tcW w:w="1700" w:type="dxa"/>
            <w:vAlign w:val="bottom"/>
            <w:tcBorders>
              <w:bottom w:val="single" w:sz="8" w:color="3D5588"/>
            </w:tcBorders>
            <w:gridSpan w:val="3"/>
          </w:tcPr>
          <w:p>
            <w:pPr>
              <w:jc w:val="right"/>
              <w:spacing w:after="0"/>
              <w:rPr>
                <w:sz w:val="20"/>
                <w:szCs w:val="20"/>
                <w:color w:val="auto"/>
              </w:rPr>
            </w:pPr>
            <w:r>
              <w:rPr>
                <w:rFonts w:ascii="Arial" w:cs="Arial" w:eastAsia="Arial" w:hAnsi="Arial"/>
                <w:sz w:val="14"/>
                <w:szCs w:val="14"/>
                <w:color w:val="003082"/>
                <w:w w:val="94"/>
              </w:rPr>
              <w:t>Series B+ Preferred Shares</w:t>
            </w:r>
          </w:p>
        </w:tc>
        <w:tc>
          <w:tcPr>
            <w:tcW w:w="100" w:type="dxa"/>
            <w:vAlign w:val="bottom"/>
          </w:tcPr>
          <w:p>
            <w:pPr>
              <w:spacing w:after="0"/>
              <w:rPr>
                <w:sz w:val="16"/>
                <w:szCs w:val="16"/>
                <w:color w:val="auto"/>
              </w:rPr>
            </w:pPr>
          </w:p>
        </w:tc>
        <w:tc>
          <w:tcPr>
            <w:tcW w:w="1720" w:type="dxa"/>
            <w:vAlign w:val="bottom"/>
            <w:tcBorders>
              <w:bottom w:val="single" w:sz="8" w:color="3D5588"/>
            </w:tcBorders>
            <w:gridSpan w:val="3"/>
          </w:tcPr>
          <w:p>
            <w:pPr>
              <w:jc w:val="right"/>
              <w:ind w:right="26"/>
              <w:spacing w:after="0"/>
              <w:rPr>
                <w:sz w:val="20"/>
                <w:szCs w:val="20"/>
                <w:color w:val="auto"/>
              </w:rPr>
            </w:pPr>
            <w:r>
              <w:rPr>
                <w:rFonts w:ascii="Arial" w:cs="Arial" w:eastAsia="Arial" w:hAnsi="Arial"/>
                <w:sz w:val="14"/>
                <w:szCs w:val="14"/>
                <w:color w:val="003082"/>
                <w:w w:val="97"/>
              </w:rPr>
              <w:t>Series C Preferred Shares</w:t>
            </w:r>
          </w:p>
        </w:tc>
        <w:tc>
          <w:tcPr>
            <w:tcW w:w="120" w:type="dxa"/>
            <w:vAlign w:val="bottom"/>
          </w:tcPr>
          <w:p>
            <w:pPr>
              <w:spacing w:after="0"/>
              <w:rPr>
                <w:sz w:val="16"/>
                <w:szCs w:val="16"/>
                <w:color w:val="auto"/>
              </w:rPr>
            </w:pPr>
          </w:p>
        </w:tc>
        <w:tc>
          <w:tcPr>
            <w:tcW w:w="1720" w:type="dxa"/>
            <w:vAlign w:val="bottom"/>
            <w:tcBorders>
              <w:bottom w:val="single" w:sz="8" w:color="3D5588"/>
            </w:tcBorders>
            <w:gridSpan w:val="4"/>
          </w:tcPr>
          <w:p>
            <w:pPr>
              <w:jc w:val="right"/>
              <w:ind w:right="8"/>
              <w:spacing w:after="0"/>
              <w:rPr>
                <w:sz w:val="20"/>
                <w:szCs w:val="20"/>
                <w:color w:val="auto"/>
              </w:rPr>
            </w:pPr>
            <w:r>
              <w:rPr>
                <w:rFonts w:ascii="Arial" w:cs="Arial" w:eastAsia="Arial" w:hAnsi="Arial"/>
                <w:sz w:val="14"/>
                <w:szCs w:val="14"/>
                <w:color w:val="003082"/>
                <w:w w:val="93"/>
              </w:rPr>
              <w:t>Series C+ Preferred Shares</w:t>
            </w:r>
          </w:p>
        </w:tc>
        <w:tc>
          <w:tcPr>
            <w:tcW w:w="100" w:type="dxa"/>
            <w:vAlign w:val="bottom"/>
          </w:tcPr>
          <w:p>
            <w:pPr>
              <w:spacing w:after="0"/>
              <w:rPr>
                <w:sz w:val="16"/>
                <w:szCs w:val="16"/>
                <w:color w:val="auto"/>
              </w:rPr>
            </w:pPr>
          </w:p>
        </w:tc>
        <w:tc>
          <w:tcPr>
            <w:tcW w:w="940" w:type="dxa"/>
            <w:vAlign w:val="bottom"/>
            <w:tcBorders>
              <w:bottom w:val="single" w:sz="8" w:color="3D5588"/>
            </w:tcBorders>
          </w:tcPr>
          <w:p>
            <w:pPr>
              <w:jc w:val="center"/>
              <w:spacing w:after="0"/>
              <w:rPr>
                <w:sz w:val="20"/>
                <w:szCs w:val="20"/>
                <w:color w:val="auto"/>
              </w:rPr>
            </w:pPr>
            <w:r>
              <w:rPr>
                <w:rFonts w:ascii="Arial" w:cs="Arial" w:eastAsia="Arial" w:hAnsi="Arial"/>
                <w:sz w:val="14"/>
                <w:szCs w:val="14"/>
                <w:color w:val="003082"/>
                <w:w w:val="96"/>
              </w:rPr>
              <w:t>Total</w:t>
            </w: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3082"/>
              </w:rPr>
              <w:t>Number of</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003082"/>
                <w:w w:val="99"/>
              </w:rPr>
              <w:t>Amount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003082"/>
                <w:w w:val="94"/>
              </w:rPr>
              <w:t>Number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003082"/>
                <w:w w:val="99"/>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003082"/>
                <w:w w:val="97"/>
              </w:rPr>
              <w:t>Number of</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003082"/>
                <w:w w:val="99"/>
              </w:rPr>
              <w:t>Amount</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color w:val="003082"/>
                <w:w w:val="94"/>
              </w:rPr>
              <w:t>Number of</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003082"/>
                <w:w w:val="99"/>
              </w:rPr>
              <w:t>Amount</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003082"/>
                <w:w w:val="97"/>
              </w:rPr>
              <w:t>Number of</w:t>
            </w:r>
          </w:p>
        </w:tc>
        <w:tc>
          <w:tcPr>
            <w:tcW w:w="120" w:type="dxa"/>
            <w:vAlign w:val="bottom"/>
          </w:tcPr>
          <w:p>
            <w:pPr>
              <w:spacing w:after="0"/>
              <w:rPr>
                <w:sz w:val="22"/>
                <w:szCs w:val="2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003082"/>
                <w:w w:val="99"/>
              </w:rPr>
              <w:t>Amount</w:t>
            </w:r>
          </w:p>
        </w:tc>
        <w:tc>
          <w:tcPr>
            <w:tcW w:w="940" w:type="dxa"/>
            <w:vAlign w:val="bottom"/>
          </w:tcPr>
          <w:p>
            <w:pPr>
              <w:jc w:val="center"/>
              <w:spacing w:after="0"/>
              <w:rPr>
                <w:sz w:val="20"/>
                <w:szCs w:val="20"/>
                <w:color w:val="auto"/>
              </w:rPr>
            </w:pPr>
            <w:r>
              <w:rPr>
                <w:rFonts w:ascii="Arial" w:cs="Arial" w:eastAsia="Arial" w:hAnsi="Arial"/>
                <w:sz w:val="14"/>
                <w:szCs w:val="14"/>
                <w:color w:val="003082"/>
                <w:w w:val="99"/>
              </w:rPr>
              <w:t>Amount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720" w:type="dxa"/>
            <w:vAlign w:val="bottom"/>
          </w:tcPr>
          <w:p>
            <w:pPr>
              <w:jc w:val="right"/>
              <w:ind w:right="82"/>
              <w:spacing w:after="0"/>
              <w:rPr>
                <w:sz w:val="20"/>
                <w:szCs w:val="20"/>
                <w:color w:val="auto"/>
              </w:rPr>
            </w:pPr>
            <w:r>
              <w:rPr>
                <w:rFonts w:ascii="Arial" w:cs="Arial" w:eastAsia="Arial" w:hAnsi="Arial"/>
                <w:sz w:val="14"/>
                <w:szCs w:val="14"/>
                <w:color w:val="003082"/>
              </w:rPr>
              <w:t>shares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003082"/>
                <w:w w:val="98"/>
              </w:rPr>
              <w:t>(US$)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003082"/>
                <w:w w:val="85"/>
              </w:rPr>
              <w:t>Shares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003082"/>
                <w:w w:val="98"/>
              </w:rPr>
              <w:t>(US$)</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003082"/>
                <w:w w:val="85"/>
              </w:rPr>
              <w:t>shares</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003082"/>
                <w:w w:val="98"/>
              </w:rPr>
              <w:t>(US$)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color w:val="003082"/>
                <w:w w:val="85"/>
              </w:rPr>
              <w:t>shares</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003082"/>
                <w:w w:val="98"/>
              </w:rPr>
              <w:t>(US$)</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003082"/>
                <w:w w:val="85"/>
              </w:rPr>
              <w:t>Shares</w:t>
            </w:r>
          </w:p>
        </w:tc>
        <w:tc>
          <w:tcPr>
            <w:tcW w:w="12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003082"/>
                <w:w w:val="98"/>
              </w:rPr>
              <w:t>(US$)</w:t>
            </w:r>
          </w:p>
        </w:tc>
        <w:tc>
          <w:tcPr>
            <w:tcW w:w="940" w:type="dxa"/>
            <w:vAlign w:val="bottom"/>
          </w:tcPr>
          <w:p>
            <w:pPr>
              <w:jc w:val="center"/>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53"/>
        </w:trPr>
        <w:tc>
          <w:tcPr>
            <w:tcW w:w="1140" w:type="dxa"/>
            <w:vAlign w:val="bottom"/>
            <w:tcBorders>
              <w:bottom w:val="single" w:sz="8" w:color="CCEEFF"/>
            </w:tcBorders>
          </w:tcPr>
          <w:p>
            <w:pPr>
              <w:spacing w:after="0"/>
              <w:rPr>
                <w:sz w:val="4"/>
                <w:szCs w:val="4"/>
                <w:color w:val="auto"/>
              </w:rPr>
            </w:pPr>
          </w:p>
        </w:tc>
        <w:tc>
          <w:tcPr>
            <w:tcW w:w="720" w:type="dxa"/>
            <w:vAlign w:val="bottom"/>
            <w:tcBorders>
              <w:bottom w:val="single" w:sz="8" w:color="3D5588"/>
            </w:tcBorders>
          </w:tcPr>
          <w:p>
            <w:pPr>
              <w:spacing w:after="0"/>
              <w:rPr>
                <w:sz w:val="4"/>
                <w:szCs w:val="4"/>
                <w:color w:val="auto"/>
              </w:rPr>
            </w:pPr>
          </w:p>
        </w:tc>
        <w:tc>
          <w:tcPr>
            <w:tcW w:w="40" w:type="dxa"/>
            <w:vAlign w:val="bottom"/>
            <w:tcBorders>
              <w:bottom w:val="single" w:sz="8" w:color="3D5588"/>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3D5588"/>
            </w:tcBorders>
          </w:tcPr>
          <w:p>
            <w:pPr>
              <w:spacing w:after="0"/>
              <w:rPr>
                <w:sz w:val="4"/>
                <w:szCs w:val="4"/>
                <w:color w:val="auto"/>
              </w:rPr>
            </w:pPr>
          </w:p>
        </w:tc>
        <w:tc>
          <w:tcPr>
            <w:tcW w:w="800" w:type="dxa"/>
            <w:vAlign w:val="bottom"/>
            <w:tcBorders>
              <w:bottom w:val="single" w:sz="8" w:color="3D5588"/>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3D5588"/>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3D5588"/>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3D5588"/>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3D5588"/>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60" w:type="dxa"/>
            <w:vAlign w:val="bottom"/>
            <w:tcBorders>
              <w:bottom w:val="single" w:sz="8" w:color="3D5588"/>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40" w:type="dxa"/>
            <w:vAlign w:val="bottom"/>
            <w:tcBorders>
              <w:bottom w:val="single" w:sz="8" w:color="3D5588"/>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3D5588"/>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3D5588"/>
            </w:tcBorders>
          </w:tcPr>
          <w:p>
            <w:pPr>
              <w:spacing w:after="0"/>
              <w:rPr>
                <w:sz w:val="4"/>
                <w:szCs w:val="4"/>
                <w:color w:val="auto"/>
              </w:rPr>
            </w:pPr>
          </w:p>
        </w:tc>
        <w:tc>
          <w:tcPr>
            <w:tcW w:w="740" w:type="dxa"/>
            <w:vAlign w:val="bottom"/>
            <w:tcBorders>
              <w:bottom w:val="single" w:sz="8" w:color="3D5588"/>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3D5588"/>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140" w:type="dxa"/>
            <w:vAlign w:val="bottom"/>
            <w:shd w:val="clear" w:color="auto" w:fill="CCEEFF"/>
          </w:tcPr>
          <w:p>
            <w:pPr>
              <w:ind w:left="40"/>
              <w:spacing w:after="0" w:line="137" w:lineRule="exact"/>
              <w:rPr>
                <w:sz w:val="20"/>
                <w:szCs w:val="20"/>
                <w:color w:val="auto"/>
              </w:rPr>
            </w:pPr>
            <w:r>
              <w:rPr>
                <w:rFonts w:ascii="Arial" w:cs="Arial" w:eastAsia="Arial" w:hAnsi="Arial"/>
                <w:sz w:val="14"/>
                <w:szCs w:val="14"/>
                <w:color w:val="003082"/>
              </w:rPr>
              <w:t>Balances as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003082"/>
                <w:w w:val="94"/>
              </w:rPr>
              <w:t>January 1, 2019 55,626,960</w:t>
            </w:r>
          </w:p>
        </w:tc>
        <w:tc>
          <w:tcPr>
            <w:tcW w:w="260" w:type="dxa"/>
            <w:vAlign w:val="bottom"/>
            <w:gridSpan w:val="3"/>
            <w:shd w:val="clear" w:color="auto" w:fill="CCEEFF"/>
          </w:tcPr>
          <w:p>
            <w:pPr>
              <w:jc w:val="center"/>
              <w:ind w:left="88"/>
              <w:spacing w:after="0"/>
              <w:rPr>
                <w:sz w:val="20"/>
                <w:szCs w:val="20"/>
                <w:color w:val="auto"/>
              </w:rPr>
            </w:pPr>
            <w:r>
              <w:rPr>
                <w:rFonts w:ascii="Arial" w:cs="Arial" w:eastAsia="Arial" w:hAnsi="Arial"/>
                <w:sz w:val="14"/>
                <w:szCs w:val="14"/>
                <w:color w:val="003082"/>
                <w:w w:val="76"/>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9"/>
              </w:rPr>
              <w:t>45,578,868</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1"/>
              </w:rPr>
              <w:t>50,783,698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5"/>
              </w:rPr>
              <w:t>$29,955,293</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4"/>
              </w:rPr>
              <w:t>26,651,410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5"/>
              </w:rPr>
              <w:t>$45,876,440</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4"/>
              </w:rPr>
              <w:t>34,793,413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5"/>
              </w:rPr>
              <w:t>$67,844,843</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003082"/>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003082"/>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003082"/>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003082"/>
                <w:w w:val="91"/>
              </w:rPr>
              <w:t>$ 189,255,444</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003082"/>
              </w:rPr>
              <w:t>Accretion on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redeemable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shares to</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redemption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Arial" w:cs="Arial" w:eastAsia="Arial" w:hAnsi="Arial"/>
                <w:sz w:val="14"/>
                <w:szCs w:val="14"/>
                <w:color w:val="003082"/>
              </w:rPr>
              <w:t>value</w:t>
            </w:r>
          </w:p>
        </w:tc>
        <w:tc>
          <w:tcPr>
            <w:tcW w:w="720" w:type="dxa"/>
            <w:vAlign w:val="bottom"/>
          </w:tcPr>
          <w:p>
            <w:pPr>
              <w:jc w:val="right"/>
              <w:spacing w:after="0"/>
              <w:rPr>
                <w:sz w:val="20"/>
                <w:szCs w:val="20"/>
                <w:color w:val="auto"/>
              </w:rPr>
            </w:pPr>
            <w:r>
              <w:rPr>
                <w:rFonts w:ascii="Arial" w:cs="Arial" w:eastAsia="Arial" w:hAnsi="Arial"/>
                <w:sz w:val="14"/>
                <w:szCs w:val="14"/>
                <w:color w:val="003082"/>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4"/>
                <w:szCs w:val="14"/>
                <w:color w:val="003082"/>
              </w:rPr>
              <w:t>8,661,860</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003082"/>
              </w:rPr>
              <w:t>—</w:t>
            </w: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22,634</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003082"/>
              </w:rPr>
              <w:t>—</w:t>
            </w: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99,208</w:t>
            </w:r>
          </w:p>
        </w:tc>
        <w:tc>
          <w:tcPr>
            <w:tcW w:w="10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003082"/>
              </w:rPr>
              <w:t>—</w:t>
            </w: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1,395,193</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003082"/>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003082"/>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003082"/>
              </w:rPr>
              <w:t>10,178,895</w:t>
            </w:r>
          </w:p>
        </w:tc>
        <w:tc>
          <w:tcPr>
            <w:tcW w:w="0" w:type="dxa"/>
            <w:vAlign w:val="bottom"/>
          </w:tcPr>
          <w:p>
            <w:pPr>
              <w:spacing w:after="0"/>
              <w:rPr>
                <w:sz w:val="1"/>
                <w:szCs w:val="1"/>
                <w:color w:val="auto"/>
              </w:rPr>
            </w:pPr>
          </w:p>
        </w:tc>
      </w:tr>
      <w:tr>
        <w:trPr>
          <w:trHeight w:val="135"/>
        </w:trPr>
        <w:tc>
          <w:tcPr>
            <w:tcW w:w="1140" w:type="dxa"/>
            <w:vAlign w:val="bottom"/>
            <w:tcBorders>
              <w:top w:val="single" w:sz="8" w:color="CCEEFF"/>
            </w:tcBorders>
            <w:shd w:val="clear" w:color="auto" w:fill="CCEEFF"/>
          </w:tcPr>
          <w:p>
            <w:pPr>
              <w:ind w:left="40"/>
              <w:spacing w:after="0" w:line="135" w:lineRule="exact"/>
              <w:rPr>
                <w:sz w:val="20"/>
                <w:szCs w:val="20"/>
                <w:color w:val="auto"/>
              </w:rPr>
            </w:pPr>
            <w:r>
              <w:rPr>
                <w:rFonts w:ascii="Arial" w:cs="Arial" w:eastAsia="Arial" w:hAnsi="Arial"/>
                <w:sz w:val="14"/>
                <w:szCs w:val="14"/>
                <w:color w:val="003082"/>
              </w:rPr>
              <w:t>Balances as of</w:t>
            </w:r>
          </w:p>
        </w:tc>
        <w:tc>
          <w:tcPr>
            <w:tcW w:w="720" w:type="dxa"/>
            <w:vAlign w:val="bottom"/>
            <w:tcBorders>
              <w:top w:val="single" w:sz="8" w:color="3D5588"/>
            </w:tcBorders>
            <w:shd w:val="clear" w:color="auto" w:fill="CCEEFF"/>
          </w:tcPr>
          <w:p>
            <w:pPr>
              <w:spacing w:after="0"/>
              <w:rPr>
                <w:sz w:val="11"/>
                <w:szCs w:val="11"/>
                <w:color w:val="auto"/>
              </w:rPr>
            </w:pPr>
          </w:p>
        </w:tc>
        <w:tc>
          <w:tcPr>
            <w:tcW w:w="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3D5588"/>
            </w:tcBorders>
            <w:shd w:val="clear" w:color="auto" w:fill="CCEEFF"/>
          </w:tcPr>
          <w:p>
            <w:pPr>
              <w:spacing w:after="0"/>
              <w:rPr>
                <w:sz w:val="11"/>
                <w:szCs w:val="11"/>
                <w:color w:val="auto"/>
              </w:rPr>
            </w:pPr>
          </w:p>
        </w:tc>
        <w:tc>
          <w:tcPr>
            <w:tcW w:w="80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3D5588"/>
            </w:tcBorders>
            <w:shd w:val="clear" w:color="auto" w:fill="CCEEFF"/>
          </w:tcPr>
          <w:p>
            <w:pPr>
              <w:spacing w:after="0"/>
              <w:rPr>
                <w:sz w:val="11"/>
                <w:szCs w:val="11"/>
                <w:color w:val="auto"/>
              </w:rPr>
            </w:pPr>
          </w:p>
        </w:tc>
        <w:tc>
          <w:tcPr>
            <w:tcW w:w="7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3D5588"/>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003082"/>
                <w:w w:val="95"/>
              </w:rPr>
              <w:t>March 31, 2019 55,626,960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9"/>
              </w:rPr>
              <w:t>54,240,728</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1"/>
              </w:rPr>
              <w:t>50,783,698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rPr>
              <w:t>29,977,927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4"/>
              </w:rPr>
              <w:t>26,651,410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rPr>
              <w:t>45,975,648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4"/>
              </w:rPr>
              <w:t>34,793,413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rPr>
              <w:t>69,240,036</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003082"/>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003082"/>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003082"/>
              </w:rPr>
              <w:t>199,434,339</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CCEEFF"/>
            </w:tcBorders>
            <w:vMerge w:val="restart"/>
          </w:tcPr>
          <w:p>
            <w:pPr>
              <w:ind w:left="40"/>
              <w:spacing w:after="0" w:line="151" w:lineRule="exact"/>
              <w:rPr>
                <w:sz w:val="20"/>
                <w:szCs w:val="20"/>
                <w:color w:val="auto"/>
              </w:rPr>
            </w:pPr>
            <w:r>
              <w:rPr>
                <w:rFonts w:ascii="Arial" w:cs="Arial" w:eastAsia="Arial" w:hAnsi="Arial"/>
                <w:sz w:val="14"/>
                <w:szCs w:val="14"/>
                <w:color w:val="003082"/>
              </w:rPr>
              <w:t>Balances as of</w:t>
            </w:r>
          </w:p>
        </w:tc>
        <w:tc>
          <w:tcPr>
            <w:tcW w:w="720" w:type="dxa"/>
            <w:vAlign w:val="bottom"/>
            <w:tcBorders>
              <w:top w:val="single" w:sz="8" w:color="3D5588"/>
              <w:bottom w:val="single" w:sz="8" w:color="3D5588"/>
            </w:tcBorders>
          </w:tcPr>
          <w:p>
            <w:pPr>
              <w:spacing w:after="0" w:line="20" w:lineRule="exact"/>
              <w:rPr>
                <w:sz w:val="1"/>
                <w:szCs w:val="1"/>
                <w:color w:val="auto"/>
              </w:rPr>
            </w:pPr>
          </w:p>
        </w:tc>
        <w:tc>
          <w:tcPr>
            <w:tcW w:w="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8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7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1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860" w:type="dxa"/>
            <w:vAlign w:val="bottom"/>
            <w:gridSpan w:val="2"/>
          </w:tcPr>
          <w:p>
            <w:pPr>
              <w:ind w:left="200"/>
              <w:spacing w:after="0"/>
              <w:rPr>
                <w:sz w:val="20"/>
                <w:szCs w:val="20"/>
                <w:color w:val="auto"/>
              </w:rPr>
            </w:pPr>
            <w:r>
              <w:rPr>
                <w:rFonts w:ascii="Arial" w:cs="Arial" w:eastAsia="Arial" w:hAnsi="Arial"/>
                <w:sz w:val="14"/>
                <w:szCs w:val="14"/>
                <w:color w:val="003082"/>
                <w:w w:val="94"/>
              </w:rPr>
              <w:t>January 1, 2020 55,626,960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4"/>
                <w:szCs w:val="14"/>
                <w:color w:val="003082"/>
                <w:w w:val="99"/>
              </w:rPr>
              <w:t>90,049,774</w:t>
            </w:r>
          </w:p>
        </w:tc>
        <w:tc>
          <w:tcPr>
            <w:tcW w:w="12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14"/>
                <w:szCs w:val="14"/>
                <w:color w:val="003082"/>
                <w:w w:val="91"/>
              </w:rPr>
              <w:t>50,783,698</w:t>
            </w:r>
          </w:p>
        </w:tc>
        <w:tc>
          <w:tcPr>
            <w:tcW w:w="12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30,045,929</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color w:val="003082"/>
                <w:w w:val="94"/>
              </w:rPr>
              <w:t>26,651,410</w:t>
            </w:r>
          </w:p>
        </w:tc>
        <w:tc>
          <w:tcPr>
            <w:tcW w:w="10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46,274,560</w:t>
            </w:r>
          </w:p>
        </w:tc>
        <w:tc>
          <w:tcPr>
            <w:tcW w:w="10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4"/>
                <w:szCs w:val="14"/>
                <w:color w:val="003082"/>
                <w:w w:val="94"/>
              </w:rPr>
              <w:t>34,793,413</w:t>
            </w:r>
          </w:p>
        </w:tc>
        <w:tc>
          <w:tcPr>
            <w:tcW w:w="12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73,600,134</w:t>
            </w:r>
          </w:p>
        </w:tc>
        <w:tc>
          <w:tcPr>
            <w:tcW w:w="12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003082"/>
              </w:rPr>
              <w:t>—</w:t>
            </w:r>
          </w:p>
        </w:tc>
        <w:tc>
          <w:tcPr>
            <w:tcW w:w="12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003082"/>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003082"/>
              </w:rPr>
              <w:t>239,970,397</w:t>
            </w:r>
          </w:p>
        </w:tc>
        <w:tc>
          <w:tcPr>
            <w:tcW w:w="0" w:type="dxa"/>
            <w:vAlign w:val="bottom"/>
          </w:tcPr>
          <w:p>
            <w:pPr>
              <w:spacing w:after="0"/>
              <w:rPr>
                <w:sz w:val="1"/>
                <w:szCs w:val="1"/>
                <w:color w:val="auto"/>
              </w:rPr>
            </w:pPr>
          </w:p>
        </w:tc>
      </w:tr>
      <w:tr>
        <w:trPr>
          <w:trHeight w:val="143"/>
        </w:trPr>
        <w:tc>
          <w:tcPr>
            <w:tcW w:w="11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003082"/>
              </w:rPr>
              <w:t>Issuance of</w:t>
            </w:r>
          </w:p>
        </w:tc>
        <w:tc>
          <w:tcPr>
            <w:tcW w:w="720" w:type="dxa"/>
            <w:vAlign w:val="bottom"/>
            <w:tcBorders>
              <w:top w:val="single" w:sz="8" w:color="3D5588"/>
            </w:tcBorders>
            <w:shd w:val="clear" w:color="auto" w:fill="CCEEFF"/>
          </w:tcPr>
          <w:p>
            <w:pPr>
              <w:spacing w:after="0"/>
              <w:rPr>
                <w:sz w:val="12"/>
                <w:szCs w:val="12"/>
                <w:color w:val="auto"/>
              </w:rPr>
            </w:pPr>
          </w:p>
        </w:tc>
        <w:tc>
          <w:tcPr>
            <w:tcW w:w="40" w:type="dxa"/>
            <w:vAlign w:val="bottom"/>
            <w:tcBorders>
              <w:top w:val="single" w:sz="8" w:color="3D5588"/>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3D5588"/>
            </w:tcBorders>
            <w:shd w:val="clear" w:color="auto" w:fill="CCEEFF"/>
          </w:tcPr>
          <w:p>
            <w:pPr>
              <w:spacing w:after="0"/>
              <w:rPr>
                <w:sz w:val="12"/>
                <w:szCs w:val="12"/>
                <w:color w:val="auto"/>
              </w:rPr>
            </w:pPr>
          </w:p>
        </w:tc>
        <w:tc>
          <w:tcPr>
            <w:tcW w:w="800" w:type="dxa"/>
            <w:vAlign w:val="bottom"/>
            <w:tcBorders>
              <w:top w:val="single" w:sz="8" w:color="3D5588"/>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3D5588"/>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3D5588"/>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3D5588"/>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3D5588"/>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3D5588"/>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3D5588"/>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3D5588"/>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3D5588"/>
            </w:tcBorders>
            <w:shd w:val="clear" w:color="auto" w:fill="CCEEFF"/>
          </w:tcPr>
          <w:p>
            <w:pPr>
              <w:spacing w:after="0"/>
              <w:rPr>
                <w:sz w:val="12"/>
                <w:szCs w:val="12"/>
                <w:color w:val="auto"/>
              </w:rPr>
            </w:pPr>
          </w:p>
        </w:tc>
        <w:tc>
          <w:tcPr>
            <w:tcW w:w="740" w:type="dxa"/>
            <w:vAlign w:val="bottom"/>
            <w:tcBorders>
              <w:top w:val="single" w:sz="8" w:color="3D5588"/>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3D5588"/>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003082"/>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003082"/>
              </w:rPr>
              <w:t>redeemable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003082"/>
              </w:rPr>
              <w:t>preferred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003082"/>
              </w:rPr>
              <w:t>shares, net of</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003082"/>
              </w:rPr>
              <w:t>issuance costs</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003082"/>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003082"/>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003082"/>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003082"/>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003082"/>
              </w:rPr>
              <w:t>—</w:t>
            </w: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140" w:type="dxa"/>
            <w:vAlign w:val="bottom"/>
            <w:shd w:val="clear" w:color="auto" w:fill="CCEEFF"/>
          </w:tcPr>
          <w:p>
            <w:pPr>
              <w:ind w:left="200"/>
              <w:spacing w:after="0"/>
              <w:rPr>
                <w:sz w:val="20"/>
                <w:szCs w:val="20"/>
                <w:color w:val="auto"/>
              </w:rPr>
            </w:pPr>
            <w:r>
              <w:rPr>
                <w:rFonts w:ascii="Arial" w:cs="Arial" w:eastAsia="Arial" w:hAnsi="Arial"/>
                <w:sz w:val="14"/>
                <w:szCs w:val="14"/>
                <w:color w:val="003082"/>
              </w:rPr>
              <w:t>of nil</w:t>
            </w:r>
          </w:p>
        </w:tc>
        <w:tc>
          <w:tcPr>
            <w:tcW w:w="7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003082"/>
                <w:w w:val="91"/>
              </w:rPr>
              <w:t>15,062,510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003082"/>
                <w:w w:val="88"/>
              </w:rPr>
              <w:t>50,000,002</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003082"/>
              </w:rPr>
              <w:t>50,000,002</w:t>
            </w:r>
          </w:p>
        </w:tc>
        <w:tc>
          <w:tcPr>
            <w:tcW w:w="0" w:type="dxa"/>
            <w:vAlign w:val="bottom"/>
          </w:tcPr>
          <w:p>
            <w:pPr>
              <w:spacing w:after="0"/>
              <w:rPr>
                <w:sz w:val="1"/>
                <w:szCs w:val="1"/>
                <w:color w:val="auto"/>
              </w:rPr>
            </w:pPr>
          </w:p>
        </w:tc>
      </w:tr>
      <w:tr>
        <w:trPr>
          <w:trHeight w:val="157"/>
        </w:trPr>
        <w:tc>
          <w:tcPr>
            <w:tcW w:w="1140" w:type="dxa"/>
            <w:vAlign w:val="bottom"/>
          </w:tcPr>
          <w:p>
            <w:pPr>
              <w:ind w:left="40"/>
              <w:spacing w:after="0" w:line="157" w:lineRule="exact"/>
              <w:rPr>
                <w:sz w:val="20"/>
                <w:szCs w:val="20"/>
                <w:color w:val="auto"/>
              </w:rPr>
            </w:pPr>
            <w:r>
              <w:rPr>
                <w:rFonts w:ascii="Arial" w:cs="Arial" w:eastAsia="Arial" w:hAnsi="Arial"/>
                <w:sz w:val="14"/>
                <w:szCs w:val="14"/>
                <w:color w:val="003082"/>
              </w:rPr>
              <w:t>Accretion on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redeemable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shares to</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00"/>
              <w:spacing w:after="0" w:line="149" w:lineRule="exact"/>
              <w:rPr>
                <w:sz w:val="20"/>
                <w:szCs w:val="20"/>
                <w:color w:val="auto"/>
              </w:rPr>
            </w:pPr>
            <w:r>
              <w:rPr>
                <w:rFonts w:ascii="Arial" w:cs="Arial" w:eastAsia="Arial" w:hAnsi="Arial"/>
                <w:sz w:val="14"/>
                <w:szCs w:val="14"/>
                <w:color w:val="003082"/>
              </w:rPr>
              <w:t>redemption</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003082"/>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003082"/>
              </w:rPr>
              <w: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003082"/>
              </w:rPr>
              <w:t>—</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003082"/>
              </w:rPr>
              <w:t>—</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40" w:type="dxa"/>
            <w:vAlign w:val="bottom"/>
          </w:tcPr>
          <w:p>
            <w:pPr>
              <w:ind w:left="200"/>
              <w:spacing w:after="0"/>
              <w:rPr>
                <w:sz w:val="20"/>
                <w:szCs w:val="20"/>
                <w:color w:val="auto"/>
              </w:rPr>
            </w:pPr>
            <w:r>
              <w:rPr>
                <w:rFonts w:ascii="Arial" w:cs="Arial" w:eastAsia="Arial" w:hAnsi="Arial"/>
                <w:sz w:val="14"/>
                <w:szCs w:val="14"/>
                <w:color w:val="003082"/>
              </w:rPr>
              <w:t>value</w:t>
            </w: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6"/>
              <w:spacing w:after="0"/>
              <w:rPr>
                <w:sz w:val="20"/>
                <w:szCs w:val="20"/>
                <w:color w:val="auto"/>
              </w:rPr>
            </w:pPr>
            <w:r>
              <w:rPr>
                <w:rFonts w:ascii="Arial" w:cs="Arial" w:eastAsia="Arial" w:hAnsi="Arial"/>
                <w:sz w:val="14"/>
                <w:szCs w:val="14"/>
                <w:color w:val="003082"/>
                <w:w w:val="99"/>
              </w:rPr>
              <w:t>33,579,110</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22,703</w:t>
            </w: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100,068</w:t>
            </w: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4"/>
                <w:szCs w:val="14"/>
                <w:color w:val="003082"/>
              </w:rPr>
              <w:t>1,513,546</w:t>
            </w:r>
          </w:p>
        </w:tc>
        <w:tc>
          <w:tcPr>
            <w:tcW w:w="1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003082"/>
              </w:rPr>
              <w:t>748,152</w:t>
            </w:r>
          </w:p>
        </w:tc>
        <w:tc>
          <w:tcPr>
            <w:tcW w:w="10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003082"/>
              </w:rPr>
              <w:t>35,963,579</w:t>
            </w:r>
          </w:p>
        </w:tc>
        <w:tc>
          <w:tcPr>
            <w:tcW w:w="0" w:type="dxa"/>
            <w:vAlign w:val="bottom"/>
          </w:tcPr>
          <w:p>
            <w:pPr>
              <w:spacing w:after="0"/>
              <w:rPr>
                <w:sz w:val="1"/>
                <w:szCs w:val="1"/>
                <w:color w:val="auto"/>
              </w:rPr>
            </w:pPr>
          </w:p>
        </w:tc>
      </w:tr>
      <w:tr>
        <w:trPr>
          <w:trHeight w:val="135"/>
        </w:trPr>
        <w:tc>
          <w:tcPr>
            <w:tcW w:w="1140" w:type="dxa"/>
            <w:vAlign w:val="bottom"/>
            <w:tcBorders>
              <w:top w:val="single" w:sz="8" w:color="CCEEFF"/>
            </w:tcBorders>
            <w:shd w:val="clear" w:color="auto" w:fill="CCEEFF"/>
          </w:tcPr>
          <w:p>
            <w:pPr>
              <w:ind w:left="40"/>
              <w:spacing w:after="0" w:line="135" w:lineRule="exact"/>
              <w:rPr>
                <w:sz w:val="20"/>
                <w:szCs w:val="20"/>
                <w:color w:val="auto"/>
              </w:rPr>
            </w:pPr>
            <w:r>
              <w:rPr>
                <w:rFonts w:ascii="Arial" w:cs="Arial" w:eastAsia="Arial" w:hAnsi="Arial"/>
                <w:sz w:val="14"/>
                <w:szCs w:val="14"/>
                <w:color w:val="003082"/>
              </w:rPr>
              <w:t>Balances as of</w:t>
            </w:r>
          </w:p>
        </w:tc>
        <w:tc>
          <w:tcPr>
            <w:tcW w:w="720" w:type="dxa"/>
            <w:vAlign w:val="bottom"/>
            <w:tcBorders>
              <w:top w:val="single" w:sz="8" w:color="3D5588"/>
            </w:tcBorders>
            <w:shd w:val="clear" w:color="auto" w:fill="CCEEFF"/>
          </w:tcPr>
          <w:p>
            <w:pPr>
              <w:spacing w:after="0"/>
              <w:rPr>
                <w:sz w:val="11"/>
                <w:szCs w:val="11"/>
                <w:color w:val="auto"/>
              </w:rPr>
            </w:pPr>
          </w:p>
        </w:tc>
        <w:tc>
          <w:tcPr>
            <w:tcW w:w="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3D5588"/>
            </w:tcBorders>
            <w:shd w:val="clear" w:color="auto" w:fill="CCEEFF"/>
          </w:tcPr>
          <w:p>
            <w:pPr>
              <w:spacing w:after="0"/>
              <w:rPr>
                <w:sz w:val="11"/>
                <w:szCs w:val="11"/>
                <w:color w:val="auto"/>
              </w:rPr>
            </w:pPr>
          </w:p>
        </w:tc>
        <w:tc>
          <w:tcPr>
            <w:tcW w:w="80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3D5588"/>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3D5588"/>
            </w:tcBorders>
            <w:shd w:val="clear" w:color="auto" w:fill="CCEEFF"/>
          </w:tcPr>
          <w:p>
            <w:pPr>
              <w:spacing w:after="0"/>
              <w:rPr>
                <w:sz w:val="11"/>
                <w:szCs w:val="11"/>
                <w:color w:val="auto"/>
              </w:rPr>
            </w:pPr>
          </w:p>
        </w:tc>
        <w:tc>
          <w:tcPr>
            <w:tcW w:w="740" w:type="dxa"/>
            <w:vAlign w:val="bottom"/>
            <w:tcBorders>
              <w:top w:val="single" w:sz="8" w:color="3D5588"/>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3D5588"/>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8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003082"/>
                <w:w w:val="95"/>
              </w:rPr>
              <w:t>March 31, 2020 55,626,960</w:t>
            </w:r>
          </w:p>
        </w:tc>
        <w:tc>
          <w:tcPr>
            <w:tcW w:w="260" w:type="dxa"/>
            <w:vAlign w:val="bottom"/>
            <w:gridSpan w:val="3"/>
            <w:shd w:val="clear" w:color="auto" w:fill="CCEEFF"/>
          </w:tcPr>
          <w:p>
            <w:pPr>
              <w:jc w:val="center"/>
              <w:ind w:left="88"/>
              <w:spacing w:after="0"/>
              <w:rPr>
                <w:sz w:val="20"/>
                <w:szCs w:val="20"/>
                <w:color w:val="auto"/>
              </w:rPr>
            </w:pPr>
            <w:r>
              <w:rPr>
                <w:rFonts w:ascii="Arial" w:cs="Arial" w:eastAsia="Arial" w:hAnsi="Arial"/>
                <w:sz w:val="14"/>
                <w:szCs w:val="14"/>
                <w:color w:val="003082"/>
                <w:w w:val="76"/>
              </w:rPr>
              <w:t>$</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89"/>
              </w:rPr>
              <w:t>123,628,884</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1"/>
              </w:rPr>
              <w:t>50,783,698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5"/>
              </w:rPr>
              <w:t>$30,068,632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4"/>
              </w:rPr>
              <w:t>26,651,410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5"/>
              </w:rPr>
              <w:t>$46,374,628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4"/>
                <w:szCs w:val="14"/>
                <w:color w:val="003082"/>
                <w:w w:val="94"/>
              </w:rPr>
              <w:t>34,793,413</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4"/>
                <w:szCs w:val="14"/>
                <w:color w:val="003082"/>
                <w:w w:val="95"/>
              </w:rPr>
              <w:t>$75,113,680</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003082"/>
                <w:w w:val="91"/>
              </w:rPr>
              <w:t>15,062,510</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003082"/>
                <w:w w:val="95"/>
              </w:rPr>
              <w:t>$50,748,154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003082"/>
                <w:w w:val="91"/>
              </w:rPr>
              <w:t>$ 325,933,978</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3D5588"/>
              <w:bottom w:val="single" w:sz="8" w:color="3D5588"/>
            </w:tcBorders>
          </w:tcPr>
          <w:p>
            <w:pPr>
              <w:spacing w:after="0" w:line="20" w:lineRule="exact"/>
              <w:rPr>
                <w:sz w:val="1"/>
                <w:szCs w:val="1"/>
                <w:color w:val="auto"/>
              </w:rPr>
            </w:pPr>
          </w:p>
        </w:tc>
        <w:tc>
          <w:tcPr>
            <w:tcW w:w="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8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3D5588"/>
              <w:bottom w:val="single" w:sz="8" w:color="3D5588"/>
            </w:tcBorders>
          </w:tcPr>
          <w:p>
            <w:pPr>
              <w:spacing w:after="0" w:line="20" w:lineRule="exact"/>
              <w:rPr>
                <w:sz w:val="1"/>
                <w:szCs w:val="1"/>
                <w:color w:val="auto"/>
              </w:rPr>
            </w:pPr>
          </w:p>
        </w:tc>
        <w:tc>
          <w:tcPr>
            <w:tcW w:w="740" w:type="dxa"/>
            <w:vAlign w:val="bottom"/>
            <w:tcBorders>
              <w:top w:val="single" w:sz="8" w:color="3D5588"/>
              <w:bottom w:val="single" w:sz="8" w:color="3D5588"/>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F-69</w:t>
      </w:r>
    </w:p>
    <w:p>
      <w:pPr>
        <w:sectPr>
          <w:pgSz w:w="11900" w:h="16838" w:orient="portrait"/>
          <w:cols w:equalWidth="0" w:num="1">
            <w:col w:w="11240"/>
          </w:cols>
          <w:pgMar w:left="320" w:top="769" w:right="339" w:bottom="1440" w:gutter="0" w:footer="0" w:header="0"/>
        </w:sectPr>
      </w:pPr>
    </w:p>
    <w:bookmarkStart w:id="278" w:name="page279"/>
    <w:bookmarkEnd w:id="278"/>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10. Ordinary Shares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003082"/>
        </w:rPr>
        <w:t>As of December 31, 2019 and March 31, 2020 the Company had in aggregate of 119,074,382 and 120,757,715 ordinary shares issued and outstanding, at a par value of $0.0001,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11. 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Compensation expenses recognized for share-based awards of the Company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3D5588"/>
            </w:tcBorders>
          </w:tcPr>
          <w:p>
            <w:pPr>
              <w:spacing w:after="0"/>
              <w:rPr>
                <w:sz w:val="16"/>
                <w:szCs w:val="16"/>
                <w:color w:val="auto"/>
              </w:rPr>
            </w:pPr>
          </w:p>
        </w:tc>
        <w:tc>
          <w:tcPr>
            <w:tcW w:w="2880" w:type="dxa"/>
            <w:vAlign w:val="bottom"/>
            <w:tcBorders>
              <w:bottom w:val="single" w:sz="8" w:color="3D5588"/>
            </w:tcBorders>
            <w:gridSpan w:val="4"/>
          </w:tcPr>
          <w:p>
            <w:pPr>
              <w:jc w:val="right"/>
              <w:ind w:right="553"/>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7"/>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003082"/>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Cost of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18,752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31,009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Research and development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327,112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292,393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Sales and marketing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362,732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485,229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General and administrative expenses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221,234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638,791</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2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3D5588"/>
            </w:tcBorders>
          </w:tcPr>
          <w:p>
            <w:pPr>
              <w:spacing w:after="0"/>
              <w:rPr>
                <w:sz w:val="2"/>
                <w:szCs w:val="2"/>
                <w:color w:val="auto"/>
              </w:rPr>
            </w:pPr>
          </w:p>
        </w:tc>
        <w:tc>
          <w:tcPr>
            <w:tcW w:w="118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929,830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1,447,422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003082"/>
              </w:rPr>
              <w:t>Compensation expenses recognized for different awards were summarized as below:</w:t>
            </w: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3D5588"/>
            </w:tcBorders>
          </w:tcPr>
          <w:p>
            <w:pPr>
              <w:spacing w:after="0"/>
              <w:rPr>
                <w:sz w:val="24"/>
                <w:szCs w:val="24"/>
                <w:color w:val="auto"/>
              </w:rPr>
            </w:pPr>
          </w:p>
        </w:tc>
        <w:tc>
          <w:tcPr>
            <w:tcW w:w="2880" w:type="dxa"/>
            <w:vAlign w:val="bottom"/>
            <w:tcBorders>
              <w:bottom w:val="single" w:sz="8" w:color="3D5588"/>
            </w:tcBorders>
            <w:gridSpan w:val="4"/>
          </w:tcPr>
          <w:p>
            <w:pPr>
              <w:jc w:val="right"/>
              <w:ind w:right="553"/>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200" w:type="dxa"/>
            <w:vAlign w:val="bottom"/>
            <w:tcBorders>
              <w:bottom w:val="single" w:sz="8" w:color="3D5588"/>
            </w:tcBorders>
          </w:tcPr>
          <w:p>
            <w:pPr>
              <w:jc w:val="right"/>
              <w:ind w:right="557"/>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80" w:type="dxa"/>
            <w:vAlign w:val="bottom"/>
            <w:tcBorders>
              <w:bottom w:val="single" w:sz="8" w:color="3D5588"/>
            </w:tcBorders>
          </w:tcPr>
          <w:p>
            <w:pPr>
              <w:spacing w:after="0"/>
              <w:rPr>
                <w:sz w:val="22"/>
                <w:szCs w:val="22"/>
                <w:color w:val="auto"/>
              </w:rPr>
            </w:pPr>
          </w:p>
        </w:tc>
        <w:tc>
          <w:tcPr>
            <w:tcW w:w="118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003082"/>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Equity award - share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486,863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1,185,341</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003082"/>
              </w:rPr>
              <w:t>Equity award - restricted shares</w:t>
            </w:r>
            <w:r>
              <w:rPr>
                <w:rFonts w:ascii="Arial" w:cs="Arial" w:eastAsia="Arial" w:hAnsi="Arial"/>
                <w:sz w:val="25"/>
                <w:szCs w:val="25"/>
                <w:color w:val="003082"/>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199,250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262,081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Liability award - share options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170,618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Liability award - restricted shares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003082"/>
              </w:rPr>
              <w:t>73,099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003082"/>
              </w:rPr>
              <w:t>929,830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003082"/>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1,447,422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003082"/>
              </w:rPr>
              <w:t>________________</w:t>
            </w: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20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57" w:lineRule="auto"/>
        <w:tabs>
          <w:tab w:leader="none" w:pos="340" w:val="left"/>
        </w:tabs>
        <w:numPr>
          <w:ilvl w:val="0"/>
          <w:numId w:val="142"/>
        </w:numPr>
        <w:rPr>
          <w:rFonts w:ascii="Arial" w:cs="Arial" w:eastAsia="Arial" w:hAnsi="Arial"/>
          <w:sz w:val="16"/>
          <w:szCs w:val="16"/>
          <w:color w:val="003082"/>
        </w:rPr>
      </w:pPr>
      <w:r>
        <w:rPr>
          <w:rFonts w:ascii="Arial" w:cs="Arial" w:eastAsia="Arial" w:hAnsi="Arial"/>
          <w:sz w:val="16"/>
          <w:szCs w:val="16"/>
          <w:color w:val="003082"/>
        </w:rPr>
        <w:t>Including restricted shares granted by the Founder for equity classified award of US$159,913 and US$211,753 for the three months ended March 31, 2019 and 2020, respectively.</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income tax benefit recognized in the consolidated statements of comprehensive income (loss) for share-based compensation expenses is immaterial and the Company did not capitalize any of the share-based compensation expenses as part of the cost of any assets for the three months ended March 31, 2019 and 2020,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Equity Incentive Plans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003082"/>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 In January 2019, the board of directors of Agora IO, Inc.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Agora IO, Inc.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Agora IO, Inc., each option granted under the 2018 Plan. As a result, the options to purchase shares of Agora IO, Inc. granted under the 2018 Plan became options to purchase shares of the Company, and the Company otherwise assumed the same obligations and duties in respect of such options while maintaining their respective terms and vesting schedules. This replacement of</w:t>
      </w:r>
    </w:p>
    <w:p>
      <w:pPr>
        <w:sectPr>
          <w:pgSz w:w="11900" w:h="16838" w:orient="portrait"/>
          <w:cols w:equalWidth="0" w:num="1">
            <w:col w:w="11240"/>
          </w:cols>
          <w:pgMar w:left="320" w:top="769" w:right="339" w:bottom="1440"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03082"/>
        </w:rPr>
        <w:t>F-70</w:t>
      </w:r>
    </w:p>
    <w:p>
      <w:pPr>
        <w:sectPr>
          <w:pgSz w:w="11900" w:h="16838" w:orient="portrait"/>
          <w:cols w:equalWidth="0" w:num="1">
            <w:col w:w="11240"/>
          </w:cols>
          <w:pgMar w:left="320" w:top="769" w:right="339" w:bottom="1440" w:gutter="0" w:footer="0" w:header="0"/>
          <w:type w:val="continuous"/>
        </w:sectPr>
      </w:pPr>
    </w:p>
    <w:bookmarkStart w:id="279" w:name="page280"/>
    <w:bookmarkEnd w:id="279"/>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003082"/>
        </w:rPr>
        <w:t>awards did not have any accounting consequence. On February 12, 2020, an additional 6,928,798 ordinary shares were reserved and added to the maximum aggregate number of shares that may be subject to awards and issued under the 2014 Plan. As of March 31, 2020, the total number of ordinary shares revered for issuance under the 2014 Plan are 41,541,963.</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An option granted under the 2014 Plan and 2018 Plan has a contractual term of ten years from the grant date, and will generally vest over a period of four years of continuous service, 25% of which vest upon the first anniversary of the stated vesting commencement date and the remaining vest ratably over the following 36 months.</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003082"/>
        </w:rPr>
        <w:t>Besides the continuous service condition, some options granted to the employees, directors and consultants in the Group’s PRC operations are not exercisable until (1) the earliest to occur of (a) the first sale of shares to the general public upon the closing of an underwritten public offering (x) pursuant to an effective registration statement filed under the Securities Act or (y) pursuant to a valid qualification or filing under the applicable laws of another jurisdiction under which such securities will be listed on an internationally recognized stock exchange (an “IPO”), (b) a change in control in which the successor entity has equity securities publicly traded on an internationally-recognized stock exchange, and (c) upon such date that the option may be legally exercised pursuant to applicable laws, as evidenced by a legal opinion provided to and approved by the board (each of (a), (b) and (c), a “Trigger Event”), and (2) following a Trigger Event, the completion by the Company of all relevant registrations, if any, required under PRC law with respect to the exercise of the option, including, without limitation, those required with the PRC State Administration of Foreign Exchange as determined to be necessary or desirable by the Company’s board of directors in its discretion (such date, the “Trigger Date”). The clause provides the PRC grantees a choice but not a hurdle to exercise the options in compliance with PRC laws and the exercise of the stock options is not contingent on the performance or achievement by the grantees but only based on the service condition, hence these conditions do not meet the definition of a performance condition as the vesting condition.</w:t>
      </w:r>
    </w:p>
    <w:p>
      <w:pPr>
        <w:spacing w:after="0" w:line="11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As at the end of December 31, 2019 and March 31, 2020, the Company’s total outstanding granted options to the employees, directors and consultants are to purchase 38,011,964 and 43,499,845 of ordinary shares, respectively. Among all the options granted, a portion of the awards to three key employees (a defined percentage of their respective grants) were with repurchase obligation by the Company that these holders can request the Company to purchase back their share options upon unsuccessful IPO or acquisition by another company by December 31, 2018 at the fair market value on the request date. This repurchase clause is provided only within the option grant agreements to these three employees with specified amounts to incentivize them with special contributions to the business. Therefore, the portion of the awards subject to the repurchase obligation are liability-classified awards.</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003082"/>
        </w:rPr>
        <w:t>In April 2019, the Company repurchased a portion of share options subject to repurchase obligation from the three key employees with a total consideration of US$1,576,168. The repurchase right was also waived and terminated by the grantees for the remaining portion, if any, of the awards originally subject to repurchase. Accordingly, the classification of the liability-classified awards for the unexercised portion changed back to be equity-classified, and the related share-based award liability was reclassified to additional paid-in capital on the modification date. There was no other accounting impact as a result of the repurchase and termination of repurchase right on remaining portion.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F-71</w:t>
      </w:r>
    </w:p>
    <w:p>
      <w:pPr>
        <w:sectPr>
          <w:pgSz w:w="11900" w:h="16838" w:orient="portrait"/>
          <w:cols w:equalWidth="0" w:num="1">
            <w:col w:w="11240"/>
          </w:cols>
          <w:pgMar w:left="320" w:top="769" w:right="339" w:bottom="1440" w:gutter="0" w:footer="0" w:header="0"/>
        </w:sectPr>
      </w:pPr>
    </w:p>
    <w:bookmarkStart w:id="280" w:name="page281"/>
    <w:bookmarkEnd w:id="280"/>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following table summarizes activities of the Company’s share options activity under the 2014 Plan and the 2018 Plan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003082"/>
        </w:rPr>
        <w:t>March 31, 2019 and 2020:</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Equity Classified Share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left="368"/>
              <w:spacing w:after="0"/>
              <w:rPr>
                <w:sz w:val="20"/>
                <w:szCs w:val="20"/>
                <w:color w:val="auto"/>
              </w:rPr>
            </w:pPr>
            <w:r>
              <w:rPr>
                <w:rFonts w:ascii="Arial" w:cs="Arial" w:eastAsia="Arial" w:hAnsi="Arial"/>
                <w:sz w:val="14"/>
                <w:szCs w:val="14"/>
                <w:b w:val="1"/>
                <w:bCs w:val="1"/>
                <w:color w:val="003082"/>
                <w:w w:val="91"/>
              </w:rPr>
              <w:t>Weighted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1"/>
              </w:rPr>
              <w:t>Weighted</w:t>
            </w:r>
          </w:p>
        </w:tc>
        <w:tc>
          <w:tcPr>
            <w:tcW w:w="300" w:type="dxa"/>
            <w:vAlign w:val="bottom"/>
          </w:tcPr>
          <w:p>
            <w:pPr>
              <w:spacing w:after="0"/>
              <w:rPr>
                <w:sz w:val="14"/>
                <w:szCs w:val="14"/>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003082"/>
                <w:w w:val="92"/>
              </w:rPr>
              <w:t>Aggregate</w:t>
            </w:r>
          </w:p>
        </w:tc>
        <w:tc>
          <w:tcPr>
            <w:tcW w:w="260" w:type="dxa"/>
            <w:vAlign w:val="bottom"/>
          </w:tcPr>
          <w:p>
            <w:pPr>
              <w:spacing w:after="0"/>
              <w:rPr>
                <w:sz w:val="14"/>
                <w:szCs w:val="1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003082"/>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4"/>
              </w:rPr>
              <w:t>Number of</w:t>
            </w:r>
          </w:p>
        </w:tc>
        <w:tc>
          <w:tcPr>
            <w:tcW w:w="120" w:type="dxa"/>
            <w:vAlign w:val="bottom"/>
          </w:tcPr>
          <w:p>
            <w:pPr>
              <w:spacing w:after="0"/>
              <w:rPr>
                <w:sz w:val="12"/>
                <w:szCs w:val="12"/>
                <w:color w:val="auto"/>
              </w:rPr>
            </w:pPr>
          </w:p>
        </w:tc>
        <w:tc>
          <w:tcPr>
            <w:tcW w:w="110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003082"/>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0"/>
              </w:rPr>
              <w:t>Average</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003082"/>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003082"/>
                <w:w w:val="90"/>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2"/>
              </w:rPr>
              <w:t>Remaining</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003082"/>
                <w:w w:val="95"/>
              </w:rPr>
              <w:t>Intrinsic</w:t>
            </w: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003082"/>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0"/>
              </w:rPr>
              <w:t>Options</w:t>
            </w:r>
          </w:p>
        </w:tc>
        <w:tc>
          <w:tcPr>
            <w:tcW w:w="120" w:type="dxa"/>
            <w:vAlign w:val="bottom"/>
          </w:tcPr>
          <w:p>
            <w:pPr>
              <w:spacing w:after="0"/>
              <w:rPr>
                <w:sz w:val="16"/>
                <w:szCs w:val="16"/>
                <w:color w:val="auto"/>
              </w:rPr>
            </w:pPr>
          </w:p>
        </w:tc>
        <w:tc>
          <w:tcPr>
            <w:tcW w:w="1100" w:type="dxa"/>
            <w:vAlign w:val="bottom"/>
            <w:tcBorders>
              <w:bottom w:val="single" w:sz="8" w:color="3D5588"/>
            </w:tcBorders>
          </w:tcPr>
          <w:p>
            <w:pPr>
              <w:jc w:val="center"/>
              <w:ind w:left="388"/>
              <w:spacing w:after="0"/>
              <w:rPr>
                <w:sz w:val="20"/>
                <w:szCs w:val="20"/>
                <w:color w:val="auto"/>
              </w:rPr>
            </w:pPr>
            <w:r>
              <w:rPr>
                <w:rFonts w:ascii="Arial" w:cs="Arial" w:eastAsia="Arial" w:hAnsi="Arial"/>
                <w:sz w:val="14"/>
                <w:szCs w:val="14"/>
                <w:b w:val="1"/>
                <w:bCs w:val="1"/>
                <w:color w:val="003082"/>
                <w:w w:val="93"/>
              </w:rPr>
              <w:t>Price</w:t>
            </w:r>
          </w:p>
        </w:tc>
        <w:tc>
          <w:tcPr>
            <w:tcW w:w="46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5"/>
              </w:rPr>
              <w:t>Contractual Life</w:t>
            </w:r>
          </w:p>
        </w:tc>
        <w:tc>
          <w:tcPr>
            <w:tcW w:w="100" w:type="dxa"/>
            <w:vAlign w:val="bottom"/>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1260" w:type="dxa"/>
            <w:vAlign w:val="bottom"/>
            <w:tcBorders>
              <w:bottom w:val="single" w:sz="8" w:color="3D5588"/>
            </w:tcBorders>
          </w:tcPr>
          <w:p>
            <w:pPr>
              <w:jc w:val="center"/>
              <w:ind w:right="220"/>
              <w:spacing w:after="0"/>
              <w:rPr>
                <w:sz w:val="20"/>
                <w:szCs w:val="20"/>
                <w:color w:val="auto"/>
              </w:rPr>
            </w:pPr>
            <w:r>
              <w:rPr>
                <w:rFonts w:ascii="Arial" w:cs="Arial" w:eastAsia="Arial" w:hAnsi="Arial"/>
                <w:sz w:val="14"/>
                <w:szCs w:val="14"/>
                <w:b w:val="1"/>
                <w:bCs w:val="1"/>
                <w:color w:val="003082"/>
                <w:w w:val="96"/>
              </w:rPr>
              <w:t>Value</w:t>
            </w:r>
          </w:p>
        </w:tc>
        <w:tc>
          <w:tcPr>
            <w:tcW w:w="120" w:type="dxa"/>
            <w:vAlign w:val="bottom"/>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tcPr>
          <w:p>
            <w:pPr>
              <w:jc w:val="center"/>
              <w:ind w:right="180"/>
              <w:spacing w:after="0"/>
              <w:rPr>
                <w:sz w:val="20"/>
                <w:szCs w:val="20"/>
                <w:color w:val="auto"/>
              </w:rPr>
            </w:pPr>
            <w:r>
              <w:rPr>
                <w:rFonts w:ascii="Arial" w:cs="Arial" w:eastAsia="Arial" w:hAnsi="Arial"/>
                <w:sz w:val="14"/>
                <w:szCs w:val="14"/>
                <w:b w:val="1"/>
                <w:bCs w:val="1"/>
                <w:color w:val="003082"/>
                <w:w w:val="95"/>
              </w:rPr>
              <w:t>Fair Value</w:t>
            </w: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color w:val="003082"/>
                <w:w w:val="98"/>
              </w:rPr>
              <w:t>(US$)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003082"/>
                <w:w w:val="88"/>
              </w:rPr>
              <w:t>In Years</w:t>
            </w: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color w:val="003082"/>
                <w:w w:val="98"/>
              </w:rPr>
              <w:t>(US$)</w:t>
            </w:r>
          </w:p>
        </w:tc>
        <w:tc>
          <w:tcPr>
            <w:tcW w:w="260" w:type="dxa"/>
            <w:vAlign w:val="bottom"/>
          </w:tcPr>
          <w:p>
            <w:pPr>
              <w:spacing w:after="0"/>
              <w:rPr>
                <w:sz w:val="22"/>
                <w:szCs w:val="22"/>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2019</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33,660,957</w:t>
            </w:r>
          </w:p>
        </w:tc>
        <w:tc>
          <w:tcPr>
            <w:tcW w:w="12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color w:val="003082"/>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w w:val="96"/>
              </w:rPr>
              <w:t>0.11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003082"/>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003082"/>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003082"/>
              </w:rPr>
              <w:t>19,994,575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003082"/>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003082"/>
              </w:rPr>
              <w:t>0.23</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Pr>
          <w:p>
            <w:pPr>
              <w:jc w:val="right"/>
              <w:ind w:right="54"/>
              <w:spacing w:after="0"/>
              <w:rPr>
                <w:sz w:val="20"/>
                <w:szCs w:val="20"/>
                <w:color w:val="auto"/>
              </w:rPr>
            </w:pPr>
            <w:r>
              <w:rPr>
                <w:rFonts w:ascii="Arial" w:cs="Arial" w:eastAsia="Arial" w:hAnsi="Arial"/>
                <w:sz w:val="18"/>
                <w:szCs w:val="18"/>
                <w:color w:val="003082"/>
              </w:rPr>
              <w:t>1,567,500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003082"/>
                <w:w w:val="96"/>
              </w:rPr>
              <w:t>0.29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003082"/>
              </w:rPr>
              <w:t>0.62</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(49,846)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w w:val="96"/>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003082"/>
              </w:rPr>
              <w:t>Outstanding at March 31, 2019</w:t>
            </w:r>
          </w:p>
        </w:tc>
        <w:tc>
          <w:tcPr>
            <w:tcW w:w="1600" w:type="dxa"/>
            <w:vAlign w:val="bottom"/>
            <w:tcBorders>
              <w:top w:val="single" w:sz="8" w:color="3D5588"/>
            </w:tcBorders>
          </w:tcPr>
          <w:p>
            <w:pPr>
              <w:jc w:val="right"/>
              <w:ind w:right="54"/>
              <w:spacing w:after="0"/>
              <w:rPr>
                <w:sz w:val="20"/>
                <w:szCs w:val="20"/>
                <w:color w:val="auto"/>
              </w:rPr>
            </w:pPr>
            <w:r>
              <w:rPr>
                <w:rFonts w:ascii="Arial" w:cs="Arial" w:eastAsia="Arial" w:hAnsi="Arial"/>
                <w:sz w:val="18"/>
                <w:szCs w:val="18"/>
                <w:color w:val="003082"/>
              </w:rPr>
              <w:t>35,178,611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003082"/>
                <w:w w:val="96"/>
              </w:rPr>
              <w:t>0.12</w:t>
            </w:r>
          </w:p>
        </w:tc>
        <w:tc>
          <w:tcPr>
            <w:tcW w:w="100" w:type="dxa"/>
            <w:vAlign w:val="bottom"/>
          </w:tcPr>
          <w:p>
            <w:pPr>
              <w:spacing w:after="0"/>
              <w:rPr>
                <w:sz w:val="20"/>
                <w:szCs w:val="20"/>
                <w:color w:val="auto"/>
              </w:rPr>
            </w:pPr>
          </w:p>
        </w:tc>
        <w:tc>
          <w:tcPr>
            <w:tcW w:w="1580" w:type="dxa"/>
            <w:vAlign w:val="bottom"/>
          </w:tcPr>
          <w:p>
            <w:pPr>
              <w:jc w:val="right"/>
              <w:ind w:right="41"/>
              <w:spacing w:after="0"/>
              <w:rPr>
                <w:sz w:val="20"/>
                <w:szCs w:val="20"/>
                <w:color w:val="auto"/>
              </w:rPr>
            </w:pPr>
            <w:r>
              <w:rPr>
                <w:rFonts w:ascii="Arial" w:cs="Arial" w:eastAsia="Arial" w:hAnsi="Arial"/>
                <w:sz w:val="18"/>
                <w:szCs w:val="18"/>
                <w:color w:val="003082"/>
              </w:rPr>
              <w:t>7.76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003082"/>
              </w:rPr>
              <w:t>25,641,578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003082"/>
              </w:rPr>
              <w:t>0.24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2020</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38,011,964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w w:val="96"/>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003082"/>
              </w:rPr>
              <w:t>7.22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003082"/>
              </w:rPr>
              <w:t>51,303,638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003082"/>
              </w:rPr>
              <w:t>0.31</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Pr>
          <w:p>
            <w:pPr>
              <w:jc w:val="right"/>
              <w:ind w:right="54"/>
              <w:spacing w:after="0"/>
              <w:rPr>
                <w:sz w:val="20"/>
                <w:szCs w:val="20"/>
                <w:color w:val="auto"/>
              </w:rPr>
            </w:pPr>
            <w:r>
              <w:rPr>
                <w:rFonts w:ascii="Arial" w:cs="Arial" w:eastAsia="Arial" w:hAnsi="Arial"/>
                <w:sz w:val="18"/>
                <w:szCs w:val="18"/>
                <w:color w:val="003082"/>
              </w:rPr>
              <w:t>5,835,100</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003082"/>
                <w:w w:val="96"/>
              </w:rPr>
              <w:t>0.22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003082"/>
              </w:rPr>
              <w:t>1.58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(347,219)</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w w:val="96"/>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003082"/>
              </w:rPr>
              <w:t>Outstanding at March 31, 2020</w:t>
            </w:r>
          </w:p>
        </w:tc>
        <w:tc>
          <w:tcPr>
            <w:tcW w:w="1600" w:type="dxa"/>
            <w:vAlign w:val="bottom"/>
            <w:tcBorders>
              <w:top w:val="single" w:sz="8" w:color="3D5588"/>
              <w:bottom w:val="single" w:sz="8" w:color="3D5588"/>
            </w:tcBorders>
          </w:tcPr>
          <w:p>
            <w:pPr>
              <w:jc w:val="right"/>
              <w:ind w:right="54"/>
              <w:spacing w:after="0"/>
              <w:rPr>
                <w:sz w:val="20"/>
                <w:szCs w:val="20"/>
                <w:color w:val="auto"/>
              </w:rPr>
            </w:pPr>
            <w:r>
              <w:rPr>
                <w:rFonts w:ascii="Arial" w:cs="Arial" w:eastAsia="Arial" w:hAnsi="Arial"/>
                <w:sz w:val="18"/>
                <w:szCs w:val="18"/>
                <w:color w:val="003082"/>
              </w:rPr>
              <w:t>43,499,845</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003082"/>
                <w:w w:val="96"/>
              </w:rPr>
              <w:t>0.14</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ind w:right="41"/>
              <w:spacing w:after="0"/>
              <w:rPr>
                <w:sz w:val="20"/>
                <w:szCs w:val="20"/>
                <w:color w:val="auto"/>
              </w:rPr>
            </w:pPr>
            <w:r>
              <w:rPr>
                <w:rFonts w:ascii="Arial" w:cs="Arial" w:eastAsia="Arial" w:hAnsi="Arial"/>
                <w:sz w:val="18"/>
                <w:szCs w:val="18"/>
                <w:color w:val="003082"/>
              </w:rPr>
              <w:t>7.34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003082"/>
              </w:rPr>
              <w:t>83,669,193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003082"/>
              </w:rPr>
              <w:t>0.48</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003082"/>
                <w:w w:val="95"/>
              </w:rPr>
              <w:t>Vested and expected to vest at March</w:t>
            </w:r>
          </w:p>
        </w:tc>
        <w:tc>
          <w:tcPr>
            <w:tcW w:w="16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003082"/>
              </w:rPr>
              <w:t>21,573,459</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003082"/>
              </w:rPr>
              <w:t>31, 2020</w:t>
            </w:r>
          </w:p>
        </w:tc>
        <w:tc>
          <w:tcPr>
            <w:tcW w:w="1600" w:type="dxa"/>
            <w:vAlign w:val="bottom"/>
            <w:tcBorders>
              <w:bottom w:val="single" w:sz="8" w:color="3D5588"/>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Pr>
          <w:p>
            <w:pPr>
              <w:ind w:left="40"/>
              <w:spacing w:after="0"/>
              <w:rPr>
                <w:sz w:val="20"/>
                <w:szCs w:val="20"/>
                <w:color w:val="auto"/>
              </w:rPr>
            </w:pPr>
            <w:r>
              <w:rPr>
                <w:rFonts w:ascii="Arial" w:cs="Arial" w:eastAsia="Arial" w:hAnsi="Arial"/>
                <w:sz w:val="18"/>
                <w:szCs w:val="18"/>
                <w:color w:val="003082"/>
              </w:rPr>
              <w:t>Exercisable at March 31, 2020</w:t>
            </w:r>
          </w:p>
        </w:tc>
        <w:tc>
          <w:tcPr>
            <w:tcW w:w="1600" w:type="dxa"/>
            <w:vAlign w:val="bottom"/>
            <w:tcBorders>
              <w:bottom w:val="single" w:sz="8" w:color="3D5588"/>
            </w:tcBorders>
          </w:tcPr>
          <w:p>
            <w:pPr>
              <w:jc w:val="right"/>
              <w:ind w:right="54"/>
              <w:spacing w:after="0"/>
              <w:rPr>
                <w:sz w:val="20"/>
                <w:szCs w:val="20"/>
                <w:color w:val="auto"/>
              </w:rPr>
            </w:pPr>
            <w:r>
              <w:rPr>
                <w:rFonts w:ascii="Arial" w:cs="Arial" w:eastAsia="Arial" w:hAnsi="Arial"/>
                <w:sz w:val="18"/>
                <w:szCs w:val="18"/>
                <w:color w:val="003082"/>
              </w:rPr>
              <w:t>21,573,459</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ind w:left="340"/>
              <w:spacing w:after="0"/>
              <w:rPr>
                <w:sz w:val="20"/>
                <w:szCs w:val="20"/>
                <w:color w:val="auto"/>
              </w:rPr>
            </w:pPr>
            <w:r>
              <w:rPr>
                <w:rFonts w:ascii="Arial" w:cs="Arial" w:eastAsia="Arial" w:hAnsi="Arial"/>
                <w:sz w:val="18"/>
                <w:szCs w:val="18"/>
                <w:i w:val="1"/>
                <w:iCs w:val="1"/>
                <w:color w:val="003082"/>
                <w:w w:val="98"/>
              </w:rPr>
              <w:t>Liability Classified Share Options</w:t>
            </w:r>
          </w:p>
        </w:tc>
        <w:tc>
          <w:tcPr>
            <w:tcW w:w="16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left="368"/>
              <w:spacing w:after="0"/>
              <w:rPr>
                <w:sz w:val="20"/>
                <w:szCs w:val="20"/>
                <w:color w:val="auto"/>
              </w:rPr>
            </w:pPr>
            <w:r>
              <w:rPr>
                <w:rFonts w:ascii="Arial" w:cs="Arial" w:eastAsia="Arial" w:hAnsi="Arial"/>
                <w:sz w:val="14"/>
                <w:szCs w:val="14"/>
                <w:b w:val="1"/>
                <w:bCs w:val="1"/>
                <w:color w:val="003082"/>
                <w:w w:val="91"/>
              </w:rPr>
              <w:t>Weighted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003082"/>
                <w:w w:val="91"/>
              </w:rPr>
              <w:t>Weighted</w:t>
            </w:r>
          </w:p>
        </w:tc>
        <w:tc>
          <w:tcPr>
            <w:tcW w:w="300" w:type="dxa"/>
            <w:vAlign w:val="bottom"/>
          </w:tcPr>
          <w:p>
            <w:pPr>
              <w:spacing w:after="0"/>
              <w:rPr>
                <w:sz w:val="24"/>
                <w:szCs w:val="24"/>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003082"/>
                <w:w w:val="92"/>
              </w:rPr>
              <w:t>Aggregate</w:t>
            </w:r>
          </w:p>
        </w:tc>
        <w:tc>
          <w:tcPr>
            <w:tcW w:w="260" w:type="dxa"/>
            <w:vAlign w:val="bottom"/>
          </w:tcPr>
          <w:p>
            <w:pPr>
              <w:spacing w:after="0"/>
              <w:rPr>
                <w:sz w:val="24"/>
                <w:szCs w:val="24"/>
                <w:color w:val="auto"/>
              </w:rPr>
            </w:pPr>
          </w:p>
        </w:tc>
        <w:tc>
          <w:tcPr>
            <w:tcW w:w="1300" w:type="dxa"/>
            <w:vAlign w:val="bottom"/>
          </w:tcPr>
          <w:p>
            <w:pPr>
              <w:jc w:val="center"/>
              <w:ind w:right="200"/>
              <w:spacing w:after="0"/>
              <w:rPr>
                <w:sz w:val="20"/>
                <w:szCs w:val="20"/>
                <w:color w:val="auto"/>
              </w:rPr>
            </w:pPr>
            <w:r>
              <w:rPr>
                <w:rFonts w:ascii="Arial" w:cs="Arial" w:eastAsia="Arial" w:hAnsi="Arial"/>
                <w:sz w:val="14"/>
                <w:szCs w:val="14"/>
                <w:b w:val="1"/>
                <w:bCs w:val="1"/>
                <w:color w:val="003082"/>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003082"/>
                <w:w w:val="94"/>
              </w:rPr>
              <w:t>Number of</w:t>
            </w:r>
          </w:p>
        </w:tc>
        <w:tc>
          <w:tcPr>
            <w:tcW w:w="120" w:type="dxa"/>
            <w:vAlign w:val="bottom"/>
          </w:tcPr>
          <w:p>
            <w:pPr>
              <w:spacing w:after="0"/>
              <w:rPr>
                <w:sz w:val="12"/>
                <w:szCs w:val="12"/>
                <w:color w:val="auto"/>
              </w:rPr>
            </w:pPr>
          </w:p>
        </w:tc>
        <w:tc>
          <w:tcPr>
            <w:tcW w:w="1100" w:type="dxa"/>
            <w:vAlign w:val="bottom"/>
          </w:tcPr>
          <w:p>
            <w:pPr>
              <w:jc w:val="center"/>
              <w:ind w:left="368"/>
              <w:spacing w:after="0" w:line="149" w:lineRule="exact"/>
              <w:rPr>
                <w:sz w:val="20"/>
                <w:szCs w:val="20"/>
                <w:color w:val="auto"/>
              </w:rPr>
            </w:pPr>
            <w:r>
              <w:rPr>
                <w:rFonts w:ascii="Arial" w:cs="Arial" w:eastAsia="Arial" w:hAnsi="Arial"/>
                <w:sz w:val="14"/>
                <w:szCs w:val="14"/>
                <w:b w:val="1"/>
                <w:bCs w:val="1"/>
                <w:color w:val="003082"/>
                <w:w w:val="90"/>
              </w:rPr>
              <w:t>Average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0"/>
              </w:rPr>
              <w:t>Average</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003082"/>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003082"/>
                <w:w w:val="90"/>
              </w:rPr>
              <w:t>Exercise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003082"/>
                <w:w w:val="92"/>
              </w:rPr>
              <w:t>Remaining</w:t>
            </w:r>
          </w:p>
        </w:tc>
        <w:tc>
          <w:tcPr>
            <w:tcW w:w="30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003082"/>
                <w:w w:val="95"/>
              </w:rPr>
              <w:t>Intrinsic</w:t>
            </w:r>
          </w:p>
        </w:tc>
        <w:tc>
          <w:tcPr>
            <w:tcW w:w="260" w:type="dxa"/>
            <w:vAlign w:val="bottom"/>
          </w:tcPr>
          <w:p>
            <w:pPr>
              <w:spacing w:after="0"/>
              <w:rPr>
                <w:sz w:val="12"/>
                <w:szCs w:val="12"/>
                <w:color w:val="auto"/>
              </w:rPr>
            </w:pPr>
          </w:p>
        </w:tc>
        <w:tc>
          <w:tcPr>
            <w:tcW w:w="130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003082"/>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0"/>
              </w:rPr>
              <w:t>Options</w:t>
            </w:r>
          </w:p>
        </w:tc>
        <w:tc>
          <w:tcPr>
            <w:tcW w:w="120" w:type="dxa"/>
            <w:vAlign w:val="bottom"/>
          </w:tcPr>
          <w:p>
            <w:pPr>
              <w:spacing w:after="0"/>
              <w:rPr>
                <w:sz w:val="16"/>
                <w:szCs w:val="16"/>
                <w:color w:val="auto"/>
              </w:rPr>
            </w:pPr>
          </w:p>
        </w:tc>
        <w:tc>
          <w:tcPr>
            <w:tcW w:w="1100" w:type="dxa"/>
            <w:vAlign w:val="bottom"/>
            <w:tcBorders>
              <w:bottom w:val="single" w:sz="8" w:color="3D5588"/>
            </w:tcBorders>
          </w:tcPr>
          <w:p>
            <w:pPr>
              <w:jc w:val="center"/>
              <w:ind w:left="388"/>
              <w:spacing w:after="0"/>
              <w:rPr>
                <w:sz w:val="20"/>
                <w:szCs w:val="20"/>
                <w:color w:val="auto"/>
              </w:rPr>
            </w:pPr>
            <w:r>
              <w:rPr>
                <w:rFonts w:ascii="Arial" w:cs="Arial" w:eastAsia="Arial" w:hAnsi="Arial"/>
                <w:sz w:val="14"/>
                <w:szCs w:val="14"/>
                <w:b w:val="1"/>
                <w:bCs w:val="1"/>
                <w:color w:val="003082"/>
                <w:w w:val="93"/>
              </w:rPr>
              <w:t>Price</w:t>
            </w:r>
          </w:p>
        </w:tc>
        <w:tc>
          <w:tcPr>
            <w:tcW w:w="460" w:type="dxa"/>
            <w:vAlign w:val="bottom"/>
            <w:tcBorders>
              <w:bottom w:val="single" w:sz="8" w:color="3D5588"/>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3D5588"/>
            </w:tcBorders>
          </w:tcPr>
          <w:p>
            <w:pPr>
              <w:jc w:val="center"/>
              <w:spacing w:after="0"/>
              <w:rPr>
                <w:sz w:val="20"/>
                <w:szCs w:val="20"/>
                <w:color w:val="auto"/>
              </w:rPr>
            </w:pPr>
            <w:r>
              <w:rPr>
                <w:rFonts w:ascii="Arial" w:cs="Arial" w:eastAsia="Arial" w:hAnsi="Arial"/>
                <w:sz w:val="14"/>
                <w:szCs w:val="14"/>
                <w:b w:val="1"/>
                <w:bCs w:val="1"/>
                <w:color w:val="003082"/>
                <w:w w:val="95"/>
              </w:rPr>
              <w:t>Contractual Life</w:t>
            </w:r>
          </w:p>
        </w:tc>
        <w:tc>
          <w:tcPr>
            <w:tcW w:w="100" w:type="dxa"/>
            <w:vAlign w:val="bottom"/>
          </w:tcPr>
          <w:p>
            <w:pPr>
              <w:spacing w:after="0"/>
              <w:rPr>
                <w:sz w:val="16"/>
                <w:szCs w:val="16"/>
                <w:color w:val="auto"/>
              </w:rPr>
            </w:pPr>
          </w:p>
        </w:tc>
        <w:tc>
          <w:tcPr>
            <w:tcW w:w="300" w:type="dxa"/>
            <w:vAlign w:val="bottom"/>
            <w:tcBorders>
              <w:bottom w:val="single" w:sz="8" w:color="3D5588"/>
            </w:tcBorders>
          </w:tcPr>
          <w:p>
            <w:pPr>
              <w:spacing w:after="0"/>
              <w:rPr>
                <w:sz w:val="16"/>
                <w:szCs w:val="16"/>
                <w:color w:val="auto"/>
              </w:rPr>
            </w:pPr>
          </w:p>
        </w:tc>
        <w:tc>
          <w:tcPr>
            <w:tcW w:w="1260" w:type="dxa"/>
            <w:vAlign w:val="bottom"/>
            <w:tcBorders>
              <w:bottom w:val="single" w:sz="8" w:color="3D5588"/>
            </w:tcBorders>
          </w:tcPr>
          <w:p>
            <w:pPr>
              <w:jc w:val="center"/>
              <w:ind w:right="220"/>
              <w:spacing w:after="0"/>
              <w:rPr>
                <w:sz w:val="20"/>
                <w:szCs w:val="20"/>
                <w:color w:val="auto"/>
              </w:rPr>
            </w:pPr>
            <w:r>
              <w:rPr>
                <w:rFonts w:ascii="Arial" w:cs="Arial" w:eastAsia="Arial" w:hAnsi="Arial"/>
                <w:sz w:val="14"/>
                <w:szCs w:val="14"/>
                <w:b w:val="1"/>
                <w:bCs w:val="1"/>
                <w:color w:val="003082"/>
                <w:w w:val="96"/>
              </w:rPr>
              <w:t>Value</w:t>
            </w:r>
          </w:p>
        </w:tc>
        <w:tc>
          <w:tcPr>
            <w:tcW w:w="120" w:type="dxa"/>
            <w:vAlign w:val="bottom"/>
          </w:tcPr>
          <w:p>
            <w:pPr>
              <w:spacing w:after="0"/>
              <w:rPr>
                <w:sz w:val="16"/>
                <w:szCs w:val="16"/>
                <w:color w:val="auto"/>
              </w:rPr>
            </w:pPr>
          </w:p>
        </w:tc>
        <w:tc>
          <w:tcPr>
            <w:tcW w:w="260" w:type="dxa"/>
            <w:vAlign w:val="bottom"/>
            <w:tcBorders>
              <w:bottom w:val="single" w:sz="8" w:color="3D5588"/>
            </w:tcBorders>
          </w:tcPr>
          <w:p>
            <w:pPr>
              <w:spacing w:after="0"/>
              <w:rPr>
                <w:sz w:val="16"/>
                <w:szCs w:val="16"/>
                <w:color w:val="auto"/>
              </w:rPr>
            </w:pPr>
          </w:p>
        </w:tc>
        <w:tc>
          <w:tcPr>
            <w:tcW w:w="1300" w:type="dxa"/>
            <w:vAlign w:val="bottom"/>
            <w:tcBorders>
              <w:bottom w:val="single" w:sz="8" w:color="3D5588"/>
            </w:tcBorders>
          </w:tcPr>
          <w:p>
            <w:pPr>
              <w:jc w:val="center"/>
              <w:ind w:right="180"/>
              <w:spacing w:after="0"/>
              <w:rPr>
                <w:sz w:val="20"/>
                <w:szCs w:val="20"/>
                <w:color w:val="auto"/>
              </w:rPr>
            </w:pPr>
            <w:r>
              <w:rPr>
                <w:rFonts w:ascii="Arial" w:cs="Arial" w:eastAsia="Arial" w:hAnsi="Arial"/>
                <w:sz w:val="14"/>
                <w:szCs w:val="14"/>
                <w:b w:val="1"/>
                <w:bCs w:val="1"/>
                <w:color w:val="003082"/>
                <w:w w:val="95"/>
              </w:rPr>
              <w:t>Fair Value</w:t>
            </w: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center"/>
              <w:ind w:left="388"/>
              <w:spacing w:after="0"/>
              <w:rPr>
                <w:sz w:val="20"/>
                <w:szCs w:val="20"/>
                <w:color w:val="auto"/>
              </w:rPr>
            </w:pPr>
            <w:r>
              <w:rPr>
                <w:rFonts w:ascii="Arial" w:cs="Arial" w:eastAsia="Arial" w:hAnsi="Arial"/>
                <w:sz w:val="14"/>
                <w:szCs w:val="14"/>
                <w:color w:val="003082"/>
                <w:w w:val="98"/>
              </w:rPr>
              <w:t>(US$)</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003082"/>
                <w:w w:val="88"/>
              </w:rPr>
              <w:t>In Years</w:t>
            </w:r>
          </w:p>
        </w:tc>
        <w:tc>
          <w:tcPr>
            <w:tcW w:w="300" w:type="dxa"/>
            <w:vAlign w:val="bottom"/>
          </w:tcPr>
          <w:p>
            <w:pPr>
              <w:spacing w:after="0"/>
              <w:rPr>
                <w:sz w:val="22"/>
                <w:szCs w:val="22"/>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color w:val="003082"/>
                <w:w w:val="98"/>
              </w:rPr>
              <w:t>(US$)</w:t>
            </w:r>
          </w:p>
        </w:tc>
        <w:tc>
          <w:tcPr>
            <w:tcW w:w="260" w:type="dxa"/>
            <w:vAlign w:val="bottom"/>
          </w:tcPr>
          <w:p>
            <w:pPr>
              <w:spacing w:after="0"/>
              <w:rPr>
                <w:sz w:val="22"/>
                <w:szCs w:val="22"/>
                <w:color w:val="auto"/>
              </w:rPr>
            </w:pPr>
          </w:p>
        </w:tc>
        <w:tc>
          <w:tcPr>
            <w:tcW w:w="1300" w:type="dxa"/>
            <w:vAlign w:val="bottom"/>
          </w:tcPr>
          <w:p>
            <w:pPr>
              <w:jc w:val="center"/>
              <w:ind w:right="180"/>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Outstanding at January 1, 2019</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1,150,784</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003082"/>
                <w:w w:val="96"/>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5.97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003082"/>
              </w:rPr>
              <w:t>689,258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003082"/>
              </w:rPr>
              <w:t>0.07</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003082"/>
              </w:rPr>
              <w:t>Granted</w:t>
            </w:r>
          </w:p>
        </w:tc>
        <w:tc>
          <w:tcPr>
            <w:tcW w:w="1600" w:type="dxa"/>
            <w:vAlign w:val="bottom"/>
          </w:tcPr>
          <w:p>
            <w:pPr>
              <w:jc w:val="right"/>
              <w:ind w:right="54"/>
              <w:spacing w:after="0"/>
              <w:rPr>
                <w:sz w:val="20"/>
                <w:szCs w:val="20"/>
                <w:color w:val="auto"/>
              </w:rPr>
            </w:pPr>
            <w:r>
              <w:rPr>
                <w:rFonts w:ascii="Arial" w:cs="Arial" w:eastAsia="Arial" w:hAnsi="Arial"/>
                <w:sz w:val="18"/>
                <w:szCs w:val="18"/>
                <w:color w:val="003082"/>
              </w:rPr>
              <w: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Forfeited</w:t>
            </w:r>
          </w:p>
        </w:tc>
        <w:tc>
          <w:tcPr>
            <w:tcW w:w="16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003082"/>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940" w:type="dxa"/>
            <w:vAlign w:val="bottom"/>
          </w:tcPr>
          <w:p>
            <w:pPr>
              <w:ind w:left="40"/>
              <w:spacing w:after="0"/>
              <w:rPr>
                <w:sz w:val="20"/>
                <w:szCs w:val="20"/>
                <w:color w:val="auto"/>
              </w:rPr>
            </w:pPr>
            <w:r>
              <w:rPr>
                <w:rFonts w:ascii="Arial" w:cs="Arial" w:eastAsia="Arial" w:hAnsi="Arial"/>
                <w:sz w:val="18"/>
                <w:szCs w:val="18"/>
                <w:color w:val="003082"/>
              </w:rPr>
              <w:t>Outstanding at March 31, 2019</w:t>
            </w:r>
          </w:p>
        </w:tc>
        <w:tc>
          <w:tcPr>
            <w:tcW w:w="1600" w:type="dxa"/>
            <w:vAlign w:val="bottom"/>
            <w:tcBorders>
              <w:top w:val="single" w:sz="8" w:color="3D5588"/>
              <w:bottom w:val="single" w:sz="8" w:color="3D5588"/>
            </w:tcBorders>
          </w:tcPr>
          <w:p>
            <w:pPr>
              <w:jc w:val="right"/>
              <w:ind w:right="54"/>
              <w:spacing w:after="0"/>
              <w:rPr>
                <w:sz w:val="20"/>
                <w:szCs w:val="20"/>
                <w:color w:val="auto"/>
              </w:rPr>
            </w:pPr>
            <w:r>
              <w:rPr>
                <w:rFonts w:ascii="Arial" w:cs="Arial" w:eastAsia="Arial" w:hAnsi="Arial"/>
                <w:sz w:val="18"/>
                <w:szCs w:val="18"/>
                <w:color w:val="003082"/>
              </w:rPr>
              <w:t>1,150,784</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003082"/>
                <w:w w:val="96"/>
              </w:rPr>
              <w:t>0.10</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03082"/>
              </w:rPr>
              <w:t>5.72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Arial" w:cs="Arial" w:eastAsia="Arial" w:hAnsi="Arial"/>
                <w:sz w:val="18"/>
                <w:szCs w:val="18"/>
                <w:color w:val="003082"/>
              </w:rPr>
              <w:t>856,649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003082"/>
              </w:rPr>
              <w:t>0.07</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aggregate intrinsic value is calculated as the difference between the exercise price of the options and the estimated fair value of the underlying shares of US$26,498,227 and US$83,669,193 as of December 31, 2019 and March 31, 2020,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total fair value of share options vested during the three months ended March 31, 2019 and 2020 was US$624,170 and US$687,239, respectively.</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shared-based compensation expenses in relation to the share option recognized for the three months ended March 31, 2019 and 2020 were US$657,481 and US$1,185,341,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F-72</w:t>
      </w:r>
    </w:p>
    <w:p>
      <w:pPr>
        <w:sectPr>
          <w:pgSz w:w="11900" w:h="16838" w:orient="portrait"/>
          <w:cols w:equalWidth="0" w:num="1">
            <w:col w:w="11240"/>
          </w:cols>
          <w:pgMar w:left="320" w:top="769" w:right="33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As of December 31, 2019 and March 31, 2020, there were US$7,157,467 and US$14,971,690 of unrecognized share-based compensation expenses related to share options granted by the Company, which were expected to be recognized over a weighted-average vesting period of 1.4 and 1.5 years, respectively.</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fair value of options granted under the Company’s Plans for the three months ended March 31, 2019 and 2020 used the binomial option pricing model, with the assumptions (or ranges thereof) in the following table: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4000" w:type="dxa"/>
            <w:vAlign w:val="bottom"/>
            <w:tcBorders>
              <w:bottom w:val="single" w:sz="8" w:color="3D5588"/>
            </w:tcBorders>
            <w:gridSpan w:val="3"/>
          </w:tcPr>
          <w:p>
            <w:pPr>
              <w:ind w:left="1880"/>
              <w:spacing w:after="0"/>
              <w:rPr>
                <w:sz w:val="20"/>
                <w:szCs w:val="20"/>
                <w:color w:val="auto"/>
              </w:rPr>
            </w:pPr>
            <w:r>
              <w:rPr>
                <w:rFonts w:ascii="Arial" w:cs="Arial" w:eastAsia="Arial" w:hAnsi="Arial"/>
                <w:sz w:val="14"/>
                <w:szCs w:val="14"/>
                <w:b w:val="1"/>
                <w:bCs w:val="1"/>
                <w:color w:val="003082"/>
              </w:rPr>
              <w:t>Three Months Ended March 31,</w:t>
            </w:r>
          </w:p>
        </w:tc>
        <w:tc>
          <w:tcPr>
            <w:tcW w:w="1720" w:type="dxa"/>
            <w:vAlign w:val="bottom"/>
            <w:tcBorders>
              <w:bottom w:val="single" w:sz="8" w:color="3D5588"/>
            </w:tcBorders>
          </w:tcPr>
          <w:p>
            <w:pPr>
              <w:spacing w:after="0"/>
              <w:rPr>
                <w:sz w:val="16"/>
                <w:szCs w:val="16"/>
                <w:color w:val="auto"/>
              </w:rPr>
            </w:pPr>
          </w:p>
        </w:tc>
      </w:tr>
      <w:tr>
        <w:trPr>
          <w:trHeight w:val="264"/>
        </w:trPr>
        <w:tc>
          <w:tcPr>
            <w:tcW w:w="5520" w:type="dxa"/>
            <w:vAlign w:val="bottom"/>
            <w:tcBorders>
              <w:bottom w:val="single" w:sz="8" w:color="CCEEFF"/>
            </w:tcBorders>
          </w:tcPr>
          <w:p>
            <w:pPr>
              <w:spacing w:after="0"/>
              <w:rPr>
                <w:sz w:val="22"/>
                <w:szCs w:val="22"/>
                <w:color w:val="auto"/>
              </w:rPr>
            </w:pPr>
          </w:p>
        </w:tc>
        <w:tc>
          <w:tcPr>
            <w:tcW w:w="2800" w:type="dxa"/>
            <w:vAlign w:val="bottom"/>
            <w:tcBorders>
              <w:bottom w:val="single" w:sz="8" w:color="3D5588"/>
            </w:tcBorders>
          </w:tcPr>
          <w:p>
            <w:pPr>
              <w:jc w:val="right"/>
              <w:ind w:right="1174"/>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3D5588"/>
            </w:tcBorders>
          </w:tcPr>
          <w:p>
            <w:pPr>
              <w:spacing w:after="0"/>
              <w:rPr>
                <w:sz w:val="22"/>
                <w:szCs w:val="22"/>
                <w:color w:val="auto"/>
              </w:rPr>
            </w:pPr>
          </w:p>
        </w:tc>
        <w:tc>
          <w:tcPr>
            <w:tcW w:w="1720" w:type="dxa"/>
            <w:vAlign w:val="bottom"/>
            <w:tcBorders>
              <w:bottom w:val="single" w:sz="8" w:color="3D5588"/>
            </w:tcBorders>
          </w:tcPr>
          <w:p>
            <w:pPr>
              <w:jc w:val="right"/>
              <w:ind w:right="1172"/>
              <w:spacing w:after="0"/>
              <w:rPr>
                <w:sz w:val="20"/>
                <w:szCs w:val="20"/>
                <w:color w:val="auto"/>
              </w:rPr>
            </w:pPr>
            <w:r>
              <w:rPr>
                <w:rFonts w:ascii="Arial" w:cs="Arial" w:eastAsia="Arial" w:hAnsi="Arial"/>
                <w:sz w:val="14"/>
                <w:szCs w:val="14"/>
                <w:b w:val="1"/>
                <w:bCs w:val="1"/>
                <w:color w:val="003082"/>
              </w:rPr>
              <w:t>2020</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Exercise price</w:t>
            </w:r>
          </w:p>
        </w:tc>
        <w:tc>
          <w:tcPr>
            <w:tcW w:w="4000" w:type="dxa"/>
            <w:vAlign w:val="bottom"/>
            <w:tcBorders>
              <w:bottom w:val="single" w:sz="8" w:color="CCEEFF"/>
            </w:tcBorders>
            <w:gridSpan w:val="3"/>
            <w:shd w:val="clear" w:color="auto" w:fill="CCEEFF"/>
          </w:tcPr>
          <w:p>
            <w:pPr>
              <w:jc w:val="right"/>
              <w:ind w:right="1220"/>
              <w:spacing w:after="0"/>
              <w:rPr>
                <w:sz w:val="20"/>
                <w:szCs w:val="20"/>
                <w:color w:val="auto"/>
              </w:rPr>
            </w:pPr>
            <w:r>
              <w:rPr>
                <w:rFonts w:ascii="Arial" w:cs="Arial" w:eastAsia="Arial" w:hAnsi="Arial"/>
                <w:sz w:val="18"/>
                <w:szCs w:val="18"/>
                <w:color w:val="003082"/>
              </w:rPr>
              <w:t>US$0.1-US$0.37</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US$0.1-US$1.74</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003082"/>
              </w:rPr>
              <w:t>Fair value of the ordinary shares on the date of option grant</w:t>
            </w:r>
          </w:p>
        </w:tc>
        <w:tc>
          <w:tcPr>
            <w:tcW w:w="4000" w:type="dxa"/>
            <w:vAlign w:val="bottom"/>
            <w:gridSpan w:val="3"/>
          </w:tcPr>
          <w:p>
            <w:pPr>
              <w:jc w:val="right"/>
              <w:ind w:right="1220"/>
              <w:spacing w:after="0"/>
              <w:rPr>
                <w:sz w:val="20"/>
                <w:szCs w:val="20"/>
                <w:color w:val="auto"/>
              </w:rPr>
            </w:pPr>
            <w:r>
              <w:rPr>
                <w:rFonts w:ascii="Arial" w:cs="Arial" w:eastAsia="Arial" w:hAnsi="Arial"/>
                <w:sz w:val="18"/>
                <w:szCs w:val="18"/>
                <w:color w:val="003082"/>
              </w:rPr>
              <w:t>US$0.6989-US$0.8444</w:t>
            </w:r>
          </w:p>
        </w:tc>
        <w:tc>
          <w:tcPr>
            <w:tcW w:w="1720" w:type="dxa"/>
            <w:vAlign w:val="bottom"/>
          </w:tcPr>
          <w:p>
            <w:pPr>
              <w:jc w:val="right"/>
              <w:spacing w:after="0"/>
              <w:rPr>
                <w:sz w:val="20"/>
                <w:szCs w:val="20"/>
                <w:color w:val="auto"/>
              </w:rPr>
            </w:pPr>
            <w:r>
              <w:rPr>
                <w:rFonts w:ascii="Arial" w:cs="Arial" w:eastAsia="Arial" w:hAnsi="Arial"/>
                <w:sz w:val="18"/>
                <w:szCs w:val="18"/>
                <w:color w:val="003082"/>
              </w:rPr>
              <w:t>US$1.7358</w:t>
            </w:r>
          </w:p>
        </w:tc>
      </w:tr>
      <w:tr>
        <w:trPr>
          <w:trHeight w:val="27"/>
        </w:trPr>
        <w:tc>
          <w:tcPr>
            <w:tcW w:w="5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003082"/>
              </w:rPr>
              <w:t>Risk-free interest rate</w:t>
            </w:r>
            <w:r>
              <w:rPr>
                <w:rFonts w:ascii="Arial" w:cs="Arial" w:eastAsia="Arial" w:hAnsi="Arial"/>
                <w:sz w:val="25"/>
                <w:szCs w:val="25"/>
                <w:color w:val="003082"/>
                <w:vertAlign w:val="superscript"/>
              </w:rPr>
              <w:t>(1)</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2.62%-2.83%</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1.76%</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003082"/>
              </w:rPr>
              <w:t>Expected term (in years)</w:t>
            </w:r>
          </w:p>
        </w:tc>
        <w:tc>
          <w:tcPr>
            <w:tcW w:w="2800" w:type="dxa"/>
            <w:vAlign w:val="bottom"/>
          </w:tcPr>
          <w:p>
            <w:pPr>
              <w:jc w:val="right"/>
              <w:spacing w:after="0"/>
              <w:rPr>
                <w:sz w:val="20"/>
                <w:szCs w:val="20"/>
                <w:color w:val="auto"/>
              </w:rPr>
            </w:pPr>
            <w:r>
              <w:rPr>
                <w:rFonts w:ascii="Arial" w:cs="Arial" w:eastAsia="Arial" w:hAnsi="Arial"/>
                <w:sz w:val="18"/>
                <w:szCs w:val="18"/>
                <w:color w:val="003082"/>
              </w:rPr>
              <w:t>10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003082"/>
              </w:rPr>
              <w:t>10</w:t>
            </w:r>
          </w:p>
        </w:tc>
      </w:tr>
      <w:tr>
        <w:trPr>
          <w:trHeight w:val="27"/>
        </w:trPr>
        <w:tc>
          <w:tcPr>
            <w:tcW w:w="55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52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003082"/>
              </w:rPr>
              <w:t>Expected dividend yield</w:t>
            </w:r>
            <w:r>
              <w:rPr>
                <w:rFonts w:ascii="Arial" w:cs="Arial" w:eastAsia="Arial" w:hAnsi="Arial"/>
                <w:sz w:val="25"/>
                <w:szCs w:val="25"/>
                <w:color w:val="003082"/>
                <w:vertAlign w:val="superscript"/>
              </w:rPr>
              <w:t>(2)</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0%</w:t>
            </w:r>
          </w:p>
        </w:tc>
      </w:tr>
      <w:tr>
        <w:trPr>
          <w:trHeight w:val="270"/>
        </w:trPr>
        <w:tc>
          <w:tcPr>
            <w:tcW w:w="5520" w:type="dxa"/>
            <w:vAlign w:val="bottom"/>
          </w:tcPr>
          <w:p>
            <w:pPr>
              <w:ind w:left="260"/>
              <w:spacing w:after="0" w:line="270" w:lineRule="exact"/>
              <w:rPr>
                <w:sz w:val="20"/>
                <w:szCs w:val="20"/>
                <w:color w:val="auto"/>
              </w:rPr>
            </w:pPr>
            <w:r>
              <w:rPr>
                <w:rFonts w:ascii="Arial" w:cs="Arial" w:eastAsia="Arial" w:hAnsi="Arial"/>
                <w:sz w:val="18"/>
                <w:szCs w:val="18"/>
                <w:color w:val="003082"/>
              </w:rPr>
              <w:t>Expected volatility</w:t>
            </w:r>
            <w:r>
              <w:rPr>
                <w:rFonts w:ascii="Arial" w:cs="Arial" w:eastAsia="Arial" w:hAnsi="Arial"/>
                <w:sz w:val="25"/>
                <w:szCs w:val="25"/>
                <w:color w:val="003082"/>
                <w:vertAlign w:val="superscript"/>
              </w:rPr>
              <w:t>(3)</w:t>
            </w:r>
          </w:p>
        </w:tc>
        <w:tc>
          <w:tcPr>
            <w:tcW w:w="2800" w:type="dxa"/>
            <w:vAlign w:val="bottom"/>
          </w:tcPr>
          <w:p>
            <w:pPr>
              <w:jc w:val="right"/>
              <w:spacing w:after="0"/>
              <w:rPr>
                <w:sz w:val="20"/>
                <w:szCs w:val="20"/>
                <w:color w:val="auto"/>
              </w:rPr>
            </w:pPr>
            <w:r>
              <w:rPr>
                <w:rFonts w:ascii="Arial" w:cs="Arial" w:eastAsia="Arial" w:hAnsi="Arial"/>
                <w:sz w:val="18"/>
                <w:szCs w:val="18"/>
                <w:color w:val="003082"/>
              </w:rPr>
              <w:t>49.31%-50.01%</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003082"/>
              </w:rPr>
              <w:t>47.29%</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Expected forfeiture rate (post-vesting)</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0%-3%</w:t>
            </w:r>
          </w:p>
        </w:tc>
      </w:tr>
      <w:tr>
        <w:trPr>
          <w:trHeight w:val="193"/>
        </w:trPr>
        <w:tc>
          <w:tcPr>
            <w:tcW w:w="5520" w:type="dxa"/>
            <w:vAlign w:val="bottom"/>
          </w:tcPr>
          <w:p>
            <w:pPr>
              <w:spacing w:after="0"/>
              <w:rPr>
                <w:sz w:val="20"/>
                <w:szCs w:val="20"/>
                <w:color w:val="auto"/>
              </w:rPr>
            </w:pPr>
            <w:r>
              <w:rPr>
                <w:rFonts w:ascii="Arial" w:cs="Arial" w:eastAsia="Arial" w:hAnsi="Arial"/>
                <w:sz w:val="16"/>
                <w:szCs w:val="16"/>
                <w:color w:val="003082"/>
              </w:rPr>
              <w:t>________________</w:t>
            </w:r>
          </w:p>
        </w:tc>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143"/>
        </w:numPr>
        <w:rPr>
          <w:rFonts w:ascii="Arial" w:cs="Arial" w:eastAsia="Arial" w:hAnsi="Arial"/>
          <w:sz w:val="16"/>
          <w:szCs w:val="16"/>
          <w:color w:val="003082"/>
        </w:rPr>
      </w:pPr>
      <w:r>
        <w:rPr>
          <w:rFonts w:ascii="Arial" w:cs="Arial" w:eastAsia="Arial" w:hAnsi="Arial"/>
          <w:sz w:val="16"/>
          <w:szCs w:val="16"/>
          <w:color w:val="003082"/>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143"/>
        </w:numPr>
        <w:rPr>
          <w:rFonts w:ascii="Arial" w:cs="Arial" w:eastAsia="Arial" w:hAnsi="Arial"/>
          <w:sz w:val="16"/>
          <w:szCs w:val="16"/>
          <w:color w:val="003082"/>
        </w:rPr>
      </w:pPr>
      <w:r>
        <w:rPr>
          <w:rFonts w:ascii="Arial" w:cs="Arial" w:eastAsia="Arial" w:hAnsi="Arial"/>
          <w:sz w:val="16"/>
          <w:szCs w:val="16"/>
          <w:color w:val="003082"/>
        </w:rPr>
        <w:t>The Company has no history or expectation of paying dividends on its ordinary shares.</w:t>
      </w:r>
    </w:p>
    <w:p>
      <w:pPr>
        <w:spacing w:after="0" w:line="5" w:lineRule="exact"/>
        <w:rPr>
          <w:rFonts w:ascii="Arial" w:cs="Arial" w:eastAsia="Arial" w:hAnsi="Arial"/>
          <w:sz w:val="16"/>
          <w:szCs w:val="16"/>
          <w:color w:val="003082"/>
        </w:rPr>
      </w:pPr>
    </w:p>
    <w:p>
      <w:pPr>
        <w:ind w:left="340" w:hanging="332"/>
        <w:spacing w:after="0"/>
        <w:tabs>
          <w:tab w:leader="none" w:pos="340" w:val="left"/>
        </w:tabs>
        <w:numPr>
          <w:ilvl w:val="0"/>
          <w:numId w:val="143"/>
        </w:numPr>
        <w:rPr>
          <w:rFonts w:ascii="Arial" w:cs="Arial" w:eastAsia="Arial" w:hAnsi="Arial"/>
          <w:sz w:val="16"/>
          <w:szCs w:val="16"/>
          <w:color w:val="003082"/>
        </w:rPr>
      </w:pPr>
      <w:r>
        <w:rPr>
          <w:rFonts w:ascii="Arial" w:cs="Arial" w:eastAsia="Arial" w:hAnsi="Arial"/>
          <w:sz w:val="16"/>
          <w:szCs w:val="16"/>
          <w:color w:val="003082"/>
        </w:rPr>
        <w:t>Expected volatility is estimated based on the average of historical volatilities of the comparable companies in the same industry as at the valuation dates.</w:t>
      </w:r>
    </w:p>
    <w:p>
      <w:pPr>
        <w:spacing w:after="0" w:line="256" w:lineRule="exact"/>
        <w:rPr>
          <w:rFonts w:ascii="Arial" w:cs="Arial" w:eastAsia="Arial" w:hAnsi="Arial"/>
          <w:sz w:val="16"/>
          <w:szCs w:val="16"/>
          <w:color w:val="003082"/>
        </w:rPr>
      </w:pPr>
    </w:p>
    <w:p>
      <w:pPr>
        <w:ind w:left="340" w:right="9100"/>
        <w:spacing w:after="0" w:line="563" w:lineRule="auto"/>
        <w:rPr>
          <w:rFonts w:ascii="Arial" w:cs="Arial" w:eastAsia="Arial" w:hAnsi="Arial"/>
          <w:sz w:val="16"/>
          <w:szCs w:val="16"/>
          <w:color w:val="003082"/>
        </w:rPr>
      </w:pPr>
      <w:r>
        <w:rPr>
          <w:rFonts w:ascii="Arial" w:cs="Arial" w:eastAsia="Arial" w:hAnsi="Arial"/>
          <w:sz w:val="16"/>
          <w:szCs w:val="16"/>
          <w:b w:val="1"/>
          <w:bCs w:val="1"/>
          <w:i w:val="1"/>
          <w:iCs w:val="1"/>
          <w:color w:val="003082"/>
        </w:rPr>
        <w:t xml:space="preserve">Restricted Shares </w:t>
      </w:r>
      <w:r>
        <w:rPr>
          <w:rFonts w:ascii="Arial" w:cs="Arial" w:eastAsia="Arial" w:hAnsi="Arial"/>
          <w:sz w:val="16"/>
          <w:szCs w:val="16"/>
          <w:i w:val="1"/>
          <w:iCs w:val="1"/>
          <w:color w:val="003082"/>
        </w:rPr>
        <w:t>Granted by the Company</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instalments commencing from the first anniversary of the December 16, 2013, provided that in each case that the holder remains as an employee on a continuing full time basis of any Group entity as of the date of such respective release.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Ten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003082"/>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F-73</w:t>
      </w:r>
    </w:p>
    <w:p>
      <w:pPr>
        <w:sectPr>
          <w:pgSz w:w="11900" w:h="16838" w:orient="portrait"/>
          <w:cols w:equalWidth="0" w:num="1">
            <w:col w:w="11240"/>
          </w:cols>
          <w:pgMar w:left="320" w:top="769" w:right="3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In connection with the Historical Reorganization and the Corporate Reorganization, the above mentioned restricted shares were swapped to Agora IO, Inc. in December 2014, and swapped back to the Company in January 2020. There were no changes to the terms and conditions of the restricted shares arrangement and hence there was no accounting impact.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spacing w:after="0" w:line="13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003082"/>
        </w:rPr>
        <w:t>In April 2019, the Company repurchased 100,000 restricted shares subject to repurchase obligation but already vested by then from the management personnel for a total consideration of US$143,288.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The following table summarizes the restricted shares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003082"/>
        </w:rPr>
        <w:t>Equity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003082"/>
              </w:rPr>
              <w:t>Numbers of 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jc w:val="center"/>
              <w:ind w:right="56"/>
              <w:spacing w:after="0"/>
              <w:rPr>
                <w:sz w:val="20"/>
                <w:szCs w:val="20"/>
                <w:color w:val="auto"/>
              </w:rPr>
            </w:pPr>
            <w:r>
              <w:rPr>
                <w:rFonts w:ascii="Arial" w:cs="Arial" w:eastAsia="Arial" w:hAnsi="Arial"/>
                <w:sz w:val="14"/>
                <w:szCs w:val="14"/>
                <w:b w:val="1"/>
                <w:bCs w:val="1"/>
                <w:color w:val="003082"/>
                <w:w w:val="93"/>
              </w:rPr>
              <w:t>Weighted-average Grant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800" w:type="dxa"/>
            <w:vAlign w:val="bottom"/>
            <w:tcBorders>
              <w:bottom w:val="single" w:sz="8" w:color="3D5588"/>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3D5588"/>
            </w:tcBorders>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tcPr>
          <w:p>
            <w:pPr>
              <w:jc w:val="center"/>
              <w:ind w:right="56"/>
              <w:spacing w:after="0"/>
              <w:rPr>
                <w:sz w:val="20"/>
                <w:szCs w:val="20"/>
                <w:color w:val="auto"/>
              </w:rPr>
            </w:pPr>
            <w:r>
              <w:rPr>
                <w:rFonts w:ascii="Arial" w:cs="Arial" w:eastAsia="Arial" w:hAnsi="Arial"/>
                <w:sz w:val="14"/>
                <w:szCs w:val="14"/>
                <w:b w:val="1"/>
                <w:bCs w:val="1"/>
                <w:color w:val="003082"/>
                <w:w w:val="94"/>
              </w:rPr>
              <w:t>Date Fair Value</w:t>
            </w: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ind w:right="56"/>
              <w:spacing w:after="0"/>
              <w:rPr>
                <w:sz w:val="20"/>
                <w:szCs w:val="20"/>
                <w:color w:val="auto"/>
              </w:rPr>
            </w:pPr>
            <w:r>
              <w:rPr>
                <w:rFonts w:ascii="Arial" w:cs="Arial" w:eastAsia="Arial" w:hAnsi="Arial"/>
                <w:sz w:val="14"/>
                <w:szCs w:val="14"/>
                <w:color w:val="003082"/>
                <w:w w:val="98"/>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003082"/>
              </w:rPr>
              <w:t>Outstanding at January 1, 2019</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9,450,348</w:t>
            </w: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003082"/>
              </w:rPr>
              <w:t>$</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003082"/>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003082"/>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(1,667,708)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97"/>
        </w:trPr>
        <w:tc>
          <w:tcPr>
            <w:tcW w:w="75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003082"/>
              </w:rPr>
              <w:t>Outstanding at March 31, 2019</w:t>
            </w:r>
          </w:p>
        </w:tc>
        <w:tc>
          <w:tcPr>
            <w:tcW w:w="1800" w:type="dxa"/>
            <w:vAlign w:val="bottom"/>
            <w:tcBorders>
              <w:top w:val="single" w:sz="8" w:color="3D5588"/>
              <w:bottom w:val="single" w:sz="8" w:color="3D5588"/>
            </w:tcBorders>
          </w:tcPr>
          <w:p>
            <w:pPr>
              <w:jc w:val="right"/>
              <w:ind w:right="33"/>
              <w:spacing w:after="0"/>
              <w:rPr>
                <w:sz w:val="20"/>
                <w:szCs w:val="20"/>
                <w:color w:val="auto"/>
              </w:rPr>
            </w:pPr>
            <w:r>
              <w:rPr>
                <w:rFonts w:ascii="Arial" w:cs="Arial" w:eastAsia="Arial" w:hAnsi="Arial"/>
                <w:sz w:val="18"/>
                <w:szCs w:val="18"/>
                <w:color w:val="003082"/>
              </w:rPr>
              <w:t>7,782,640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003082"/>
              </w:rPr>
              <w:t>Outstanding at January 1, 2020</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2,805,557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003082"/>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003082"/>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(1,683,333)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57"/>
        </w:trPr>
        <w:tc>
          <w:tcPr>
            <w:tcW w:w="7540" w:type="dxa"/>
            <w:vAlign w:val="bottom"/>
            <w:gridSpan w:val="3"/>
          </w:tcPr>
          <w:p>
            <w:pPr>
              <w:ind w:left="40"/>
              <w:spacing w:after="0"/>
              <w:rPr>
                <w:sz w:val="20"/>
                <w:szCs w:val="20"/>
                <w:color w:val="auto"/>
              </w:rPr>
            </w:pPr>
            <w:r>
              <w:rPr>
                <w:rFonts w:ascii="Arial" w:cs="Arial" w:eastAsia="Arial" w:hAnsi="Arial"/>
                <w:sz w:val="18"/>
                <w:szCs w:val="18"/>
                <w:color w:val="003082"/>
              </w:rPr>
              <w:t>Outstanding at March 31, 2020</w:t>
            </w:r>
          </w:p>
        </w:tc>
        <w:tc>
          <w:tcPr>
            <w:tcW w:w="1800" w:type="dxa"/>
            <w:vAlign w:val="bottom"/>
            <w:tcBorders>
              <w:top w:val="single" w:sz="8" w:color="3D5588"/>
              <w:bottom w:val="single" w:sz="8" w:color="3D5588"/>
            </w:tcBorders>
          </w:tcPr>
          <w:p>
            <w:pPr>
              <w:jc w:val="right"/>
              <w:ind w:right="33"/>
              <w:spacing w:after="0"/>
              <w:rPr>
                <w:sz w:val="20"/>
                <w:szCs w:val="20"/>
                <w:color w:val="auto"/>
              </w:rPr>
            </w:pPr>
            <w:r>
              <w:rPr>
                <w:rFonts w:ascii="Arial" w:cs="Arial" w:eastAsia="Arial" w:hAnsi="Arial"/>
                <w:sz w:val="18"/>
                <w:szCs w:val="18"/>
                <w:color w:val="003082"/>
              </w:rPr>
              <w:t>1,122,224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gridSpan w:val="2"/>
            <w:vMerge w:val="restart"/>
          </w:tcPr>
          <w:p>
            <w:pPr>
              <w:spacing w:after="0"/>
              <w:rPr>
                <w:sz w:val="20"/>
                <w:szCs w:val="20"/>
                <w:color w:val="auto"/>
              </w:rPr>
            </w:pPr>
            <w:r>
              <w:rPr>
                <w:rFonts w:ascii="Arial" w:cs="Arial" w:eastAsia="Arial" w:hAnsi="Arial"/>
                <w:sz w:val="18"/>
                <w:szCs w:val="18"/>
                <w:color w:val="003082"/>
              </w:rPr>
              <w:t>Liability Classified Restricted Shares</w:t>
            </w:r>
          </w:p>
        </w:tc>
        <w:tc>
          <w:tcPr>
            <w:tcW w:w="18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0" w:type="dxa"/>
            <w:vAlign w:val="bottom"/>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80" w:type="dxa"/>
            <w:vAlign w:val="bottom"/>
            <w:tcBorders>
              <w:top w:val="single" w:sz="8" w:color="003082"/>
            </w:tcBorders>
          </w:tcPr>
          <w:p>
            <w:pPr>
              <w:spacing w:after="0"/>
              <w:rPr>
                <w:sz w:val="24"/>
                <w:szCs w:val="24"/>
                <w:color w:val="auto"/>
              </w:rPr>
            </w:pPr>
          </w:p>
        </w:tc>
        <w:tc>
          <w:tcPr>
            <w:tcW w:w="4520" w:type="dxa"/>
            <w:vAlign w:val="bottom"/>
          </w:tcPr>
          <w:p>
            <w:pPr>
              <w:spacing w:after="0"/>
              <w:rPr>
                <w:sz w:val="24"/>
                <w:szCs w:val="24"/>
                <w:color w:val="auto"/>
              </w:rPr>
            </w:pPr>
          </w:p>
        </w:tc>
        <w:tc>
          <w:tcPr>
            <w:tcW w:w="1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003082"/>
              </w:rPr>
              <w:t>Numbers of Shares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jc w:val="center"/>
              <w:ind w:right="36"/>
              <w:spacing w:after="0"/>
              <w:rPr>
                <w:sz w:val="20"/>
                <w:szCs w:val="20"/>
                <w:color w:val="auto"/>
              </w:rPr>
            </w:pPr>
            <w:r>
              <w:rPr>
                <w:rFonts w:ascii="Arial" w:cs="Arial" w:eastAsia="Arial" w:hAnsi="Arial"/>
                <w:sz w:val="14"/>
                <w:szCs w:val="14"/>
                <w:b w:val="1"/>
                <w:bCs w:val="1"/>
                <w:color w:val="003082"/>
                <w:w w:val="95"/>
              </w:rPr>
              <w:t>Weighted-average Grant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800" w:type="dxa"/>
            <w:vAlign w:val="bottom"/>
            <w:tcBorders>
              <w:bottom w:val="single" w:sz="8" w:color="3D5588"/>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3D5588"/>
            </w:tcBorders>
          </w:tcPr>
          <w:p>
            <w:pPr>
              <w:spacing w:after="0"/>
              <w:rPr>
                <w:sz w:val="16"/>
                <w:szCs w:val="16"/>
                <w:color w:val="auto"/>
              </w:rPr>
            </w:pPr>
          </w:p>
        </w:tc>
        <w:tc>
          <w:tcPr>
            <w:tcW w:w="1660" w:type="dxa"/>
            <w:vAlign w:val="bottom"/>
            <w:tcBorders>
              <w:bottom w:val="single" w:sz="8" w:color="3D5588"/>
            </w:tcBorders>
          </w:tcPr>
          <w:p>
            <w:pPr>
              <w:jc w:val="center"/>
              <w:ind w:right="36"/>
              <w:spacing w:after="0"/>
              <w:rPr>
                <w:sz w:val="20"/>
                <w:szCs w:val="20"/>
                <w:color w:val="auto"/>
              </w:rPr>
            </w:pPr>
            <w:r>
              <w:rPr>
                <w:rFonts w:ascii="Arial" w:cs="Arial" w:eastAsia="Arial" w:hAnsi="Arial"/>
                <w:sz w:val="14"/>
                <w:szCs w:val="14"/>
                <w:b w:val="1"/>
                <w:bCs w:val="1"/>
                <w:color w:val="003082"/>
                <w:w w:val="96"/>
              </w:rPr>
              <w:t>Date Fair Value</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center"/>
              <w:ind w:right="36"/>
              <w:spacing w:after="0"/>
              <w:rPr>
                <w:sz w:val="20"/>
                <w:szCs w:val="20"/>
                <w:color w:val="auto"/>
              </w:rPr>
            </w:pPr>
            <w:r>
              <w:rPr>
                <w:rFonts w:ascii="Arial" w:cs="Arial" w:eastAsia="Arial" w:hAnsi="Arial"/>
                <w:sz w:val="14"/>
                <w:szCs w:val="14"/>
                <w:color w:val="003082"/>
                <w:w w:val="92"/>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003082"/>
              </w:rPr>
              <w:t>Outstanding at January 1, 2019</w:t>
            </w:r>
          </w:p>
        </w:tc>
        <w:tc>
          <w:tcPr>
            <w:tcW w:w="1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003082"/>
              </w:rPr>
              <w:t>88,542</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003082"/>
              </w:rPr>
              <w:t>Granted</w:t>
            </w:r>
          </w:p>
        </w:tc>
        <w:tc>
          <w:tcPr>
            <w:tcW w:w="1800" w:type="dxa"/>
            <w:vAlign w:val="bottom"/>
          </w:tcPr>
          <w:p>
            <w:pPr>
              <w:jc w:val="right"/>
              <w:ind w:right="33"/>
              <w:spacing w:after="0"/>
              <w:rPr>
                <w:sz w:val="20"/>
                <w:szCs w:val="20"/>
                <w:color w:val="auto"/>
              </w:rPr>
            </w:pPr>
            <w:r>
              <w:rPr>
                <w:rFonts w:ascii="Arial" w:cs="Arial" w:eastAsia="Arial" w:hAnsi="Arial"/>
                <w:sz w:val="18"/>
                <w:szCs w:val="18"/>
                <w:color w:val="003082"/>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003082"/>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003082"/>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(15,625)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57"/>
        </w:trPr>
        <w:tc>
          <w:tcPr>
            <w:tcW w:w="7540" w:type="dxa"/>
            <w:vAlign w:val="bottom"/>
            <w:gridSpan w:val="3"/>
          </w:tcPr>
          <w:p>
            <w:pPr>
              <w:ind w:left="40"/>
              <w:spacing w:after="0"/>
              <w:rPr>
                <w:sz w:val="20"/>
                <w:szCs w:val="20"/>
                <w:color w:val="auto"/>
              </w:rPr>
            </w:pPr>
            <w:r>
              <w:rPr>
                <w:rFonts w:ascii="Arial" w:cs="Arial" w:eastAsia="Arial" w:hAnsi="Arial"/>
                <w:sz w:val="18"/>
                <w:szCs w:val="18"/>
                <w:color w:val="003082"/>
              </w:rPr>
              <w:t>Outstanding at March 31, 2019</w:t>
            </w:r>
          </w:p>
        </w:tc>
        <w:tc>
          <w:tcPr>
            <w:tcW w:w="1800" w:type="dxa"/>
            <w:vAlign w:val="bottom"/>
            <w:tcBorders>
              <w:top w:val="single" w:sz="8" w:color="auto"/>
              <w:bottom w:val="single" w:sz="8" w:color="3D5588"/>
            </w:tcBorders>
          </w:tcPr>
          <w:p>
            <w:pPr>
              <w:jc w:val="right"/>
              <w:ind w:right="33"/>
              <w:spacing w:after="0"/>
              <w:rPr>
                <w:sz w:val="20"/>
                <w:szCs w:val="20"/>
                <w:color w:val="auto"/>
              </w:rPr>
            </w:pPr>
            <w:r>
              <w:rPr>
                <w:rFonts w:ascii="Arial" w:cs="Arial" w:eastAsia="Arial" w:hAnsi="Arial"/>
                <w:sz w:val="18"/>
                <w:szCs w:val="18"/>
                <w:color w:val="003082"/>
              </w:rPr>
              <w:t>72,917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jc w:val="right"/>
              <w:ind w:right="16"/>
              <w:spacing w:after="0"/>
              <w:rPr>
                <w:sz w:val="20"/>
                <w:szCs w:val="20"/>
                <w:color w:val="auto"/>
              </w:rPr>
            </w:pPr>
            <w:r>
              <w:rPr>
                <w:rFonts w:ascii="Arial" w:cs="Arial" w:eastAsia="Arial" w:hAnsi="Arial"/>
                <w:sz w:val="18"/>
                <w:szCs w:val="18"/>
                <w:color w:val="003082"/>
              </w:rPr>
              <w:t>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0" w:type="dxa"/>
            <w:vAlign w:val="bottom"/>
            <w:tcBorders>
              <w:bottom w:val="single" w:sz="8" w:color="3D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shared-based compensation expenses in relation to the restricted shares granted by the Company recognized for the three months ended March 31, 2019 and 2020 were US$112,436 and US$50,328,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F-74</w:t>
      </w:r>
    </w:p>
    <w:p>
      <w:pPr>
        <w:sectPr>
          <w:pgSz w:w="11900" w:h="16838" w:orient="portrait"/>
          <w:cols w:equalWidth="0" w:num="1">
            <w:col w:w="11240"/>
          </w:cols>
          <w:pgMar w:left="320" w:top="769" w:right="33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As of December 31, 2019 and March 31, 2020, there were US$227,806 and US$26,547 of unrecognized shared-based compensation expenses related to restricted shares, which is expected to be recognized over a weighted-average period of 0.4 and 0.1 years,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003082"/>
        </w:rPr>
        <w:t>Granted by the Founder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shared-based compensation expenses in relation to the restricted shares granted by the Founder recognized for the three months ended March 31, 2019 and 2020 were US$159,913 and US$211,753,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12. Employee Benefits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003082"/>
        </w:rPr>
        <w:t>The full-time employees of the Company’s subsidiaries and the VIE that are incorporated in the PRC are entitled to staff welfare benefits including medical insurance, basic pensions, unemployment insurance, work injury 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income (loss). The total amounts charged to the consolidated statements of comprehensive income (loss) for such employee benefits amounted to US$1,001,668 and US$1,270,082 for the three months ended March 31, 2019 and 2020, respectively. The PRC government is responsible for the welfare and medical benefits and ultimate pension liability to these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13. 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003082"/>
        </w:rPr>
        <w:t>The following table summarizes the Company’s income tax expenses and effective tax rates for the three months ended March 31, 2019 and 2020:</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420" w:type="dxa"/>
            <w:vAlign w:val="bottom"/>
            <w:tcBorders>
              <w:bottom w:val="single" w:sz="8" w:color="3D5588"/>
            </w:tcBorders>
            <w:gridSpan w:val="2"/>
          </w:tcPr>
          <w:p>
            <w:pPr>
              <w:jc w:val="right"/>
              <w:ind w:right="635"/>
              <w:spacing w:after="0"/>
              <w:rPr>
                <w:sz w:val="20"/>
                <w:szCs w:val="20"/>
                <w:color w:val="auto"/>
              </w:rPr>
            </w:pPr>
            <w:r>
              <w:rPr>
                <w:rFonts w:ascii="Arial" w:cs="Arial" w:eastAsia="Arial" w:hAnsi="Arial"/>
                <w:sz w:val="14"/>
                <w:szCs w:val="14"/>
                <w:b w:val="1"/>
                <w:bCs w:val="1"/>
                <w:color w:val="003082"/>
              </w:rPr>
              <w:t>Three Months Ended March 31,</w:t>
            </w:r>
          </w:p>
        </w:tc>
      </w:tr>
      <w:tr>
        <w:trPr>
          <w:trHeight w:val="263"/>
        </w:trPr>
        <w:tc>
          <w:tcPr>
            <w:tcW w:w="7820" w:type="dxa"/>
            <w:vAlign w:val="bottom"/>
          </w:tcPr>
          <w:p>
            <w:pPr>
              <w:spacing w:after="0"/>
              <w:rPr>
                <w:sz w:val="22"/>
                <w:szCs w:val="22"/>
                <w:color w:val="auto"/>
              </w:rPr>
            </w:pPr>
          </w:p>
        </w:tc>
        <w:tc>
          <w:tcPr>
            <w:tcW w:w="2180" w:type="dxa"/>
            <w:vAlign w:val="bottom"/>
            <w:tcBorders>
              <w:bottom w:val="single" w:sz="8" w:color="3D5588"/>
            </w:tcBorders>
          </w:tcPr>
          <w:p>
            <w:pPr>
              <w:jc w:val="right"/>
              <w:ind w:right="1119"/>
              <w:spacing w:after="0"/>
              <w:rPr>
                <w:sz w:val="20"/>
                <w:szCs w:val="20"/>
                <w:color w:val="auto"/>
              </w:rPr>
            </w:pPr>
            <w:r>
              <w:rPr>
                <w:rFonts w:ascii="Arial" w:cs="Arial" w:eastAsia="Arial" w:hAnsi="Arial"/>
                <w:sz w:val="14"/>
                <w:szCs w:val="14"/>
                <w:b w:val="1"/>
                <w:bCs w:val="1"/>
                <w:color w:val="003082"/>
              </w:rPr>
              <w:t>2019</w:t>
            </w:r>
          </w:p>
        </w:tc>
        <w:tc>
          <w:tcPr>
            <w:tcW w:w="1240" w:type="dxa"/>
            <w:vAlign w:val="bottom"/>
            <w:tcBorders>
              <w:bottom w:val="single" w:sz="8" w:color="3D5588"/>
            </w:tcBorders>
          </w:tcPr>
          <w:p>
            <w:pPr>
              <w:jc w:val="right"/>
              <w:ind w:right="595"/>
              <w:spacing w:after="0"/>
              <w:rPr>
                <w:sz w:val="20"/>
                <w:szCs w:val="20"/>
                <w:color w:val="auto"/>
              </w:rPr>
            </w:pPr>
            <w:r>
              <w:rPr>
                <w:rFonts w:ascii="Arial" w:cs="Arial" w:eastAsia="Arial" w:hAnsi="Arial"/>
                <w:sz w:val="14"/>
                <w:szCs w:val="14"/>
                <w:b w:val="1"/>
                <w:bCs w:val="1"/>
                <w:color w:val="003082"/>
              </w:rPr>
              <w:t>2020</w:t>
            </w:r>
          </w:p>
        </w:tc>
      </w:tr>
      <w:tr>
        <w:trPr>
          <w:trHeight w:val="250"/>
        </w:trPr>
        <w:tc>
          <w:tcPr>
            <w:tcW w:w="7820" w:type="dxa"/>
            <w:vAlign w:val="bottom"/>
          </w:tcPr>
          <w:p>
            <w:pPr>
              <w:spacing w:after="0"/>
              <w:rPr>
                <w:sz w:val="21"/>
                <w:szCs w:val="21"/>
                <w:color w:val="auto"/>
              </w:rPr>
            </w:pPr>
          </w:p>
        </w:tc>
        <w:tc>
          <w:tcPr>
            <w:tcW w:w="2180" w:type="dxa"/>
            <w:vAlign w:val="bottom"/>
          </w:tcPr>
          <w:p>
            <w:pPr>
              <w:jc w:val="right"/>
              <w:ind w:right="199"/>
              <w:spacing w:after="0"/>
              <w:rPr>
                <w:sz w:val="20"/>
                <w:szCs w:val="20"/>
                <w:color w:val="auto"/>
              </w:rPr>
            </w:pPr>
            <w:r>
              <w:rPr>
                <w:rFonts w:ascii="Arial" w:cs="Arial" w:eastAsia="Arial" w:hAnsi="Arial"/>
                <w:sz w:val="14"/>
                <w:szCs w:val="14"/>
                <w:color w:val="003082"/>
              </w:rPr>
              <w:t>(US$)</w:t>
            </w:r>
          </w:p>
        </w:tc>
        <w:tc>
          <w:tcPr>
            <w:tcW w:w="1240" w:type="dxa"/>
            <w:vAlign w:val="bottom"/>
          </w:tcPr>
          <w:p>
            <w:pPr>
              <w:spacing w:after="0"/>
              <w:rPr>
                <w:sz w:val="21"/>
                <w:szCs w:val="21"/>
                <w:color w:val="auto"/>
              </w:rPr>
            </w:pPr>
          </w:p>
        </w:tc>
      </w:tr>
      <w:tr>
        <w:trPr>
          <w:trHeight w:val="256"/>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Profit (loss) before income tax</w:t>
            </w:r>
          </w:p>
        </w:tc>
        <w:tc>
          <w:tcPr>
            <w:tcW w:w="218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8"/>
                <w:szCs w:val="18"/>
                <w:color w:val="003082"/>
              </w:rPr>
              <w:t>(527,603)</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003082"/>
              </w:rPr>
              <w:t>3,355,981</w:t>
            </w:r>
          </w:p>
        </w:tc>
      </w:tr>
      <w:tr>
        <w:trPr>
          <w:trHeight w:val="243"/>
        </w:trPr>
        <w:tc>
          <w:tcPr>
            <w:tcW w:w="7820" w:type="dxa"/>
            <w:vAlign w:val="bottom"/>
          </w:tcPr>
          <w:p>
            <w:pPr>
              <w:ind w:left="40"/>
              <w:spacing w:after="0"/>
              <w:rPr>
                <w:sz w:val="20"/>
                <w:szCs w:val="20"/>
                <w:color w:val="auto"/>
              </w:rPr>
            </w:pPr>
            <w:r>
              <w:rPr>
                <w:rFonts w:ascii="Arial" w:cs="Arial" w:eastAsia="Arial" w:hAnsi="Arial"/>
                <w:sz w:val="18"/>
                <w:szCs w:val="18"/>
                <w:color w:val="003082"/>
              </w:rPr>
              <w:t>Income tax expense</w:t>
            </w:r>
          </w:p>
        </w:tc>
        <w:tc>
          <w:tcPr>
            <w:tcW w:w="2180" w:type="dxa"/>
            <w:vAlign w:val="bottom"/>
          </w:tcPr>
          <w:p>
            <w:pPr>
              <w:jc w:val="right"/>
              <w:ind w:right="659"/>
              <w:spacing w:after="0"/>
              <w:rPr>
                <w:sz w:val="20"/>
                <w:szCs w:val="20"/>
                <w:color w:val="auto"/>
              </w:rPr>
            </w:pPr>
            <w:r>
              <w:rPr>
                <w:rFonts w:ascii="Arial" w:cs="Arial" w:eastAsia="Arial" w:hAnsi="Arial"/>
                <w:sz w:val="18"/>
                <w:szCs w:val="18"/>
                <w:color w:val="003082"/>
              </w:rPr>
              <w:t>190,375</w:t>
            </w:r>
          </w:p>
        </w:tc>
        <w:tc>
          <w:tcPr>
            <w:tcW w:w="1240" w:type="dxa"/>
            <w:vAlign w:val="bottom"/>
          </w:tcPr>
          <w:p>
            <w:pPr>
              <w:jc w:val="right"/>
              <w:ind w:right="95"/>
              <w:spacing w:after="0"/>
              <w:rPr>
                <w:sz w:val="20"/>
                <w:szCs w:val="20"/>
                <w:color w:val="auto"/>
              </w:rPr>
            </w:pPr>
            <w:r>
              <w:rPr>
                <w:rFonts w:ascii="Arial" w:cs="Arial" w:eastAsia="Arial" w:hAnsi="Arial"/>
                <w:sz w:val="18"/>
                <w:szCs w:val="18"/>
                <w:color w:val="003082"/>
              </w:rPr>
              <w:t>368,791</w:t>
            </w:r>
          </w:p>
        </w:tc>
      </w:tr>
      <w:tr>
        <w:trPr>
          <w:trHeight w:val="27"/>
        </w:trPr>
        <w:tc>
          <w:tcPr>
            <w:tcW w:w="78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820" w:type="dxa"/>
            <w:vAlign w:val="bottom"/>
            <w:shd w:val="clear" w:color="auto" w:fill="CCEEFF"/>
          </w:tcPr>
          <w:p>
            <w:pPr>
              <w:ind w:left="40"/>
              <w:spacing w:after="0"/>
              <w:rPr>
                <w:sz w:val="20"/>
                <w:szCs w:val="20"/>
                <w:color w:val="auto"/>
              </w:rPr>
            </w:pPr>
            <w:r>
              <w:rPr>
                <w:rFonts w:ascii="Arial" w:cs="Arial" w:eastAsia="Arial" w:hAnsi="Arial"/>
                <w:sz w:val="18"/>
                <w:szCs w:val="18"/>
                <w:color w:val="003082"/>
              </w:rPr>
              <w:t>Effective tax rate</w:t>
            </w:r>
          </w:p>
        </w:tc>
        <w:tc>
          <w:tcPr>
            <w:tcW w:w="218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003082"/>
              </w:rPr>
              <w:t>(36.08)%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003082"/>
              </w:rPr>
              <w:t>10.99%</w:t>
            </w:r>
          </w:p>
        </w:tc>
      </w:tr>
      <w:tr>
        <w:trPr>
          <w:trHeight w:val="27"/>
        </w:trPr>
        <w:tc>
          <w:tcPr>
            <w:tcW w:w="78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change in effective tax rate primarily resulted from an overall increase in the profit from operations as well as a change in mix of profit before income tax in different entities.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As of December 31, 2019 and March 31, 2020, deferred tax assets were US$836,514 and US$823,656.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F-75</w:t>
      </w:r>
    </w:p>
    <w:p>
      <w:pPr>
        <w:sectPr>
          <w:pgSz w:w="11900" w:h="16838" w:orient="portrait"/>
          <w:cols w:equalWidth="0" w:num="1">
            <w:col w:w="11240"/>
          </w:cols>
          <w:pgMar w:left="320" w:top="769" w:right="33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14. Basic and Diluted Net Loss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003082"/>
        </w:rPr>
        <w:t xml:space="preserve">Basic and diluted net loss per share have been calculated in accordance with ASC 260, </w:t>
      </w:r>
      <w:r>
        <w:rPr>
          <w:rFonts w:ascii="Arial" w:cs="Arial" w:eastAsia="Arial" w:hAnsi="Arial"/>
          <w:sz w:val="18"/>
          <w:szCs w:val="18"/>
          <w:i w:val="1"/>
          <w:iCs w:val="1"/>
          <w:color w:val="003082"/>
        </w:rPr>
        <w:t>Earnings Per Share</w:t>
      </w:r>
      <w:r>
        <w:rPr>
          <w:rFonts w:ascii="Arial" w:cs="Arial" w:eastAsia="Arial" w:hAnsi="Arial"/>
          <w:sz w:val="18"/>
          <w:szCs w:val="18"/>
          <w:color w:val="003082"/>
        </w:rPr>
        <w:t>. 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 The computation of earnings per share for the three months ended March 31, 2019 and 2020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3D5588"/>
            </w:tcBorders>
          </w:tcPr>
          <w:p>
            <w:pPr>
              <w:spacing w:after="0"/>
              <w:rPr>
                <w:sz w:val="16"/>
                <w:szCs w:val="16"/>
                <w:color w:val="auto"/>
              </w:rPr>
            </w:pPr>
          </w:p>
        </w:tc>
        <w:tc>
          <w:tcPr>
            <w:tcW w:w="2900" w:type="dxa"/>
            <w:vAlign w:val="bottom"/>
            <w:tcBorders>
              <w:bottom w:val="single" w:sz="8" w:color="3D5588"/>
            </w:tcBorders>
            <w:gridSpan w:val="4"/>
          </w:tcPr>
          <w:p>
            <w:pPr>
              <w:jc w:val="right"/>
              <w:ind w:right="533"/>
              <w:spacing w:after="0"/>
              <w:rPr>
                <w:sz w:val="20"/>
                <w:szCs w:val="20"/>
                <w:color w:val="auto"/>
              </w:rPr>
            </w:pPr>
            <w:r>
              <w:rPr>
                <w:rFonts w:ascii="Arial" w:cs="Arial" w:eastAsia="Arial" w:hAnsi="Arial"/>
                <w:sz w:val="14"/>
                <w:szCs w:val="14"/>
                <w:b w:val="1"/>
                <w:bCs w:val="1"/>
                <w:color w:val="003082"/>
              </w:rPr>
              <w:t>Three Months Ended March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6"/>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3D5588"/>
            </w:tcBorders>
          </w:tcPr>
          <w:p>
            <w:pPr>
              <w:spacing w:after="0"/>
              <w:rPr>
                <w:sz w:val="22"/>
                <w:szCs w:val="22"/>
                <w:color w:val="auto"/>
              </w:rPr>
            </w:pPr>
          </w:p>
        </w:tc>
        <w:tc>
          <w:tcPr>
            <w:tcW w:w="340" w:type="dxa"/>
            <w:vAlign w:val="bottom"/>
            <w:tcBorders>
              <w:bottom w:val="single" w:sz="8" w:color="3D5588"/>
            </w:tcBorders>
          </w:tcPr>
          <w:p>
            <w:pPr>
              <w:spacing w:after="0"/>
              <w:rPr>
                <w:sz w:val="22"/>
                <w:szCs w:val="22"/>
                <w:color w:val="auto"/>
              </w:rPr>
            </w:pPr>
          </w:p>
        </w:tc>
        <w:tc>
          <w:tcPr>
            <w:tcW w:w="1220" w:type="dxa"/>
            <w:vAlign w:val="bottom"/>
            <w:tcBorders>
              <w:bottom w:val="single" w:sz="8" w:color="3D5588"/>
            </w:tcBorders>
          </w:tcPr>
          <w:p>
            <w:pPr>
              <w:jc w:val="right"/>
              <w:ind w:right="553"/>
              <w:spacing w:after="0"/>
              <w:rPr>
                <w:sz w:val="20"/>
                <w:szCs w:val="20"/>
                <w:color w:val="auto"/>
              </w:rPr>
            </w:pPr>
            <w:r>
              <w:rPr>
                <w:rFonts w:ascii="Arial" w:cs="Arial" w:eastAsia="Arial" w:hAnsi="Arial"/>
                <w:sz w:val="14"/>
                <w:szCs w:val="14"/>
                <w:b w:val="1"/>
                <w:bCs w:val="1"/>
                <w:color w:val="003082"/>
              </w:rPr>
              <w:t>2020</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003082"/>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003082"/>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003082"/>
              </w:rPr>
              <w:t>(717,978)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003082"/>
              </w:rPr>
              <w:t>2,987,190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Cumulative undeclared dividends on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(2,490,368)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rPr>
              <w:t>(3,399,132)</w:t>
            </w:r>
          </w:p>
        </w:tc>
        <w:tc>
          <w:tcPr>
            <w:tcW w:w="0" w:type="dxa"/>
            <w:vAlign w:val="bottom"/>
          </w:tcPr>
          <w:p>
            <w:pPr>
              <w:spacing w:after="0"/>
              <w:rPr>
                <w:sz w:val="1"/>
                <w:szCs w:val="1"/>
                <w:color w:val="auto"/>
              </w:rPr>
            </w:pPr>
          </w:p>
        </w:tc>
      </w:tr>
      <w:tr>
        <w:trPr>
          <w:trHeight w:val="229"/>
        </w:trPr>
        <w:tc>
          <w:tcPr>
            <w:tcW w:w="7980" w:type="dxa"/>
            <w:vAlign w:val="bottom"/>
          </w:tcPr>
          <w:p>
            <w:pPr>
              <w:ind w:left="200"/>
              <w:spacing w:after="0"/>
              <w:rPr>
                <w:sz w:val="20"/>
                <w:szCs w:val="20"/>
                <w:color w:val="auto"/>
              </w:rPr>
            </w:pPr>
            <w:r>
              <w:rPr>
                <w:rFonts w:ascii="Arial" w:cs="Arial" w:eastAsia="Arial" w:hAnsi="Arial"/>
                <w:sz w:val="18"/>
                <w:szCs w:val="18"/>
                <w:color w:val="003082"/>
              </w:rPr>
              <w:t>Accretion on convertible redeemable preferred shares to redemption value</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00"/>
              <w:spacing w:after="0"/>
              <w:rPr>
                <w:sz w:val="20"/>
                <w:szCs w:val="20"/>
                <w:color w:val="auto"/>
              </w:rPr>
            </w:pPr>
            <w:r>
              <w:rPr>
                <w:rFonts w:ascii="Arial" w:cs="Arial" w:eastAsia="Arial" w:hAnsi="Arial"/>
                <w:sz w:val="18"/>
                <w:szCs w:val="18"/>
                <w:color w:val="003082"/>
              </w:rPr>
              <w:t>(Note 9)</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(10,178,895)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003082"/>
              </w:rPr>
              <w:t>(35,963,579)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3D5588"/>
            </w:tcBorders>
          </w:tcPr>
          <w:p>
            <w:pPr>
              <w:spacing w:after="0"/>
              <w:rPr>
                <w:sz w:val="2"/>
                <w:szCs w:val="2"/>
                <w:color w:val="auto"/>
              </w:rPr>
            </w:pPr>
          </w:p>
        </w:tc>
        <w:tc>
          <w:tcPr>
            <w:tcW w:w="1220" w:type="dxa"/>
            <w:vAlign w:val="bottom"/>
            <w:tcBorders>
              <w:bottom w:val="single" w:sz="8" w:color="3D5588"/>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Net loss attributable to Agora, Inc.’s ordinary shareholders - basic and diluted</w:t>
            </w:r>
          </w:p>
        </w:tc>
        <w:tc>
          <w:tcPr>
            <w:tcW w:w="360" w:type="dxa"/>
            <w:vAlign w:val="bottom"/>
            <w:tcBorders>
              <w:bottom w:val="single" w:sz="8" w:color="3D5588"/>
            </w:tcBorders>
            <w:shd w:val="clear" w:color="auto" w:fill="CCEEFF"/>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(13,387,241)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3D5588"/>
            </w:tcBorders>
            <w:shd w:val="clear" w:color="auto" w:fill="CCEEFF"/>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rPr>
              <w:t>(36,375,521)</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003082"/>
              </w:rPr>
              <w:t>Denominator:</w:t>
            </w: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Denominator for basic and diluted loss per share weighted-average ordinary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003082"/>
              </w:rPr>
              <w:t>113,245,308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003082"/>
              </w:rPr>
              <w:t>119,882,136</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003082"/>
              </w:rPr>
              <w:t>Basic and diluted loss per share</w:t>
            </w:r>
          </w:p>
        </w:tc>
        <w:tc>
          <w:tcPr>
            <w:tcW w:w="360" w:type="dxa"/>
            <w:vAlign w:val="bottom"/>
            <w:tcBorders>
              <w:top w:val="single" w:sz="8" w:color="3D5588"/>
              <w:bottom w:val="single" w:sz="8" w:color="3D5588"/>
            </w:tcBorders>
          </w:tcPr>
          <w:p>
            <w:pPr>
              <w:jc w:val="right"/>
              <w:ind w:right="15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(0.12)</w:t>
            </w:r>
          </w:p>
        </w:tc>
        <w:tc>
          <w:tcPr>
            <w:tcW w:w="120" w:type="dxa"/>
            <w:vAlign w:val="bottom"/>
          </w:tcPr>
          <w:p>
            <w:pPr>
              <w:spacing w:after="0"/>
              <w:rPr>
                <w:sz w:val="22"/>
                <w:szCs w:val="22"/>
                <w:color w:val="auto"/>
              </w:rPr>
            </w:pPr>
          </w:p>
        </w:tc>
        <w:tc>
          <w:tcPr>
            <w:tcW w:w="340" w:type="dxa"/>
            <w:vAlign w:val="bottom"/>
            <w:tcBorders>
              <w:top w:val="single" w:sz="8" w:color="3D5588"/>
              <w:bottom w:val="single" w:sz="8" w:color="3D5588"/>
            </w:tcBorders>
          </w:tcPr>
          <w:p>
            <w:pPr>
              <w:jc w:val="right"/>
              <w:ind w:right="130"/>
              <w:spacing w:after="0"/>
              <w:rPr>
                <w:sz w:val="20"/>
                <w:szCs w:val="20"/>
                <w:color w:val="auto"/>
              </w:rPr>
            </w:pPr>
            <w:r>
              <w:rPr>
                <w:rFonts w:ascii="Arial" w:cs="Arial" w:eastAsia="Arial" w:hAnsi="Arial"/>
                <w:sz w:val="18"/>
                <w:szCs w:val="18"/>
                <w:color w:val="003082"/>
                <w:w w:val="99"/>
              </w:rPr>
              <w:t>$</w:t>
            </w:r>
          </w:p>
        </w:tc>
        <w:tc>
          <w:tcPr>
            <w:tcW w:w="122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rPr>
              <w:t>(0.30)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3D5588"/>
            </w:tcBorders>
          </w:tcPr>
          <w:p>
            <w:pPr>
              <w:spacing w:after="0" w:line="20" w:lineRule="exact"/>
              <w:rPr>
                <w:sz w:val="1"/>
                <w:szCs w:val="1"/>
                <w:color w:val="auto"/>
              </w:rPr>
            </w:pPr>
          </w:p>
        </w:tc>
        <w:tc>
          <w:tcPr>
            <w:tcW w:w="1220" w:type="dxa"/>
            <w:vAlign w:val="bottom"/>
            <w:tcBorders>
              <w:bottom w:val="single" w:sz="8" w:color="3D558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following ordinary shares equivalent were excluded from the computation of diluted net loss per ordinary share for the periods presented because including them would have had an anti-dilutive effect: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60" w:type="dxa"/>
            <w:vAlign w:val="bottom"/>
            <w:tcBorders>
              <w:bottom w:val="single" w:sz="8" w:color="3D5588"/>
            </w:tcBorders>
            <w:gridSpan w:val="3"/>
          </w:tcPr>
          <w:p>
            <w:pPr>
              <w:jc w:val="right"/>
              <w:ind w:right="535"/>
              <w:spacing w:after="0"/>
              <w:rPr>
                <w:sz w:val="20"/>
                <w:szCs w:val="20"/>
                <w:color w:val="auto"/>
              </w:rPr>
            </w:pPr>
            <w:r>
              <w:rPr>
                <w:rFonts w:ascii="Arial" w:cs="Arial" w:eastAsia="Arial" w:hAnsi="Arial"/>
                <w:sz w:val="14"/>
                <w:szCs w:val="14"/>
                <w:b w:val="1"/>
                <w:bCs w:val="1"/>
                <w:color w:val="003082"/>
              </w:rPr>
              <w:t>Three Months Ended March 31,</w:t>
            </w:r>
          </w:p>
        </w:tc>
      </w:tr>
      <w:tr>
        <w:trPr>
          <w:trHeight w:val="264"/>
        </w:trPr>
        <w:tc>
          <w:tcPr>
            <w:tcW w:w="4040" w:type="dxa"/>
            <w:vAlign w:val="bottom"/>
            <w:tcBorders>
              <w:bottom w:val="single" w:sz="8" w:color="CCEEFF"/>
            </w:tcBorders>
          </w:tcPr>
          <w:p>
            <w:pPr>
              <w:spacing w:after="0"/>
              <w:rPr>
                <w:sz w:val="22"/>
                <w:szCs w:val="22"/>
                <w:color w:val="auto"/>
              </w:rPr>
            </w:pPr>
          </w:p>
        </w:tc>
        <w:tc>
          <w:tcPr>
            <w:tcW w:w="3940" w:type="dxa"/>
            <w:vAlign w:val="bottom"/>
            <w:tcBorders>
              <w:bottom w:val="single" w:sz="8" w:color="CCEEFF"/>
            </w:tcBorders>
          </w:tcPr>
          <w:p>
            <w:pPr>
              <w:spacing w:after="0"/>
              <w:rPr>
                <w:sz w:val="22"/>
                <w:szCs w:val="22"/>
                <w:color w:val="auto"/>
              </w:rPr>
            </w:pPr>
          </w:p>
        </w:tc>
        <w:tc>
          <w:tcPr>
            <w:tcW w:w="1580" w:type="dxa"/>
            <w:vAlign w:val="bottom"/>
            <w:tcBorders>
              <w:bottom w:val="single" w:sz="8" w:color="3D5588"/>
            </w:tcBorders>
          </w:tcPr>
          <w:p>
            <w:pPr>
              <w:jc w:val="right"/>
              <w:ind w:right="568"/>
              <w:spacing w:after="0"/>
              <w:rPr>
                <w:sz w:val="20"/>
                <w:szCs w:val="20"/>
                <w:color w:val="auto"/>
              </w:rPr>
            </w:pPr>
            <w:r>
              <w:rPr>
                <w:rFonts w:ascii="Arial" w:cs="Arial" w:eastAsia="Arial" w:hAnsi="Arial"/>
                <w:sz w:val="14"/>
                <w:szCs w:val="14"/>
                <w:b w:val="1"/>
                <w:bCs w:val="1"/>
                <w:color w:val="003082"/>
              </w:rPr>
              <w:t>2019</w:t>
            </w:r>
          </w:p>
        </w:tc>
        <w:tc>
          <w:tcPr>
            <w:tcW w:w="120" w:type="dxa"/>
            <w:vAlign w:val="bottom"/>
            <w:tcBorders>
              <w:bottom w:val="single" w:sz="8" w:color="CCEEFF"/>
            </w:tcBorders>
          </w:tcPr>
          <w:p>
            <w:pPr>
              <w:spacing w:after="0"/>
              <w:rPr>
                <w:sz w:val="22"/>
                <w:szCs w:val="22"/>
                <w:color w:val="auto"/>
              </w:rPr>
            </w:pPr>
          </w:p>
        </w:tc>
        <w:tc>
          <w:tcPr>
            <w:tcW w:w="1560" w:type="dxa"/>
            <w:vAlign w:val="bottom"/>
            <w:tcBorders>
              <w:bottom w:val="single" w:sz="8" w:color="3D5588"/>
            </w:tcBorders>
          </w:tcPr>
          <w:p>
            <w:pPr>
              <w:jc w:val="right"/>
              <w:ind w:right="555"/>
              <w:spacing w:after="0"/>
              <w:rPr>
                <w:sz w:val="20"/>
                <w:szCs w:val="20"/>
                <w:color w:val="auto"/>
              </w:rPr>
            </w:pPr>
            <w:r>
              <w:rPr>
                <w:rFonts w:ascii="Arial" w:cs="Arial" w:eastAsia="Arial" w:hAnsi="Arial"/>
                <w:sz w:val="14"/>
                <w:szCs w:val="14"/>
                <w:b w:val="1"/>
                <w:bCs w:val="1"/>
                <w:color w:val="003082"/>
              </w:rPr>
              <w:t>2020</w:t>
            </w:r>
          </w:p>
        </w:tc>
      </w:tr>
      <w:tr>
        <w:trPr>
          <w:trHeight w:val="24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Preferred shares - weighted average</w:t>
            </w:r>
          </w:p>
        </w:tc>
        <w:tc>
          <w:tcPr>
            <w:tcW w:w="5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003082"/>
              </w:rPr>
              <w:t>167,855,481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175,966,063</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003082"/>
              </w:rPr>
              <w:t>Share options - weighted average</w:t>
            </w:r>
          </w:p>
        </w:tc>
        <w:tc>
          <w:tcPr>
            <w:tcW w:w="5520" w:type="dxa"/>
            <w:vAlign w:val="bottom"/>
            <w:gridSpan w:val="2"/>
          </w:tcPr>
          <w:p>
            <w:pPr>
              <w:jc w:val="right"/>
              <w:ind w:right="28"/>
              <w:spacing w:after="0"/>
              <w:rPr>
                <w:sz w:val="20"/>
                <w:szCs w:val="20"/>
                <w:color w:val="auto"/>
              </w:rPr>
            </w:pPr>
            <w:r>
              <w:rPr>
                <w:rFonts w:ascii="Arial" w:cs="Arial" w:eastAsia="Arial" w:hAnsi="Arial"/>
                <w:sz w:val="18"/>
                <w:szCs w:val="18"/>
                <w:color w:val="003082"/>
              </w:rPr>
              <w:t>24,352,696</w:t>
            </w:r>
          </w:p>
        </w:tc>
        <w:tc>
          <w:tcPr>
            <w:tcW w:w="1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003082"/>
              </w:rPr>
              <w:t>33,982,260</w:t>
            </w:r>
          </w:p>
        </w:tc>
      </w:tr>
      <w:tr>
        <w:trPr>
          <w:trHeight w:val="27"/>
        </w:trPr>
        <w:tc>
          <w:tcPr>
            <w:tcW w:w="4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Restricted share - weighted average</w:t>
            </w:r>
          </w:p>
        </w:tc>
        <w:tc>
          <w:tcPr>
            <w:tcW w:w="55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003082"/>
              </w:rPr>
              <w:t>8,094,228</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1,654,095</w:t>
            </w:r>
          </w:p>
        </w:tc>
      </w:tr>
      <w:tr>
        <w:trPr>
          <w:trHeight w:val="594"/>
        </w:trPr>
        <w:tc>
          <w:tcPr>
            <w:tcW w:w="4040" w:type="dxa"/>
            <w:vAlign w:val="bottom"/>
          </w:tcPr>
          <w:p>
            <w:pPr>
              <w:spacing w:after="0"/>
              <w:rPr>
                <w:sz w:val="24"/>
                <w:szCs w:val="24"/>
                <w:color w:val="auto"/>
              </w:rPr>
            </w:pPr>
          </w:p>
        </w:tc>
        <w:tc>
          <w:tcPr>
            <w:tcW w:w="5640" w:type="dxa"/>
            <w:vAlign w:val="bottom"/>
            <w:gridSpan w:val="3"/>
          </w:tcPr>
          <w:p>
            <w:pPr>
              <w:ind w:left="1420"/>
              <w:spacing w:after="0"/>
              <w:rPr>
                <w:sz w:val="20"/>
                <w:szCs w:val="20"/>
                <w:color w:val="auto"/>
              </w:rPr>
            </w:pPr>
            <w:r>
              <w:rPr>
                <w:rFonts w:ascii="Arial" w:cs="Arial" w:eastAsia="Arial" w:hAnsi="Arial"/>
                <w:sz w:val="18"/>
                <w:szCs w:val="18"/>
                <w:color w:val="003082"/>
              </w:rPr>
              <w:t>F-76</w:t>
            </w:r>
          </w:p>
        </w:tc>
        <w:tc>
          <w:tcPr>
            <w:tcW w:w="156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8"/>
          <w:szCs w:val="18"/>
          <w:b w:val="1"/>
          <w:bCs w:val="1"/>
          <w:color w:val="003082"/>
        </w:rPr>
        <w:t>AGORA, INC.</w:t>
      </w:r>
    </w:p>
    <w:p>
      <w:pPr>
        <w:spacing w:after="0" w:line="27" w:lineRule="exact"/>
        <w:rPr>
          <w:sz w:val="20"/>
          <w:szCs w:val="20"/>
          <w:color w:val="auto"/>
        </w:rPr>
      </w:pPr>
    </w:p>
    <w:p>
      <w:pPr>
        <w:ind w:left="3340" w:right="1460" w:hanging="1869"/>
        <w:spacing w:after="0" w:line="260" w:lineRule="auto"/>
        <w:rPr>
          <w:sz w:val="20"/>
          <w:szCs w:val="20"/>
          <w:color w:val="auto"/>
        </w:rPr>
      </w:pPr>
      <w:r>
        <w:rPr>
          <w:rFonts w:ascii="Arial" w:cs="Arial" w:eastAsia="Arial" w:hAnsi="Arial"/>
          <w:sz w:val="18"/>
          <w:szCs w:val="18"/>
          <w:b w:val="1"/>
          <w:bCs w:val="1"/>
          <w:color w:val="003082"/>
        </w:rPr>
        <w:t>NOTES TO THE UNAUDITED INTERIM CONDENSED CONSOLIDATED FINANCIAL STATEMENTS (All amounts in US$, except share data, unless otherwise stated)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15. Commitments and Contingencies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Operating Lease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003082"/>
        </w:rPr>
        <w:t>The Group has entered into non-cancellable agreements with initial or remaining terms in excess of one year for the rental and property management fee of office premises and for the lease of office equipment. As of March 31, 2020, future minimum payments under non-cancellable operating leases for office rental, office equipment and property management fee of office premises consist of the following: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spacing w:after="0"/>
              <w:rPr>
                <w:sz w:val="16"/>
                <w:szCs w:val="16"/>
                <w:color w:val="auto"/>
              </w:rPr>
            </w:pPr>
          </w:p>
        </w:tc>
        <w:tc>
          <w:tcPr>
            <w:tcW w:w="180" w:type="dxa"/>
            <w:vAlign w:val="bottom"/>
            <w:tcBorders>
              <w:bottom w:val="single" w:sz="8" w:color="3D5588"/>
            </w:tcBorders>
          </w:tcPr>
          <w:p>
            <w:pPr>
              <w:spacing w:after="0"/>
              <w:rPr>
                <w:sz w:val="16"/>
                <w:szCs w:val="16"/>
                <w:color w:val="auto"/>
              </w:rPr>
            </w:pPr>
          </w:p>
        </w:tc>
        <w:tc>
          <w:tcPr>
            <w:tcW w:w="1380" w:type="dxa"/>
            <w:vAlign w:val="bottom"/>
            <w:tcBorders>
              <w:bottom w:val="single" w:sz="8" w:color="3D5588"/>
            </w:tcBorders>
          </w:tcPr>
          <w:p>
            <w:pPr>
              <w:jc w:val="right"/>
              <w:ind w:right="155"/>
              <w:spacing w:after="0"/>
              <w:rPr>
                <w:sz w:val="20"/>
                <w:szCs w:val="20"/>
                <w:color w:val="auto"/>
              </w:rPr>
            </w:pPr>
            <w:r>
              <w:rPr>
                <w:rFonts w:ascii="Arial" w:cs="Arial" w:eastAsia="Arial" w:hAnsi="Arial"/>
                <w:sz w:val="14"/>
                <w:szCs w:val="14"/>
                <w:b w:val="1"/>
                <w:bCs w:val="1"/>
                <w:color w:val="003082"/>
                <w:w w:val="95"/>
              </w:rPr>
              <w:t>Operating Leases</w:t>
            </w:r>
          </w:p>
        </w:tc>
      </w:tr>
      <w:tr>
        <w:trPr>
          <w:trHeight w:val="250"/>
        </w:trPr>
        <w:tc>
          <w:tcPr>
            <w:tcW w:w="9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515"/>
              <w:spacing w:after="0"/>
              <w:rPr>
                <w:sz w:val="20"/>
                <w:szCs w:val="20"/>
                <w:color w:val="auto"/>
              </w:rPr>
            </w:pPr>
            <w:r>
              <w:rPr>
                <w:rFonts w:ascii="Arial" w:cs="Arial" w:eastAsia="Arial" w:hAnsi="Arial"/>
                <w:sz w:val="14"/>
                <w:szCs w:val="14"/>
                <w:color w:val="003082"/>
              </w:rPr>
              <w:t>(US$)</w:t>
            </w:r>
          </w:p>
        </w:tc>
      </w:tr>
      <w:tr>
        <w:trPr>
          <w:trHeight w:val="256"/>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Years Ending December 31,</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003082"/>
              </w:rPr>
              <w:t>Remainder of 2020</w:t>
            </w:r>
          </w:p>
        </w:tc>
        <w:tc>
          <w:tcPr>
            <w:tcW w:w="180" w:type="dxa"/>
            <w:vAlign w:val="bottom"/>
          </w:tcPr>
          <w:p>
            <w:pPr>
              <w:jc w:val="right"/>
              <w:spacing w:after="0"/>
              <w:rPr>
                <w:sz w:val="20"/>
                <w:szCs w:val="20"/>
                <w:color w:val="auto"/>
              </w:rPr>
            </w:pPr>
            <w:r>
              <w:rPr>
                <w:rFonts w:ascii="Arial" w:cs="Arial" w:eastAsia="Arial" w:hAnsi="Arial"/>
                <w:sz w:val="18"/>
                <w:szCs w:val="18"/>
                <w:color w:val="003082"/>
                <w:w w:val="9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003082"/>
              </w:rPr>
              <w:t>1,745,783</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1,261,815</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003082"/>
              </w:rPr>
              <w:t>2022</w:t>
            </w:r>
          </w:p>
        </w:tc>
        <w:tc>
          <w:tcPr>
            <w:tcW w:w="18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003082"/>
              </w:rPr>
              <w:t>519,702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208,303</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003082"/>
              </w:rPr>
              <w:t>2024</w:t>
            </w:r>
          </w:p>
        </w:tc>
        <w:tc>
          <w:tcPr>
            <w:tcW w:w="18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003082"/>
              </w:rPr>
              <w:t>98,388</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3D5588"/>
            </w:tcBorders>
          </w:tcPr>
          <w:p>
            <w:pPr>
              <w:spacing w:after="0"/>
              <w:rPr>
                <w:sz w:val="2"/>
                <w:szCs w:val="2"/>
                <w:color w:val="auto"/>
              </w:rPr>
            </w:pPr>
          </w:p>
        </w:tc>
        <w:tc>
          <w:tcPr>
            <w:tcW w:w="1380" w:type="dxa"/>
            <w:vAlign w:val="bottom"/>
            <w:tcBorders>
              <w:bottom w:val="single" w:sz="8" w:color="3D5588"/>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3,833,991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3D5588"/>
              <w:bottom w:val="single" w:sz="8" w:color="3D5588"/>
            </w:tcBorders>
          </w:tcPr>
          <w:p>
            <w:pPr>
              <w:spacing w:after="0" w:line="20" w:lineRule="exact"/>
              <w:rPr>
                <w:sz w:val="1"/>
                <w:szCs w:val="1"/>
                <w:color w:val="auto"/>
              </w:rPr>
            </w:pPr>
          </w:p>
        </w:tc>
        <w:tc>
          <w:tcPr>
            <w:tcW w:w="1380" w:type="dxa"/>
            <w:vAlign w:val="bottom"/>
            <w:tcBorders>
              <w:top w:val="single" w:sz="8" w:color="3D5588"/>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003082"/>
        </w:rPr>
        <w:t>Rental expenses for the three months ended March 31, 2019 and 2020 were $308,278 and $446,547,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003082"/>
        </w:rPr>
        <w:t>Contractual Purchase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Group has entered into non-cancellable agreements related to the purchase of servers from third party vendors. As of March 31, 2020, contractual purchase obligations with respect to these servers consist of the following:</w:t>
      </w:r>
    </w:p>
    <w:p>
      <w:pPr>
        <w:spacing w:after="0" w:line="270"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003082"/>
        </w:rPr>
        <w:t>Contractual Purchase</w:t>
      </w:r>
    </w:p>
    <w:p>
      <w:pPr>
        <w:spacing w:after="0" w:line="4" w:lineRule="exact"/>
        <w:rPr>
          <w:sz w:val="20"/>
          <w:szCs w:val="20"/>
          <w:color w:val="auto"/>
        </w:rPr>
      </w:pPr>
    </w:p>
    <w:p>
      <w:pPr>
        <w:jc w:val="center"/>
        <w:ind w:left="9660"/>
        <w:spacing w:after="0"/>
        <w:rPr>
          <w:sz w:val="20"/>
          <w:szCs w:val="20"/>
          <w:color w:val="auto"/>
        </w:rPr>
      </w:pPr>
      <w:r>
        <w:rPr>
          <w:rFonts w:ascii="Arial" w:cs="Arial" w:eastAsia="Arial" w:hAnsi="Arial"/>
          <w:sz w:val="14"/>
          <w:szCs w:val="14"/>
          <w:b w:val="1"/>
          <w:bCs w:val="1"/>
          <w:color w:val="003082"/>
        </w:rPr>
        <w:t>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13335</wp:posOffset>
            </wp:positionV>
            <wp:extent cx="9944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77" w:lineRule="exact"/>
        <w:rPr>
          <w:sz w:val="20"/>
          <w:szCs w:val="20"/>
          <w:color w:val="auto"/>
        </w:rPr>
      </w:pPr>
    </w:p>
    <w:p>
      <w:pPr>
        <w:ind w:left="10280"/>
        <w:spacing w:after="0"/>
        <w:rPr>
          <w:sz w:val="20"/>
          <w:szCs w:val="20"/>
          <w:color w:val="auto"/>
        </w:rPr>
      </w:pPr>
      <w:r>
        <w:rPr>
          <w:rFonts w:ascii="Arial" w:cs="Arial" w:eastAsia="Arial" w:hAnsi="Arial"/>
          <w:sz w:val="14"/>
          <w:szCs w:val="14"/>
          <w:color w:val="003082"/>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6" w:lineRule="exact"/>
        <w:rPr>
          <w:sz w:val="20"/>
          <w:szCs w:val="20"/>
          <w:color w:val="auto"/>
        </w:rPr>
      </w:pPr>
    </w:p>
    <w:p>
      <w:pPr>
        <w:ind w:left="40"/>
        <w:spacing w:after="0"/>
        <w:tabs>
          <w:tab w:leader="none" w:pos="9680" w:val="left"/>
          <w:tab w:leader="none" w:pos="10400" w:val="left"/>
        </w:tabs>
        <w:rPr>
          <w:sz w:val="20"/>
          <w:szCs w:val="20"/>
          <w:color w:val="auto"/>
        </w:rPr>
      </w:pPr>
      <w:r>
        <w:rPr>
          <w:rFonts w:ascii="Arial" w:cs="Arial" w:eastAsia="Arial" w:hAnsi="Arial"/>
          <w:sz w:val="18"/>
          <w:szCs w:val="18"/>
          <w:b w:val="1"/>
          <w:bCs w:val="1"/>
          <w:color w:val="003082"/>
        </w:rPr>
        <w:t>Remainder of 2020</w:t>
      </w:r>
      <w:r>
        <w:rPr>
          <w:sz w:val="20"/>
          <w:szCs w:val="20"/>
          <w:color w:val="auto"/>
        </w:rPr>
        <w:tab/>
      </w:r>
      <w:r>
        <w:rPr>
          <w:rFonts w:ascii="Arial" w:cs="Arial" w:eastAsia="Arial" w:hAnsi="Arial"/>
          <w:sz w:val="18"/>
          <w:szCs w:val="18"/>
          <w:color w:val="003082"/>
        </w:rPr>
        <w:t>$</w:t>
      </w:r>
      <w:r>
        <w:rPr>
          <w:sz w:val="20"/>
          <w:szCs w:val="20"/>
          <w:color w:val="auto"/>
        </w:rPr>
        <w:tab/>
      </w:r>
      <w:r>
        <w:rPr>
          <w:rFonts w:ascii="Arial" w:cs="Arial" w:eastAsia="Arial" w:hAnsi="Arial"/>
          <w:sz w:val="16"/>
          <w:szCs w:val="16"/>
          <w:color w:val="003082"/>
        </w:rPr>
        <w:t>4,238,710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48895</wp:posOffset>
            </wp:positionV>
            <wp:extent cx="9944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16. Related Party Transactions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For the three months ended March 31, 2019 and 2020, the significant related party transactions not disclosed elsewhere in these unaudited interim condensed financial statements were as follows:</w:t>
      </w:r>
    </w:p>
    <w:p>
      <w:pPr>
        <w:spacing w:after="0" w:line="337"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003082"/>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003082"/>
              </w:rPr>
              <w:t>2019</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9"/>
              <w:spacing w:after="0"/>
              <w:rPr>
                <w:sz w:val="20"/>
                <w:szCs w:val="20"/>
                <w:color w:val="auto"/>
              </w:rPr>
            </w:pPr>
            <w:r>
              <w:rPr>
                <w:rFonts w:ascii="Arial" w:cs="Arial" w:eastAsia="Arial" w:hAnsi="Arial"/>
                <w:sz w:val="14"/>
                <w:szCs w:val="14"/>
                <w:b w:val="1"/>
                <w:bCs w:val="1"/>
                <w:color w:val="003082"/>
              </w:rPr>
              <w:t>2020</w:t>
            </w:r>
          </w:p>
        </w:tc>
      </w:tr>
      <w:tr>
        <w:trPr>
          <w:trHeight w:val="250"/>
        </w:trPr>
        <w:tc>
          <w:tcPr>
            <w:tcW w:w="7980" w:type="dxa"/>
            <w:vAlign w:val="bottom"/>
          </w:tcPr>
          <w:p>
            <w:pPr>
              <w:spacing w:after="0"/>
              <w:rPr>
                <w:sz w:val="21"/>
                <w:szCs w:val="21"/>
                <w:color w:val="auto"/>
              </w:rPr>
            </w:pPr>
          </w:p>
        </w:tc>
        <w:tc>
          <w:tcPr>
            <w:tcW w:w="960" w:type="dxa"/>
            <w:vAlign w:val="bottom"/>
            <w:tcBorders>
              <w:top w:val="single" w:sz="8" w:color="3D5588"/>
            </w:tcBorders>
          </w:tcPr>
          <w:p>
            <w:pPr>
              <w:spacing w:after="0"/>
              <w:rPr>
                <w:sz w:val="21"/>
                <w:szCs w:val="21"/>
                <w:color w:val="auto"/>
              </w:rPr>
            </w:pPr>
          </w:p>
        </w:tc>
        <w:tc>
          <w:tcPr>
            <w:tcW w:w="1120" w:type="dxa"/>
            <w:vAlign w:val="bottom"/>
            <w:tcBorders>
              <w:top w:val="single" w:sz="8" w:color="3D5588"/>
            </w:tcBorders>
            <w:gridSpan w:val="3"/>
          </w:tcPr>
          <w:p>
            <w:pPr>
              <w:ind w:left="520"/>
              <w:spacing w:after="0"/>
              <w:rPr>
                <w:sz w:val="20"/>
                <w:szCs w:val="20"/>
                <w:color w:val="auto"/>
              </w:rPr>
            </w:pPr>
            <w:r>
              <w:rPr>
                <w:rFonts w:ascii="Arial" w:cs="Arial" w:eastAsia="Arial" w:hAnsi="Arial"/>
                <w:sz w:val="14"/>
                <w:szCs w:val="14"/>
                <w:color w:val="003082"/>
              </w:rPr>
              <w:t>(US$)</w:t>
            </w:r>
          </w:p>
        </w:tc>
        <w:tc>
          <w:tcPr>
            <w:tcW w:w="1180" w:type="dxa"/>
            <w:vAlign w:val="bottom"/>
            <w:tcBorders>
              <w:top w:val="single" w:sz="8" w:color="3D5588"/>
            </w:tcBorders>
          </w:tcPr>
          <w:p>
            <w:pPr>
              <w:spacing w:after="0"/>
              <w:rPr>
                <w:sz w:val="21"/>
                <w:szCs w:val="21"/>
                <w:color w:val="auto"/>
              </w:rPr>
            </w:pPr>
          </w:p>
        </w:tc>
      </w:tr>
      <w:tr>
        <w:trPr>
          <w:trHeight w:val="270"/>
        </w:trPr>
        <w:tc>
          <w:tcPr>
            <w:tcW w:w="8940" w:type="dxa"/>
            <w:vAlign w:val="bottom"/>
            <w:gridSpan w:val="2"/>
            <w:shd w:val="clear" w:color="auto" w:fill="CCEEFF"/>
          </w:tcPr>
          <w:p>
            <w:pPr>
              <w:jc w:val="right"/>
              <w:ind w:right="6260"/>
              <w:spacing w:after="0"/>
              <w:rPr>
                <w:sz w:val="20"/>
                <w:szCs w:val="20"/>
                <w:color w:val="auto"/>
              </w:rPr>
            </w:pPr>
            <w:r>
              <w:rPr>
                <w:rFonts w:ascii="Arial" w:cs="Arial" w:eastAsia="Arial" w:hAnsi="Arial"/>
                <w:sz w:val="18"/>
                <w:szCs w:val="18"/>
                <w:color w:val="003082"/>
                <w:w w:val="89"/>
              </w:rPr>
              <w:t>Rental fee charged by a related party</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003082"/>
                <w:w w:val="90"/>
              </w:rPr>
              <w:t>17,213</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003082"/>
              </w:rPr>
              <w:t>49,922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3D5588"/>
              <w:bottom w:val="single" w:sz="8" w:color="3D5588"/>
            </w:tcBorders>
          </w:tcPr>
          <w:p>
            <w:pPr>
              <w:spacing w:after="0" w:line="20" w:lineRule="exact"/>
              <w:rPr>
                <w:sz w:val="1"/>
                <w:szCs w:val="1"/>
                <w:color w:val="auto"/>
              </w:rPr>
            </w:pPr>
          </w:p>
        </w:tc>
        <w:tc>
          <w:tcPr>
            <w:tcW w:w="620" w:type="dxa"/>
            <w:vAlign w:val="bottom"/>
            <w:tcBorders>
              <w:top w:val="single" w:sz="8" w:color="3D5588"/>
              <w:bottom w:val="single" w:sz="8" w:color="3D5588"/>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3D5588"/>
              <w:bottom w:val="single" w:sz="8" w:color="3D5588"/>
            </w:tcBorders>
          </w:tcPr>
          <w:p>
            <w:pPr>
              <w:spacing w:after="0" w:line="20" w:lineRule="exact"/>
              <w:rPr>
                <w:sz w:val="1"/>
                <w:szCs w:val="1"/>
                <w:color w:val="auto"/>
              </w:rPr>
            </w:pPr>
          </w:p>
        </w:tc>
        <w:tc>
          <w:tcPr>
            <w:tcW w:w="1180" w:type="dxa"/>
            <w:vAlign w:val="bottom"/>
            <w:tcBorders>
              <w:top w:val="single" w:sz="8" w:color="3D5588"/>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rental fee charged by a related party represented the costs charged from a company under common control of the Founder for a renewable one-year operating lease for an office facility used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17. Unaudited Pro Forma Balance Sheet and Earnings Per Share for Conversion of Convertible Redeemable Preferred Shares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Immediately prior to the completion of a Qualified IPO, the Preferred Shares of the Company will be automatically converted into ordinary shares on a one-for-one basis. The unaudited pro-forma balance sheet as of March 31, 2020</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F-77</w:t>
      </w:r>
    </w:p>
    <w:p>
      <w:pPr>
        <w:sectPr>
          <w:pgSz w:w="11900" w:h="16838" w:orient="portrait"/>
          <w:cols w:equalWidth="0" w:num="1">
            <w:col w:w="11240"/>
          </w:cols>
          <w:pgMar w:left="320" w:top="769" w:right="339" w:bottom="1440" w:gutter="0" w:footer="0" w:header="0"/>
        </w:sectPr>
      </w:pPr>
    </w:p>
    <w:bookmarkStart w:id="286" w:name="page287"/>
    <w:bookmarkEnd w:id="286"/>
    <w:p>
      <w:pPr>
        <w:jc w:val="both"/>
        <w:spacing w:after="0" w:line="277" w:lineRule="auto"/>
        <w:rPr>
          <w:sz w:val="20"/>
          <w:szCs w:val="20"/>
          <w:color w:val="auto"/>
        </w:rPr>
      </w:pPr>
      <w:r>
        <w:rPr>
          <w:rFonts w:ascii="Arial" w:cs="Arial" w:eastAsia="Arial" w:hAnsi="Arial"/>
          <w:sz w:val="18"/>
          <w:szCs w:val="18"/>
          <w:color w:val="003082"/>
        </w:rPr>
        <w:t>assumes a Qualified IPO has occurred and presents an adjusted financial position as if the Preferred Shares had been converted into ordinary shares on March 31, 2020 at the conversion ratio of one for one.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003082"/>
        </w:rPr>
        <w:t>The unaudited pro-forma basic and diluted earnings per share were computed to give effect to the automatic conversion of the Preferred Shares using the “if converted” method as if the conversion had occurred as of the beginning of the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jc w:val="center"/>
              <w:ind w:right="95"/>
              <w:spacing w:after="0"/>
              <w:rPr>
                <w:sz w:val="20"/>
                <w:szCs w:val="20"/>
                <w:color w:val="auto"/>
              </w:rPr>
            </w:pPr>
            <w:r>
              <w:rPr>
                <w:rFonts w:ascii="Arial" w:cs="Arial" w:eastAsia="Arial" w:hAnsi="Arial"/>
                <w:sz w:val="14"/>
                <w:szCs w:val="14"/>
                <w:b w:val="1"/>
                <w:bCs w:val="1"/>
                <w:color w:val="003082"/>
                <w:w w:val="95"/>
              </w:rPr>
              <w:t>Three Months Ended</w:t>
            </w:r>
          </w:p>
        </w:tc>
      </w:tr>
      <w:tr>
        <w:trPr>
          <w:trHeight w:val="192"/>
        </w:trPr>
        <w:tc>
          <w:tcPr>
            <w:tcW w:w="9440" w:type="dxa"/>
            <w:vAlign w:val="bottom"/>
          </w:tcPr>
          <w:p>
            <w:pPr>
              <w:spacing w:after="0"/>
              <w:rPr>
                <w:sz w:val="16"/>
                <w:szCs w:val="16"/>
                <w:color w:val="auto"/>
              </w:rPr>
            </w:pPr>
          </w:p>
        </w:tc>
        <w:tc>
          <w:tcPr>
            <w:tcW w:w="180" w:type="dxa"/>
            <w:vAlign w:val="bottom"/>
            <w:tcBorders>
              <w:bottom w:val="single" w:sz="8" w:color="3D5588"/>
            </w:tcBorders>
          </w:tcPr>
          <w:p>
            <w:pPr>
              <w:spacing w:after="0"/>
              <w:rPr>
                <w:sz w:val="16"/>
                <w:szCs w:val="16"/>
                <w:color w:val="auto"/>
              </w:rPr>
            </w:pPr>
          </w:p>
        </w:tc>
        <w:tc>
          <w:tcPr>
            <w:tcW w:w="1620" w:type="dxa"/>
            <w:vAlign w:val="bottom"/>
            <w:tcBorders>
              <w:bottom w:val="single" w:sz="8" w:color="3D5588"/>
            </w:tcBorders>
          </w:tcPr>
          <w:p>
            <w:pPr>
              <w:jc w:val="center"/>
              <w:ind w:right="95"/>
              <w:spacing w:after="0"/>
              <w:rPr>
                <w:sz w:val="20"/>
                <w:szCs w:val="20"/>
                <w:color w:val="auto"/>
              </w:rPr>
            </w:pPr>
            <w:r>
              <w:rPr>
                <w:rFonts w:ascii="Arial" w:cs="Arial" w:eastAsia="Arial" w:hAnsi="Arial"/>
                <w:sz w:val="14"/>
                <w:szCs w:val="14"/>
                <w:b w:val="1"/>
                <w:bCs w:val="1"/>
                <w:color w:val="003082"/>
                <w:w w:val="96"/>
              </w:rPr>
              <w:t>March 31, 2020</w:t>
            </w:r>
          </w:p>
        </w:tc>
      </w:tr>
      <w:tr>
        <w:trPr>
          <w:trHeight w:val="250"/>
        </w:trPr>
        <w:tc>
          <w:tcPr>
            <w:tcW w:w="9440" w:type="dxa"/>
            <w:vAlign w:val="bottom"/>
          </w:tcPr>
          <w:p>
            <w:pPr>
              <w:spacing w:after="0"/>
              <w:rPr>
                <w:sz w:val="21"/>
                <w:szCs w:val="21"/>
                <w:color w:val="auto"/>
              </w:rPr>
            </w:pPr>
          </w:p>
        </w:tc>
        <w:tc>
          <w:tcPr>
            <w:tcW w:w="180" w:type="dxa"/>
            <w:vAlign w:val="bottom"/>
            <w:tcBorders>
              <w:bottom w:val="single" w:sz="8" w:color="3D5588"/>
            </w:tcBorders>
          </w:tcPr>
          <w:p>
            <w:pPr>
              <w:spacing w:after="0"/>
              <w:rPr>
                <w:sz w:val="21"/>
                <w:szCs w:val="21"/>
                <w:color w:val="auto"/>
              </w:rPr>
            </w:pPr>
          </w:p>
        </w:tc>
        <w:tc>
          <w:tcPr>
            <w:tcW w:w="1620" w:type="dxa"/>
            <w:vAlign w:val="bottom"/>
            <w:tcBorders>
              <w:bottom w:val="single" w:sz="8" w:color="3D5588"/>
            </w:tcBorders>
          </w:tcPr>
          <w:p>
            <w:pPr>
              <w:jc w:val="center"/>
              <w:ind w:right="95"/>
              <w:spacing w:after="0"/>
              <w:rPr>
                <w:sz w:val="20"/>
                <w:szCs w:val="20"/>
                <w:color w:val="auto"/>
              </w:rPr>
            </w:pPr>
            <w:r>
              <w:rPr>
                <w:rFonts w:ascii="Arial" w:cs="Arial" w:eastAsia="Arial" w:hAnsi="Arial"/>
                <w:sz w:val="14"/>
                <w:szCs w:val="14"/>
                <w:color w:val="003082"/>
                <w:w w:val="92"/>
              </w:rPr>
              <w:t>(Unaudited)</w:t>
            </w:r>
          </w:p>
        </w:tc>
      </w:tr>
      <w:tr>
        <w:trPr>
          <w:trHeight w:val="250"/>
        </w:trPr>
        <w:tc>
          <w:tcPr>
            <w:tcW w:w="9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center"/>
              <w:ind w:right="95"/>
              <w:spacing w:after="0"/>
              <w:rPr>
                <w:sz w:val="20"/>
                <w:szCs w:val="20"/>
                <w:color w:val="auto"/>
              </w:rPr>
            </w:pPr>
            <w:r>
              <w:rPr>
                <w:rFonts w:ascii="Arial" w:cs="Arial" w:eastAsia="Arial" w:hAnsi="Arial"/>
                <w:sz w:val="14"/>
                <w:szCs w:val="14"/>
                <w:color w:val="003082"/>
                <w:w w:val="98"/>
              </w:rPr>
              <w:t>(US$)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Numerator:</w:t>
            </w:r>
          </w:p>
        </w:tc>
        <w:tc>
          <w:tcPr>
            <w:tcW w:w="1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003082"/>
              </w:rPr>
              <w:t>Net loss attributable to Agora, Inc.’s ordinary shareholders</w:t>
            </w:r>
          </w:p>
        </w:tc>
        <w:tc>
          <w:tcPr>
            <w:tcW w:w="180" w:type="dxa"/>
            <w:vAlign w:val="bottom"/>
          </w:tcPr>
          <w:p>
            <w:pPr>
              <w:jc w:val="right"/>
              <w:spacing w:after="0"/>
              <w:rPr>
                <w:sz w:val="20"/>
                <w:szCs w:val="20"/>
                <w:color w:val="auto"/>
              </w:rPr>
            </w:pPr>
            <w:r>
              <w:rPr>
                <w:rFonts w:ascii="Arial" w:cs="Arial" w:eastAsia="Arial" w:hAnsi="Arial"/>
                <w:sz w:val="18"/>
                <w:szCs w:val="18"/>
                <w:color w:val="003082"/>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003082"/>
              </w:rPr>
              <w:t>(36,375,521)</w:t>
            </w:r>
          </w:p>
        </w:tc>
      </w:tr>
      <w:tr>
        <w:trPr>
          <w:trHeight w:val="27"/>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 forma adjustment of conversion of Preferred Shares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39,362,711</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003082"/>
              </w:rPr>
              <w:t>Numerator for pro forma basic and diluted earnings per share</w:t>
            </w:r>
          </w:p>
        </w:tc>
        <w:tc>
          <w:tcPr>
            <w:tcW w:w="180" w:type="dxa"/>
            <w:vAlign w:val="bottom"/>
            <w:tcBorders>
              <w:top w:val="single" w:sz="8" w:color="3D5588"/>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62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2,987,190</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Denominator:</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003082"/>
              </w:rPr>
              <w:t>Weighted-average number of ordinary shares outstanding</w:t>
            </w: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003082"/>
              </w:rPr>
              <w:t>119,882,136</w:t>
            </w:r>
          </w:p>
        </w:tc>
      </w:tr>
      <w:tr>
        <w:trPr>
          <w:trHeight w:val="27"/>
        </w:trPr>
        <w:tc>
          <w:tcPr>
            <w:tcW w:w="9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Pro forma effect of conversion of Preferred Shares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175,966,063</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003082"/>
              </w:rPr>
              <w:t>Denominator for pro forma basic earnings per ordinary share</w:t>
            </w:r>
          </w:p>
        </w:tc>
        <w:tc>
          <w:tcPr>
            <w:tcW w:w="180" w:type="dxa"/>
            <w:vAlign w:val="bottom"/>
            <w:tcBorders>
              <w:top w:val="single" w:sz="8" w:color="3D5588"/>
              <w:bottom w:val="single" w:sz="8" w:color="3D5588"/>
            </w:tcBorders>
          </w:tcPr>
          <w:p>
            <w:pPr>
              <w:spacing w:after="0"/>
              <w:rPr>
                <w:sz w:val="24"/>
                <w:szCs w:val="24"/>
                <w:color w:val="auto"/>
              </w:rPr>
            </w:pPr>
          </w:p>
        </w:tc>
        <w:tc>
          <w:tcPr>
            <w:tcW w:w="1620" w:type="dxa"/>
            <w:vAlign w:val="bottom"/>
            <w:tcBorders>
              <w:top w:val="single" w:sz="8" w:color="3D5588"/>
              <w:bottom w:val="single" w:sz="8" w:color="3D5588"/>
            </w:tcBorders>
          </w:tcPr>
          <w:p>
            <w:pPr>
              <w:jc w:val="right"/>
              <w:ind w:right="15"/>
              <w:spacing w:after="0"/>
              <w:rPr>
                <w:sz w:val="20"/>
                <w:szCs w:val="20"/>
                <w:color w:val="auto"/>
              </w:rPr>
            </w:pPr>
            <w:r>
              <w:rPr>
                <w:rFonts w:ascii="Arial" w:cs="Arial" w:eastAsia="Arial" w:hAnsi="Arial"/>
                <w:sz w:val="18"/>
                <w:szCs w:val="18"/>
                <w:color w:val="003082"/>
              </w:rPr>
              <w:t>295,848,199</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003082"/>
              </w:rPr>
              <w:t>Dilutive impact of share options</w:t>
            </w:r>
          </w:p>
        </w:tc>
        <w:tc>
          <w:tcPr>
            <w:tcW w:w="1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003082"/>
              </w:rPr>
              <w:t>33,982,260</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003082"/>
              </w:rPr>
              <w:t>Dilutive impact of restricted shares</w:t>
            </w: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003082"/>
              </w:rPr>
              <w:t>1,654,095</w:t>
            </w:r>
          </w:p>
        </w:tc>
      </w:tr>
      <w:tr>
        <w:trPr>
          <w:trHeight w:val="27"/>
        </w:trPr>
        <w:tc>
          <w:tcPr>
            <w:tcW w:w="9440" w:type="dxa"/>
            <w:vAlign w:val="bottom"/>
            <w:tcBorders>
              <w:bottom w:val="single" w:sz="8" w:color="CCEEFF"/>
            </w:tcBorders>
          </w:tcPr>
          <w:p>
            <w:pPr>
              <w:spacing w:after="0"/>
              <w:rPr>
                <w:sz w:val="2"/>
                <w:szCs w:val="2"/>
                <w:color w:val="auto"/>
              </w:rPr>
            </w:pPr>
          </w:p>
        </w:tc>
        <w:tc>
          <w:tcPr>
            <w:tcW w:w="180" w:type="dxa"/>
            <w:vAlign w:val="bottom"/>
            <w:tcBorders>
              <w:bottom w:val="single" w:sz="8" w:color="3D5588"/>
            </w:tcBorders>
          </w:tcPr>
          <w:p>
            <w:pPr>
              <w:spacing w:after="0"/>
              <w:rPr>
                <w:sz w:val="2"/>
                <w:szCs w:val="2"/>
                <w:color w:val="auto"/>
              </w:rPr>
            </w:pPr>
          </w:p>
        </w:tc>
        <w:tc>
          <w:tcPr>
            <w:tcW w:w="1620" w:type="dxa"/>
            <w:vAlign w:val="bottom"/>
            <w:tcBorders>
              <w:bottom w:val="single" w:sz="8" w:color="3D5588"/>
            </w:tcBorders>
          </w:tcPr>
          <w:p>
            <w:pPr>
              <w:spacing w:after="0"/>
              <w:rPr>
                <w:sz w:val="2"/>
                <w:szCs w:val="2"/>
                <w:color w:val="auto"/>
              </w:rPr>
            </w:pPr>
          </w:p>
        </w:tc>
      </w:tr>
      <w:tr>
        <w:trPr>
          <w:trHeight w:val="25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Denominator for pro forma diluted net earnings per ordinary share</w:t>
            </w:r>
          </w:p>
        </w:tc>
        <w:tc>
          <w:tcPr>
            <w:tcW w:w="180" w:type="dxa"/>
            <w:vAlign w:val="bottom"/>
            <w:tcBorders>
              <w:bottom w:val="single" w:sz="8" w:color="3D5588"/>
            </w:tcBorders>
            <w:shd w:val="clear" w:color="auto" w:fill="CCEEFF"/>
          </w:tcPr>
          <w:p>
            <w:pPr>
              <w:spacing w:after="0"/>
              <w:rPr>
                <w:sz w:val="22"/>
                <w:szCs w:val="22"/>
                <w:color w:val="auto"/>
              </w:rPr>
            </w:pPr>
          </w:p>
        </w:tc>
        <w:tc>
          <w:tcPr>
            <w:tcW w:w="162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331,484,554</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620" w:type="dxa"/>
            <w:vAlign w:val="bottom"/>
            <w:tcBorders>
              <w:bottom w:val="single" w:sz="8" w:color="3D5588"/>
            </w:tcBorders>
          </w:tcPr>
          <w:p>
            <w:pPr>
              <w:spacing w:after="0" w:line="20" w:lineRule="exact"/>
              <w:rPr>
                <w:sz w:val="1"/>
                <w:szCs w:val="1"/>
                <w:color w:val="auto"/>
              </w:rPr>
            </w:pPr>
          </w:p>
        </w:tc>
      </w:tr>
      <w:tr>
        <w:trPr>
          <w:trHeight w:val="291"/>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003082"/>
              </w:rPr>
              <w:t>Pro forma basic earnings per ordinary share:</w:t>
            </w:r>
          </w:p>
        </w:tc>
        <w:tc>
          <w:tcPr>
            <w:tcW w:w="180" w:type="dxa"/>
            <w:vAlign w:val="bottom"/>
            <w:tcBorders>
              <w:bottom w:val="single" w:sz="8" w:color="3D5588"/>
            </w:tcBorders>
          </w:tcPr>
          <w:p>
            <w:pPr>
              <w:jc w:val="right"/>
              <w:spacing w:after="0"/>
              <w:rPr>
                <w:sz w:val="20"/>
                <w:szCs w:val="20"/>
                <w:color w:val="auto"/>
              </w:rPr>
            </w:pPr>
            <w:r>
              <w:rPr>
                <w:rFonts w:ascii="Arial" w:cs="Arial" w:eastAsia="Arial" w:hAnsi="Arial"/>
                <w:sz w:val="18"/>
                <w:szCs w:val="18"/>
                <w:color w:val="003082"/>
                <w:w w:val="99"/>
              </w:rPr>
              <w:t>$</w:t>
            </w:r>
          </w:p>
        </w:tc>
        <w:tc>
          <w:tcPr>
            <w:tcW w:w="1620" w:type="dxa"/>
            <w:vAlign w:val="bottom"/>
            <w:tcBorders>
              <w:bottom w:val="single" w:sz="8" w:color="3D5588"/>
            </w:tcBorders>
          </w:tcPr>
          <w:p>
            <w:pPr>
              <w:jc w:val="right"/>
              <w:ind w:right="15"/>
              <w:spacing w:after="0"/>
              <w:rPr>
                <w:sz w:val="20"/>
                <w:szCs w:val="20"/>
                <w:color w:val="auto"/>
              </w:rPr>
            </w:pPr>
            <w:r>
              <w:rPr>
                <w:rFonts w:ascii="Arial" w:cs="Arial" w:eastAsia="Arial" w:hAnsi="Arial"/>
                <w:sz w:val="18"/>
                <w:szCs w:val="18"/>
                <w:color w:val="003082"/>
              </w:rPr>
              <w:t>0.01</w:t>
            </w: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003082"/>
              </w:rPr>
              <w:t>Pro forma diluted earnings per ordinary share:</w:t>
            </w:r>
          </w:p>
        </w:tc>
        <w:tc>
          <w:tcPr>
            <w:tcW w:w="180" w:type="dxa"/>
            <w:vAlign w:val="bottom"/>
            <w:tcBorders>
              <w:bottom w:val="single" w:sz="8" w:color="3D5588"/>
            </w:tcBorders>
            <w:shd w:val="clear" w:color="auto" w:fill="CCEEFF"/>
          </w:tcPr>
          <w:p>
            <w:pPr>
              <w:jc w:val="right"/>
              <w:spacing w:after="0"/>
              <w:rPr>
                <w:sz w:val="20"/>
                <w:szCs w:val="20"/>
                <w:color w:val="auto"/>
              </w:rPr>
            </w:pPr>
            <w:r>
              <w:rPr>
                <w:rFonts w:ascii="Arial" w:cs="Arial" w:eastAsia="Arial" w:hAnsi="Arial"/>
                <w:sz w:val="18"/>
                <w:szCs w:val="18"/>
                <w:color w:val="003082"/>
                <w:w w:val="99"/>
              </w:rPr>
              <w:t>$</w:t>
            </w:r>
          </w:p>
        </w:tc>
        <w:tc>
          <w:tcPr>
            <w:tcW w:w="1620" w:type="dxa"/>
            <w:vAlign w:val="bottom"/>
            <w:tcBorders>
              <w:bottom w:val="single" w:sz="8" w:color="3D5588"/>
            </w:tcBorders>
            <w:shd w:val="clear" w:color="auto" w:fill="CCEEFF"/>
          </w:tcPr>
          <w:p>
            <w:pPr>
              <w:jc w:val="right"/>
              <w:ind w:right="15"/>
              <w:spacing w:after="0"/>
              <w:rPr>
                <w:sz w:val="20"/>
                <w:szCs w:val="20"/>
                <w:color w:val="auto"/>
              </w:rPr>
            </w:pPr>
            <w:r>
              <w:rPr>
                <w:rFonts w:ascii="Arial" w:cs="Arial" w:eastAsia="Arial" w:hAnsi="Arial"/>
                <w:sz w:val="18"/>
                <w:szCs w:val="18"/>
                <w:color w:val="003082"/>
              </w:rPr>
              <w:t>0.01</w:t>
            </w:r>
          </w:p>
        </w:tc>
      </w:tr>
      <w:tr>
        <w:trPr>
          <w:trHeight w:val="20"/>
        </w:trPr>
        <w:tc>
          <w:tcPr>
            <w:tcW w:w="9440" w:type="dxa"/>
            <w:vAlign w:val="bottom"/>
          </w:tcPr>
          <w:p>
            <w:pPr>
              <w:spacing w:after="0" w:line="20" w:lineRule="exact"/>
              <w:rPr>
                <w:sz w:val="1"/>
                <w:szCs w:val="1"/>
                <w:color w:val="auto"/>
              </w:rPr>
            </w:pPr>
          </w:p>
        </w:tc>
        <w:tc>
          <w:tcPr>
            <w:tcW w:w="180" w:type="dxa"/>
            <w:vAlign w:val="bottom"/>
            <w:tcBorders>
              <w:bottom w:val="single" w:sz="8" w:color="3D5588"/>
            </w:tcBorders>
          </w:tcPr>
          <w:p>
            <w:pPr>
              <w:spacing w:after="0" w:line="20" w:lineRule="exact"/>
              <w:rPr>
                <w:sz w:val="1"/>
                <w:szCs w:val="1"/>
                <w:color w:val="auto"/>
              </w:rPr>
            </w:pPr>
          </w:p>
        </w:tc>
        <w:tc>
          <w:tcPr>
            <w:tcW w:w="1620" w:type="dxa"/>
            <w:vAlign w:val="bottom"/>
            <w:tcBorders>
              <w:bottom w:val="single" w:sz="8" w:color="3D5588"/>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003082"/>
        </w:rPr>
        <w:t>Share options and unvested shares granted by the Company are treated as potential ordinary shares outstanding in computing diluted earnings per share. Diluted shares outstanding include the dilutive effect of in-the-money options and unvested restricted stock. The dilutive effect of such equity awards is calculated based on the average share price for each fiscal period using the treasury stock method. Under the treasury stock method, the amount the employee must pay for exercising stock options and the amount of compensation cost for future service that has not yet recognized are collectively assumed to be used to repurchase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3082"/>
        </w:rPr>
        <w:t>18. Subsequent Events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003082"/>
        </w:rPr>
        <w:t>The Company has evaluated the subsequent events through June 19, 2020, the date the unaudited interim condensed consolidated financial statements were issued, with no significant subsequent events identified except for the following:</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003082"/>
        </w:rPr>
        <w:t>As of June 19, 2020, the board of directors adopted and the shareholders approved (i) that immediately prior to the completion of the Company’s offering, the Company’s share capital structure will be changed to reflect the designation of the Class A and Class B ordinary shares. Class A ordinary shares and Class B ordinary shares will have the same rights except for voting and conversion rights. Each Class A ordinary share is entitled to one vote, and each Class B ordinary share is entitled to 20 votes and is convertible into one Class A ordinary share; (ii) the Global Equity Incentive Plan (the “Global Plan”), which will become effective one business day prior to the Company’s F-1 registration statement becoming effective. Under the Global Plan, the maximum aggregate number of Class A ordinary shares available for issuance shall initially be 16,000,000; and (iii) the Employee Stock Purchase Plan (the “ESPP”). A total of 3,000,000 Class A ordinary shares will be available for sale under the ESPP.</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003082"/>
        </w:rPr>
        <w:t>F-78</w:t>
      </w:r>
    </w:p>
    <w:p>
      <w:pPr>
        <w:sectPr>
          <w:pgSz w:w="11900" w:h="16838" w:orient="portrait"/>
          <w:cols w:equalWidth="0" w:num="1">
            <w:col w:w="11240"/>
          </w:cols>
          <w:pgMar w:left="320" w:top="341" w:right="339" w:bottom="1440"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2625725</wp:posOffset>
            </wp:positionH>
            <wp:positionV relativeFrom="page">
              <wp:posOffset>946150</wp:posOffset>
            </wp:positionV>
            <wp:extent cx="2305685" cy="8058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2305685" cy="8058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1)"/>
      <w:numFmt w:val="decimal"/>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1)"/>
      <w:numFmt w:val="decimal"/>
      <w:start w:val="2"/>
    </w:lvl>
  </w:abstractNum>
  <w:abstractNum w:abstractNumId="16">
    <w:nsid w:val="68EB2F63"/>
    <w:multiLevelType w:val="hybridMultilevel"/>
    <w:lvl w:ilvl="0">
      <w:lvlJc w:val="left"/>
      <w:lvlText w:val="(%1)"/>
      <w:numFmt w:val="decimal"/>
      <w:start w:val="1"/>
    </w:lvl>
    <w:lvl w:ilvl="1">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1)"/>
      <w:numFmt w:val="decimal"/>
      <w:start w:val="5"/>
    </w:lvl>
  </w:abstractNum>
  <w:abstractNum w:abstractNumId="19">
    <w:nsid w:val="6A5EE64"/>
    <w:multiLevelType w:val="hybridMultilevel"/>
    <w:lvl w:ilvl="0">
      <w:lvlJc w:val="left"/>
      <w:lvlText w:val="(%1)"/>
      <w:numFmt w:val="decimal"/>
      <w:start w:val="6"/>
    </w:lvl>
  </w:abstractNum>
  <w:abstractNum w:abstractNumId="20">
    <w:nsid w:val="14330624"/>
    <w:multiLevelType w:val="hybridMultilevel"/>
    <w:lvl w:ilvl="0">
      <w:lvlJc w:val="left"/>
      <w:lvlText w:val="(%1)"/>
      <w:numFmt w:val="decimal"/>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1)"/>
      <w:numFmt w:val="decimal"/>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1)"/>
      <w:numFmt w:val="decimal"/>
      <w:start w:val="2"/>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1)"/>
      <w:numFmt w:val="decimal"/>
      <w:start w:val="4"/>
    </w:lvl>
  </w:abstractNum>
  <w:abstractNum w:abstractNumId="42">
    <w:nsid w:val="CC1016F"/>
    <w:multiLevelType w:val="hybridMultilevel"/>
    <w:lvl w:ilvl="0">
      <w:lvlJc w:val="left"/>
      <w:lvlText w:val="&amp;"/>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1)"/>
      <w:numFmt w:val="decimal"/>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2"/>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
      <w:numFmt w:val="bullet"/>
      <w:start w:val="1"/>
    </w:lvl>
  </w:abstractNum>
  <w:abstractNum w:abstractNumId="49">
    <w:nsid w:val="5FB8370B"/>
    <w:multiLevelType w:val="hybridMultilevel"/>
    <w:lvl w:ilvl="0">
      <w:lvlJc w:val="left"/>
      <w:lvlText w:val="(%1)"/>
      <w:numFmt w:val="decimal"/>
      <w:start w:val="1"/>
    </w:lvl>
  </w:abstractNum>
  <w:abstractNum w:abstractNumId="50">
    <w:nsid w:val="50801EE1"/>
    <w:multiLevelType w:val="hybridMultilevel"/>
    <w:lvl w:ilvl="0">
      <w:lvlJc w:val="left"/>
      <w:lvlText w:val="(%1)"/>
      <w:numFmt w:val="decimal"/>
      <w:start w:val="1"/>
    </w:lvl>
  </w:abstractNum>
  <w:abstractNum w:abstractNumId="51">
    <w:nsid w:val="488AC1A"/>
    <w:multiLevelType w:val="hybridMultilevel"/>
    <w:lvl w:ilvl="0">
      <w:lvlJc w:val="left"/>
      <w:lvlText w:val="(%1)"/>
      <w:numFmt w:val="decimal"/>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
      <w:numFmt w:val="bullet"/>
      <w:start w:val="1"/>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
      <w:numFmt w:val="bullet"/>
      <w:start w:val="1"/>
    </w:lvl>
  </w:abstractNum>
  <w:abstractNum w:abstractNumId="64">
    <w:nsid w:val="6A3DD3E8"/>
    <w:multiLevelType w:val="hybridMultilevel"/>
    <w:lvl w:ilvl="0">
      <w:lvlJc w:val="left"/>
      <w:lvlText w:val="•"/>
      <w:numFmt w:val="bullet"/>
      <w:start w:val="1"/>
    </w:lvl>
  </w:abstractNum>
  <w:abstractNum w:abstractNumId="65">
    <w:nsid w:val="71C91298"/>
    <w:multiLevelType w:val="hybridMultilevel"/>
    <w:lvl w:ilvl="0">
      <w:lvlJc w:val="left"/>
      <w:lvlText w:val="•"/>
      <w:numFmt w:val="bullet"/>
      <w:start w:val="1"/>
    </w:lvl>
    <w:lvl w:ilvl="1">
      <w:lvlJc w:val="left"/>
      <w:lvlText w:val="◦"/>
      <w:numFmt w:val="bullet"/>
      <w:start w:val="1"/>
    </w:lvl>
  </w:abstractNum>
  <w:abstractNum w:abstractNumId="66">
    <w:nsid w:val="9DAF632"/>
    <w:multiLevelType w:val="hybridMultilevel"/>
    <w:lvl w:ilvl="0">
      <w:lvlJc w:val="left"/>
      <w:lvlText w:val="•"/>
      <w:numFmt w:val="bullet"/>
      <w:start w:val="1"/>
    </w:lvl>
    <w:lvl w:ilvl="1">
      <w:lvlJc w:val="left"/>
      <w:lvlText w:val="◦"/>
      <w:numFmt w:val="bullet"/>
      <w:start w:val="1"/>
    </w:lvl>
  </w:abstractNum>
  <w:abstractNum w:abstractNumId="67">
    <w:nsid w:val="53299938"/>
    <w:multiLevelType w:val="hybridMultilevel"/>
    <w:lvl w:ilvl="0">
      <w:lvlJc w:val="left"/>
      <w:lvlText w:val="•"/>
      <w:numFmt w:val="bullet"/>
      <w:start w:val="1"/>
    </w:lvl>
    <w:lvl w:ilvl="1">
      <w:lvlJc w:val="left"/>
      <w:lvlText w:val="◦"/>
      <w:numFmt w:val="bullet"/>
      <w:start w:val="1"/>
    </w:lvl>
  </w:abstractNum>
  <w:abstractNum w:abstractNumId="68">
    <w:nsid w:val="1FBFE8E0"/>
    <w:multiLevelType w:val="hybridMultilevel"/>
    <w:lvl w:ilvl="0">
      <w:lvlJc w:val="left"/>
      <w:lvlText w:val="•"/>
      <w:numFmt w:val="bullet"/>
      <w:start w:val="1"/>
    </w:lvl>
    <w:lvl w:ilvl="1">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1)"/>
      <w:numFmt w:val="decimal"/>
      <w:start w:val="3"/>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
      <w:numFmt w:val="bullet"/>
      <w:start w:val="1"/>
    </w:lvl>
  </w:abstractNum>
  <w:abstractNum w:abstractNumId="80">
    <w:nsid w:val="7C58FD05"/>
    <w:multiLevelType w:val="hybridMultilevel"/>
    <w:lvl w:ilvl="0">
      <w:lvlJc w:val="left"/>
      <w:lvlText w:val="(%1)"/>
      <w:numFmt w:val="lowerLetter"/>
      <w:start w:val="2"/>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
      <w:numFmt w:val="bullet"/>
      <w:start w:val="1"/>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1)"/>
      <w:numFmt w:val="decimal"/>
      <w:start w:val="1"/>
    </w:lvl>
  </w:abstractNum>
  <w:abstractNum w:abstractNumId="90">
    <w:nsid w:val="6C80EC70"/>
    <w:multiLevelType w:val="hybridMultilevel"/>
    <w:lvl w:ilvl="0">
      <w:lvlJc w:val="left"/>
      <w:lvlText w:val="(%1)"/>
      <w:numFmt w:val="decimal"/>
      <w:start w:val="6"/>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1)"/>
      <w:numFmt w:val="decimal"/>
      <w:start w:val="4"/>
    </w:lvl>
  </w:abstractNum>
  <w:abstractNum w:abstractNumId="96">
    <w:nsid w:val="1DF029D3"/>
    <w:multiLevelType w:val="hybridMultilevel"/>
    <w:lvl w:ilvl="0">
      <w:lvlJc w:val="left"/>
      <w:lvlText w:val="(%1)"/>
      <w:numFmt w:val="decimal"/>
      <w:start w:val="2"/>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
      <w:numFmt w:val="bullet"/>
      <w:start w:val="1"/>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1."/>
      <w:numFmt w:val="decimal"/>
      <w:start w:val="3"/>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
      <w:numFmt w:val="bullet"/>
      <w:start w:val="1"/>
    </w:lvl>
  </w:abstractNum>
  <w:abstractNum w:abstractNumId="108">
    <w:nsid w:val="519E3149"/>
    <w:multiLevelType w:val="hybridMultilevel"/>
    <w:lvl w:ilvl="0">
      <w:lvlJc w:val="left"/>
      <w:lvlText w:val="•"/>
      <w:numFmt w:val="bullet"/>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
      <w:numFmt w:val="bullet"/>
      <w:start w:val="1"/>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1)"/>
      <w:numFmt w:val="decimal"/>
      <w:start w:val="2"/>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
      <w:numFmt w:val="bullet"/>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1)"/>
      <w:numFmt w:val="lowerLetter"/>
      <w:start w:val="1"/>
    </w:lvl>
  </w:abstractNum>
  <w:abstractNum w:abstractNumId="121">
    <w:nsid w:val="4427069A"/>
    <w:multiLevelType w:val="hybridMultilevel"/>
    <w:lvl w:ilvl="0">
      <w:lvlJc w:val="left"/>
      <w:lvlText w:val="(%1)"/>
      <w:numFmt w:val="lowerLetter"/>
      <w:start w:val="2"/>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decimal"/>
      <w:start w:val="1"/>
    </w:lvl>
  </w:abstractNum>
  <w:abstractNum w:abstractNumId="124">
    <w:nsid w:val="704E1DD5"/>
    <w:multiLevelType w:val="hybridMultilevel"/>
    <w:lvl w:ilvl="0">
      <w:lvlJc w:val="left"/>
      <w:lvlText w:val="•"/>
      <w:numFmt w:val="bullet"/>
      <w:start w:val="1"/>
    </w:lvl>
  </w:abstractNum>
  <w:abstractNum w:abstractNumId="125">
    <w:nsid w:val="57D2F10E"/>
    <w:multiLevelType w:val="hybridMultilevel"/>
    <w:lvl w:ilvl="0">
      <w:lvlJc w:val="left"/>
      <w:lvlText w:val="(%1)"/>
      <w:numFmt w:val="lowerLetter"/>
      <w:start w:val="1"/>
    </w:lvl>
  </w:abstractNum>
  <w:abstractNum w:abstractNumId="126">
    <w:nsid w:val="BFFAE18"/>
    <w:multiLevelType w:val="hybridMultilevel"/>
    <w:lvl w:ilvl="0">
      <w:lvlJc w:val="left"/>
      <w:lvlText w:val="(%1)"/>
      <w:numFmt w:val="decimal"/>
      <w:start w:val="1"/>
    </w:lvl>
  </w:abstractNum>
  <w:abstractNum w:abstractNumId="127">
    <w:nsid w:val="E3E47A8"/>
    <w:multiLevelType w:val="hybridMultilevel"/>
    <w:lvl w:ilvl="0">
      <w:lvlJc w:val="left"/>
      <w:lvlText w:val="(%1)"/>
      <w:numFmt w:val="decimal"/>
      <w:start w:val="1"/>
    </w:lvl>
  </w:abstractNum>
  <w:abstractNum w:abstractNumId="128">
    <w:nsid w:val="2E48F044"/>
    <w:multiLevelType w:val="hybridMultilevel"/>
    <w:lvl w:ilvl="0">
      <w:lvlJc w:val="left"/>
      <w:lvlText w:val="(%1)"/>
      <w:numFmt w:val="decimal"/>
      <w:start w:val="8"/>
    </w:lvl>
  </w:abstractNum>
  <w:abstractNum w:abstractNumId="129">
    <w:nsid w:val="49D0FEAC"/>
    <w:multiLevelType w:val="hybridMultilevel"/>
    <w:lvl w:ilvl="0">
      <w:lvlJc w:val="left"/>
      <w:lvlText w:val="(%1)"/>
      <w:numFmt w:val="decimal"/>
      <w:start w:val="1"/>
    </w:lvl>
  </w:abstractNum>
  <w:abstractNum w:abstractNumId="130">
    <w:nsid w:val="4BEE5A5B"/>
    <w:multiLevelType w:val="hybridMultilevel"/>
    <w:lvl w:ilvl="0">
      <w:lvlJc w:val="left"/>
      <w:lvlText w:val="$"/>
      <w:numFmt w:val="bullet"/>
      <w:start w:val="1"/>
    </w:lvl>
  </w:abstractNum>
  <w:abstractNum w:abstractNumId="131">
    <w:nsid w:val="5551B9F3"/>
    <w:multiLevelType w:val="hybridMultilevel"/>
    <w:lvl w:ilvl="0">
      <w:lvlJc w:val="left"/>
      <w:lvlText w:val="%1."/>
      <w:numFmt w:val="decimal"/>
      <w:start w:val="19"/>
    </w:lvl>
    <w:lvl w:ilvl="1">
      <w:lvlJc w:val="left"/>
      <w:lvlText w:val="(%2)"/>
      <w:numFmt w:val="lowerLetter"/>
      <w:start w:val="1"/>
    </w:lvl>
  </w:abstractNum>
  <w:abstractNum w:abstractNumId="132">
    <w:nsid w:val="24F6AB8E"/>
    <w:multiLevelType w:val="hybridMultilevel"/>
    <w:lvl w:ilvl="0">
      <w:lvlJc w:val="left"/>
      <w:lvlText w:val="%1"/>
      <w:numFmt w:val="decimal"/>
      <w:start w:val="1"/>
    </w:lvl>
    <w:lvl w:ilvl="1">
      <w:lvlJc w:val="left"/>
      <w:lvlText w:val="(%2)"/>
      <w:numFmt w:val="lowerLetter"/>
      <w:start w:val="2"/>
    </w:lvl>
  </w:abstractNum>
  <w:abstractNum w:abstractNumId="133">
    <w:nsid w:val="634C574C"/>
    <w:multiLevelType w:val="hybridMultilevel"/>
    <w:lvl w:ilvl="0">
      <w:lvlJc w:val="left"/>
      <w:lvlText w:val="%1."/>
      <w:numFmt w:val="decimal"/>
      <w:start w:val="20"/>
    </w:lvl>
    <w:lvl w:ilvl="1">
      <w:lvlJc w:val="left"/>
      <w:lvlText w:val="%2"/>
      <w:numFmt w:val="lowerLetter"/>
      <w:start w:val="1"/>
    </w:lvl>
  </w:abstractNum>
  <w:abstractNum w:abstractNumId="134">
    <w:nsid w:val="24E99DD7"/>
    <w:multiLevelType w:val="hybridMultilevel"/>
    <w:lvl w:ilvl="0">
      <w:lvlJc w:val="left"/>
      <w:lvlText w:val="(%1)"/>
      <w:numFmt w:val="lowerLetter"/>
      <w:start w:val="1"/>
    </w:lvl>
  </w:abstractNum>
  <w:abstractNum w:abstractNumId="135">
    <w:nsid w:val="2A31B62D"/>
    <w:multiLevelType w:val="hybridMultilevel"/>
    <w:lvl w:ilvl="0">
      <w:lvlJc w:val="left"/>
      <w:lvlText w:val="(%1)"/>
      <w:numFmt w:val="lowerLetter"/>
      <w:start w:val="2"/>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2"/>
    </w:lvl>
  </w:abstractNum>
  <w:abstractNum w:abstractNumId="139">
    <w:nsid w:val="69E7F3E5"/>
    <w:multiLevelType w:val="hybridMultilevel"/>
    <w:lvl w:ilvl="0">
      <w:lvlJc w:val="left"/>
      <w:lvlText w:val="•"/>
      <w:numFmt w:val="bullet"/>
      <w:start w:val="1"/>
    </w:lvl>
  </w:abstractNum>
  <w:abstractNum w:abstractNumId="140">
    <w:nsid w:val="2A6DE806"/>
    <w:multiLevelType w:val="hybridMultilevel"/>
    <w:lvl w:ilvl="0">
      <w:lvlJc w:val="left"/>
      <w:lvlText w:val="(%1)"/>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2020-06-26T15:20:13Z</dcterms:created>
  <dcterms:modified xsi:type="dcterms:W3CDTF">2020-06-26T15:20:13Z</dcterms:modified>
</cp:coreProperties>
</file>