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Zhao Bin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2804 MISSION COLLEGE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Agora, Inc.</w:t>
              </w:r>
            </w:hyperlink>
            <w:r>
              <w:rPr/>
              <w:t xml:space="preserve"> [ </w:t>
            </w:r>
            <w:r>
              <w:rPr>
                <w:rFonts w:ascii="Times;serif" w:hAnsi="Times;serif"/>
                <w:color w:val="0000FF"/>
                <w:sz w:val="24"/>
                <w:shd w:fill="FFFFFF" w:val="clear"/>
              </w:rPr>
              <w:t>API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27"/>
        <w:gridCol w:w="917"/>
        <w:gridCol w:w="787"/>
        <w:gridCol w:w="609"/>
        <w:gridCol w:w="338"/>
        <w:gridCol w:w="805"/>
        <w:gridCol w:w="416"/>
        <w:gridCol w:w="892"/>
        <w:gridCol w:w="1341"/>
        <w:gridCol w:w="959"/>
        <w:gridCol w:w="12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2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ADS</w:t>
            </w:r>
            <w:r>
              <w:rPr>
                <w:rFonts w:ascii="Times;serif" w:hAnsi="Times;serif"/>
                <w:color w:val="008000"/>
                <w:position w:val="7"/>
                <w:sz w:val="16"/>
                <w:sz w:val="20"/>
                <w:shd w:fill="FFFFFF" w:val="clear"/>
              </w:rPr>
              <w:t>(1)</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(2)</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8,545</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4.445</w:t>
            </w:r>
            <w:r>
              <w:rPr>
                <w:rFonts w:ascii="Times;serif" w:hAnsi="Times;serif"/>
                <w:color w:val="008000"/>
                <w:position w:val="7"/>
                <w:sz w:val="16"/>
                <w:sz w:val="20"/>
                <w:shd w:fill="FFFFFF" w:val="clear"/>
              </w:rPr>
              <w:t>(5)</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2,157,668</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YY TZ LIMITED</w:t>
            </w:r>
            <w:r>
              <w:rPr>
                <w:rFonts w:ascii="Times;serif" w:hAnsi="Times;serif"/>
                <w:color w:val="008000"/>
                <w:position w:val="7"/>
                <w:sz w:val="16"/>
                <w:sz w:val="20"/>
                <w:shd w:fill="FFFFFF" w:val="clear"/>
              </w:rPr>
              <w:t>(3)</w:t>
            </w:r>
          </w:p>
        </w:tc>
      </w:tr>
      <w:tr>
        <w:trPr/>
        <w:tc>
          <w:tcPr>
            <w:tcW w:w="19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ADS</w:t>
            </w:r>
            <w:r>
              <w:rPr>
                <w:rFonts w:ascii="Times;serif" w:hAnsi="Times;serif"/>
                <w:color w:val="008000"/>
                <w:position w:val="7"/>
                <w:sz w:val="16"/>
                <w:sz w:val="20"/>
                <w:shd w:fill="FFFFFF" w:val="clear"/>
              </w:rPr>
              <w:t>(1)</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(2)</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8,800</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4.4259</w:t>
            </w:r>
            <w:r>
              <w:rPr>
                <w:rFonts w:ascii="Times;serif" w:hAnsi="Times;serif"/>
                <w:color w:val="008000"/>
                <w:position w:val="7"/>
                <w:sz w:val="16"/>
                <w:sz w:val="20"/>
                <w:shd w:fill="FFFFFF" w:val="clear"/>
              </w:rPr>
              <w:t>(6)</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2,166,468</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YY TZ LIMITED</w:t>
            </w:r>
            <w:r>
              <w:rPr>
                <w:rFonts w:ascii="Times;serif" w:hAnsi="Times;serif"/>
                <w:color w:val="008000"/>
                <w:position w:val="7"/>
                <w:sz w:val="16"/>
                <w:sz w:val="20"/>
                <w:shd w:fill="FFFFFF" w:val="clear"/>
              </w:rPr>
              <w:t>(3)</w:t>
            </w:r>
          </w:p>
        </w:tc>
      </w:tr>
      <w:tr>
        <w:trPr/>
        <w:tc>
          <w:tcPr>
            <w:tcW w:w="19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 par value $0.0001</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7,267,029</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YY TZ LIMITED</w:t>
            </w:r>
            <w:r>
              <w:rPr>
                <w:rFonts w:ascii="Times;serif" w:hAnsi="Times;serif"/>
                <w:color w:val="008000"/>
                <w:position w:val="7"/>
                <w:sz w:val="16"/>
                <w:sz w:val="20"/>
                <w:shd w:fill="FFFFFF" w:val="clear"/>
              </w:rPr>
              <w:t>(3)</w:t>
            </w:r>
          </w:p>
        </w:tc>
      </w:tr>
      <w:tr>
        <w:trPr/>
        <w:tc>
          <w:tcPr>
            <w:tcW w:w="19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Ordinary Share, par value $0.0001</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76,179,938</w:t>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Much ado Limited</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One ADS represents four Class A Ordinary Shares, par value $0.0001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transactions reported on this Form 4 were effected pursuant to a Rule 10b5-1 trading plan adopted by YY TZ Limited on June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the sole director of YY TZ Limited and, as such, has discretionary authority to vote and dispose of the shares held by YY TZ Limited in Agora,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is the sole director of Much ado Limited and, as such, has discretionary authority to vote and dispose of the shares held by Much ado Limited in Agora,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ADSs were purchased in multiple transactions at prices ranging from $4.3200 to $4.5000, inclusive. The reporting person undertakes to provide to the issuer, any security holder of the issuer, or the staff of the SEC, upon request, full information regarding the number of ADSs purchased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ADSs were purchased in multiple transactions at prices ranging from $4.3400 to $4.4800, inclusive. The reporting person undertakes to provide to the issuer, any security holder of the issuer, or the staff of the SEC, upon request, full information regarding the number of ADSs purchased at each separate price within the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BIN ZHAO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43236" TargetMode="External"/><Relationship Id="rId5" Type="http://schemas.openxmlformats.org/officeDocument/2006/relationships/hyperlink" Target="http://www.sec.gov/cgi-bin/browse-edgar?action=getcompany&amp;CIK=00018028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837</Words>
  <Characters>4376</Characters>
  <CharactersWithSpaces>5123</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