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38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38140"/>
                    </a:xfrm>
                    <a:prstGeom prst="rect">
                      <a:avLst/>
                    </a:prstGeom>
                    <a:noFill/>
                  </pic:spPr>
                </pic:pic>
              </a:graphicData>
            </a:graphic>
          </wp:anchor>
        </w:drawing>
      </w:r>
    </w:p>
    <w:p>
      <w:pPr>
        <w:sectPr>
          <w:pgSz w:w="11900" w:h="16838" w:orient="portrait"/>
          <w:cols w:equalWidth="0" w:num="1">
            <w:col w:w="10940"/>
          </w:cols>
          <w:pgMar w:left="480" w:top="230" w:right="479" w:bottom="5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Zhao Bin</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12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06/10/2026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Agora,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API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535"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920" w:type="dxa"/>
            <w:vAlign w:val="bottom"/>
          </w:tcPr>
          <w:p>
            <w:pPr>
              <w:ind w:left="1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2804 MISSION COLLEGE BLVD</w:t>
            </w:r>
          </w:p>
        </w:tc>
        <w:tc>
          <w:tcPr>
            <w:tcW w:w="0" w:type="dxa"/>
            <w:vAlign w:val="bottom"/>
          </w:tcPr>
          <w:p>
            <w:pPr>
              <w:spacing w:after="0"/>
              <w:rPr>
                <w:sz w:val="1"/>
                <w:szCs w:val="1"/>
                <w:color w:val="auto"/>
              </w:rPr>
            </w:pPr>
          </w:p>
        </w:tc>
      </w:tr>
      <w:tr>
        <w:trPr>
          <w:trHeight w:val="237"/>
        </w:trPr>
        <w:tc>
          <w:tcPr>
            <w:tcW w:w="88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9505</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9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880" w:type="dxa"/>
            <w:vAlign w:val="bottom"/>
          </w:tcPr>
          <w:p>
            <w:pPr>
              <w:ind w:left="40"/>
              <w:spacing w:after="0"/>
              <w:rPr>
                <w:sz w:val="20"/>
                <w:szCs w:val="20"/>
                <w:color w:val="auto"/>
              </w:rPr>
            </w:pPr>
            <w:r>
              <w:rPr>
                <w:rFonts w:ascii="Arial" w:cs="Arial" w:eastAsia="Arial" w:hAnsi="Arial"/>
                <w:sz w:val="15"/>
                <w:szCs w:val="15"/>
                <w:color w:val="auto"/>
              </w:rPr>
              <w:t>(City)</w:t>
            </w:r>
          </w:p>
        </w:tc>
        <w:tc>
          <w:tcPr>
            <w:tcW w:w="920" w:type="dxa"/>
            <w:vAlign w:val="bottom"/>
          </w:tcPr>
          <w:p>
            <w:pPr>
              <w:ind w:left="1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03/17/2026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53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B Ordinary Share</w:t>
            </w:r>
          </w:p>
        </w:tc>
        <w:tc>
          <w:tcPr>
            <w:tcW w:w="3400" w:type="dxa"/>
            <w:vAlign w:val="bottom"/>
          </w:tcPr>
          <w:p>
            <w:pPr>
              <w:jc w:val="center"/>
              <w:ind w:left="1354"/>
              <w:spacing w:after="0"/>
              <w:rPr>
                <w:sz w:val="20"/>
                <w:szCs w:val="20"/>
                <w:color w:val="auto"/>
              </w:rPr>
            </w:pPr>
            <w:r>
              <w:rPr>
                <w:rFonts w:ascii="Times New Roman" w:cs="Times New Roman" w:eastAsia="Times New Roman" w:hAnsi="Times New Roman"/>
                <w:sz w:val="20"/>
                <w:szCs w:val="20"/>
                <w:color w:val="0000FF"/>
                <w:w w:val="97"/>
              </w:rPr>
              <w:t>76,179,938</w:t>
            </w:r>
          </w:p>
        </w:tc>
        <w:tc>
          <w:tcPr>
            <w:tcW w:w="12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Much ado Limited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w:t>
            </w:r>
          </w:p>
        </w:tc>
        <w:tc>
          <w:tcPr>
            <w:tcW w:w="3400" w:type="dxa"/>
            <w:vAlign w:val="bottom"/>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7,267,029</w:t>
            </w:r>
          </w:p>
        </w:tc>
        <w:tc>
          <w:tcPr>
            <w:tcW w:w="12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YY TZ LIMITED</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w:t>
            </w:r>
            <w:r>
              <w:rPr>
                <w:rFonts w:ascii="Times New Roman" w:cs="Times New Roman" w:eastAsia="Times New Roman" w:hAnsi="Times New Roman"/>
                <w:sz w:val="25"/>
                <w:szCs w:val="25"/>
                <w:color w:val="008000"/>
                <w:vertAlign w:val="superscript"/>
              </w:rPr>
              <w:t>(1)</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1,957,606</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YY TZ LIMITED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4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30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3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4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440" w:type="dxa"/>
            <w:vAlign w:val="bottom"/>
          </w:tcPr>
          <w:p>
            <w:pPr>
              <w:ind w:left="5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20" w:type="dxa"/>
            <w:vAlign w:val="bottom"/>
            <w:vMerge w:val="continue"/>
          </w:tcPr>
          <w:p>
            <w:pPr>
              <w:spacing w:after="0"/>
              <w:rPr>
                <w:sz w:val="17"/>
                <w:szCs w:val="17"/>
                <w:color w:val="auto"/>
              </w:rPr>
            </w:pPr>
          </w:p>
        </w:tc>
        <w:tc>
          <w:tcPr>
            <w:tcW w:w="1440" w:type="dxa"/>
            <w:vAlign w:val="bottom"/>
          </w:tcPr>
          <w:p>
            <w:pPr>
              <w:ind w:left="5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(2)</w:t>
            </w:r>
          </w:p>
        </w:tc>
        <w:tc>
          <w:tcPr>
            <w:tcW w:w="1320" w:type="dxa"/>
            <w:vAlign w:val="bottom"/>
            <w:vMerge w:val="restart"/>
          </w:tcPr>
          <w:p>
            <w:pPr>
              <w:jc w:val="right"/>
              <w:ind w:right="285"/>
              <w:spacing w:after="0"/>
              <w:rPr>
                <w:sz w:val="20"/>
                <w:szCs w:val="20"/>
                <w:color w:val="auto"/>
              </w:rPr>
            </w:pPr>
            <w:r>
              <w:rPr>
                <w:rFonts w:ascii="Times New Roman" w:cs="Times New Roman" w:eastAsia="Times New Roman" w:hAnsi="Times New Roman"/>
                <w:sz w:val="15"/>
                <w:szCs w:val="15"/>
                <w:color w:val="0000FF"/>
              </w:rPr>
              <w:t>09/03/2035</w:t>
            </w:r>
          </w:p>
        </w:tc>
        <w:tc>
          <w:tcPr>
            <w:tcW w:w="12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0000FF"/>
              </w:rPr>
              <w:t>ADSs</w:t>
            </w:r>
          </w:p>
        </w:tc>
        <w:tc>
          <w:tcPr>
            <w:tcW w:w="1360" w:type="dxa"/>
            <w:vAlign w:val="bottom"/>
            <w:vMerge w:val="restart"/>
          </w:tcPr>
          <w:p>
            <w:pPr>
              <w:jc w:val="right"/>
              <w:ind w:right="142"/>
              <w:spacing w:after="0"/>
              <w:rPr>
                <w:sz w:val="20"/>
                <w:szCs w:val="20"/>
                <w:color w:val="auto"/>
              </w:rPr>
            </w:pPr>
            <w:r>
              <w:rPr>
                <w:rFonts w:ascii="Times New Roman" w:cs="Times New Roman" w:eastAsia="Times New Roman" w:hAnsi="Times New Roman"/>
                <w:sz w:val="20"/>
                <w:szCs w:val="20"/>
                <w:color w:val="0000FF"/>
              </w:rPr>
              <w:t>2,250,000</w:t>
            </w:r>
          </w:p>
        </w:tc>
        <w:tc>
          <w:tcPr>
            <w:tcW w:w="840" w:type="dxa"/>
            <w:vAlign w:val="bottom"/>
            <w:vMerge w:val="restart"/>
          </w:tcPr>
          <w:p>
            <w:pPr>
              <w:jc w:val="right"/>
              <w:ind w:right="282"/>
              <w:spacing w:after="0"/>
              <w:rPr>
                <w:sz w:val="20"/>
                <w:szCs w:val="20"/>
                <w:color w:val="auto"/>
              </w:rPr>
            </w:pPr>
            <w:r>
              <w:rPr>
                <w:rFonts w:ascii="Times New Roman" w:cs="Times New Roman" w:eastAsia="Times New Roman" w:hAnsi="Times New Roman"/>
                <w:sz w:val="20"/>
                <w:szCs w:val="20"/>
                <w:color w:val="0000FF"/>
              </w:rPr>
              <w:t>4.5</w:t>
            </w:r>
          </w:p>
        </w:tc>
        <w:tc>
          <w:tcPr>
            <w:tcW w:w="238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80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8000"/>
              </w:rPr>
              <w:t>(3)</w:t>
            </w:r>
          </w:p>
        </w:tc>
        <w:tc>
          <w:tcPr>
            <w:tcW w:w="1320" w:type="dxa"/>
            <w:vAlign w:val="bottom"/>
          </w:tcPr>
          <w:p>
            <w:pPr>
              <w:jc w:val="right"/>
              <w:ind w:right="285"/>
              <w:spacing w:after="0"/>
              <w:rPr>
                <w:sz w:val="20"/>
                <w:szCs w:val="20"/>
                <w:color w:val="auto"/>
              </w:rPr>
            </w:pPr>
            <w:r>
              <w:rPr>
                <w:rFonts w:ascii="Times New Roman" w:cs="Times New Roman" w:eastAsia="Times New Roman" w:hAnsi="Times New Roman"/>
                <w:sz w:val="15"/>
                <w:szCs w:val="15"/>
                <w:color w:val="0000FF"/>
              </w:rPr>
              <w:t>09/03/2035</w:t>
            </w:r>
          </w:p>
        </w:tc>
        <w:tc>
          <w:tcPr>
            <w:tcW w:w="12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ADSs</w:t>
            </w:r>
          </w:p>
        </w:tc>
        <w:tc>
          <w:tcPr>
            <w:tcW w:w="136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0000FF"/>
              </w:rPr>
              <w:t>2,250,000</w:t>
            </w:r>
          </w:p>
        </w:tc>
        <w:tc>
          <w:tcPr>
            <w:tcW w:w="840" w:type="dxa"/>
            <w:vAlign w:val="bottom"/>
          </w:tcPr>
          <w:p>
            <w:pPr>
              <w:jc w:val="right"/>
              <w:ind w:right="362"/>
              <w:spacing w:after="0"/>
              <w:rPr>
                <w:sz w:val="20"/>
                <w:szCs w:val="20"/>
                <w:color w:val="auto"/>
              </w:rPr>
            </w:pPr>
            <w:r>
              <w:rPr>
                <w:rFonts w:ascii="Times New Roman" w:cs="Times New Roman" w:eastAsia="Times New Roman" w:hAnsi="Times New Roman"/>
                <w:sz w:val="20"/>
                <w:szCs w:val="20"/>
                <w:color w:val="0000FF"/>
              </w:rPr>
              <w:t>0</w:t>
            </w:r>
          </w:p>
        </w:tc>
        <w:tc>
          <w:tcPr>
            <w:tcW w:w="23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ADS represents four Class A Ordinary Shares.</w:t>
      </w:r>
    </w:p>
    <w:p>
      <w:pPr>
        <w:spacing w:after="0" w:line="52"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Fifty percent of the Shares subject to the Option shall vest on September 4, 2028, and the remaining Shares shall vest equally on the Vesting Commencement Date of each month thereafter (or the last day of the month should there's no corresponding date in such month) in the next thirty-six consecutive months.</w:t>
      </w:r>
    </w:p>
    <w:p>
      <w:pPr>
        <w:spacing w:after="0" w:line="17" w:lineRule="exact"/>
        <w:rPr>
          <w:rFonts w:ascii="Times New Roman" w:cs="Times New Roman" w:eastAsia="Times New Roman" w:hAnsi="Times New Roman"/>
          <w:sz w:val="15"/>
          <w:szCs w:val="15"/>
          <w:color w:val="008000"/>
        </w:rPr>
      </w:pPr>
    </w:p>
    <w:p>
      <w:pPr>
        <w:ind w:left="40" w:right="14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third of the RSUs shall vest immediately upon the later of (i) on September 4, 2028, or (ii) the average closing price of the Company's ADSs during any twenty consecutive trading days is not less than US$6.00. Another one third of the RSUs subject to this Award shall vest immediately upon the later of (i) on September 4, 2028, or (ii) the average closing price of the Company's ADSs during any twenty consecutive trading days is not less than US$10.00; and the remaining one third of the RSUs subject to this Award shall vest immediately upon the later of (i) on September 4, 2028, or (ii) the average closing price of the Company's ADSs during any twenty consecutive trading days is not less than US$15.00.</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0"/>
        <w:spacing w:after="0" w:line="259" w:lineRule="auto"/>
        <w:rPr>
          <w:sz w:val="20"/>
          <w:szCs w:val="20"/>
          <w:color w:val="auto"/>
        </w:rPr>
      </w:pPr>
      <w:r>
        <w:rPr>
          <w:rFonts w:ascii="Times New Roman" w:cs="Times New Roman" w:eastAsia="Times New Roman" w:hAnsi="Times New Roman"/>
          <w:sz w:val="15"/>
          <w:szCs w:val="15"/>
          <w:color w:val="008000"/>
        </w:rPr>
        <w:t>This Form 3/A amends the Form 3 filed on March 17, 2026 to correct the number of ADSs reported in Table I. The number of ADSs was incorrectly stated as 1,610,603; the correct number is 1,957,606.</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ZHAO BIN</w:t>
            </w:r>
          </w:p>
        </w:tc>
        <w:tc>
          <w:tcPr>
            <w:tcW w:w="12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06/10/2026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3236" TargetMode="External"/><Relationship Id="rId11" Type="http://schemas.openxmlformats.org/officeDocument/2006/relationships/hyperlink" Target="http://www.sec.gov/cgi-bin/browse-edgar?action=getcompany&amp;CIK=00018028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2026-06-10T20:52:28Z</dcterms:created>
  <dcterms:modified xsi:type="dcterms:W3CDTF">2026-06-10T20:52:28Z</dcterms:modified>
</cp:coreProperties>
</file>