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00851L103</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360" w:right="25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Agora,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US$0.0001 per share</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00851L103</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4" w:lineRule="exact"/>
        <w:rPr>
          <w:rFonts w:ascii="MS PGothic" w:cs="MS PGothic" w:eastAsia="MS PGothic" w:hAnsi="MS PGothic"/>
          <w:sz w:val="18"/>
          <w:szCs w:val="18"/>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6"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**CUSIP number 00851L103 has been assigned to the American Depositary Shares (“ADSs”) of the Company, which are quoted on the Nasdaq Global Select Market under the symbol “API”. Each ADS represents four (4) Class A Ordinary Shares.</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ind w:left="980" w:right="8120" w:hanging="551"/>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Susquehanna Securities, LLC</w:t>
      </w:r>
    </w:p>
    <w:p>
      <w:pPr>
        <w:spacing w:after="0" w:line="177" w:lineRule="exact"/>
        <w:rPr>
          <w:rFonts w:ascii="Arial" w:cs="Arial" w:eastAsia="Arial" w:hAnsi="Arial"/>
          <w:sz w:val="16"/>
          <w:szCs w:val="16"/>
          <w:color w:val="auto"/>
        </w:rPr>
      </w:pPr>
    </w:p>
    <w:p>
      <w:pPr>
        <w:ind w:left="980" w:hanging="5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597"/>
        <w:spacing w:after="0" w:line="207" w:lineRule="exact"/>
        <w:tabs>
          <w:tab w:leader="none" w:pos="15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1580" w:hanging="597"/>
        <w:spacing w:after="0" w:line="207" w:lineRule="exact"/>
        <w:tabs>
          <w:tab w:leader="none" w:pos="15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85" w:lineRule="exact"/>
        <w:rPr>
          <w:rFonts w:ascii="Arial" w:cs="Arial" w:eastAsia="Arial" w:hAnsi="Arial"/>
          <w:sz w:val="18"/>
          <w:szCs w:val="18"/>
          <w:color w:val="auto"/>
        </w:rPr>
      </w:pPr>
    </w:p>
    <w:p>
      <w:pPr>
        <w:ind w:left="980" w:hanging="551"/>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80" w:right="7640" w:hanging="551"/>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-1905</wp:posOffset>
            </wp:positionV>
            <wp:extent cx="6574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-447675</wp:posOffset>
            </wp:positionV>
            <wp:extent cx="6574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-756285</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-919480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-1382395</wp:posOffset>
            </wp:positionV>
            <wp:extent cx="6574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93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27,539,776</w:t>
            </w: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0"/>
                <w:szCs w:val="20"/>
                <w:color w:val="auto"/>
              </w:rPr>
            </w:pPr>
            <w:r>
              <w:rPr>
                <w:rFonts w:ascii="Arial" w:cs="Arial" w:eastAsia="Arial" w:hAnsi="Arial"/>
                <w:sz w:val="18"/>
                <w:szCs w:val="18"/>
                <w:color w:val="auto"/>
              </w:rPr>
              <w:t>Number of</w:t>
            </w:r>
          </w:p>
        </w:tc>
        <w:tc>
          <w:tcPr>
            <w:tcW w:w="70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1"/>
                <w:szCs w:val="21"/>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93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18"/>
                <w:szCs w:val="18"/>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27,539,776</w:t>
            </w:r>
          </w:p>
        </w:tc>
        <w:tc>
          <w:tcPr>
            <w:tcW w:w="0" w:type="dxa"/>
            <w:vAlign w:val="bottom"/>
          </w:tcPr>
          <w:p>
            <w:pPr>
              <w:spacing w:after="0"/>
              <w:rPr>
                <w:sz w:val="1"/>
                <w:szCs w:val="1"/>
                <w:color w:val="auto"/>
              </w:rPr>
            </w:pPr>
          </w:p>
        </w:tc>
      </w:tr>
      <w:tr>
        <w:trPr>
          <w:trHeight w:val="41"/>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20" w:right="7340" w:hanging="592"/>
        <w:spacing w:after="0" w:line="277" w:lineRule="auto"/>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24" w:lineRule="exact"/>
        <w:rPr>
          <w:rFonts w:ascii="Arial" w:cs="Arial" w:eastAsia="Arial" w:hAnsi="Arial"/>
          <w:sz w:val="18"/>
          <w:szCs w:val="18"/>
          <w:color w:val="auto"/>
        </w:rPr>
      </w:pPr>
    </w:p>
    <w:p>
      <w:pPr>
        <w:ind w:left="980" w:right="5460" w:hanging="551"/>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27,539,776</w:t>
      </w:r>
    </w:p>
    <w:p>
      <w:pPr>
        <w:spacing w:after="0" w:line="191" w:lineRule="exact"/>
        <w:rPr>
          <w:rFonts w:ascii="Arial" w:cs="Arial" w:eastAsia="Arial" w:hAnsi="Arial"/>
          <w:sz w:val="18"/>
          <w:szCs w:val="18"/>
          <w:color w:val="auto"/>
        </w:rPr>
      </w:pPr>
    </w:p>
    <w:p>
      <w:pPr>
        <w:ind w:left="980" w:hanging="551"/>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80" w:right="6460" w:hanging="551"/>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7.9%</w:t>
      </w:r>
    </w:p>
    <w:p>
      <w:pPr>
        <w:spacing w:after="0" w:line="224" w:lineRule="exact"/>
        <w:rPr>
          <w:rFonts w:ascii="Arial" w:cs="Arial" w:eastAsia="Arial" w:hAnsi="Arial"/>
          <w:sz w:val="18"/>
          <w:szCs w:val="18"/>
          <w:color w:val="auto"/>
        </w:rPr>
      </w:pPr>
    </w:p>
    <w:p>
      <w:pPr>
        <w:ind w:left="980" w:right="7080" w:hanging="551"/>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-1905</wp:posOffset>
            </wp:positionV>
            <wp:extent cx="6574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-447675</wp:posOffset>
            </wp:positionV>
            <wp:extent cx="6574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-893445</wp:posOffset>
            </wp:positionV>
            <wp:extent cx="6574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-1202055</wp:posOffset>
            </wp:positionV>
            <wp:extent cx="6574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-1647825</wp:posOffset>
            </wp:positionV>
            <wp:extent cx="59150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00851L103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4" w:lineRule="exact"/>
        <w:rPr>
          <w:sz w:val="20"/>
          <w:szCs w:val="20"/>
          <w:color w:val="auto"/>
        </w:rPr>
      </w:pPr>
    </w:p>
    <w:p>
      <w:pPr>
        <w:ind w:left="1340" w:hanging="536"/>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Agora, Inc. (the “Company”)</w:t>
      </w:r>
    </w:p>
    <w:p>
      <w:pPr>
        <w:spacing w:after="0" w:line="103" w:lineRule="exact"/>
        <w:rPr>
          <w:rFonts w:ascii="Arial" w:cs="Arial" w:eastAsia="Arial" w:hAnsi="Arial"/>
          <w:sz w:val="18"/>
          <w:szCs w:val="18"/>
          <w:color w:val="auto"/>
        </w:rPr>
      </w:pPr>
    </w:p>
    <w:p>
      <w:pPr>
        <w:ind w:left="1340" w:hanging="536"/>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Floor 8, Building 12</w:t>
      </w:r>
    </w:p>
    <w:p>
      <w:pPr>
        <w:spacing w:after="0" w:line="23" w:lineRule="exact"/>
        <w:rPr>
          <w:rFonts w:ascii="Arial" w:cs="Arial" w:eastAsia="Arial" w:hAnsi="Arial"/>
          <w:sz w:val="18"/>
          <w:szCs w:val="18"/>
          <w:color w:val="auto"/>
        </w:rPr>
      </w:pPr>
    </w:p>
    <w:p>
      <w:pPr>
        <w:ind w:left="1340" w:right="7440"/>
        <w:spacing w:after="0" w:line="281" w:lineRule="auto"/>
        <w:rPr>
          <w:rFonts w:ascii="Arial" w:cs="Arial" w:eastAsia="Arial" w:hAnsi="Arial"/>
          <w:sz w:val="18"/>
          <w:szCs w:val="18"/>
          <w:color w:val="auto"/>
        </w:rPr>
      </w:pPr>
      <w:r>
        <w:rPr>
          <w:rFonts w:ascii="Arial" w:cs="Arial" w:eastAsia="Arial" w:hAnsi="Arial"/>
          <w:sz w:val="16"/>
          <w:szCs w:val="16"/>
          <w:color w:val="auto"/>
        </w:rPr>
        <w:t>Phase III of ChuangZhiTianDi 333 Songhu Road</w:t>
      </w:r>
    </w:p>
    <w:p>
      <w:pPr>
        <w:spacing w:after="0" w:line="1" w:lineRule="exact"/>
        <w:rPr>
          <w:rFonts w:ascii="Arial" w:cs="Arial" w:eastAsia="Arial" w:hAnsi="Arial"/>
          <w:sz w:val="18"/>
          <w:szCs w:val="18"/>
          <w:color w:val="auto"/>
        </w:rPr>
      </w:pPr>
    </w:p>
    <w:p>
      <w:pPr>
        <w:ind w:left="1340" w:right="7660"/>
        <w:spacing w:after="0" w:line="323" w:lineRule="auto"/>
        <w:rPr>
          <w:rFonts w:ascii="Arial" w:cs="Arial" w:eastAsia="Arial" w:hAnsi="Arial"/>
          <w:sz w:val="18"/>
          <w:szCs w:val="18"/>
          <w:color w:val="auto"/>
        </w:rPr>
      </w:pPr>
      <w:r>
        <w:rPr>
          <w:rFonts w:ascii="Arial" w:cs="Arial" w:eastAsia="Arial" w:hAnsi="Arial"/>
          <w:sz w:val="16"/>
          <w:szCs w:val="16"/>
          <w:color w:val="auto"/>
        </w:rPr>
        <w:t>Yangpu District, Shanghai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71120</wp:posOffset>
            </wp:positionV>
            <wp:extent cx="6343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-1025525</wp:posOffset>
            </wp:positionV>
            <wp:extent cx="6343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3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340" w:right="300"/>
        <w:spacing w:after="0" w:line="277" w:lineRule="auto"/>
        <w:rPr>
          <w:sz w:val="20"/>
          <w:szCs w:val="20"/>
          <w:color w:val="auto"/>
        </w:rPr>
      </w:pPr>
      <w:r>
        <w:rPr>
          <w:rFonts w:ascii="Arial" w:cs="Arial" w:eastAsia="Arial" w:hAnsi="Arial"/>
          <w:sz w:val="18"/>
          <w:szCs w:val="18"/>
          <w:color w:val="auto"/>
        </w:rPr>
        <w:t>This statement is filed by the entity listed below, which is referred to herein as the “Reporting Person” with respect to the Class A Ordinary Shares, US$0.0001 par value per share, of the Company (the “Shares”).</w:t>
      </w:r>
    </w:p>
    <w:p>
      <w:pPr>
        <w:spacing w:after="0" w:line="170" w:lineRule="exact"/>
        <w:rPr>
          <w:sz w:val="20"/>
          <w:szCs w:val="20"/>
          <w:color w:val="auto"/>
        </w:rPr>
      </w:pPr>
    </w:p>
    <w:p>
      <w:pPr>
        <w:ind w:left="2040" w:hanging="700"/>
        <w:spacing w:after="0"/>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Susquehanna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186055</wp:posOffset>
            </wp:positionV>
            <wp:extent cx="63436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Susquehanna Securities, LLC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401 E. City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117475</wp:posOffset>
            </wp:positionV>
            <wp:extent cx="6343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Citizenship is set forth in Row 4 of the cover page for the Reporting Person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40005</wp:posOffset>
            </wp:positionV>
            <wp:extent cx="6343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40005</wp:posOffset>
            </wp:positionV>
            <wp:extent cx="6343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CUSIP number 00851L103 has been assigned to the American Depositary Shares (“ADSs”) of the Company, which are quoted on the Nasdaq Global Select Market under the symbol “API”. Each ADS represents four (4)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8890</wp:posOffset>
            </wp:positionV>
            <wp:extent cx="6343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580"/>
            <w:col w:w="9640"/>
          </w:cols>
          <w:pgMar w:left="320" w:top="908" w:right="599" w:bottom="1440" w:gutter="0" w:footer="0" w:header="0"/>
          <w:type w:val="continuous"/>
        </w:sectPr>
      </w:pPr>
    </w:p>
    <w:p>
      <w:pPr>
        <w:spacing w:after="0" w:line="106"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42" w:lineRule="exact"/>
        <w:rPr>
          <w:sz w:val="20"/>
          <w:szCs w:val="20"/>
          <w:color w:val="auto"/>
        </w:rPr>
      </w:pPr>
    </w:p>
    <w:p>
      <w:pPr>
        <w:ind w:left="1260" w:hanging="456"/>
        <w:spacing w:after="0" w:line="207" w:lineRule="exact"/>
        <w:tabs>
          <w:tab w:leader="none" w:pos="12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71" w:lineRule="exact"/>
        <w:rPr>
          <w:rFonts w:ascii="Arial" w:cs="Arial" w:eastAsia="Arial" w:hAnsi="Arial"/>
          <w:sz w:val="18"/>
          <w:szCs w:val="18"/>
          <w:color w:val="auto"/>
        </w:rPr>
      </w:pPr>
    </w:p>
    <w:p>
      <w:pPr>
        <w:ind w:left="1260" w:hanging="456"/>
        <w:spacing w:after="0" w:line="184" w:lineRule="exact"/>
        <w:tabs>
          <w:tab w:leader="none" w:pos="1260" w:val="left"/>
        </w:tabs>
        <w:numPr>
          <w:ilvl w:val="0"/>
          <w:numId w:val="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00851L103</w:t>
      </w:r>
    </w:p>
    <w:p>
      <w:pPr>
        <w:spacing w:after="0" w:line="273" w:lineRule="exact"/>
        <w:rPr>
          <w:sz w:val="20"/>
          <w:szCs w:val="20"/>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71" w:lineRule="exact"/>
        <w:rPr>
          <w:rFonts w:ascii="Arial" w:cs="Arial" w:eastAsia="Arial" w:hAnsi="Arial"/>
          <w:sz w:val="18"/>
          <w:szCs w:val="18"/>
          <w:color w:val="auto"/>
        </w:rPr>
      </w:pPr>
    </w:p>
    <w:p>
      <w:pPr>
        <w:ind w:left="1700" w:hanging="896"/>
        <w:spacing w:after="0" w:line="239" w:lineRule="exact"/>
        <w:tabs>
          <w:tab w:leader="none" w:pos="1255"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16"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71" w:lineRule="exact"/>
        <w:rPr>
          <w:rFonts w:ascii="Arial" w:cs="Arial" w:eastAsia="Arial" w:hAnsi="Arial"/>
          <w:sz w:val="18"/>
          <w:szCs w:val="18"/>
          <w:color w:val="auto"/>
        </w:rPr>
      </w:pPr>
    </w:p>
    <w:p>
      <w:pPr>
        <w:ind w:left="1260" w:hanging="456"/>
        <w:spacing w:after="0" w:line="207" w:lineRule="exact"/>
        <w:tabs>
          <w:tab w:leader="none" w:pos="12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4" w:lineRule="exact"/>
        <w:rPr>
          <w:sz w:val="20"/>
          <w:szCs w:val="20"/>
          <w:color w:val="auto"/>
        </w:rPr>
      </w:pPr>
    </w:p>
    <w:p>
      <w:pPr>
        <w:ind w:left="1700" w:right="2100"/>
        <w:spacing w:after="0" w:line="277" w:lineRule="auto"/>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-45085</wp:posOffset>
            </wp:positionV>
            <wp:extent cx="1599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79"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Shares reported as beneficially owned by Susquehanna Securities, LLC consists of 6,884,944 ADSs.</w:t>
      </w:r>
    </w:p>
    <w:p>
      <w:pPr>
        <w:spacing w:after="0" w:line="225"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The Company’s Annual Report on Form 20-F, filed on March 26, 2021, indicates there were 347,302,624 Shares outstanding as of December 31, 2020.</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8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SUSQUEHANNA SECURITIES,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Sopinsky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Sopinsky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0"/>
      </w:cols>
      <w:pgMar w:left="320" w:top="908"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
    </w:lvl>
    <w:lvl w:ilvl="1">
      <w:lvlJc w:val="left"/>
      <w:lvlText w:val="(%2)"/>
      <w:numFmt w:val="decimal"/>
      <w:start w:val="8"/>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2022-02-14T12:59:08Z</dcterms:created>
  <dcterms:modified xsi:type="dcterms:W3CDTF">2022-02-14T12:59:08Z</dcterms:modified>
</cp:coreProperties>
</file>