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-231775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-675005</wp:posOffset>
            </wp:positionV>
            <wp:extent cx="125730" cy="125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4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9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5288915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-640080</wp:posOffset>
            </wp:positionV>
            <wp:extent cx="59055" cy="653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762635</wp:posOffset>
            </wp:positionV>
            <wp:extent cx="7045325" cy="5031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80"/>
            <w:col w:w="856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 Eric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66 LANE, 411 SEC 1 NEI HU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Agora,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580" w:hanging="9"/>
        <w:spacing w:after="0" w:line="27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6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6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TAIPEI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F5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ADSs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79,797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11/16/2035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Restricted Share Units ("RSUs"). Every one ADS represents four Class A Ordinary Shares of the Issuer.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RSUs. Every one ADS represents four Class A Ordinary Shares of the Issuer.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contingent right to receive one ADS of the Issuer upon vesting.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equally each month from April 1, 2026 until July 1, 2028.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Eric He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403" TargetMode="External"/><Relationship Id="rId14" Type="http://schemas.openxmlformats.org/officeDocument/2006/relationships/hyperlink" Target="http://www.sec.gov/cgi-bin/browse-edgar?action=getcompany&amp;CIK=00018028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2026-04-01T20:56:48Z</dcterms:created>
  <dcterms:modified xsi:type="dcterms:W3CDTF">2026-04-01T20:56:48Z</dcterms:modified>
</cp:coreProperties>
</file>