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254635</wp:posOffset>
            </wp:positionV>
            <wp:extent cx="71589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309880</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26"/>
          <w:szCs w:val="26"/>
          <w:b w:val="1"/>
          <w:bCs w:val="1"/>
          <w:color w:val="auto"/>
        </w:rPr>
        <w:t>SECURITIES AND EXCHANGE COMMISSION</w:t>
      </w:r>
    </w:p>
    <w:p>
      <w:pPr>
        <w:ind w:left="474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188595</wp:posOffset>
            </wp:positionV>
            <wp:extent cx="32683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000"/>
        <w:spacing w:after="0"/>
        <w:rPr>
          <w:sz w:val="20"/>
          <w:szCs w:val="20"/>
          <w:color w:val="auto"/>
        </w:rPr>
      </w:pPr>
      <w:r>
        <w:rPr>
          <w:rFonts w:ascii="Arial" w:cs="Arial" w:eastAsia="Arial" w:hAnsi="Arial"/>
          <w:sz w:val="26"/>
          <w:szCs w:val="2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205105</wp:posOffset>
            </wp:positionV>
            <wp:extent cx="32683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REPORT OF FOREIGN PRIVATE ISSUER</w:t>
      </w:r>
    </w:p>
    <w:p>
      <w:pPr>
        <w:spacing w:after="0" w:line="20"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PURSUANT TO RULE 13a-16 OR 15d-16</w:t>
      </w:r>
    </w:p>
    <w:p>
      <w:pPr>
        <w:jc w:val="center"/>
        <w:ind w:right="-1140"/>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63" w:lineRule="exact"/>
        <w:rPr>
          <w:sz w:val="24"/>
          <w:szCs w:val="24"/>
          <w:color w:val="auto"/>
        </w:rPr>
      </w:pPr>
    </w:p>
    <w:p>
      <w:pPr>
        <w:jc w:val="center"/>
        <w:ind w:right="-1140"/>
        <w:spacing w:after="0"/>
        <w:rPr>
          <w:sz w:val="20"/>
          <w:szCs w:val="20"/>
          <w:color w:val="auto"/>
        </w:rPr>
      </w:pPr>
      <w:r>
        <w:rPr>
          <w:rFonts w:ascii="Arial" w:cs="Arial" w:eastAsia="Arial" w:hAnsi="Arial"/>
          <w:sz w:val="15"/>
          <w:szCs w:val="15"/>
          <w:b w:val="1"/>
          <w:bCs w:val="1"/>
          <w:color w:val="auto"/>
        </w:rPr>
        <w:t>For the month of February 2022</w:t>
      </w:r>
    </w:p>
    <w:p>
      <w:pPr>
        <w:spacing w:after="0" w:line="176" w:lineRule="exact"/>
        <w:rPr>
          <w:sz w:val="24"/>
          <w:szCs w:val="24"/>
          <w:color w:val="auto"/>
        </w:rPr>
      </w:pPr>
    </w:p>
    <w:p>
      <w:pPr>
        <w:ind w:left="4500"/>
        <w:spacing w:after="0"/>
        <w:rPr>
          <w:sz w:val="20"/>
          <w:szCs w:val="20"/>
          <w:color w:val="auto"/>
        </w:rPr>
      </w:pPr>
      <w:r>
        <w:rPr>
          <w:rFonts w:ascii="Arial" w:cs="Arial" w:eastAsia="Arial" w:hAnsi="Arial"/>
          <w:sz w:val="15"/>
          <w:szCs w:val="15"/>
          <w:b w:val="1"/>
          <w:bCs w:val="1"/>
          <w:color w:val="auto"/>
        </w:rPr>
        <w:t>Commission File Number: 001-39340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189865</wp:posOffset>
            </wp:positionV>
            <wp:extent cx="32683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520"/>
        <w:spacing w:after="0"/>
        <w:rPr>
          <w:sz w:val="20"/>
          <w:szCs w:val="20"/>
          <w:color w:val="auto"/>
        </w:rPr>
      </w:pPr>
      <w:r>
        <w:rPr>
          <w:rFonts w:ascii="Arial" w:cs="Arial" w:eastAsia="Arial" w:hAnsi="Arial"/>
          <w:sz w:val="35"/>
          <w:szCs w:val="35"/>
          <w:b w:val="1"/>
          <w:bCs w:val="1"/>
          <w:color w:val="auto"/>
        </w:rPr>
        <w:t>AGORA,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208915</wp:posOffset>
            </wp:positionV>
            <wp:extent cx="32683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Floor 8, Building 12</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Phase III of ChuangZhiTianDi</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333 Songhu Road</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Yangpu District, Shanghai</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People’s Republic of China</w:t>
      </w:r>
    </w:p>
    <w:p>
      <w:pPr>
        <w:spacing w:after="0" w:line="13" w:lineRule="exact"/>
        <w:rPr>
          <w:sz w:val="24"/>
          <w:szCs w:val="24"/>
          <w:color w:val="auto"/>
        </w:rPr>
      </w:pPr>
    </w:p>
    <w:p>
      <w:pPr>
        <w:ind w:left="4400"/>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5899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Form 20-F or Form 40-F.</w:t>
      </w:r>
    </w:p>
    <w:p>
      <w:pPr>
        <w:spacing w:after="0" w:line="11" w:lineRule="exact"/>
        <w:rPr>
          <w:sz w:val="24"/>
          <w:szCs w:val="24"/>
          <w:color w:val="auto"/>
        </w:rPr>
      </w:pPr>
    </w:p>
    <w:p>
      <w:pPr>
        <w:ind w:left="4800"/>
        <w:spacing w:after="0" w:line="173" w:lineRule="exact"/>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13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 (b) (1):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 (b) (7):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1589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184150</wp:posOffset>
            </wp:positionV>
            <wp:extent cx="7158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634365</wp:posOffset>
            </wp:positionV>
            <wp:extent cx="719836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0159"/>
          </w:cols>
          <w:pgMar w:left="300" w:top="60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
          </w:tcPr>
          <w:p>
            <w:pPr>
              <w:ind w:left="4040"/>
              <w:spacing w:after="0"/>
              <w:rPr>
                <w:sz w:val="20"/>
                <w:szCs w:val="20"/>
                <w:color w:val="auto"/>
              </w:rPr>
            </w:pPr>
            <w:r>
              <w:rPr>
                <w:rFonts w:ascii="Arial" w:cs="Arial" w:eastAsia="Arial" w:hAnsi="Arial"/>
                <w:sz w:val="15"/>
                <w:szCs w:val="15"/>
                <w:b w:val="1"/>
                <w:bCs w:val="1"/>
                <w:color w:val="auto"/>
              </w:rPr>
              <w:t>EXHIBIT INDEX</w:t>
            </w:r>
          </w:p>
        </w:tc>
        <w:tc>
          <w:tcPr>
            <w:tcW w:w="20" w:type="dxa"/>
            <w:vAlign w:val="bottom"/>
          </w:tcPr>
          <w:p>
            <w:pPr>
              <w:spacing w:after="0"/>
              <w:rPr>
                <w:sz w:val="16"/>
                <w:szCs w:val="16"/>
                <w:color w:val="auto"/>
              </w:rPr>
            </w:pPr>
          </w:p>
        </w:tc>
      </w:tr>
      <w:tr>
        <w:trPr>
          <w:trHeight w:val="328"/>
        </w:trPr>
        <w:tc>
          <w:tcPr>
            <w:tcW w:w="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24"/>
                <w:szCs w:val="24"/>
                <w:color w:val="auto"/>
              </w:rPr>
            </w:pPr>
          </w:p>
        </w:tc>
      </w:tr>
      <w:tr>
        <w:trPr>
          <w:trHeight w:val="339"/>
        </w:trPr>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88"/>
              </w:rPr>
              <w:t>99.1</w:t>
            </w:r>
          </w:p>
        </w:tc>
        <w:tc>
          <w:tcPr>
            <w:tcW w:w="10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5"/>
                <w:szCs w:val="15"/>
                <w:color w:val="0000EE"/>
                <w:w w:val="87"/>
              </w:rPr>
            </w:pPr>
            <w:hyperlink w:anchor="page4">
              <w:r>
                <w:rPr>
                  <w:rFonts w:ascii="Arial" w:cs="Arial" w:eastAsia="Arial" w:hAnsi="Arial"/>
                  <w:sz w:val="15"/>
                  <w:szCs w:val="15"/>
                  <w:color w:val="0000EE"/>
                  <w:w w:val="87"/>
                </w:rPr>
                <w:t>Press Release</w:t>
              </w:r>
            </w:hyperlink>
            <w:hyperlink w:anchor="page4">
              <w:r>
                <w:rPr>
                  <w:rFonts w:ascii="Arial" w:cs="Arial" w:eastAsia="Arial" w:hAnsi="Arial"/>
                  <w:sz w:val="15"/>
                  <w:szCs w:val="15"/>
                  <w:color w:val="0000EE"/>
                  <w:w w:val="87"/>
                </w:rPr>
                <w:t>Agora, Inc. Reports Fourth Quarter and Fiscal Year 2021 Financial Results</w:t>
              </w:r>
            </w:hyperlink>
          </w:p>
        </w:tc>
        <w:tc>
          <w:tcPr>
            <w:tcW w:w="2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88"/>
              </w:rPr>
              <w:t>99.2</w:t>
            </w:r>
          </w:p>
        </w:tc>
        <w:tc>
          <w:tcPr>
            <w:tcW w:w="100" w:type="dxa"/>
            <w:vAlign w:val="bottom"/>
          </w:tcPr>
          <w:p>
            <w:pPr>
              <w:spacing w:after="0"/>
              <w:rPr>
                <w:sz w:val="16"/>
                <w:szCs w:val="16"/>
                <w:color w:val="auto"/>
              </w:rPr>
            </w:pPr>
          </w:p>
        </w:tc>
        <w:tc>
          <w:tcPr>
            <w:tcW w:w="5440" w:type="dxa"/>
            <w:vAlign w:val="bottom"/>
            <w:tcBorders>
              <w:top w:val="single" w:sz="8" w:color="0000EE"/>
            </w:tcBorders>
            <w:gridSpan w:val="3"/>
          </w:tcPr>
          <w:p>
            <w:pPr>
              <w:spacing w:after="0"/>
              <w:rPr>
                <w:rFonts w:ascii="Arial" w:cs="Arial" w:eastAsia="Arial" w:hAnsi="Arial"/>
                <w:sz w:val="15"/>
                <w:szCs w:val="15"/>
                <w:color w:val="0000EE"/>
                <w:w w:val="87"/>
              </w:rPr>
            </w:pPr>
            <w:hyperlink w:anchor="page19">
              <w:r>
                <w:rPr>
                  <w:rFonts w:ascii="Arial" w:cs="Arial" w:eastAsia="Arial" w:hAnsi="Arial"/>
                  <w:sz w:val="15"/>
                  <w:szCs w:val="15"/>
                  <w:color w:val="0000EE"/>
                  <w:w w:val="87"/>
                </w:rPr>
                <w:t>Press Release</w:t>
              </w:r>
            </w:hyperlink>
            <w:hyperlink w:anchor="page19">
              <w:r>
                <w:rPr>
                  <w:rFonts w:ascii="Arial" w:cs="Arial" w:eastAsia="Arial" w:hAnsi="Arial"/>
                  <w:sz w:val="15"/>
                  <w:szCs w:val="15"/>
                  <w:color w:val="0000EE"/>
                  <w:w w:val="87"/>
                </w:rPr>
                <w:t xml:space="preserve">Agora, Inc. Announces </w:t>
              </w:r>
              <w:r>
                <w:rPr>
                  <w:rFonts w:ascii="Arial" w:cs="Arial" w:eastAsia="Arial" w:hAnsi="Arial"/>
                  <w:sz w:val="15"/>
                  <w:szCs w:val="15"/>
                  <w:u w:val="single" w:color="auto"/>
                  <w:color w:val="0000EE"/>
                  <w:w w:val="87"/>
                </w:rPr>
                <w:t>US$</w:t>
              </w:r>
              <w:r>
                <w:rPr>
                  <w:rFonts w:ascii="Arial" w:cs="Arial" w:eastAsia="Arial" w:hAnsi="Arial"/>
                  <w:sz w:val="15"/>
                  <w:szCs w:val="15"/>
                  <w:color w:val="0000EE"/>
                  <w:w w:val="87"/>
                </w:rPr>
                <w:t>200 Million Share Repurchase Program</w:t>
              </w:r>
            </w:hyperlink>
          </w:p>
        </w:tc>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4"/>
        </w:trPr>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0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00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thereto duly authorized.</w:t>
      </w:r>
    </w:p>
    <w:p>
      <w:pPr>
        <w:spacing w:after="0" w:line="195" w:lineRule="exact"/>
        <w:rPr>
          <w:sz w:val="20"/>
          <w:szCs w:val="20"/>
          <w:color w:val="auto"/>
        </w:rPr>
      </w:pPr>
    </w:p>
    <w:tbl>
      <w:tblPr>
        <w:tblLayout w:type="fixed"/>
        <w:tblInd w:w="6780" w:type="dxa"/>
        <w:tblCellMar>
          <w:top w:w="0" w:type="dxa"/>
          <w:left w:w="0" w:type="dxa"/>
          <w:bottom w:w="0" w:type="dxa"/>
          <w:right w:w="0" w:type="dxa"/>
        </w:tblCellMar>
      </w:tblPr>
      <w:tr>
        <w:trPr>
          <w:trHeight w:val="187"/>
        </w:trPr>
        <w:tc>
          <w:tcPr>
            <w:tcW w:w="1000" w:type="dxa"/>
            <w:vAlign w:val="bottom"/>
          </w:tcPr>
          <w:p>
            <w:pPr>
              <w:spacing w:after="0"/>
              <w:rPr>
                <w:sz w:val="20"/>
                <w:szCs w:val="20"/>
                <w:color w:val="auto"/>
              </w:rPr>
            </w:pPr>
            <w:r>
              <w:rPr>
                <w:rFonts w:ascii="Arial" w:cs="Arial" w:eastAsia="Arial" w:hAnsi="Arial"/>
                <w:sz w:val="15"/>
                <w:szCs w:val="15"/>
                <w:b w:val="1"/>
                <w:bCs w:val="1"/>
                <w:color w:val="auto"/>
              </w:rPr>
              <w:t>AGORA, INC.</w:t>
            </w:r>
          </w:p>
        </w:tc>
        <w:tc>
          <w:tcPr>
            <w:tcW w:w="3500" w:type="dxa"/>
            <w:vAlign w:val="bottom"/>
          </w:tcPr>
          <w:p>
            <w:pPr>
              <w:spacing w:after="0"/>
              <w:rPr>
                <w:sz w:val="16"/>
                <w:szCs w:val="16"/>
                <w:color w:val="auto"/>
              </w:rPr>
            </w:pPr>
          </w:p>
        </w:tc>
      </w:tr>
      <w:tr>
        <w:trPr>
          <w:trHeight w:val="348"/>
        </w:trPr>
        <w:tc>
          <w:tcPr>
            <w:tcW w:w="1000" w:type="dxa"/>
            <w:vAlign w:val="bottom"/>
          </w:tcPr>
          <w:p>
            <w:pPr>
              <w:spacing w:after="0"/>
              <w:rPr>
                <w:sz w:val="20"/>
                <w:szCs w:val="20"/>
                <w:color w:val="auto"/>
              </w:rPr>
            </w:pPr>
            <w:r>
              <w:rPr>
                <w:rFonts w:ascii="Arial" w:cs="Arial" w:eastAsia="Arial" w:hAnsi="Arial"/>
                <w:sz w:val="15"/>
                <w:szCs w:val="15"/>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Jingbo Wang</w:t>
            </w:r>
          </w:p>
        </w:tc>
      </w:tr>
      <w:tr>
        <w:trPr>
          <w:trHeight w:val="156"/>
        </w:trPr>
        <w:tc>
          <w:tcPr>
            <w:tcW w:w="1000" w:type="dxa"/>
            <w:vAlign w:val="bottom"/>
          </w:tcPr>
          <w:p>
            <w:pPr>
              <w:spacing w:after="0" w:line="156" w:lineRule="exact"/>
              <w:rPr>
                <w:sz w:val="20"/>
                <w:szCs w:val="20"/>
                <w:color w:val="auto"/>
              </w:rPr>
            </w:pPr>
            <w:r>
              <w:rPr>
                <w:rFonts w:ascii="Arial" w:cs="Arial" w:eastAsia="Arial" w:hAnsi="Arial"/>
                <w:sz w:val="15"/>
                <w:szCs w:val="15"/>
                <w:color w:val="auto"/>
              </w:rPr>
              <w:t>Name:</w:t>
            </w:r>
          </w:p>
        </w:tc>
        <w:tc>
          <w:tcPr>
            <w:tcW w:w="3500" w:type="dxa"/>
            <w:vAlign w:val="bottom"/>
          </w:tcPr>
          <w:p>
            <w:pPr>
              <w:spacing w:after="0" w:line="156" w:lineRule="exact"/>
              <w:rPr>
                <w:sz w:val="20"/>
                <w:szCs w:val="20"/>
                <w:color w:val="auto"/>
              </w:rPr>
            </w:pPr>
            <w:r>
              <w:rPr>
                <w:rFonts w:ascii="Arial" w:cs="Arial" w:eastAsia="Arial" w:hAnsi="Arial"/>
                <w:sz w:val="15"/>
                <w:szCs w:val="15"/>
                <w:color w:val="auto"/>
              </w:rPr>
              <w:t>Jingbo Wang</w:t>
            </w:r>
          </w:p>
        </w:tc>
      </w:tr>
      <w:tr>
        <w:trPr>
          <w:trHeight w:val="183"/>
        </w:trPr>
        <w:tc>
          <w:tcPr>
            <w:tcW w:w="1000" w:type="dxa"/>
            <w:vAlign w:val="bottom"/>
          </w:tcPr>
          <w:p>
            <w:pPr>
              <w:spacing w:after="0"/>
              <w:rPr>
                <w:sz w:val="20"/>
                <w:szCs w:val="20"/>
                <w:color w:val="auto"/>
              </w:rPr>
            </w:pPr>
            <w:r>
              <w:rPr>
                <w:rFonts w:ascii="Arial" w:cs="Arial" w:eastAsia="Arial" w:hAnsi="Arial"/>
                <w:sz w:val="15"/>
                <w:szCs w:val="15"/>
                <w:color w:val="auto"/>
              </w:rPr>
              <w:t>Title:</w:t>
            </w:r>
          </w:p>
        </w:tc>
        <w:tc>
          <w:tcPr>
            <w:tcW w:w="3500" w:type="dxa"/>
            <w:vAlign w:val="bottom"/>
          </w:tcPr>
          <w:p>
            <w:pPr>
              <w:spacing w:after="0"/>
              <w:rPr>
                <w:sz w:val="20"/>
                <w:szCs w:val="20"/>
                <w:color w:val="auto"/>
              </w:rPr>
            </w:pPr>
            <w:r>
              <w:rPr>
                <w:rFonts w:ascii="Arial" w:cs="Arial" w:eastAsia="Arial" w:hAnsi="Arial"/>
                <w:sz w:val="15"/>
                <w:szCs w:val="15"/>
                <w:color w:val="auto"/>
              </w:rPr>
              <w:t>Chief Financial Officer</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23, 2022</w:t>
      </w:r>
    </w:p>
    <w:p>
      <w:pPr>
        <w:sectPr>
          <w:pgSz w:w="11900" w:h="16838" w:orient="portrait"/>
          <w:cols w:equalWidth="0" w:num="1">
            <w:col w:w="11280"/>
          </w:cols>
          <w:pgMar w:left="300" w:top="47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Agora, Inc. Reports Fourth Quarter and Fiscal Year 2021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2022</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SANTA CLARA, Calif. – (Globe Newswire) – Agora, Inc. (NASDAQ: API) (“Agora”), a pioneer and leading platform for real-time engagement APIs, today announced its financial results for the fourth quarter and the fiscal year ended December 31, 2021.</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closed the year with strong fourth-quarter results. The adoption of the Agora real-time engagement platform continues to grow, with our SDKs now installed globally in more applications than any of our competitors,” said Tony Zhao, founder, chairman, and CEO of Agora. “We continue to introduce innovative solutions for metaverse use cases, such as MetaKTV, MetaChat and 3D Spatial Audio, to empower developers to create connected virtual worlds without boundaries and strengthen our position as a premier infrastructure provider for the metaverse.”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Fourth Quarter 2021 Highlights</w:t>
      </w:r>
    </w:p>
    <w:p>
      <w:pPr>
        <w:spacing w:after="0" w:line="198" w:lineRule="exact"/>
        <w:rPr>
          <w:sz w:val="20"/>
          <w:szCs w:val="20"/>
          <w:color w:val="auto"/>
        </w:rPr>
      </w:pPr>
    </w:p>
    <w:p>
      <w:pPr>
        <w:ind w:left="960" w:hanging="474"/>
        <w:spacing w:after="0"/>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Total revenues </w:t>
      </w:r>
      <w:r>
        <w:rPr>
          <w:rFonts w:ascii="Arial" w:cs="Arial" w:eastAsia="Arial" w:hAnsi="Arial"/>
          <w:sz w:val="15"/>
          <w:szCs w:val="15"/>
          <w:color w:val="auto"/>
        </w:rPr>
        <w:t>for the quarter were $40.4 million, an increase of 21.5% from $33.3 million in the fourth quarter of 2020.</w:t>
      </w:r>
    </w:p>
    <w:p>
      <w:pPr>
        <w:spacing w:after="0" w:line="197" w:lineRule="exact"/>
        <w:rPr>
          <w:rFonts w:ascii="Arial" w:cs="Arial" w:eastAsia="Arial" w:hAnsi="Arial"/>
          <w:sz w:val="15"/>
          <w:szCs w:val="15"/>
          <w:color w:val="auto"/>
        </w:rPr>
      </w:pPr>
    </w:p>
    <w:p>
      <w:pPr>
        <w:ind w:left="960" w:hanging="474"/>
        <w:spacing w:after="0"/>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Active Customers </w:t>
      </w:r>
      <w:r>
        <w:rPr>
          <w:rFonts w:ascii="Arial" w:cs="Arial" w:eastAsia="Arial" w:hAnsi="Arial"/>
          <w:sz w:val="15"/>
          <w:szCs w:val="15"/>
          <w:color w:val="auto"/>
        </w:rPr>
        <w:t>as of December 31, 2021 were 2,670, excluding those for Easemob, an increase of 27.4% from 2,095 as of December 31, 2020.</w:t>
      </w:r>
    </w:p>
    <w:p>
      <w:pPr>
        <w:spacing w:after="0" w:line="197" w:lineRule="exact"/>
        <w:rPr>
          <w:rFonts w:ascii="Arial" w:cs="Arial" w:eastAsia="Arial" w:hAnsi="Arial"/>
          <w:sz w:val="15"/>
          <w:szCs w:val="15"/>
          <w:color w:val="auto"/>
        </w:rPr>
      </w:pPr>
    </w:p>
    <w:p>
      <w:pPr>
        <w:ind w:left="960" w:hanging="474"/>
        <w:spacing w:after="0"/>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Constant Currency Dollar-Based Net Expansion Rate</w:t>
      </w:r>
      <w:r>
        <w:rPr>
          <w:rFonts w:ascii="Arial" w:cs="Arial" w:eastAsia="Arial" w:hAnsi="Arial"/>
          <w:sz w:val="15"/>
          <w:szCs w:val="15"/>
          <w:color w:val="auto"/>
        </w:rPr>
        <w:t>, excluding Easemob, was 104% for the trailing 12-month period ended December 31, 2021.</w:t>
      </w:r>
    </w:p>
    <w:p>
      <w:pPr>
        <w:spacing w:after="0" w:line="197" w:lineRule="exact"/>
        <w:rPr>
          <w:rFonts w:ascii="Arial" w:cs="Arial" w:eastAsia="Arial" w:hAnsi="Arial"/>
          <w:sz w:val="15"/>
          <w:szCs w:val="15"/>
          <w:color w:val="auto"/>
        </w:rPr>
      </w:pPr>
    </w:p>
    <w:p>
      <w:pPr>
        <w:jc w:val="both"/>
        <w:ind w:left="960" w:hanging="474"/>
        <w:spacing w:after="0" w:line="255" w:lineRule="auto"/>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Net loss </w:t>
      </w:r>
      <w:r>
        <w:rPr>
          <w:rFonts w:ascii="Arial" w:cs="Arial" w:eastAsia="Arial" w:hAnsi="Arial"/>
          <w:sz w:val="15"/>
          <w:szCs w:val="15"/>
          <w:color w:val="auto"/>
        </w:rPr>
        <w:t>for the quarter was $21.2 million, compared to net loss of $6.2 million in the fourth quarter of 2020. After excluding share-based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expenses, acquisition related expenses, amortization expenses of acquired intangible assets and income tax related to acquired intangible assets, non-GAAP net loss for the quarter was $11.9 million, compared to the non-GAAP net loss of $3.2 million in the fourth quarter of 2020. </w:t>
      </w:r>
      <w:r>
        <w:rPr>
          <w:rFonts w:ascii="Arial" w:cs="Arial" w:eastAsia="Arial" w:hAnsi="Arial"/>
          <w:sz w:val="15"/>
          <w:szCs w:val="15"/>
          <w:b w:val="1"/>
          <w:bCs w:val="1"/>
          <w:color w:val="auto"/>
        </w:rPr>
        <w:t>Adjusted EBITDA</w:t>
      </w:r>
      <w:r>
        <w:rPr>
          <w:rFonts w:ascii="Arial" w:cs="Arial" w:eastAsia="Arial" w:hAnsi="Arial"/>
          <w:sz w:val="15"/>
          <w:szCs w:val="15"/>
          <w:color w:val="auto"/>
        </w:rPr>
        <w:t xml:space="preserve"> for the quarter was negative $13.1 million, compared to negative $3.3 million in the fourth quarter of 2020.</w:t>
      </w:r>
    </w:p>
    <w:p>
      <w:pPr>
        <w:spacing w:after="0" w:line="159" w:lineRule="exact"/>
        <w:rPr>
          <w:rFonts w:ascii="Arial" w:cs="Arial" w:eastAsia="Arial" w:hAnsi="Arial"/>
          <w:sz w:val="15"/>
          <w:szCs w:val="15"/>
          <w:color w:val="auto"/>
        </w:rPr>
      </w:pPr>
    </w:p>
    <w:p>
      <w:pPr>
        <w:ind w:left="960" w:hanging="474"/>
        <w:spacing w:after="0"/>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Total cash, cash equivalents and short-term investments </w:t>
      </w:r>
      <w:r>
        <w:rPr>
          <w:rFonts w:ascii="Arial" w:cs="Arial" w:eastAsia="Arial" w:hAnsi="Arial"/>
          <w:sz w:val="15"/>
          <w:szCs w:val="15"/>
          <w:color w:val="auto"/>
        </w:rPr>
        <w:t>as of December 31, 2021 was $755.3 million.</w:t>
      </w:r>
    </w:p>
    <w:p>
      <w:pPr>
        <w:spacing w:after="0" w:line="197" w:lineRule="exact"/>
        <w:rPr>
          <w:rFonts w:ascii="Arial" w:cs="Arial" w:eastAsia="Arial" w:hAnsi="Arial"/>
          <w:sz w:val="15"/>
          <w:szCs w:val="15"/>
          <w:color w:val="auto"/>
        </w:rPr>
      </w:pPr>
    </w:p>
    <w:p>
      <w:pPr>
        <w:ind w:left="960" w:hanging="474"/>
        <w:spacing w:after="0" w:line="283" w:lineRule="auto"/>
        <w:tabs>
          <w:tab w:leader="none" w:pos="9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Net cash generated from operating activities </w:t>
      </w:r>
      <w:r>
        <w:rPr>
          <w:rFonts w:ascii="Arial" w:cs="Arial" w:eastAsia="Arial" w:hAnsi="Arial"/>
          <w:sz w:val="15"/>
          <w:szCs w:val="15"/>
          <w:color w:val="auto"/>
        </w:rPr>
        <w:t>for the quarter was $5.1 million, compared to $2.0 million in the fourth quarter of 2020.</w:t>
      </w:r>
      <w:r>
        <w:rPr>
          <w:rFonts w:ascii="Arial" w:cs="Arial" w:eastAsia="Arial" w:hAnsi="Arial"/>
          <w:sz w:val="15"/>
          <w:szCs w:val="15"/>
          <w:b w:val="1"/>
          <w:bCs w:val="1"/>
          <w:color w:val="auto"/>
        </w:rPr>
        <w:t xml:space="preserve"> Free cash flow </w:t>
      </w:r>
      <w:r>
        <w:rPr>
          <w:rFonts w:ascii="Arial" w:cs="Arial" w:eastAsia="Arial" w:hAnsi="Arial"/>
          <w:sz w:val="15"/>
          <w:szCs w:val="15"/>
          <w:color w:val="auto"/>
        </w:rPr>
        <w:t>for the quarter was $2.9 million, compared to negative $1.4 million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71983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u w:val="single" w:color="auto"/>
          <w:color w:val="auto"/>
        </w:rPr>
        <w:t>Fiscal Year 2021 Highlights</w:t>
      </w:r>
    </w:p>
    <w:p>
      <w:pPr>
        <w:spacing w:after="0" w:line="198" w:lineRule="exact"/>
        <w:rPr>
          <w:sz w:val="20"/>
          <w:szCs w:val="20"/>
          <w:color w:val="auto"/>
        </w:rPr>
      </w:pPr>
    </w:p>
    <w:p>
      <w:pPr>
        <w:ind w:left="960" w:hanging="474"/>
        <w:spacing w:after="0"/>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Total revenues </w:t>
      </w:r>
      <w:r>
        <w:rPr>
          <w:rFonts w:ascii="Arial" w:cs="Arial" w:eastAsia="Arial" w:hAnsi="Arial"/>
          <w:sz w:val="15"/>
          <w:szCs w:val="15"/>
          <w:color w:val="auto"/>
        </w:rPr>
        <w:t>in 2021 were $168.0 million, an increase of 25.8% from $133.6 million in 2020.</w:t>
      </w:r>
    </w:p>
    <w:p>
      <w:pPr>
        <w:spacing w:after="0" w:line="197" w:lineRule="exact"/>
        <w:rPr>
          <w:rFonts w:ascii="Arial" w:cs="Arial" w:eastAsia="Arial" w:hAnsi="Arial"/>
          <w:sz w:val="15"/>
          <w:szCs w:val="15"/>
          <w:color w:val="auto"/>
        </w:rPr>
      </w:pPr>
    </w:p>
    <w:p>
      <w:pPr>
        <w:jc w:val="both"/>
        <w:ind w:left="960" w:hanging="474"/>
        <w:spacing w:after="0" w:line="255" w:lineRule="auto"/>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Net loss </w:t>
      </w:r>
      <w:r>
        <w:rPr>
          <w:rFonts w:ascii="Arial" w:cs="Arial" w:eastAsia="Arial" w:hAnsi="Arial"/>
          <w:sz w:val="15"/>
          <w:szCs w:val="15"/>
          <w:color w:val="auto"/>
        </w:rPr>
        <w:t>in 2021 was $72.4 million, compared to net loss of $3.1 million in 2020. After excluding share-based compensation expenses,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related expenses, amortization expenses of acquired intangible assets and income tax related to acquired intangible assets, non-GAAP net loss in 2021 was $33.5 million, compared to the non-GAAP net income of $8.9 million in 2020. </w:t>
      </w:r>
      <w:r>
        <w:rPr>
          <w:rFonts w:ascii="Arial" w:cs="Arial" w:eastAsia="Arial" w:hAnsi="Arial"/>
          <w:sz w:val="15"/>
          <w:szCs w:val="15"/>
          <w:b w:val="1"/>
          <w:bCs w:val="1"/>
          <w:color w:val="auto"/>
        </w:rPr>
        <w:t>Adjusted EBITDA</w:t>
      </w:r>
      <w:r>
        <w:rPr>
          <w:rFonts w:ascii="Arial" w:cs="Arial" w:eastAsia="Arial" w:hAnsi="Arial"/>
          <w:sz w:val="15"/>
          <w:szCs w:val="15"/>
          <w:color w:val="auto"/>
        </w:rPr>
        <w:t xml:space="preserve"> in 2021 was negative $33.3 million, compared to $11.2 million in 2020.</w:t>
      </w:r>
    </w:p>
    <w:p>
      <w:pPr>
        <w:spacing w:after="0" w:line="159" w:lineRule="exact"/>
        <w:rPr>
          <w:rFonts w:ascii="Arial" w:cs="Arial" w:eastAsia="Arial" w:hAnsi="Arial"/>
          <w:sz w:val="15"/>
          <w:szCs w:val="15"/>
          <w:color w:val="auto"/>
        </w:rPr>
      </w:pPr>
    </w:p>
    <w:p>
      <w:pPr>
        <w:ind w:left="960" w:hanging="474"/>
        <w:spacing w:after="0" w:line="283" w:lineRule="auto"/>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Net cash used in operating activities </w:t>
      </w:r>
      <w:r>
        <w:rPr>
          <w:rFonts w:ascii="Arial" w:cs="Arial" w:eastAsia="Arial" w:hAnsi="Arial"/>
          <w:sz w:val="15"/>
          <w:szCs w:val="15"/>
          <w:color w:val="auto"/>
        </w:rPr>
        <w:t>in 2021 was $20.0 million, compared to net cash generated from operating activities of $6.6 million in 2020.</w:t>
      </w:r>
      <w:r>
        <w:rPr>
          <w:rFonts w:ascii="Arial" w:cs="Arial" w:eastAsia="Arial" w:hAnsi="Arial"/>
          <w:sz w:val="15"/>
          <w:szCs w:val="15"/>
          <w:b w:val="1"/>
          <w:bCs w:val="1"/>
          <w:color w:val="auto"/>
        </w:rPr>
        <w:t xml:space="preserve"> Free cash flow </w:t>
      </w:r>
      <w:r>
        <w:rPr>
          <w:rFonts w:ascii="Arial" w:cs="Arial" w:eastAsia="Arial" w:hAnsi="Arial"/>
          <w:sz w:val="15"/>
          <w:szCs w:val="15"/>
          <w:color w:val="auto"/>
        </w:rPr>
        <w:t>in 2021 was negative $32.2 million, compared to negative $6.3 million in 2020.</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Fourth Quarter 2021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Total revenues were $40.4 million in the fourth quarter of 2021, an increase of 21.5% from $33.3 million in the same period last year, primarily due to increased usage of our video calling and voice calling products as a result of our business expansion and usage growth in emerging use cases.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Revenues</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Cost of revenues was $15.0 million in the fourth quarter of 2021, an increase of 13.7% from $13.2 million in the same period last year, primarily due to increase in personnel costs as we continue to build our service team.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 and Gross Margin</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Gross profit was $25.4 million in the fourth quarter of 2021, an increase of 26.5% from $20.1 million in the same period last year. Gross margin was 63.0% in the fourth quarter of 2021, an increase of 2.6% from 60.4% in the same period last year, primarily due to the implementation of technical and infrastructural optimizations.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were $51.9 million in the fourth quarter of 2021, an increase of 81.9% from $28.5 million in the same period last year.</w:t>
      </w:r>
    </w:p>
    <w:p>
      <w:pPr>
        <w:spacing w:after="0" w:line="180" w:lineRule="exact"/>
        <w:rPr>
          <w:sz w:val="20"/>
          <w:szCs w:val="20"/>
          <w:color w:val="auto"/>
        </w:rPr>
      </w:pPr>
    </w:p>
    <w:p>
      <w:pPr>
        <w:jc w:val="both"/>
        <w:ind w:left="960" w:hanging="474"/>
        <w:spacing w:after="0" w:line="262"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expenses were $28.8 million in the fourth quarter of 2021, an increase of 99.3% from $14.4 million in the same period last</w:t>
      </w:r>
      <w:r>
        <w:rPr>
          <w:rFonts w:ascii="Arial" w:cs="Arial" w:eastAsia="Arial" w:hAnsi="Arial"/>
          <w:sz w:val="15"/>
          <w:szCs w:val="15"/>
          <w:b w:val="1"/>
          <w:bCs w:val="1"/>
          <w:color w:val="auto"/>
        </w:rPr>
        <w:t xml:space="preserve"> </w:t>
      </w:r>
      <w:r>
        <w:rPr>
          <w:rFonts w:ascii="Arial" w:cs="Arial" w:eastAsia="Arial" w:hAnsi="Arial"/>
          <w:sz w:val="15"/>
          <w:szCs w:val="15"/>
          <w:color w:val="auto"/>
        </w:rPr>
        <w:t>year, primarily due to increased personnel costs as we continue to build our research and development team, including an increase in share-based compensation from $1.4 million in the fourth quarter of 2020 to $4.7 million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19836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5" w:name="page6"/>
    <w:bookmarkEnd w:id="5"/>
    <w:p>
      <w:pPr>
        <w:jc w:val="both"/>
        <w:ind w:left="960" w:hanging="474"/>
        <w:spacing w:after="0" w:line="255" w:lineRule="auto"/>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Sales and marketing </w:t>
      </w:r>
      <w:r>
        <w:rPr>
          <w:rFonts w:ascii="Arial" w:cs="Arial" w:eastAsia="Arial" w:hAnsi="Arial"/>
          <w:sz w:val="15"/>
          <w:szCs w:val="15"/>
          <w:color w:val="auto"/>
        </w:rPr>
        <w:t>expenses were $13.8 million in the fourth quarter of 2021, an increase of 85.5% from $7.4 million in the same period last year,</w:t>
      </w:r>
      <w:r>
        <w:rPr>
          <w:rFonts w:ascii="Arial" w:cs="Arial" w:eastAsia="Arial" w:hAnsi="Arial"/>
          <w:sz w:val="15"/>
          <w:szCs w:val="15"/>
          <w:b w:val="1"/>
          <w:bCs w:val="1"/>
          <w:color w:val="auto"/>
        </w:rPr>
        <w:t xml:space="preserve"> </w:t>
      </w:r>
      <w:r>
        <w:rPr>
          <w:rFonts w:ascii="Arial" w:cs="Arial" w:eastAsia="Arial" w:hAnsi="Arial"/>
          <w:sz w:val="15"/>
          <w:szCs w:val="15"/>
          <w:color w:val="auto"/>
        </w:rPr>
        <w:t>primarily due to increased personnel costs as we continue to build our sales and marketing team, including an increase in share-based compensation from $0.5 million in the fourth quarter of 2020 to $1.2 million in the fourth quarter of 2021, as well as higher advertising expenses compared to the same period in the prior year.</w:t>
      </w:r>
    </w:p>
    <w:p>
      <w:pPr>
        <w:spacing w:after="0" w:line="159" w:lineRule="exact"/>
        <w:rPr>
          <w:rFonts w:ascii="Arial" w:cs="Arial" w:eastAsia="Arial" w:hAnsi="Arial"/>
          <w:sz w:val="15"/>
          <w:szCs w:val="15"/>
          <w:color w:val="auto"/>
        </w:rPr>
      </w:pPr>
    </w:p>
    <w:p>
      <w:pPr>
        <w:jc w:val="both"/>
        <w:ind w:left="960" w:hanging="474"/>
        <w:spacing w:after="0" w:line="262" w:lineRule="auto"/>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General and administrative </w:t>
      </w:r>
      <w:r>
        <w:rPr>
          <w:rFonts w:ascii="Arial" w:cs="Arial" w:eastAsia="Arial" w:hAnsi="Arial"/>
          <w:sz w:val="15"/>
          <w:szCs w:val="15"/>
          <w:color w:val="auto"/>
        </w:rPr>
        <w:t>expenses were $9.3 million in the fourth quarter of 2021, an increase of 40.0% from $6.7 million in the same period last</w:t>
      </w:r>
      <w:r>
        <w:rPr>
          <w:rFonts w:ascii="Arial" w:cs="Arial" w:eastAsia="Arial" w:hAnsi="Arial"/>
          <w:sz w:val="15"/>
          <w:szCs w:val="15"/>
          <w:b w:val="1"/>
          <w:bCs w:val="1"/>
          <w:color w:val="auto"/>
        </w:rPr>
        <w:t xml:space="preserve"> </w:t>
      </w:r>
      <w:r>
        <w:rPr>
          <w:rFonts w:ascii="Arial" w:cs="Arial" w:eastAsia="Arial" w:hAnsi="Arial"/>
          <w:sz w:val="15"/>
          <w:szCs w:val="15"/>
          <w:color w:val="auto"/>
        </w:rPr>
        <w:t>year, primarily due to increased personnel costs as we continue to build our administration team, including an increase in share-based compensation from $1.0 million in the fourth quarter of 2020 to $2.0 million in the fourth quarter of 2021.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Operating Income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Other operating income was $1.7 million in the fourth quarter of 2021, compared to $0.7 million in the same period last year, primarily due to government subsidies.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Operations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Loss from operations was $24.8 million in the fourth quarter of 2021, compared to loss from operations of $7.7 million in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Income</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Interest income was $2.1 million in the fourth quarter of 2021, compared to $1.5 million in the same period last year, primarily due to an increase in the average balance of cash and cash equivalents and short-term investments due to proceeds from the private placement in the first quarter of 2021.</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Loss</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Investment loss was $0.7 million in the fourth quarter of 2021, primarily due to the impairment of an investment in the fourth quarter of 2021, whereas there were no material investments in the same period last year.</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Other income was $1.6 million in the fourth quarter of 2021, primarily due to the income of incentive payments from a depositary bank, whereas there were no material transactions in the same period last year.</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Net loss was $21.2 million in the fourth quarter of 2021, compared to net loss of $6.2 million in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attributable to ordinary shareholders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Net loss attributable to ordinary shareholders was $21.2 million in the fourth quarter of 2021, compared to $6.2 million in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1983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Net loss per American Depositary Share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Net loss per American Depositary Share (“ADS”)</w:t>
      </w:r>
      <w:r>
        <w:rPr>
          <w:rFonts w:ascii="Arial" w:cs="Arial" w:eastAsia="Arial" w:hAnsi="Arial"/>
          <w:sz w:val="12"/>
          <w:szCs w:val="12"/>
          <w:color w:val="auto"/>
        </w:rPr>
        <w:t>1</w:t>
      </w:r>
      <w:r>
        <w:rPr>
          <w:rFonts w:ascii="Arial" w:cs="Arial" w:eastAsia="Arial" w:hAnsi="Arial"/>
          <w:sz w:val="15"/>
          <w:szCs w:val="15"/>
          <w:color w:val="auto"/>
        </w:rPr>
        <w:t xml:space="preserve"> was $0.19 in the fourth quarter of 2021, compared to $0.06 in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Fiscal Year 2021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Total revenues in 2021 were $168.0 million, an increase of 25.8% from $133.6 million in 2020, primarily due to increased usage of our video calling and voice calling products as a result of our global business expansion, diversification of product portfolio and usage growth in emerging use cases.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Revenues</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Cost of revenues in 2021 was $64.0 million, an increase of 35.5% from $47.2 million in 2020, primarily due to increases in bandwidth and co-location costs, personnel costs, and depreciation of servers and network equipment as we continue to scale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 and Gross Margin</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Gross profit in 2021 was $104.0 million, an increase of 20.4% from $86.4 million in 2020. Gross margin in 2021 was 61.9%, a decrease of 2.8% from 64.7% in 2020, primarily due to our international expansion to regions with higher infrastructure costs and capacity expansion in anticipation of future usage growth.</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in 2021 were $187.3 million, an increase of 100.9% from $93.2 million in 2020.</w:t>
      </w:r>
    </w:p>
    <w:p>
      <w:pPr>
        <w:spacing w:after="0" w:line="158" w:lineRule="exact"/>
        <w:rPr>
          <w:sz w:val="20"/>
          <w:szCs w:val="20"/>
          <w:color w:val="auto"/>
        </w:rPr>
      </w:pPr>
    </w:p>
    <w:p>
      <w:pPr>
        <w:jc w:val="both"/>
        <w:ind w:left="960" w:hanging="474"/>
        <w:spacing w:after="0" w:line="262" w:lineRule="auto"/>
        <w:tabs>
          <w:tab w:leader="none" w:pos="96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expenses in 2021 were $110.7 million, an increase of 123.6% from $49.5 million in 2020, primarily due to increased</w:t>
      </w:r>
      <w:r>
        <w:rPr>
          <w:rFonts w:ascii="Arial" w:cs="Arial" w:eastAsia="Arial" w:hAnsi="Arial"/>
          <w:sz w:val="15"/>
          <w:szCs w:val="15"/>
          <w:b w:val="1"/>
          <w:bCs w:val="1"/>
          <w:color w:val="auto"/>
        </w:rPr>
        <w:t xml:space="preserve"> </w:t>
      </w:r>
      <w:r>
        <w:rPr>
          <w:rFonts w:ascii="Arial" w:cs="Arial" w:eastAsia="Arial" w:hAnsi="Arial"/>
          <w:sz w:val="15"/>
          <w:szCs w:val="15"/>
          <w:color w:val="auto"/>
        </w:rPr>
        <w:t>personnel costs as we continue to build our research and development team, including an increase in share-based compensation from $5.3 million in 2020 to $19.7 million in 2021.</w:t>
      </w:r>
    </w:p>
    <w:p>
      <w:pPr>
        <w:spacing w:after="0" w:line="153" w:lineRule="exact"/>
        <w:rPr>
          <w:rFonts w:ascii="Arial" w:cs="Arial" w:eastAsia="Arial" w:hAnsi="Arial"/>
          <w:sz w:val="15"/>
          <w:szCs w:val="15"/>
          <w:color w:val="auto"/>
        </w:rPr>
      </w:pPr>
    </w:p>
    <w:p>
      <w:pPr>
        <w:jc w:val="both"/>
        <w:ind w:left="960" w:hanging="474"/>
        <w:spacing w:after="0" w:line="262" w:lineRule="auto"/>
        <w:tabs>
          <w:tab w:leader="none" w:pos="96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Sales and marketing </w:t>
      </w:r>
      <w:r>
        <w:rPr>
          <w:rFonts w:ascii="Arial" w:cs="Arial" w:eastAsia="Arial" w:hAnsi="Arial"/>
          <w:sz w:val="15"/>
          <w:szCs w:val="15"/>
          <w:color w:val="auto"/>
        </w:rPr>
        <w:t>expenses in 2021 were $46.3 million, an increase of 79.9% from $25.7 million in 2020, primarily due to increased personnel costs</w:t>
      </w:r>
      <w:r>
        <w:rPr>
          <w:rFonts w:ascii="Arial" w:cs="Arial" w:eastAsia="Arial" w:hAnsi="Arial"/>
          <w:sz w:val="15"/>
          <w:szCs w:val="15"/>
          <w:b w:val="1"/>
          <w:bCs w:val="1"/>
          <w:color w:val="auto"/>
        </w:rPr>
        <w:t xml:space="preserve"> </w:t>
      </w:r>
      <w:r>
        <w:rPr>
          <w:rFonts w:ascii="Arial" w:cs="Arial" w:eastAsia="Arial" w:hAnsi="Arial"/>
          <w:sz w:val="15"/>
          <w:szCs w:val="15"/>
          <w:color w:val="auto"/>
        </w:rPr>
        <w:t>as we continue to build our sales and marketing team, including an increase in share-based compensation from $2.1 million in 2020 to $4.8 million in 2021, as well as higher advertising expenses compared to the prior year.</w:t>
      </w:r>
    </w:p>
    <w:p>
      <w:pPr>
        <w:spacing w:after="0" w:line="153" w:lineRule="exact"/>
        <w:rPr>
          <w:rFonts w:ascii="Arial" w:cs="Arial" w:eastAsia="Arial" w:hAnsi="Arial"/>
          <w:sz w:val="15"/>
          <w:szCs w:val="15"/>
          <w:color w:val="auto"/>
        </w:rPr>
      </w:pPr>
    </w:p>
    <w:p>
      <w:pPr>
        <w:ind w:left="960" w:right="20" w:hanging="474"/>
        <w:spacing w:after="0" w:line="283" w:lineRule="auto"/>
        <w:tabs>
          <w:tab w:leader="none" w:pos="96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General and administrative </w:t>
      </w:r>
      <w:r>
        <w:rPr>
          <w:rFonts w:ascii="Arial" w:cs="Arial" w:eastAsia="Arial" w:hAnsi="Arial"/>
          <w:sz w:val="15"/>
          <w:szCs w:val="15"/>
          <w:color w:val="auto"/>
        </w:rPr>
        <w:t>expenses in 2021 were $30.3 million, an increase of 68.4% from $18.0 million in 2020, primarily due to increased personnel</w:t>
      </w:r>
      <w:r>
        <w:rPr>
          <w:rFonts w:ascii="Arial" w:cs="Arial" w:eastAsia="Arial" w:hAnsi="Arial"/>
          <w:sz w:val="15"/>
          <w:szCs w:val="15"/>
          <w:b w:val="1"/>
          <w:bCs w:val="1"/>
          <w:color w:val="auto"/>
        </w:rPr>
        <w:t xml:space="preserve"> </w:t>
      </w:r>
      <w:r>
        <w:rPr>
          <w:rFonts w:ascii="Arial" w:cs="Arial" w:eastAsia="Arial" w:hAnsi="Arial"/>
          <w:sz w:val="15"/>
          <w:szCs w:val="15"/>
          <w:color w:val="auto"/>
        </w:rPr>
        <w:t>costs as we continue to build our team, including an increase in share-based compensation from $4.2 million in 2020 to $6.0 million in 2021</w:t>
      </w:r>
    </w:p>
    <w:p>
      <w:pPr>
        <w:spacing w:after="0" w:line="86" w:lineRule="exact"/>
        <w:rPr>
          <w:sz w:val="20"/>
          <w:szCs w:val="20"/>
          <w:color w:val="auto"/>
        </w:rPr>
      </w:pPr>
    </w:p>
    <w:p>
      <w:pPr>
        <w:ind w:left="100" w:hanging="93"/>
        <w:spacing w:after="0"/>
        <w:tabs>
          <w:tab w:leader="none" w:pos="100" w:val="left"/>
        </w:tabs>
        <w:numPr>
          <w:ilvl w:val="0"/>
          <w:numId w:val="6"/>
        </w:numPr>
        <w:rPr>
          <w:rFonts w:ascii="Arial" w:cs="Arial" w:eastAsia="Arial" w:hAnsi="Arial"/>
          <w:sz w:val="12"/>
          <w:szCs w:val="12"/>
          <w:color w:val="auto"/>
        </w:rPr>
      </w:pPr>
      <w:r>
        <w:rPr>
          <w:rFonts w:ascii="Arial" w:cs="Arial" w:eastAsia="Arial" w:hAnsi="Arial"/>
          <w:sz w:val="15"/>
          <w:szCs w:val="15"/>
          <w:color w:val="auto"/>
        </w:rPr>
        <w:t>One ADS represents four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143065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065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265430</wp:posOffset>
            </wp:positionV>
            <wp:extent cx="71983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7" w:name="page8"/>
    <w:bookmarkEnd w:id="7"/>
    <w:p>
      <w:pPr>
        <w:ind w:left="960"/>
        <w:spacing w:after="0"/>
        <w:rPr>
          <w:sz w:val="20"/>
          <w:szCs w:val="20"/>
          <w:color w:val="auto"/>
        </w:rPr>
      </w:pPr>
      <w:r>
        <w:rPr>
          <w:rFonts w:ascii="Arial" w:cs="Arial" w:eastAsia="Arial" w:hAnsi="Arial"/>
          <w:sz w:val="15"/>
          <w:szCs w:val="15"/>
          <w:color w:val="auto"/>
        </w:rPr>
        <w:t>, as well as additional expected credit loss provisions recorded during the year under ASC 326, Measurement of Credit Losses on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Operating Income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Other operating income in 2021 was $2.6 million, compared to $1.7 million in 2020, primarily due to government subsidies.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Operations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Loss from operations in 2021 was $80.7 million, compared to $5.2 million in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Income</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Interest income in 2021 was $8.4 million, compared to $2.7 million in 2020, primarily due to an increase in the average balance of cash and cash equivalents and short-term investments due to proceeds from our initial public offering and concurrent private placement in the second quarter of 2020 and the private placement in the first quarter of 2021.</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Loss</w:t>
      </w: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Investment loss in 2021 was $1.7 million, primarily due to an investment loss of an equity investment sold in the third quarter of 2021 and impairment of an investment in the fourth quarter of 2021, whereas there were no material investments in 2020.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Other income in 2021 was $1.6 million, primarily due to the income of incentive payments from a depositary bank, whereas there were no material transactions in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Net loss in 2021 was $72.4 million, compared to net loss of $3.1 million in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attributable to ordinary shareholders</w:t>
      </w: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Net loss attributable to ordinary shareholders in 2021 was $72.4 million, compared to $203.3 million in 2020, primarily due to the accretion of preferred shares to redemption value before the completion of our initial public offering.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American Depositary Share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Net loss per ADS in 2021 was $0.66, compared to $3.02 in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Financial Outlook</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Based on currently available information, Agora expects total revenues for the year ending December 31, 2022 to be between $176 million and $178 million. This outlook reflects Agora’s current and preliminary views on the market and operational conditions, and the outlook ranges for the year ending December 31, 2021 reflect various assumptions that are subject to change based on uncertainties, including but not limited to the impact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1983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COVID-19 pandemic and the new regulation on the K12 academic tutoring sector in China.</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Earnings Call</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Agora will host a conference call to discuss the financial results at 5 p.m. Pacific Time / 8:00 p.m. Eastern Time on the same day. Details for the conference call are as follows:</w:t>
      </w:r>
    </w:p>
    <w:p>
      <w:pPr>
        <w:spacing w:after="0"/>
        <w:rPr>
          <w:sz w:val="20"/>
          <w:szCs w:val="20"/>
          <w:color w:val="auto"/>
        </w:rPr>
      </w:pPr>
      <w:r>
        <w:rPr>
          <w:rFonts w:ascii="Arial" w:cs="Arial" w:eastAsia="Arial" w:hAnsi="Arial"/>
          <w:sz w:val="15"/>
          <w:szCs w:val="15"/>
          <w:color w:val="auto"/>
        </w:rPr>
        <w:t>Event title: Agora, Inc. 4Q and Fiscal Year 2021 Financial Results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Conference ID: 5725678</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Direct Event online registration: </w:t>
      </w:r>
      <w:r>
        <w:rPr>
          <w:rFonts w:ascii="Arial" w:cs="Arial" w:eastAsia="Arial" w:hAnsi="Arial"/>
          <w:sz w:val="15"/>
          <w:szCs w:val="15"/>
          <w:u w:val="single" w:color="auto"/>
          <w:color w:val="auto"/>
        </w:rPr>
        <w:t>http://apac.directeventreg.com/registration/event/5725678</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Please register in advance of the conference using the link provided above. Upon registering, you will be provided with participant dial-in numbers, Direct Event passcode and unique registrant ID.</w:t>
      </w:r>
    </w:p>
    <w:p>
      <w:pPr>
        <w:jc w:val="both"/>
        <w:spacing w:after="0" w:line="242" w:lineRule="auto"/>
        <w:rPr>
          <w:sz w:val="20"/>
          <w:szCs w:val="20"/>
          <w:color w:val="auto"/>
        </w:rPr>
      </w:pPr>
      <w:r>
        <w:rPr>
          <w:rFonts w:ascii="Arial" w:cs="Arial" w:eastAsia="Arial" w:hAnsi="Arial"/>
          <w:sz w:val="15"/>
          <w:szCs w:val="15"/>
          <w:color w:val="auto"/>
        </w:rPr>
        <w:t>A digital recording of the conference call will be available for replay two hours after the call’s completion (dial-in number: US 18554525696, International +61 2 81990299; same conference ID as shown above).</w:t>
      </w:r>
    </w:p>
    <w:p>
      <w:pPr>
        <w:jc w:val="both"/>
        <w:spacing w:after="0" w:line="258" w:lineRule="auto"/>
        <w:rPr>
          <w:sz w:val="20"/>
          <w:szCs w:val="20"/>
          <w:color w:val="auto"/>
        </w:rPr>
      </w:pPr>
      <w:r>
        <w:rPr>
          <w:rFonts w:ascii="Arial" w:cs="Arial" w:eastAsia="Arial" w:hAnsi="Arial"/>
          <w:sz w:val="15"/>
          <w:szCs w:val="15"/>
          <w:color w:val="auto"/>
        </w:rPr>
        <w:t xml:space="preserve">Please visit Agora’s investor relations website at </w:t>
      </w:r>
      <w:r>
        <w:rPr>
          <w:rFonts w:ascii="Arial" w:cs="Arial" w:eastAsia="Arial" w:hAnsi="Arial"/>
          <w:sz w:val="15"/>
          <w:szCs w:val="15"/>
          <w:u w:val="single" w:color="auto"/>
          <w:color w:val="auto"/>
        </w:rPr>
        <w:t>https://investor.agora.io/investor-relations</w:t>
      </w:r>
      <w:r>
        <w:rPr>
          <w:rFonts w:ascii="Arial" w:cs="Arial" w:eastAsia="Arial" w:hAnsi="Arial"/>
          <w:sz w:val="15"/>
          <w:szCs w:val="15"/>
          <w:color w:val="auto"/>
        </w:rPr>
        <w:t xml:space="preserve"> on February 22, 2022 to view the earnings release and accompanying slides prior to the conference call.</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Use of Non-GAAP Financial Measures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Agora has provided in this press release financial information that has not been prepared in accordance with generally accepted accounting principles in the United States (“GAAP”). Agora uses these non-GAAP financial measures internally in analyzing its financial results and believes that the use of these non-GAAP financial measures is useful to investors as an additional tool to evaluate ongoing operating results and trends and in comparing Agora’s financial results with other companies in its industry, many of which present similar non-GAAP financial measures. Besides free cash flow (as defined below), each of these non-GAAP financial measures represents the corresponding GAAP financial measure before share-based compensation expenses, acquisition related expenses, amortization expenses of acquired intangible assets and income tax related to acquired intangible assets. Agora believes that such non-GAAP financial measures help identify underlying trends in its business that could otherwise be distorted by the effects of such share-based compensation expenses, acquisition related expenses, </w:t>
      </w:r>
      <w:r>
        <w:rPr>
          <w:rFonts w:ascii="Arial" w:cs="Arial" w:eastAsia="Arial" w:hAnsi="Arial"/>
          <w:sz w:val="15"/>
          <w:szCs w:val="15"/>
          <w:color w:val="222222"/>
        </w:rPr>
        <w:t>amortization expenses of</w:t>
      </w:r>
      <w:r>
        <w:rPr>
          <w:rFonts w:ascii="Arial" w:cs="Arial" w:eastAsia="Arial" w:hAnsi="Arial"/>
          <w:sz w:val="15"/>
          <w:szCs w:val="15"/>
          <w:color w:val="auto"/>
        </w:rPr>
        <w:t xml:space="preserve"> </w:t>
      </w:r>
      <w:r>
        <w:rPr>
          <w:rFonts w:ascii="Arial" w:cs="Arial" w:eastAsia="Arial" w:hAnsi="Arial"/>
          <w:sz w:val="15"/>
          <w:szCs w:val="15"/>
          <w:color w:val="222222"/>
        </w:rPr>
        <w:t xml:space="preserve">acquired intangible assets and income tax related to acquired intangible assets </w:t>
      </w:r>
      <w:r>
        <w:rPr>
          <w:rFonts w:ascii="Arial" w:cs="Arial" w:eastAsia="Arial" w:hAnsi="Arial"/>
          <w:sz w:val="15"/>
          <w:szCs w:val="15"/>
          <w:color w:val="000000"/>
        </w:rPr>
        <w:t>that it includes in its cost of revenues, total operating expenses and net income (loss).</w:t>
      </w:r>
      <w:r>
        <w:rPr>
          <w:rFonts w:ascii="Arial" w:cs="Arial" w:eastAsia="Arial" w:hAnsi="Arial"/>
          <w:sz w:val="15"/>
          <w:szCs w:val="15"/>
          <w:color w:val="222222"/>
        </w:rPr>
        <w:t xml:space="preserve"> </w:t>
      </w:r>
      <w:r>
        <w:rPr>
          <w:rFonts w:ascii="Arial" w:cs="Arial" w:eastAsia="Arial" w:hAnsi="Arial"/>
          <w:sz w:val="15"/>
          <w:szCs w:val="15"/>
          <w:color w:val="000000"/>
        </w:rPr>
        <w:t>Agora believes that all such non-GAAP financial measures also provide useful information about its operating results, enhance the overall understanding of its past performance and future prospects and allow for greater visibility with respect to key metrics used by its management in its financial and operational decision-making.</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Non-GAAP financial measures are not meant to be considered in isolation or as a substitute for comparable GAAP financial measures and should be read only in conjunction with Agora’s consolidated financial statements prepared in accordance with GAAP. A reconciliation of Agora’s historical non-GAAP financial measures to the most directly comparable GAAP measures has been provided in the tables captioned “Reconciliation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1983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auto"/>
        </w:rPr>
        <w:t>GAAP to Non-GAAP Measures” included at the end of this press release, and investors are encouraged to review the reconciliation.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Definitions of Agora’s non-GAAP financial measures included in this press release are presented below.</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Non-GAAP Net Income (Loss)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Agora defines non-GAAP net income (loss) as net income (loss) adjusted to exclude share-based compensation expenses, acquisition related expenses, amortization expenses of acquired intangible assets and income tax related to acquired intangible assets.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Adjusted EBITDA</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Agora defines Adjusted EBITDA as net income (loss) before exchange gain (loss), interest income, investment income (loss), other income, equity in income of affiliates, income taxes, depreciation of property and equipment, and adjusted to exclude the effects of share-based compensation expenses, acquisition related expenses and amortization expenses of acquired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Free Cash Flow</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Agora defines free cash flow as net cash provided by operating activities less purchases of property and equipment. Agora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Operating Metrics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Agora also uses other operating metrics included in this press release and defined below to assess the performance of its business.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Active Customers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Agora defines an active customer at the end of any particular period as an organization or individual developer from which Agora generated more than $100 of revenue during the preceding 12 months. Agora counts customers based on unique customer account identifiers. Generally, one software application uses the same customer account identifier throughout its life cycle while one account may be used for multiple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Constant Currency Dollar-Based Net Expansion Rate</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Agora calculates Dollar-Based Net Expansion Rate for a trailing 12-month period by first identifying all customers in the prior 12-month period, and then calculating the quotient from dividing the revenue generated from such customers in the trailing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247015</wp:posOffset>
            </wp:positionV>
            <wp:extent cx="71983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0" w:name="page11"/>
    <w:bookmarkEnd w:id="10"/>
    <w:p>
      <w:pPr>
        <w:jc w:val="both"/>
        <w:spacing w:after="0" w:line="247" w:lineRule="auto"/>
        <w:rPr>
          <w:sz w:val="20"/>
          <w:szCs w:val="20"/>
          <w:color w:val="auto"/>
        </w:rPr>
      </w:pPr>
      <w:r>
        <w:rPr>
          <w:rFonts w:ascii="Arial" w:cs="Arial" w:eastAsia="Arial" w:hAnsi="Arial"/>
          <w:sz w:val="15"/>
          <w:szCs w:val="15"/>
          <w:color w:val="auto"/>
        </w:rPr>
        <w:t>by the revenue generated from the same group of customers in the prior 12-month period. Constant Currency Dollar-Based Net Expansion Rate is calculated the same way as Dollar-Based Net Expansion Rate but using fixed exchange rates based on the daily average exchange rates prevailing during the prior 12-month period to remove the impact of foreign currency translations. Agora believes Constant Currency Dollar-Based Net Expansion Rate facilitates operating performance comparisons on a period-to-period basis as Agora does not consider the impact of foreign currency fluctuations to be indicative of its core operating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Impact of the Recently Adopted Accounting Pronouncement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Agora adopted ASU 2016-02, Leases (“ASC 842”) beginning January 1, 2021 and elected to use the modified retrospective method with the optional transition that allows for a cumulative-effect adjustment to the opening balance of retained earnings recorded on January 1, 2021, with no adjustments to prior periods presented. No cumulative effect adjustment to the opening balance of retained earnings was required. Upon adoption of ASC 842 on January 1, 2021, Agora recognized right of use assets as well as lease liabilities of $6.5 million for operating leases. Agora does not have any finance leases. The adoption of the new guidance did not have a material effect on our results of operations, financial condition or liquidity.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Safe Harbor Statements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Agora’s financial outlook, beliefs and expectations. Forward-looking statements include statements containing words such as “expect,” “anticipate,” “believe,” “project,” “will” and similar expressions intended to identify forward-looking statements. Among other things, the Financial Outlook in this announcement contain forward-looking statements. These forward-looking statements are based on Agora’s current expectations and involve risks and uncertainties. Agora’s actual results and the timing of events could differ materially from those anticipated in such forward-looking statements as a result of these risks and uncertainties, which include, without limitation, risks related to the growth of the RTE-PaaS market; Agora’s ability to manage its growth and expand its operations; the continued impact of the COVID-19 pandemic on global markets and Agora’s business, operations and customers; Agora’s ability to attract new developers and convert them into customers; Agora’s ability to retain existing customers and expand their usage of Agora’s platform and products; Agora’s ability to drive popularity of existing use cases and enable new use cases, including through quality enhancements and introduction of new products, features and functionalities; Agora’s fluctuating operating results; competition; the effect of broader technological and market trends on Agora’s business and prospects; general economic conditions and their impact on customer and end-user demand; and other risks and uncertainties included elsewhere in our filings with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257175</wp:posOffset>
            </wp:positionV>
            <wp:extent cx="71983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15"/>
          <w:szCs w:val="15"/>
          <w:color w:val="auto"/>
        </w:rPr>
        <w:t>Commission, including, without limitation, the final prospectus related to the IPO filed with the SEC on June 26, 2020. You are cautioned not to place undue reliance on these forward-looking statements, which speak only as of the date of this press release. All forward-looking statements are qualified in their entirety by this cautionary statement, and Agora undertakes no obligation to revise or update any forward-looking statements to reflect events or circumstances after the date hereof.</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About Agora</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0A0A0A"/>
        </w:rPr>
        <w:t>Agora’s mission is to make real-time engagement ubiquitous, allowing everyone to interact with anyone, in any app, anytime and anywhere. Agora’s cloud platform provides developers simple, flexible and powerful application programming interfaces, or APIs, to embed real-time video, voice and chat experiences into their applications. Agora maintains dual headquarters in Shanghai, China and Santa Clara, California.</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more information, please visit: </w:t>
      </w:r>
      <w:r>
        <w:rPr>
          <w:rFonts w:ascii="Arial" w:cs="Arial" w:eastAsia="Arial" w:hAnsi="Arial"/>
          <w:sz w:val="15"/>
          <w:szCs w:val="15"/>
          <w:i w:val="1"/>
          <w:iCs w:val="1"/>
          <w:color w:val="auto"/>
        </w:rPr>
        <w:t>www.agora.io</w:t>
      </w:r>
      <w:r>
        <w:rPr>
          <w:rFonts w:ascii="Arial" w:cs="Arial" w:eastAsia="Arial" w:hAnsi="Arial"/>
          <w:sz w:val="15"/>
          <w:szCs w:val="15"/>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Investor Contact</w:t>
      </w:r>
      <w:r>
        <w:rPr>
          <w:rFonts w:ascii="Arial" w:cs="Arial" w:eastAsia="Arial" w:hAnsi="Arial"/>
          <w:sz w:val="15"/>
          <w:szCs w:val="15"/>
          <w:u w:val="single" w:color="auto"/>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Fionna Chen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investor@agora.io</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Media Contact</w:t>
      </w:r>
      <w:r>
        <w:rPr>
          <w:rFonts w:ascii="Arial" w:cs="Arial" w:eastAsia="Arial" w:hAnsi="Arial"/>
          <w:sz w:val="15"/>
          <w:szCs w:val="15"/>
          <w:u w:val="single" w:color="auto"/>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Suzanne Nguyen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press@agora.io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372745</wp:posOffset>
            </wp:positionV>
            <wp:extent cx="719836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Agora,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in US$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5"/>
                <w:szCs w:val="15"/>
                <w:color w:val="auto"/>
              </w:rPr>
              <w:t>As of</w:t>
            </w:r>
          </w:p>
        </w:tc>
        <w:tc>
          <w:tcPr>
            <w:tcW w:w="1800" w:type="dxa"/>
            <w:vAlign w:val="bottom"/>
          </w:tcPr>
          <w:p>
            <w:pPr>
              <w:jc w:val="center"/>
              <w:spacing w:after="0"/>
              <w:rPr>
                <w:sz w:val="20"/>
                <w:szCs w:val="20"/>
                <w:color w:val="auto"/>
              </w:rPr>
            </w:pPr>
            <w:r>
              <w:rPr>
                <w:rFonts w:ascii="Arial" w:cs="Arial" w:eastAsia="Arial" w:hAnsi="Arial"/>
                <w:sz w:val="15"/>
                <w:szCs w:val="15"/>
                <w:color w:val="auto"/>
                <w:w w:val="99"/>
              </w:rPr>
              <w:t>As of</w:t>
            </w: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5"/>
                <w:szCs w:val="15"/>
                <w:color w:val="auto"/>
              </w:rPr>
              <w:t>December 31,</w:t>
            </w:r>
          </w:p>
        </w:tc>
        <w:tc>
          <w:tcPr>
            <w:tcW w:w="1800" w:type="dxa"/>
            <w:vAlign w:val="bottom"/>
          </w:tcPr>
          <w:p>
            <w:pPr>
              <w:jc w:val="center"/>
              <w:spacing w:after="0"/>
              <w:rPr>
                <w:sz w:val="20"/>
                <w:szCs w:val="20"/>
                <w:color w:val="auto"/>
              </w:rPr>
            </w:pPr>
            <w:r>
              <w:rPr>
                <w:rFonts w:ascii="Arial" w:cs="Arial" w:eastAsia="Arial" w:hAnsi="Arial"/>
                <w:sz w:val="15"/>
                <w:szCs w:val="15"/>
                <w:color w:val="auto"/>
              </w:rPr>
              <w:t>December 31,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2021</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2020</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20"/>
                <w:szCs w:val="20"/>
                <w:color w:val="auto"/>
              </w:rPr>
            </w:pPr>
            <w:r>
              <w:rPr>
                <w:rFonts w:ascii="Arial" w:cs="Arial" w:eastAsia="Arial" w:hAnsi="Arial"/>
                <w:sz w:val="15"/>
                <w:szCs w:val="15"/>
                <w:color w:val="auto"/>
              </w:rPr>
              <w:t>Assets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Current assets: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285,668</w:t>
            </w:r>
          </w:p>
        </w:tc>
        <w:tc>
          <w:tcPr>
            <w:tcW w:w="1800" w:type="dxa"/>
            <w:vAlign w:val="bottom"/>
          </w:tcPr>
          <w:p>
            <w:pPr>
              <w:jc w:val="right"/>
              <w:spacing w:after="0"/>
              <w:rPr>
                <w:sz w:val="20"/>
                <w:szCs w:val="20"/>
                <w:color w:val="auto"/>
              </w:rPr>
            </w:pPr>
            <w:r>
              <w:rPr>
                <w:rFonts w:ascii="Arial" w:cs="Arial" w:eastAsia="Arial" w:hAnsi="Arial"/>
                <w:sz w:val="15"/>
                <w:szCs w:val="15"/>
                <w:color w:val="auto"/>
              </w:rPr>
              <w:t>111,218</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Short-term investments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469,636</w:t>
            </w:r>
          </w:p>
        </w:tc>
        <w:tc>
          <w:tcPr>
            <w:tcW w:w="1800" w:type="dxa"/>
            <w:vAlign w:val="bottom"/>
          </w:tcPr>
          <w:p>
            <w:pPr>
              <w:jc w:val="right"/>
              <w:spacing w:after="0"/>
              <w:rPr>
                <w:sz w:val="20"/>
                <w:szCs w:val="20"/>
                <w:color w:val="auto"/>
              </w:rPr>
            </w:pPr>
            <w:r>
              <w:rPr>
                <w:rFonts w:ascii="Arial" w:cs="Arial" w:eastAsia="Arial" w:hAnsi="Arial"/>
                <w:sz w:val="15"/>
                <w:szCs w:val="15"/>
                <w:color w:val="auto"/>
              </w:rPr>
              <w:t>524,220</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32,619</w:t>
            </w:r>
          </w:p>
        </w:tc>
        <w:tc>
          <w:tcPr>
            <w:tcW w:w="1800" w:type="dxa"/>
            <w:vAlign w:val="bottom"/>
          </w:tcPr>
          <w:p>
            <w:pPr>
              <w:jc w:val="right"/>
              <w:spacing w:after="0"/>
              <w:rPr>
                <w:sz w:val="20"/>
                <w:szCs w:val="20"/>
                <w:color w:val="auto"/>
              </w:rPr>
            </w:pPr>
            <w:r>
              <w:rPr>
                <w:rFonts w:ascii="Arial" w:cs="Arial" w:eastAsia="Arial" w:hAnsi="Arial"/>
                <w:sz w:val="15"/>
                <w:szCs w:val="15"/>
                <w:color w:val="auto"/>
              </w:rPr>
              <w:t>27,840</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Prepayments and other current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8,801</w:t>
            </w:r>
          </w:p>
        </w:tc>
        <w:tc>
          <w:tcPr>
            <w:tcW w:w="1800" w:type="dxa"/>
            <w:vAlign w:val="bottom"/>
          </w:tcPr>
          <w:p>
            <w:pPr>
              <w:jc w:val="right"/>
              <w:spacing w:after="0"/>
              <w:rPr>
                <w:sz w:val="20"/>
                <w:szCs w:val="20"/>
                <w:color w:val="auto"/>
              </w:rPr>
            </w:pPr>
            <w:r>
              <w:rPr>
                <w:rFonts w:ascii="Arial" w:cs="Arial" w:eastAsia="Arial" w:hAnsi="Arial"/>
                <w:sz w:val="15"/>
                <w:szCs w:val="15"/>
                <w:color w:val="auto"/>
              </w:rPr>
              <w:t>7,459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5"/>
                <w:szCs w:val="15"/>
                <w:color w:val="auto"/>
              </w:rPr>
              <w:t>Contract assets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20"/>
                <w:szCs w:val="20"/>
                <w:color w:val="auto"/>
              </w:rPr>
            </w:pPr>
            <w:r>
              <w:rPr>
                <w:rFonts w:ascii="Arial" w:cs="Arial" w:eastAsia="Arial" w:hAnsi="Arial"/>
                <w:sz w:val="15"/>
                <w:szCs w:val="15"/>
                <w:color w:val="auto"/>
              </w:rPr>
              <w:t>Total current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797,686</w:t>
            </w:r>
          </w:p>
        </w:tc>
        <w:tc>
          <w:tcPr>
            <w:tcW w:w="1800" w:type="dxa"/>
            <w:vAlign w:val="bottom"/>
          </w:tcPr>
          <w:p>
            <w:pPr>
              <w:jc w:val="right"/>
              <w:spacing w:after="0"/>
              <w:rPr>
                <w:sz w:val="20"/>
                <w:szCs w:val="20"/>
                <w:color w:val="auto"/>
              </w:rPr>
            </w:pPr>
            <w:r>
              <w:rPr>
                <w:rFonts w:ascii="Arial" w:cs="Arial" w:eastAsia="Arial" w:hAnsi="Arial"/>
                <w:sz w:val="15"/>
                <w:szCs w:val="15"/>
                <w:color w:val="auto"/>
              </w:rPr>
              <w:t>670,737</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19,194</w:t>
            </w:r>
          </w:p>
        </w:tc>
        <w:tc>
          <w:tcPr>
            <w:tcW w:w="1800" w:type="dxa"/>
            <w:vAlign w:val="bottom"/>
          </w:tcPr>
          <w:p>
            <w:pPr>
              <w:jc w:val="right"/>
              <w:spacing w:after="0"/>
              <w:rPr>
                <w:sz w:val="20"/>
                <w:szCs w:val="20"/>
                <w:color w:val="auto"/>
              </w:rPr>
            </w:pPr>
            <w:r>
              <w:rPr>
                <w:rFonts w:ascii="Arial" w:cs="Arial" w:eastAsia="Arial" w:hAnsi="Arial"/>
                <w:sz w:val="15"/>
                <w:szCs w:val="15"/>
                <w:color w:val="auto"/>
              </w:rPr>
              <w:t>16,754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7,436</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Intangible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6,697</w:t>
            </w:r>
          </w:p>
        </w:tc>
        <w:tc>
          <w:tcPr>
            <w:tcW w:w="1800" w:type="dxa"/>
            <w:vAlign w:val="bottom"/>
          </w:tcPr>
          <w:p>
            <w:pPr>
              <w:jc w:val="right"/>
              <w:spacing w:after="0"/>
              <w:rPr>
                <w:sz w:val="20"/>
                <w:szCs w:val="20"/>
                <w:color w:val="auto"/>
              </w:rPr>
            </w:pPr>
            <w:r>
              <w:rPr>
                <w:rFonts w:ascii="Arial" w:cs="Arial" w:eastAsia="Arial" w:hAnsi="Arial"/>
                <w:sz w:val="15"/>
                <w:szCs w:val="15"/>
                <w:color w:val="auto"/>
              </w:rPr>
              <w:t>209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Goodwill</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56,142</w:t>
            </w:r>
          </w:p>
        </w:tc>
        <w:tc>
          <w:tcPr>
            <w:tcW w:w="1800" w:type="dxa"/>
            <w:vAlign w:val="bottom"/>
          </w:tcPr>
          <w:p>
            <w:pPr>
              <w:jc w:val="right"/>
              <w:spacing w:after="0"/>
              <w:rPr>
                <w:sz w:val="20"/>
                <w:szCs w:val="20"/>
                <w:color w:val="auto"/>
              </w:rPr>
            </w:pPr>
            <w:r>
              <w:rPr>
                <w:rFonts w:ascii="Arial" w:cs="Arial" w:eastAsia="Arial" w:hAnsi="Arial"/>
                <w:sz w:val="15"/>
                <w:szCs w:val="15"/>
                <w:color w:val="auto"/>
              </w:rPr>
              <w:t>3,089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Long-term investments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53,925</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Deferred tax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511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3,919</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1,604</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20"/>
                <w:szCs w:val="20"/>
                <w:color w:val="auto"/>
              </w:rPr>
            </w:pPr>
            <w:r>
              <w:rPr>
                <w:rFonts w:ascii="Arial" w:cs="Arial" w:eastAsia="Arial" w:hAnsi="Arial"/>
                <w:sz w:val="15"/>
                <w:szCs w:val="15"/>
                <w:color w:val="auto"/>
              </w:rPr>
              <w:t>Total assets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944,999</w:t>
            </w:r>
          </w:p>
        </w:tc>
        <w:tc>
          <w:tcPr>
            <w:tcW w:w="1800" w:type="dxa"/>
            <w:vAlign w:val="bottom"/>
          </w:tcPr>
          <w:p>
            <w:pPr>
              <w:jc w:val="right"/>
              <w:spacing w:after="0"/>
              <w:rPr>
                <w:sz w:val="20"/>
                <w:szCs w:val="20"/>
                <w:color w:val="auto"/>
              </w:rPr>
            </w:pPr>
            <w:r>
              <w:rPr>
                <w:rFonts w:ascii="Arial" w:cs="Arial" w:eastAsia="Arial" w:hAnsi="Arial"/>
                <w:sz w:val="15"/>
                <w:szCs w:val="15"/>
                <w:color w:val="auto"/>
              </w:rPr>
              <w:t>692,904</w:t>
            </w: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5"/>
                <w:szCs w:val="15"/>
                <w:color w:val="auto"/>
              </w:rPr>
              <w:t>Liabilities and shareholders' equity</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7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Current liabilities: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Accounts payable</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5,309</w:t>
            </w:r>
          </w:p>
        </w:tc>
        <w:tc>
          <w:tcPr>
            <w:tcW w:w="1800" w:type="dxa"/>
            <w:vAlign w:val="bottom"/>
          </w:tcPr>
          <w:p>
            <w:pPr>
              <w:jc w:val="right"/>
              <w:spacing w:after="0"/>
              <w:rPr>
                <w:sz w:val="20"/>
                <w:szCs w:val="20"/>
                <w:color w:val="auto"/>
              </w:rPr>
            </w:pPr>
            <w:r>
              <w:rPr>
                <w:rFonts w:ascii="Arial" w:cs="Arial" w:eastAsia="Arial" w:hAnsi="Arial"/>
                <w:sz w:val="15"/>
                <w:szCs w:val="15"/>
                <w:color w:val="auto"/>
              </w:rPr>
              <w:t>7,721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Advances from customers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9,068</w:t>
            </w:r>
          </w:p>
        </w:tc>
        <w:tc>
          <w:tcPr>
            <w:tcW w:w="1800" w:type="dxa"/>
            <w:vAlign w:val="bottom"/>
          </w:tcPr>
          <w:p>
            <w:pPr>
              <w:jc w:val="right"/>
              <w:spacing w:after="0"/>
              <w:rPr>
                <w:sz w:val="20"/>
                <w:szCs w:val="20"/>
                <w:color w:val="auto"/>
              </w:rPr>
            </w:pPr>
            <w:r>
              <w:rPr>
                <w:rFonts w:ascii="Arial" w:cs="Arial" w:eastAsia="Arial" w:hAnsi="Arial"/>
                <w:sz w:val="15"/>
                <w:szCs w:val="15"/>
                <w:color w:val="auto"/>
              </w:rPr>
              <w:t>1,339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Taxes payable</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2,435</w:t>
            </w:r>
          </w:p>
        </w:tc>
        <w:tc>
          <w:tcPr>
            <w:tcW w:w="1800" w:type="dxa"/>
            <w:vAlign w:val="bottom"/>
          </w:tcPr>
          <w:p>
            <w:pPr>
              <w:jc w:val="right"/>
              <w:spacing w:after="0"/>
              <w:rPr>
                <w:sz w:val="20"/>
                <w:szCs w:val="20"/>
                <w:color w:val="auto"/>
              </w:rPr>
            </w:pPr>
            <w:r>
              <w:rPr>
                <w:rFonts w:ascii="Arial" w:cs="Arial" w:eastAsia="Arial" w:hAnsi="Arial"/>
                <w:sz w:val="15"/>
                <w:szCs w:val="15"/>
                <w:color w:val="auto"/>
              </w:rPr>
              <w:t>2,172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Current operating lease liabilities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3,957</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5"/>
                <w:szCs w:val="15"/>
                <w:color w:val="auto"/>
              </w:rPr>
              <w:t>Accrued expenses and other current liabilities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53,034</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25,075</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73,803</w:t>
            </w:r>
          </w:p>
        </w:tc>
        <w:tc>
          <w:tcPr>
            <w:tcW w:w="1800" w:type="dxa"/>
            <w:vAlign w:val="bottom"/>
          </w:tcPr>
          <w:p>
            <w:pPr>
              <w:jc w:val="right"/>
              <w:spacing w:after="0"/>
              <w:rPr>
                <w:sz w:val="20"/>
                <w:szCs w:val="20"/>
                <w:color w:val="auto"/>
              </w:rPr>
            </w:pPr>
            <w:r>
              <w:rPr>
                <w:rFonts w:ascii="Arial" w:cs="Arial" w:eastAsia="Arial" w:hAnsi="Arial"/>
                <w:sz w:val="15"/>
                <w:szCs w:val="15"/>
                <w:color w:val="auto"/>
              </w:rPr>
              <w:t>36,307</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Long-term payable</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495</w:t>
            </w:r>
          </w:p>
        </w:tc>
        <w:tc>
          <w:tcPr>
            <w:tcW w:w="1800" w:type="dxa"/>
            <w:vAlign w:val="bottom"/>
          </w:tcPr>
          <w:p>
            <w:pPr>
              <w:jc w:val="right"/>
              <w:spacing w:after="0"/>
              <w:rPr>
                <w:sz w:val="20"/>
                <w:szCs w:val="20"/>
                <w:color w:val="auto"/>
              </w:rPr>
            </w:pPr>
            <w:r>
              <w:rPr>
                <w:rFonts w:ascii="Arial" w:cs="Arial" w:eastAsia="Arial" w:hAnsi="Arial"/>
                <w:sz w:val="15"/>
                <w:szCs w:val="15"/>
                <w:color w:val="auto"/>
              </w:rPr>
              <w:t>82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Long-term operating lease liabilities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3,452</w:t>
            </w: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5"/>
                <w:szCs w:val="15"/>
                <w:color w:val="auto"/>
              </w:rPr>
              <w:t>Total liabilities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78,738</w:t>
            </w:r>
          </w:p>
        </w:tc>
        <w:tc>
          <w:tcPr>
            <w:tcW w:w="1800" w:type="dxa"/>
            <w:vAlign w:val="bottom"/>
          </w:tcPr>
          <w:p>
            <w:pPr>
              <w:jc w:val="right"/>
              <w:spacing w:after="0"/>
              <w:rPr>
                <w:sz w:val="20"/>
                <w:szCs w:val="20"/>
                <w:color w:val="auto"/>
              </w:rPr>
            </w:pPr>
            <w:r>
              <w:rPr>
                <w:rFonts w:ascii="Arial" w:cs="Arial" w:eastAsia="Arial" w:hAnsi="Arial"/>
                <w:sz w:val="15"/>
                <w:szCs w:val="15"/>
                <w:color w:val="auto"/>
              </w:rPr>
              <w:t>36,441</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3760" w:type="dxa"/>
            <w:vAlign w:val="bottom"/>
          </w:tcPr>
          <w:p>
            <w:pPr>
              <w:spacing w:after="0"/>
              <w:rPr>
                <w:sz w:val="20"/>
                <w:szCs w:val="20"/>
                <w:color w:val="auto"/>
              </w:rPr>
            </w:pPr>
            <w:r>
              <w:rPr>
                <w:rFonts w:ascii="Arial" w:cs="Arial" w:eastAsia="Arial" w:hAnsi="Arial"/>
                <w:sz w:val="15"/>
                <w:szCs w:val="15"/>
                <w:color w:val="auto"/>
              </w:rPr>
              <w:t>Shareholders' equity:</w:t>
            </w:r>
          </w:p>
        </w:tc>
        <w:tc>
          <w:tcPr>
            <w:tcW w:w="1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Class A ordinary shares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37</w:t>
            </w:r>
          </w:p>
        </w:tc>
        <w:tc>
          <w:tcPr>
            <w:tcW w:w="1800" w:type="dxa"/>
            <w:vAlign w:val="bottom"/>
          </w:tcPr>
          <w:p>
            <w:pPr>
              <w:jc w:val="right"/>
              <w:spacing w:after="0"/>
              <w:rPr>
                <w:sz w:val="20"/>
                <w:szCs w:val="20"/>
                <w:color w:val="auto"/>
              </w:rPr>
            </w:pPr>
            <w:r>
              <w:rPr>
                <w:rFonts w:ascii="Arial" w:cs="Arial" w:eastAsia="Arial" w:hAnsi="Arial"/>
                <w:sz w:val="15"/>
                <w:szCs w:val="15"/>
                <w:color w:val="auto"/>
              </w:rPr>
              <w:t>33</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Class B ordinary shares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8</w:t>
            </w:r>
          </w:p>
        </w:tc>
        <w:tc>
          <w:tcPr>
            <w:tcW w:w="1800" w:type="dxa"/>
            <w:vAlign w:val="bottom"/>
          </w:tcPr>
          <w:p>
            <w:pPr>
              <w:jc w:val="right"/>
              <w:spacing w:after="0"/>
              <w:rPr>
                <w:sz w:val="20"/>
                <w:szCs w:val="20"/>
                <w:color w:val="auto"/>
              </w:rPr>
            </w:pPr>
            <w:r>
              <w:rPr>
                <w:rFonts w:ascii="Arial" w:cs="Arial" w:eastAsia="Arial" w:hAnsi="Arial"/>
                <w:sz w:val="15"/>
                <w:szCs w:val="15"/>
                <w:color w:val="auto"/>
              </w:rPr>
              <w:t>8</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Additional paid-in-capital</w:t>
            </w:r>
          </w:p>
        </w:tc>
        <w:tc>
          <w:tcPr>
            <w:tcW w:w="1800" w:type="dxa"/>
            <w:vAlign w:val="bottom"/>
          </w:tcPr>
          <w:p>
            <w:pPr>
              <w:jc w:val="right"/>
              <w:spacing w:after="0"/>
              <w:rPr>
                <w:sz w:val="20"/>
                <w:szCs w:val="20"/>
                <w:color w:val="auto"/>
              </w:rPr>
            </w:pPr>
            <w:r>
              <w:rPr>
                <w:rFonts w:ascii="Arial" w:cs="Arial" w:eastAsia="Arial" w:hAnsi="Arial"/>
                <w:sz w:val="15"/>
                <w:szCs w:val="15"/>
                <w:color w:val="auto"/>
              </w:rPr>
              <w:t>1,099,369</w:t>
            </w: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818,428</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3,149</w:t>
            </w:r>
          </w:p>
        </w:tc>
        <w:tc>
          <w:tcPr>
            <w:tcW w:w="1800" w:type="dxa"/>
            <w:vAlign w:val="bottom"/>
          </w:tcPr>
          <w:p>
            <w:pPr>
              <w:jc w:val="right"/>
              <w:spacing w:after="0"/>
              <w:rPr>
                <w:sz w:val="20"/>
                <w:szCs w:val="20"/>
                <w:color w:val="auto"/>
              </w:rPr>
            </w:pPr>
            <w:r>
              <w:rPr>
                <w:rFonts w:ascii="Arial" w:cs="Arial" w:eastAsia="Arial" w:hAnsi="Arial"/>
                <w:sz w:val="15"/>
                <w:szCs w:val="15"/>
                <w:color w:val="auto"/>
              </w:rPr>
              <w:t>1,941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5"/>
                <w:szCs w:val="15"/>
                <w:color w:val="auto"/>
              </w:rPr>
              <w:t>Accumulated deficit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(236,302)</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(163,947)</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866,261</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656,463</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20"/>
                <w:szCs w:val="20"/>
                <w:color w:val="auto"/>
              </w:rPr>
            </w:pPr>
            <w:r>
              <w:rPr>
                <w:rFonts w:ascii="Arial" w:cs="Arial" w:eastAsia="Arial" w:hAnsi="Arial"/>
                <w:sz w:val="15"/>
                <w:szCs w:val="15"/>
                <w:color w:val="auto"/>
              </w:rPr>
              <w:t>Total liabilities and shareholders’ equity</w:t>
            </w:r>
          </w:p>
        </w:tc>
        <w:tc>
          <w:tcPr>
            <w:tcW w:w="2040" w:type="dxa"/>
            <w:vAlign w:val="bottom"/>
            <w:gridSpan w:val="2"/>
          </w:tcPr>
          <w:p>
            <w:pPr>
              <w:jc w:val="right"/>
              <w:ind w:right="240"/>
              <w:spacing w:after="0"/>
              <w:rPr>
                <w:sz w:val="20"/>
                <w:szCs w:val="20"/>
                <w:color w:val="auto"/>
              </w:rPr>
            </w:pPr>
            <w:r>
              <w:rPr>
                <w:rFonts w:ascii="Arial" w:cs="Arial" w:eastAsia="Arial" w:hAnsi="Arial"/>
                <w:sz w:val="15"/>
                <w:szCs w:val="15"/>
                <w:color w:val="auto"/>
              </w:rPr>
              <w:t>944,999</w:t>
            </w:r>
          </w:p>
        </w:tc>
        <w:tc>
          <w:tcPr>
            <w:tcW w:w="1800" w:type="dxa"/>
            <w:vAlign w:val="bottom"/>
          </w:tcPr>
          <w:p>
            <w:pPr>
              <w:jc w:val="right"/>
              <w:spacing w:after="0"/>
              <w:rPr>
                <w:sz w:val="20"/>
                <w:szCs w:val="20"/>
                <w:color w:val="auto"/>
              </w:rPr>
            </w:pPr>
            <w:r>
              <w:rPr>
                <w:rFonts w:ascii="Arial" w:cs="Arial" w:eastAsia="Arial" w:hAnsi="Arial"/>
                <w:sz w:val="15"/>
                <w:szCs w:val="15"/>
                <w:color w:val="auto"/>
              </w:rPr>
              <w:t>692,904</w:t>
            </w: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7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-26035</wp:posOffset>
            </wp:positionV>
            <wp:extent cx="323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3" w:right="29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Agora,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Statements of Comprehensive Loss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in US$ thousands, except share and per ADS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5"/>
                <w:szCs w:val="15"/>
                <w:color w:val="auto"/>
              </w:rPr>
            </w:pPr>
          </w:p>
        </w:tc>
        <w:tc>
          <w:tcPr>
            <w:tcW w:w="2520" w:type="dxa"/>
            <w:vAlign w:val="bottom"/>
            <w:gridSpan w:val="3"/>
          </w:tcPr>
          <w:p>
            <w:pPr>
              <w:jc w:val="right"/>
              <w:ind w:right="660"/>
              <w:spacing w:after="0"/>
              <w:rPr>
                <w:sz w:val="20"/>
                <w:szCs w:val="20"/>
                <w:color w:val="auto"/>
              </w:rPr>
            </w:pPr>
            <w:r>
              <w:rPr>
                <w:rFonts w:ascii="Arial" w:cs="Arial" w:eastAsia="Arial" w:hAnsi="Arial"/>
                <w:sz w:val="15"/>
                <w:szCs w:val="15"/>
                <w:color w:val="auto"/>
              </w:rPr>
              <w:t>Three Month Ended</w:t>
            </w:r>
          </w:p>
        </w:tc>
        <w:tc>
          <w:tcPr>
            <w:tcW w:w="1560" w:type="dxa"/>
            <w:vAlign w:val="bottom"/>
          </w:tcPr>
          <w:p>
            <w:pPr>
              <w:jc w:val="right"/>
              <w:spacing w:after="0"/>
              <w:rPr>
                <w:sz w:val="20"/>
                <w:szCs w:val="20"/>
                <w:color w:val="auto"/>
              </w:rPr>
            </w:pPr>
            <w:r>
              <w:rPr>
                <w:rFonts w:ascii="Arial" w:cs="Arial" w:eastAsia="Arial" w:hAnsi="Arial"/>
                <w:sz w:val="15"/>
                <w:szCs w:val="15"/>
                <w:color w:val="auto"/>
              </w:rPr>
              <w:t>Year Ended</w:t>
            </w: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2520" w:type="dxa"/>
            <w:vAlign w:val="bottom"/>
            <w:gridSpan w:val="3"/>
          </w:tcPr>
          <w:p>
            <w:pPr>
              <w:jc w:val="right"/>
              <w:ind w:right="860"/>
              <w:spacing w:after="0"/>
              <w:rPr>
                <w:sz w:val="20"/>
                <w:szCs w:val="20"/>
                <w:color w:val="auto"/>
              </w:rPr>
            </w:pPr>
            <w:r>
              <w:rPr>
                <w:rFonts w:ascii="Arial" w:cs="Arial" w:eastAsia="Arial" w:hAnsi="Arial"/>
                <w:sz w:val="15"/>
                <w:szCs w:val="15"/>
                <w:color w:val="auto"/>
              </w:rPr>
              <w:t>December 31,</w:t>
            </w:r>
          </w:p>
        </w:tc>
        <w:tc>
          <w:tcPr>
            <w:tcW w:w="2340" w:type="dxa"/>
            <w:vAlign w:val="bottom"/>
            <w:gridSpan w:val="2"/>
          </w:tcPr>
          <w:p>
            <w:pPr>
              <w:jc w:val="right"/>
              <w:ind w:right="624"/>
              <w:spacing w:after="0"/>
              <w:rPr>
                <w:sz w:val="20"/>
                <w:szCs w:val="20"/>
                <w:color w:val="auto"/>
              </w:rPr>
            </w:pPr>
            <w:r>
              <w:rPr>
                <w:rFonts w:ascii="Arial" w:cs="Arial" w:eastAsia="Arial" w:hAnsi="Arial"/>
                <w:sz w:val="15"/>
                <w:szCs w:val="15"/>
                <w:color w:val="auto"/>
              </w:rPr>
              <w:t>December 31,</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color w:val="auto"/>
              </w:rPr>
              <w:t>2021</w:t>
            </w:r>
          </w:p>
        </w:tc>
        <w:tc>
          <w:tcPr>
            <w:tcW w:w="9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rPr>
              <w:t>2020</w:t>
            </w:r>
          </w:p>
        </w:tc>
        <w:tc>
          <w:tcPr>
            <w:tcW w:w="18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rPr>
              <w:t>2021</w:t>
            </w: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rPr>
              <w:t>2020</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Real-time engagement service revenues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37,709</w:t>
            </w:r>
          </w:p>
        </w:tc>
        <w:tc>
          <w:tcPr>
            <w:tcW w:w="960" w:type="dxa"/>
            <w:vAlign w:val="bottom"/>
          </w:tcPr>
          <w:p>
            <w:pPr>
              <w:jc w:val="right"/>
              <w:spacing w:after="0"/>
              <w:rPr>
                <w:sz w:val="20"/>
                <w:szCs w:val="20"/>
                <w:color w:val="auto"/>
              </w:rPr>
            </w:pPr>
            <w:r>
              <w:rPr>
                <w:rFonts w:ascii="Arial" w:cs="Arial" w:eastAsia="Arial" w:hAnsi="Arial"/>
                <w:sz w:val="15"/>
                <w:szCs w:val="15"/>
                <w:color w:val="auto"/>
              </w:rPr>
              <w:t>31,411</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159,943</w:t>
            </w:r>
          </w:p>
        </w:tc>
        <w:tc>
          <w:tcPr>
            <w:tcW w:w="780" w:type="dxa"/>
            <w:vAlign w:val="bottom"/>
          </w:tcPr>
          <w:p>
            <w:pPr>
              <w:jc w:val="right"/>
              <w:spacing w:after="0"/>
              <w:rPr>
                <w:sz w:val="20"/>
                <w:szCs w:val="20"/>
                <w:color w:val="auto"/>
              </w:rPr>
            </w:pPr>
            <w:r>
              <w:rPr>
                <w:rFonts w:ascii="Arial" w:cs="Arial" w:eastAsia="Arial" w:hAnsi="Arial"/>
                <w:sz w:val="15"/>
                <w:szCs w:val="15"/>
                <w:color w:val="auto"/>
              </w:rPr>
              <w:t>131,149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5"/>
                <w:szCs w:val="15"/>
                <w:color w:val="auto"/>
              </w:rPr>
              <w:t>Other revenues</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2,677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8,039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2,415</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Total revenues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40,386</w:t>
            </w:r>
          </w:p>
        </w:tc>
        <w:tc>
          <w:tcPr>
            <w:tcW w:w="960" w:type="dxa"/>
            <w:vAlign w:val="bottom"/>
          </w:tcPr>
          <w:p>
            <w:pPr>
              <w:jc w:val="right"/>
              <w:spacing w:after="0"/>
              <w:rPr>
                <w:sz w:val="20"/>
                <w:szCs w:val="20"/>
                <w:color w:val="auto"/>
              </w:rPr>
            </w:pPr>
            <w:r>
              <w:rPr>
                <w:rFonts w:ascii="Arial" w:cs="Arial" w:eastAsia="Arial" w:hAnsi="Arial"/>
                <w:sz w:val="15"/>
                <w:szCs w:val="15"/>
                <w:color w:val="auto"/>
              </w:rPr>
              <w:t>33,253</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167,982</w:t>
            </w:r>
          </w:p>
        </w:tc>
        <w:tc>
          <w:tcPr>
            <w:tcW w:w="780" w:type="dxa"/>
            <w:vAlign w:val="bottom"/>
          </w:tcPr>
          <w:p>
            <w:pPr>
              <w:jc w:val="right"/>
              <w:spacing w:after="0"/>
              <w:rPr>
                <w:sz w:val="20"/>
                <w:szCs w:val="20"/>
                <w:color w:val="auto"/>
              </w:rPr>
            </w:pPr>
            <w:r>
              <w:rPr>
                <w:rFonts w:ascii="Arial" w:cs="Arial" w:eastAsia="Arial" w:hAnsi="Arial"/>
                <w:sz w:val="15"/>
                <w:szCs w:val="15"/>
                <w:color w:val="auto"/>
              </w:rPr>
              <w:t>133,564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5"/>
                <w:szCs w:val="15"/>
                <w:color w:val="auto"/>
              </w:rPr>
              <w:t>Cost of revenues</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14,959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13,157</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63,975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47,199</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20"/>
                <w:szCs w:val="20"/>
                <w:color w:val="auto"/>
              </w:rPr>
            </w:pPr>
            <w:r>
              <w:rPr>
                <w:rFonts w:ascii="Arial" w:cs="Arial" w:eastAsia="Arial" w:hAnsi="Arial"/>
                <w:sz w:val="15"/>
                <w:szCs w:val="15"/>
                <w:color w:val="auto"/>
              </w:rPr>
              <w:t>Gross profit</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25,427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20,096</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104,007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86,365</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Operating expenses:</w:t>
            </w: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100"/>
              <w:spacing w:after="0"/>
              <w:rPr>
                <w:sz w:val="20"/>
                <w:szCs w:val="20"/>
                <w:color w:val="auto"/>
              </w:rPr>
            </w:pPr>
            <w:r>
              <w:rPr>
                <w:rFonts w:ascii="Arial" w:cs="Arial" w:eastAsia="Arial" w:hAnsi="Arial"/>
                <w:sz w:val="15"/>
                <w:szCs w:val="15"/>
                <w:color w:val="auto"/>
              </w:rPr>
              <w:t>Research and development</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28,779</w:t>
            </w:r>
          </w:p>
        </w:tc>
        <w:tc>
          <w:tcPr>
            <w:tcW w:w="960" w:type="dxa"/>
            <w:vAlign w:val="bottom"/>
          </w:tcPr>
          <w:p>
            <w:pPr>
              <w:jc w:val="right"/>
              <w:spacing w:after="0"/>
              <w:rPr>
                <w:sz w:val="20"/>
                <w:szCs w:val="20"/>
                <w:color w:val="auto"/>
              </w:rPr>
            </w:pPr>
            <w:r>
              <w:rPr>
                <w:rFonts w:ascii="Arial" w:cs="Arial" w:eastAsia="Arial" w:hAnsi="Arial"/>
                <w:sz w:val="15"/>
                <w:szCs w:val="15"/>
                <w:color w:val="auto"/>
              </w:rPr>
              <w:t>14,438</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110,666</w:t>
            </w:r>
          </w:p>
        </w:tc>
        <w:tc>
          <w:tcPr>
            <w:tcW w:w="780" w:type="dxa"/>
            <w:vAlign w:val="bottom"/>
          </w:tcPr>
          <w:p>
            <w:pPr>
              <w:jc w:val="right"/>
              <w:spacing w:after="0"/>
              <w:rPr>
                <w:sz w:val="20"/>
                <w:szCs w:val="20"/>
                <w:color w:val="auto"/>
              </w:rPr>
            </w:pPr>
            <w:r>
              <w:rPr>
                <w:rFonts w:ascii="Arial" w:cs="Arial" w:eastAsia="Arial" w:hAnsi="Arial"/>
                <w:sz w:val="15"/>
                <w:szCs w:val="15"/>
                <w:color w:val="auto"/>
              </w:rPr>
              <w:t>49,494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100"/>
              <w:spacing w:after="0"/>
              <w:rPr>
                <w:sz w:val="20"/>
                <w:szCs w:val="20"/>
                <w:color w:val="auto"/>
              </w:rPr>
            </w:pPr>
            <w:r>
              <w:rPr>
                <w:rFonts w:ascii="Arial" w:cs="Arial" w:eastAsia="Arial" w:hAnsi="Arial"/>
                <w:sz w:val="15"/>
                <w:szCs w:val="15"/>
                <w:color w:val="auto"/>
              </w:rPr>
              <w:t>Sales and marketing</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13,798</w:t>
            </w:r>
          </w:p>
        </w:tc>
        <w:tc>
          <w:tcPr>
            <w:tcW w:w="960" w:type="dxa"/>
            <w:vAlign w:val="bottom"/>
          </w:tcPr>
          <w:p>
            <w:pPr>
              <w:jc w:val="right"/>
              <w:spacing w:after="0"/>
              <w:rPr>
                <w:sz w:val="20"/>
                <w:szCs w:val="20"/>
                <w:color w:val="auto"/>
              </w:rPr>
            </w:pPr>
            <w:r>
              <w:rPr>
                <w:rFonts w:ascii="Arial" w:cs="Arial" w:eastAsia="Arial" w:hAnsi="Arial"/>
                <w:sz w:val="15"/>
                <w:szCs w:val="15"/>
                <w:color w:val="auto"/>
              </w:rPr>
              <w:t>7,437</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46,276</w:t>
            </w:r>
          </w:p>
        </w:tc>
        <w:tc>
          <w:tcPr>
            <w:tcW w:w="780" w:type="dxa"/>
            <w:vAlign w:val="bottom"/>
          </w:tcPr>
          <w:p>
            <w:pPr>
              <w:jc w:val="right"/>
              <w:spacing w:after="0"/>
              <w:rPr>
                <w:sz w:val="20"/>
                <w:szCs w:val="20"/>
                <w:color w:val="auto"/>
              </w:rPr>
            </w:pPr>
            <w:r>
              <w:rPr>
                <w:rFonts w:ascii="Arial" w:cs="Arial" w:eastAsia="Arial" w:hAnsi="Arial"/>
                <w:sz w:val="15"/>
                <w:szCs w:val="15"/>
                <w:color w:val="auto"/>
              </w:rPr>
              <w:t>25,724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00"/>
              <w:spacing w:after="0"/>
              <w:rPr>
                <w:sz w:val="20"/>
                <w:szCs w:val="20"/>
                <w:color w:val="auto"/>
              </w:rPr>
            </w:pPr>
            <w:r>
              <w:rPr>
                <w:rFonts w:ascii="Arial" w:cs="Arial" w:eastAsia="Arial" w:hAnsi="Arial"/>
                <w:sz w:val="15"/>
                <w:szCs w:val="15"/>
                <w:color w:val="auto"/>
              </w:rPr>
              <w:t>General and administrative</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9,338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6,668</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30,326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18,010</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51,915</w:t>
            </w:r>
          </w:p>
        </w:tc>
        <w:tc>
          <w:tcPr>
            <w:tcW w:w="960" w:type="dxa"/>
            <w:vAlign w:val="bottom"/>
          </w:tcPr>
          <w:p>
            <w:pPr>
              <w:jc w:val="right"/>
              <w:spacing w:after="0"/>
              <w:rPr>
                <w:sz w:val="20"/>
                <w:szCs w:val="20"/>
                <w:color w:val="auto"/>
              </w:rPr>
            </w:pPr>
            <w:r>
              <w:rPr>
                <w:rFonts w:ascii="Arial" w:cs="Arial" w:eastAsia="Arial" w:hAnsi="Arial"/>
                <w:sz w:val="15"/>
                <w:szCs w:val="15"/>
                <w:color w:val="auto"/>
              </w:rPr>
              <w:t>28,543</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187,268</w:t>
            </w:r>
          </w:p>
        </w:tc>
        <w:tc>
          <w:tcPr>
            <w:tcW w:w="780" w:type="dxa"/>
            <w:vAlign w:val="bottom"/>
          </w:tcPr>
          <w:p>
            <w:pPr>
              <w:jc w:val="right"/>
              <w:spacing w:after="0"/>
              <w:rPr>
                <w:sz w:val="20"/>
                <w:szCs w:val="20"/>
                <w:color w:val="auto"/>
              </w:rPr>
            </w:pPr>
            <w:r>
              <w:rPr>
                <w:rFonts w:ascii="Arial" w:cs="Arial" w:eastAsia="Arial" w:hAnsi="Arial"/>
                <w:sz w:val="15"/>
                <w:szCs w:val="15"/>
                <w:color w:val="auto"/>
              </w:rPr>
              <w:t>93,228</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5"/>
                <w:szCs w:val="15"/>
                <w:color w:val="auto"/>
              </w:rPr>
              <w:t>Other operating income</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1,728</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698</w:t>
            </w: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2,568</w:t>
            </w:r>
          </w:p>
        </w:tc>
        <w:tc>
          <w:tcPr>
            <w:tcW w:w="780" w:type="dxa"/>
            <w:vAlign w:val="bottom"/>
          </w:tcPr>
          <w:p>
            <w:pPr>
              <w:jc w:val="right"/>
              <w:spacing w:after="0"/>
              <w:rPr>
                <w:sz w:val="20"/>
                <w:szCs w:val="20"/>
                <w:color w:val="auto"/>
              </w:rPr>
            </w:pPr>
            <w:r>
              <w:rPr>
                <w:rFonts w:ascii="Arial" w:cs="Arial" w:eastAsia="Arial" w:hAnsi="Arial"/>
                <w:sz w:val="15"/>
                <w:szCs w:val="15"/>
                <w:color w:val="auto"/>
              </w:rPr>
              <w:t>1,672</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Loss from operations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(24,760)</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(7,749)</w:t>
            </w: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(80,693)</w:t>
            </w:r>
          </w:p>
        </w:tc>
        <w:tc>
          <w:tcPr>
            <w:tcW w:w="780" w:type="dxa"/>
            <w:vAlign w:val="bottom"/>
          </w:tcPr>
          <w:p>
            <w:pPr>
              <w:jc w:val="right"/>
              <w:spacing w:after="0"/>
              <w:rPr>
                <w:sz w:val="20"/>
                <w:szCs w:val="20"/>
                <w:color w:val="auto"/>
              </w:rPr>
            </w:pPr>
            <w:r>
              <w:rPr>
                <w:rFonts w:ascii="Arial" w:cs="Arial" w:eastAsia="Arial" w:hAnsi="Arial"/>
                <w:sz w:val="15"/>
                <w:szCs w:val="15"/>
                <w:color w:val="auto"/>
              </w:rPr>
              <w:t>(5,191)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5"/>
                <w:szCs w:val="15"/>
                <w:color w:val="auto"/>
              </w:rPr>
              <w:t>Exchange gain (loss)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765</w:t>
            </w:r>
          </w:p>
        </w:tc>
        <w:tc>
          <w:tcPr>
            <w:tcW w:w="96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557</w:t>
            </w:r>
          </w:p>
        </w:tc>
        <w:tc>
          <w:tcPr>
            <w:tcW w:w="780" w:type="dxa"/>
            <w:vAlign w:val="bottom"/>
          </w:tcPr>
          <w:p>
            <w:pPr>
              <w:jc w:val="right"/>
              <w:spacing w:after="0"/>
              <w:rPr>
                <w:sz w:val="20"/>
                <w:szCs w:val="20"/>
                <w:color w:val="auto"/>
              </w:rPr>
            </w:pPr>
            <w:r>
              <w:rPr>
                <w:rFonts w:ascii="Arial" w:cs="Arial" w:eastAsia="Arial" w:hAnsi="Arial"/>
                <w:sz w:val="15"/>
                <w:szCs w:val="15"/>
                <w:color w:val="auto"/>
              </w:rPr>
              <w:t>(65)</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5"/>
                <w:szCs w:val="15"/>
                <w:color w:val="auto"/>
              </w:rPr>
              <w:t>Interest income</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2,073</w:t>
            </w:r>
          </w:p>
        </w:tc>
        <w:tc>
          <w:tcPr>
            <w:tcW w:w="960" w:type="dxa"/>
            <w:vAlign w:val="bottom"/>
          </w:tcPr>
          <w:p>
            <w:pPr>
              <w:jc w:val="right"/>
              <w:spacing w:after="0"/>
              <w:rPr>
                <w:sz w:val="20"/>
                <w:szCs w:val="20"/>
                <w:color w:val="auto"/>
              </w:rPr>
            </w:pPr>
            <w:r>
              <w:rPr>
                <w:rFonts w:ascii="Arial" w:cs="Arial" w:eastAsia="Arial" w:hAnsi="Arial"/>
                <w:sz w:val="15"/>
                <w:szCs w:val="15"/>
                <w:color w:val="auto"/>
              </w:rPr>
              <w:t>1,527</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8,353</w:t>
            </w:r>
          </w:p>
        </w:tc>
        <w:tc>
          <w:tcPr>
            <w:tcW w:w="780" w:type="dxa"/>
            <w:vAlign w:val="bottom"/>
          </w:tcPr>
          <w:p>
            <w:pPr>
              <w:jc w:val="right"/>
              <w:spacing w:after="0"/>
              <w:rPr>
                <w:sz w:val="20"/>
                <w:szCs w:val="20"/>
                <w:color w:val="auto"/>
              </w:rPr>
            </w:pPr>
            <w:r>
              <w:rPr>
                <w:rFonts w:ascii="Arial" w:cs="Arial" w:eastAsia="Arial" w:hAnsi="Arial"/>
                <w:sz w:val="15"/>
                <w:szCs w:val="15"/>
                <w:color w:val="auto"/>
              </w:rPr>
              <w:t>2,704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5"/>
                <w:szCs w:val="15"/>
                <w:color w:val="auto"/>
              </w:rPr>
              <w:t>Investment loss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(692)</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(1,659)</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5"/>
                <w:szCs w:val="15"/>
                <w:color w:val="auto"/>
              </w:rPr>
              <w:t>Other income</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1,597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1,597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(21,017)</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(6,253)</w:t>
            </w: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(71,845)</w:t>
            </w:r>
          </w:p>
        </w:tc>
        <w:tc>
          <w:tcPr>
            <w:tcW w:w="780" w:type="dxa"/>
            <w:vAlign w:val="bottom"/>
          </w:tcPr>
          <w:p>
            <w:pPr>
              <w:jc w:val="right"/>
              <w:spacing w:after="0"/>
              <w:rPr>
                <w:sz w:val="20"/>
                <w:szCs w:val="20"/>
                <w:color w:val="auto"/>
              </w:rPr>
            </w:pPr>
            <w:r>
              <w:rPr>
                <w:rFonts w:ascii="Arial" w:cs="Arial" w:eastAsia="Arial" w:hAnsi="Arial"/>
                <w:sz w:val="15"/>
                <w:szCs w:val="15"/>
                <w:color w:val="auto"/>
              </w:rPr>
              <w:t>(2,552)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5"/>
                <w:szCs w:val="15"/>
                <w:color w:val="auto"/>
              </w:rPr>
              <w:t>Income taxes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(487)</w:t>
            </w:r>
          </w:p>
        </w:tc>
        <w:tc>
          <w:tcPr>
            <w:tcW w:w="960" w:type="dxa"/>
            <w:vAlign w:val="bottom"/>
          </w:tcPr>
          <w:p>
            <w:pPr>
              <w:jc w:val="right"/>
              <w:spacing w:after="0"/>
              <w:rPr>
                <w:sz w:val="20"/>
                <w:szCs w:val="20"/>
                <w:color w:val="auto"/>
              </w:rPr>
            </w:pPr>
            <w:r>
              <w:rPr>
                <w:rFonts w:ascii="Arial" w:cs="Arial" w:eastAsia="Arial" w:hAnsi="Arial"/>
                <w:sz w:val="15"/>
                <w:szCs w:val="15"/>
                <w:color w:val="auto"/>
              </w:rPr>
              <w:t>71</w:t>
            </w:r>
          </w:p>
        </w:tc>
        <w:tc>
          <w:tcPr>
            <w:tcW w:w="18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(840)</w:t>
            </w:r>
          </w:p>
        </w:tc>
        <w:tc>
          <w:tcPr>
            <w:tcW w:w="780" w:type="dxa"/>
            <w:vAlign w:val="bottom"/>
          </w:tcPr>
          <w:p>
            <w:pPr>
              <w:jc w:val="right"/>
              <w:spacing w:after="0"/>
              <w:rPr>
                <w:sz w:val="20"/>
                <w:szCs w:val="20"/>
                <w:color w:val="auto"/>
              </w:rPr>
            </w:pPr>
            <w:r>
              <w:rPr>
                <w:rFonts w:ascii="Arial" w:cs="Arial" w:eastAsia="Arial" w:hAnsi="Arial"/>
                <w:sz w:val="15"/>
                <w:szCs w:val="15"/>
                <w:color w:val="auto"/>
              </w:rPr>
              <w:t>(562)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5"/>
                <w:szCs w:val="15"/>
                <w:color w:val="auto"/>
              </w:rPr>
              <w:t>Equity in income of affiliates</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329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20"/>
                <w:szCs w:val="20"/>
                <w:color w:val="auto"/>
              </w:rPr>
            </w:pPr>
            <w:r>
              <w:rPr>
                <w:rFonts w:ascii="Arial" w:cs="Arial" w:eastAsia="Arial" w:hAnsi="Arial"/>
                <w:sz w:val="15"/>
                <w:szCs w:val="15"/>
                <w:color w:val="auto"/>
              </w:rPr>
              <w:t>Net loss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(21,175)</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(6,182)</w:t>
            </w: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(72,356)</w:t>
            </w:r>
          </w:p>
        </w:tc>
        <w:tc>
          <w:tcPr>
            <w:tcW w:w="780" w:type="dxa"/>
            <w:vAlign w:val="bottom"/>
          </w:tcPr>
          <w:p>
            <w:pPr>
              <w:jc w:val="right"/>
              <w:spacing w:after="0"/>
              <w:rPr>
                <w:sz w:val="20"/>
                <w:szCs w:val="20"/>
                <w:color w:val="auto"/>
              </w:rPr>
            </w:pPr>
            <w:r>
              <w:rPr>
                <w:rFonts w:ascii="Arial" w:cs="Arial" w:eastAsia="Arial" w:hAnsi="Arial"/>
                <w:sz w:val="15"/>
                <w:szCs w:val="15"/>
                <w:color w:val="auto"/>
              </w:rPr>
              <w:t>(3,114)</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Less: cumulative undeclared dividends</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on convertible redeemable preferred</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shares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(6,715)</w:t>
            </w: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Less: accretion on convertible</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redeemable preferred shares to</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line="171" w:lineRule="exact"/>
              <w:rPr>
                <w:sz w:val="20"/>
                <w:szCs w:val="20"/>
                <w:color w:val="auto"/>
              </w:rPr>
            </w:pPr>
            <w:r>
              <w:rPr>
                <w:rFonts w:ascii="Arial" w:cs="Arial" w:eastAsia="Arial" w:hAnsi="Arial"/>
                <w:sz w:val="15"/>
                <w:szCs w:val="15"/>
                <w:color w:val="auto"/>
              </w:rPr>
              <w:t>redemption value</w:t>
            </w:r>
          </w:p>
        </w:tc>
        <w:tc>
          <w:tcPr>
            <w:tcW w:w="1380" w:type="dxa"/>
            <w:vAlign w:val="bottom"/>
            <w:tcBorders>
              <w:bottom w:val="single" w:sz="8" w:color="auto"/>
            </w:tcBorders>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right"/>
              <w:ind w:right="324"/>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(193,466)</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line="158" w:lineRule="exact"/>
              <w:rPr>
                <w:sz w:val="20"/>
                <w:szCs w:val="20"/>
                <w:color w:val="auto"/>
              </w:rPr>
            </w:pPr>
            <w:r>
              <w:rPr>
                <w:rFonts w:ascii="Arial" w:cs="Arial" w:eastAsia="Arial" w:hAnsi="Arial"/>
                <w:sz w:val="15"/>
                <w:szCs w:val="15"/>
                <w:color w:val="auto"/>
              </w:rPr>
              <w:t>Net loss attributable to ordinary</w:t>
            </w: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line="171" w:lineRule="exact"/>
              <w:rPr>
                <w:sz w:val="20"/>
                <w:szCs w:val="20"/>
                <w:color w:val="auto"/>
              </w:rPr>
            </w:pPr>
            <w:r>
              <w:rPr>
                <w:rFonts w:ascii="Arial" w:cs="Arial" w:eastAsia="Arial" w:hAnsi="Arial"/>
                <w:sz w:val="15"/>
                <w:szCs w:val="15"/>
                <w:color w:val="auto"/>
              </w:rPr>
              <w:t>shareholders</w:t>
            </w:r>
          </w:p>
        </w:tc>
        <w:tc>
          <w:tcPr>
            <w:tcW w:w="1380" w:type="dxa"/>
            <w:vAlign w:val="bottom"/>
          </w:tcPr>
          <w:p>
            <w:pPr>
              <w:jc w:val="right"/>
              <w:ind w:right="124"/>
              <w:spacing w:after="0" w:line="171" w:lineRule="exact"/>
              <w:rPr>
                <w:sz w:val="20"/>
                <w:szCs w:val="20"/>
                <w:color w:val="auto"/>
              </w:rPr>
            </w:pPr>
            <w:r>
              <w:rPr>
                <w:rFonts w:ascii="Arial" w:cs="Arial" w:eastAsia="Arial" w:hAnsi="Arial"/>
                <w:sz w:val="15"/>
                <w:szCs w:val="15"/>
                <w:color w:val="auto"/>
              </w:rPr>
              <w:t>(21,175)</w:t>
            </w:r>
          </w:p>
        </w:tc>
        <w:tc>
          <w:tcPr>
            <w:tcW w:w="114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(6,182)</w:t>
            </w:r>
          </w:p>
        </w:tc>
        <w:tc>
          <w:tcPr>
            <w:tcW w:w="1560" w:type="dxa"/>
            <w:vAlign w:val="bottom"/>
          </w:tcPr>
          <w:p>
            <w:pPr>
              <w:jc w:val="right"/>
              <w:ind w:right="324"/>
              <w:spacing w:after="0" w:line="171" w:lineRule="exact"/>
              <w:rPr>
                <w:sz w:val="20"/>
                <w:szCs w:val="20"/>
                <w:color w:val="auto"/>
              </w:rPr>
            </w:pPr>
            <w:r>
              <w:rPr>
                <w:rFonts w:ascii="Arial" w:cs="Arial" w:eastAsia="Arial" w:hAnsi="Arial"/>
                <w:sz w:val="15"/>
                <w:szCs w:val="15"/>
                <w:color w:val="auto"/>
              </w:rPr>
              <w:t>(72,356)</w:t>
            </w: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(203,295)</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5"/>
                <w:szCs w:val="15"/>
                <w:color w:val="auto"/>
              </w:rPr>
              <w:t>Other comprehensive loss: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40" w:type="dxa"/>
            <w:vAlign w:val="bottom"/>
          </w:tcPr>
          <w:p>
            <w:pPr>
              <w:ind w:left="100"/>
              <w:spacing w:after="0"/>
              <w:rPr>
                <w:sz w:val="20"/>
                <w:szCs w:val="20"/>
                <w:color w:val="auto"/>
              </w:rPr>
            </w:pPr>
            <w:r>
              <w:rPr>
                <w:rFonts w:ascii="Arial" w:cs="Arial" w:eastAsia="Arial" w:hAnsi="Arial"/>
                <w:sz w:val="15"/>
                <w:szCs w:val="15"/>
                <w:color w:val="auto"/>
              </w:rPr>
              <w:t>Foreign currency translation</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color w:val="auto"/>
              </w:rPr>
              <w:t>adjustments</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425</w:t>
            </w:r>
          </w:p>
        </w:tc>
        <w:tc>
          <w:tcPr>
            <w:tcW w:w="960" w:type="dxa"/>
            <w:vAlign w:val="bottom"/>
          </w:tcPr>
          <w:p>
            <w:pPr>
              <w:jc w:val="right"/>
              <w:spacing w:after="0"/>
              <w:rPr>
                <w:sz w:val="20"/>
                <w:szCs w:val="20"/>
                <w:color w:val="auto"/>
              </w:rPr>
            </w:pPr>
            <w:r>
              <w:rPr>
                <w:rFonts w:ascii="Arial" w:cs="Arial" w:eastAsia="Arial" w:hAnsi="Arial"/>
                <w:sz w:val="15"/>
                <w:szCs w:val="15"/>
                <w:color w:val="auto"/>
              </w:rPr>
              <w:t>1,813</w:t>
            </w:r>
          </w:p>
        </w:tc>
        <w:tc>
          <w:tcPr>
            <w:tcW w:w="180" w:type="dxa"/>
            <w:vAlign w:val="bottom"/>
          </w:tcPr>
          <w:p>
            <w:pPr>
              <w:spacing w:after="0"/>
              <w:rPr>
                <w:sz w:val="15"/>
                <w:szCs w:val="15"/>
                <w:color w:val="auto"/>
              </w:rPr>
            </w:pPr>
          </w:p>
        </w:tc>
        <w:tc>
          <w:tcPr>
            <w:tcW w:w="1560" w:type="dxa"/>
            <w:vAlign w:val="bottom"/>
          </w:tcPr>
          <w:p>
            <w:pPr>
              <w:jc w:val="right"/>
              <w:ind w:right="324"/>
              <w:spacing w:after="0"/>
              <w:rPr>
                <w:sz w:val="20"/>
                <w:szCs w:val="20"/>
                <w:color w:val="auto"/>
              </w:rPr>
            </w:pPr>
            <w:r>
              <w:rPr>
                <w:rFonts w:ascii="Arial" w:cs="Arial" w:eastAsia="Arial" w:hAnsi="Arial"/>
                <w:sz w:val="15"/>
                <w:szCs w:val="15"/>
                <w:color w:val="auto"/>
              </w:rPr>
              <w:t>1,307</w:t>
            </w:r>
          </w:p>
        </w:tc>
        <w:tc>
          <w:tcPr>
            <w:tcW w:w="780" w:type="dxa"/>
            <w:vAlign w:val="bottom"/>
          </w:tcPr>
          <w:p>
            <w:pPr>
              <w:jc w:val="right"/>
              <w:spacing w:after="0"/>
              <w:rPr>
                <w:sz w:val="20"/>
                <w:szCs w:val="20"/>
                <w:color w:val="auto"/>
              </w:rPr>
            </w:pPr>
            <w:r>
              <w:rPr>
                <w:rFonts w:ascii="Arial" w:cs="Arial" w:eastAsia="Arial" w:hAnsi="Arial"/>
                <w:sz w:val="15"/>
                <w:szCs w:val="15"/>
                <w:color w:val="auto"/>
              </w:rPr>
              <w:t>2,930</w:t>
            </w: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ind w:left="160"/>
              <w:spacing w:after="0"/>
              <w:rPr>
                <w:sz w:val="20"/>
                <w:szCs w:val="20"/>
                <w:color w:val="auto"/>
              </w:rPr>
            </w:pPr>
            <w:r>
              <w:rPr>
                <w:rFonts w:ascii="Arial" w:cs="Arial" w:eastAsia="Arial" w:hAnsi="Arial"/>
                <w:sz w:val="15"/>
                <w:szCs w:val="15"/>
                <w:color w:val="auto"/>
              </w:rPr>
              <w:t>Unrealized loss on available-for-sale</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160"/>
              <w:spacing w:after="0" w:line="171" w:lineRule="exact"/>
              <w:rPr>
                <w:sz w:val="20"/>
                <w:szCs w:val="20"/>
                <w:color w:val="auto"/>
              </w:rPr>
            </w:pPr>
            <w:r>
              <w:rPr>
                <w:rFonts w:ascii="Arial" w:cs="Arial" w:eastAsia="Arial" w:hAnsi="Arial"/>
                <w:sz w:val="15"/>
                <w:szCs w:val="15"/>
                <w:color w:val="auto"/>
              </w:rPr>
              <w:t>debt securities</w:t>
            </w:r>
          </w:p>
        </w:tc>
        <w:tc>
          <w:tcPr>
            <w:tcW w:w="1380" w:type="dxa"/>
            <w:vAlign w:val="bottom"/>
            <w:tcBorders>
              <w:bottom w:val="single" w:sz="8" w:color="auto"/>
            </w:tcBorders>
          </w:tcPr>
          <w:p>
            <w:pPr>
              <w:jc w:val="right"/>
              <w:ind w:right="124"/>
              <w:spacing w:after="0" w:line="171" w:lineRule="exact"/>
              <w:rPr>
                <w:sz w:val="20"/>
                <w:szCs w:val="20"/>
                <w:color w:val="auto"/>
              </w:rPr>
            </w:pPr>
            <w:r>
              <w:rPr>
                <w:rFonts w:ascii="Arial" w:cs="Arial" w:eastAsia="Arial" w:hAnsi="Arial"/>
                <w:sz w:val="15"/>
                <w:szCs w:val="15"/>
                <w:color w:val="auto"/>
              </w:rPr>
              <w:t>(251)</w:t>
            </w:r>
          </w:p>
        </w:tc>
        <w:tc>
          <w:tcPr>
            <w:tcW w:w="9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right"/>
              <w:ind w:right="324"/>
              <w:spacing w:after="0" w:line="171" w:lineRule="exact"/>
              <w:rPr>
                <w:sz w:val="20"/>
                <w:szCs w:val="20"/>
                <w:color w:val="auto"/>
              </w:rPr>
            </w:pPr>
            <w:r>
              <w:rPr>
                <w:rFonts w:ascii="Arial" w:cs="Arial" w:eastAsia="Arial" w:hAnsi="Arial"/>
                <w:sz w:val="15"/>
                <w:szCs w:val="15"/>
                <w:color w:val="auto"/>
              </w:rPr>
              <w:t>(99)</w:t>
            </w:r>
          </w:p>
        </w:tc>
        <w:tc>
          <w:tcPr>
            <w:tcW w:w="7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5"/>
                <w:szCs w:val="15"/>
                <w:color w:val="auto"/>
              </w:rPr>
              <w:t>Total comprehensive loss attributable to</w:t>
            </w: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line="171" w:lineRule="exact"/>
              <w:rPr>
                <w:sz w:val="20"/>
                <w:szCs w:val="20"/>
                <w:color w:val="auto"/>
              </w:rPr>
            </w:pPr>
            <w:r>
              <w:rPr>
                <w:rFonts w:ascii="Arial" w:cs="Arial" w:eastAsia="Arial" w:hAnsi="Arial"/>
                <w:sz w:val="15"/>
                <w:szCs w:val="15"/>
                <w:color w:val="auto"/>
              </w:rPr>
              <w:t>ordinary shareholders</w:t>
            </w:r>
          </w:p>
        </w:tc>
        <w:tc>
          <w:tcPr>
            <w:tcW w:w="1380" w:type="dxa"/>
            <w:vAlign w:val="bottom"/>
          </w:tcPr>
          <w:p>
            <w:pPr>
              <w:jc w:val="right"/>
              <w:ind w:right="124"/>
              <w:spacing w:after="0" w:line="171" w:lineRule="exact"/>
              <w:rPr>
                <w:sz w:val="20"/>
                <w:szCs w:val="20"/>
                <w:color w:val="auto"/>
              </w:rPr>
            </w:pPr>
            <w:r>
              <w:rPr>
                <w:rFonts w:ascii="Arial" w:cs="Arial" w:eastAsia="Arial" w:hAnsi="Arial"/>
                <w:sz w:val="15"/>
                <w:szCs w:val="15"/>
                <w:color w:val="auto"/>
              </w:rPr>
              <w:t>(21,001)</w:t>
            </w:r>
          </w:p>
        </w:tc>
        <w:tc>
          <w:tcPr>
            <w:tcW w:w="114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(4,369)</w:t>
            </w:r>
          </w:p>
        </w:tc>
        <w:tc>
          <w:tcPr>
            <w:tcW w:w="1560" w:type="dxa"/>
            <w:vAlign w:val="bottom"/>
          </w:tcPr>
          <w:p>
            <w:pPr>
              <w:jc w:val="right"/>
              <w:ind w:right="324"/>
              <w:spacing w:after="0" w:line="171" w:lineRule="exact"/>
              <w:rPr>
                <w:sz w:val="20"/>
                <w:szCs w:val="20"/>
                <w:color w:val="auto"/>
              </w:rPr>
            </w:pPr>
            <w:r>
              <w:rPr>
                <w:rFonts w:ascii="Arial" w:cs="Arial" w:eastAsia="Arial" w:hAnsi="Arial"/>
                <w:sz w:val="15"/>
                <w:szCs w:val="15"/>
                <w:color w:val="auto"/>
              </w:rPr>
              <w:t>(71,148)</w:t>
            </w: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(200,365)</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-26035</wp:posOffset>
            </wp:positionV>
            <wp:extent cx="323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3"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20"/>
                <w:szCs w:val="20"/>
                <w:color w:val="auto"/>
              </w:rPr>
            </w:pPr>
            <w:r>
              <w:rPr>
                <w:rFonts w:ascii="Arial" w:cs="Arial" w:eastAsia="Arial" w:hAnsi="Arial"/>
                <w:sz w:val="15"/>
                <w:szCs w:val="15"/>
                <w:color w:val="auto"/>
              </w:rPr>
              <w:t>Net loss per ADS attributable to ordinary shareholders, basic and diluted</w:t>
            </w:r>
          </w:p>
        </w:tc>
        <w:tc>
          <w:tcPr>
            <w:tcW w:w="2360" w:type="dxa"/>
            <w:vAlign w:val="bottom"/>
          </w:tcPr>
          <w:p>
            <w:pPr>
              <w:jc w:val="right"/>
              <w:ind w:right="144"/>
              <w:spacing w:after="0"/>
              <w:rPr>
                <w:sz w:val="20"/>
                <w:szCs w:val="20"/>
                <w:color w:val="auto"/>
              </w:rPr>
            </w:pPr>
            <w:r>
              <w:rPr>
                <w:rFonts w:ascii="Arial" w:cs="Arial" w:eastAsia="Arial" w:hAnsi="Arial"/>
                <w:sz w:val="15"/>
                <w:szCs w:val="15"/>
                <w:color w:val="auto"/>
              </w:rPr>
              <w:t>(0.19)</w:t>
            </w:r>
          </w:p>
        </w:tc>
        <w:tc>
          <w:tcPr>
            <w:tcW w:w="880" w:type="dxa"/>
            <w:vAlign w:val="bottom"/>
          </w:tcPr>
          <w:p>
            <w:pPr>
              <w:jc w:val="right"/>
              <w:ind w:right="184"/>
              <w:spacing w:after="0"/>
              <w:rPr>
                <w:sz w:val="20"/>
                <w:szCs w:val="20"/>
                <w:color w:val="auto"/>
              </w:rPr>
            </w:pPr>
            <w:r>
              <w:rPr>
                <w:rFonts w:ascii="Arial" w:cs="Arial" w:eastAsia="Arial" w:hAnsi="Arial"/>
                <w:sz w:val="15"/>
                <w:szCs w:val="15"/>
                <w:color w:val="auto"/>
              </w:rPr>
              <w:t>(0.06)</w:t>
            </w: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(0.66)</w:t>
            </w:r>
          </w:p>
        </w:tc>
        <w:tc>
          <w:tcPr>
            <w:tcW w:w="620" w:type="dxa"/>
            <w:vAlign w:val="bottom"/>
          </w:tcPr>
          <w:p>
            <w:pPr>
              <w:jc w:val="right"/>
              <w:spacing w:after="0"/>
              <w:rPr>
                <w:sz w:val="20"/>
                <w:szCs w:val="20"/>
                <w:color w:val="auto"/>
              </w:rPr>
            </w:pPr>
            <w:r>
              <w:rPr>
                <w:rFonts w:ascii="Arial" w:cs="Arial" w:eastAsia="Arial" w:hAnsi="Arial"/>
                <w:sz w:val="15"/>
                <w:szCs w:val="15"/>
                <w:color w:val="auto"/>
              </w:rPr>
              <w:t>(3.02)</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Weighted-average shares used in computing net loss per ADS attributable to ordinary shareholders, basic and diluted446,443,298408,001,638 440,864,190268,849,967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20"/>
                <w:szCs w:val="20"/>
                <w:color w:val="auto"/>
              </w:rPr>
            </w:pPr>
            <w:r>
              <w:rPr>
                <w:rFonts w:ascii="Arial" w:cs="Arial" w:eastAsia="Arial" w:hAnsi="Arial"/>
                <w:sz w:val="15"/>
                <w:szCs w:val="15"/>
                <w:color w:val="auto"/>
              </w:rPr>
              <w:t>Share-based compensation expenses* included in:</w:t>
            </w:r>
          </w:p>
        </w:tc>
        <w:tc>
          <w:tcPr>
            <w:tcW w:w="3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7"/>
        </w:trPr>
        <w:tc>
          <w:tcPr>
            <w:tcW w:w="5920" w:type="dxa"/>
            <w:vAlign w:val="bottom"/>
          </w:tcPr>
          <w:p>
            <w:pPr>
              <w:ind w:left="100"/>
              <w:spacing w:after="0"/>
              <w:rPr>
                <w:sz w:val="20"/>
                <w:szCs w:val="20"/>
                <w:color w:val="auto"/>
              </w:rPr>
            </w:pPr>
            <w:r>
              <w:rPr>
                <w:rFonts w:ascii="Arial" w:cs="Arial" w:eastAsia="Arial" w:hAnsi="Arial"/>
                <w:sz w:val="15"/>
                <w:szCs w:val="15"/>
                <w:color w:val="auto"/>
              </w:rPr>
              <w:t>Cost of revenues</w:t>
            </w:r>
          </w:p>
        </w:tc>
        <w:tc>
          <w:tcPr>
            <w:tcW w:w="3100" w:type="dxa"/>
            <w:vAlign w:val="bottom"/>
          </w:tcPr>
          <w:p>
            <w:pPr>
              <w:jc w:val="right"/>
              <w:ind w:right="164"/>
              <w:spacing w:after="0"/>
              <w:rPr>
                <w:sz w:val="20"/>
                <w:szCs w:val="20"/>
                <w:color w:val="auto"/>
              </w:rPr>
            </w:pPr>
            <w:r>
              <w:rPr>
                <w:rFonts w:ascii="Arial" w:cs="Arial" w:eastAsia="Arial" w:hAnsi="Arial"/>
                <w:sz w:val="15"/>
                <w:szCs w:val="15"/>
                <w:color w:val="auto"/>
              </w:rPr>
              <w:t>423</w:t>
            </w:r>
          </w:p>
        </w:tc>
        <w:tc>
          <w:tcPr>
            <w:tcW w:w="820" w:type="dxa"/>
            <w:vAlign w:val="bottom"/>
          </w:tcPr>
          <w:p>
            <w:pPr>
              <w:jc w:val="right"/>
              <w:ind w:right="144"/>
              <w:spacing w:after="0"/>
              <w:rPr>
                <w:sz w:val="20"/>
                <w:szCs w:val="20"/>
                <w:color w:val="auto"/>
              </w:rPr>
            </w:pPr>
            <w:r>
              <w:rPr>
                <w:rFonts w:ascii="Arial" w:cs="Arial" w:eastAsia="Arial" w:hAnsi="Arial"/>
                <w:sz w:val="15"/>
                <w:szCs w:val="15"/>
                <w:color w:val="auto"/>
              </w:rPr>
              <w:t>18</w:t>
            </w: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879</w:t>
            </w:r>
          </w:p>
        </w:tc>
        <w:tc>
          <w:tcPr>
            <w:tcW w:w="60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07"/>
        </w:trPr>
        <w:tc>
          <w:tcPr>
            <w:tcW w:w="5920" w:type="dxa"/>
            <w:vAlign w:val="bottom"/>
          </w:tcPr>
          <w:p>
            <w:pPr>
              <w:ind w:left="100"/>
              <w:spacing w:after="0"/>
              <w:rPr>
                <w:sz w:val="20"/>
                <w:szCs w:val="20"/>
                <w:color w:val="auto"/>
              </w:rPr>
            </w:pPr>
            <w:r>
              <w:rPr>
                <w:rFonts w:ascii="Arial" w:cs="Arial" w:eastAsia="Arial" w:hAnsi="Arial"/>
                <w:sz w:val="15"/>
                <w:szCs w:val="15"/>
                <w:color w:val="auto"/>
              </w:rPr>
              <w:t>Research and development expenses</w:t>
            </w:r>
          </w:p>
        </w:tc>
        <w:tc>
          <w:tcPr>
            <w:tcW w:w="3100" w:type="dxa"/>
            <w:vAlign w:val="bottom"/>
          </w:tcPr>
          <w:p>
            <w:pPr>
              <w:jc w:val="right"/>
              <w:ind w:right="164"/>
              <w:spacing w:after="0"/>
              <w:rPr>
                <w:sz w:val="20"/>
                <w:szCs w:val="20"/>
                <w:color w:val="auto"/>
              </w:rPr>
            </w:pPr>
            <w:r>
              <w:rPr>
                <w:rFonts w:ascii="Arial" w:cs="Arial" w:eastAsia="Arial" w:hAnsi="Arial"/>
                <w:sz w:val="15"/>
                <w:szCs w:val="15"/>
                <w:color w:val="auto"/>
              </w:rPr>
              <w:t>4,684</w:t>
            </w:r>
          </w:p>
        </w:tc>
        <w:tc>
          <w:tcPr>
            <w:tcW w:w="820" w:type="dxa"/>
            <w:vAlign w:val="bottom"/>
          </w:tcPr>
          <w:p>
            <w:pPr>
              <w:jc w:val="right"/>
              <w:ind w:right="144"/>
              <w:spacing w:after="0"/>
              <w:rPr>
                <w:sz w:val="20"/>
                <w:szCs w:val="20"/>
                <w:color w:val="auto"/>
              </w:rPr>
            </w:pPr>
            <w:r>
              <w:rPr>
                <w:rFonts w:ascii="Arial" w:cs="Arial" w:eastAsia="Arial" w:hAnsi="Arial"/>
                <w:sz w:val="15"/>
                <w:szCs w:val="15"/>
                <w:color w:val="auto"/>
              </w:rPr>
              <w:t>1,411</w:t>
            </w: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19,737</w:t>
            </w:r>
          </w:p>
        </w:tc>
        <w:tc>
          <w:tcPr>
            <w:tcW w:w="600" w:type="dxa"/>
            <w:vAlign w:val="bottom"/>
          </w:tcPr>
          <w:p>
            <w:pPr>
              <w:jc w:val="right"/>
              <w:spacing w:after="0"/>
              <w:rPr>
                <w:sz w:val="20"/>
                <w:szCs w:val="20"/>
                <w:color w:val="auto"/>
              </w:rPr>
            </w:pPr>
            <w:r>
              <w:rPr>
                <w:rFonts w:ascii="Arial" w:cs="Arial" w:eastAsia="Arial" w:hAnsi="Arial"/>
                <w:sz w:val="15"/>
                <w:szCs w:val="15"/>
                <w:color w:val="auto"/>
              </w:rPr>
              <w:t>5,312</w:t>
            </w:r>
          </w:p>
        </w:tc>
      </w:tr>
      <w:tr>
        <w:trPr>
          <w:trHeight w:val="207"/>
        </w:trPr>
        <w:tc>
          <w:tcPr>
            <w:tcW w:w="5920" w:type="dxa"/>
            <w:vAlign w:val="bottom"/>
          </w:tcPr>
          <w:p>
            <w:pPr>
              <w:ind w:left="100"/>
              <w:spacing w:after="0"/>
              <w:rPr>
                <w:sz w:val="20"/>
                <w:szCs w:val="20"/>
                <w:color w:val="auto"/>
              </w:rPr>
            </w:pPr>
            <w:r>
              <w:rPr>
                <w:rFonts w:ascii="Arial" w:cs="Arial" w:eastAsia="Arial" w:hAnsi="Arial"/>
                <w:sz w:val="15"/>
                <w:szCs w:val="15"/>
                <w:color w:val="auto"/>
              </w:rPr>
              <w:t>Sales and marketing expenses</w:t>
            </w:r>
          </w:p>
        </w:tc>
        <w:tc>
          <w:tcPr>
            <w:tcW w:w="3100" w:type="dxa"/>
            <w:vAlign w:val="bottom"/>
          </w:tcPr>
          <w:p>
            <w:pPr>
              <w:jc w:val="right"/>
              <w:ind w:right="164"/>
              <w:spacing w:after="0"/>
              <w:rPr>
                <w:sz w:val="20"/>
                <w:szCs w:val="20"/>
                <w:color w:val="auto"/>
              </w:rPr>
            </w:pPr>
            <w:r>
              <w:rPr>
                <w:rFonts w:ascii="Arial" w:cs="Arial" w:eastAsia="Arial" w:hAnsi="Arial"/>
                <w:sz w:val="15"/>
                <w:szCs w:val="15"/>
                <w:color w:val="auto"/>
              </w:rPr>
              <w:t>1,240</w:t>
            </w:r>
          </w:p>
        </w:tc>
        <w:tc>
          <w:tcPr>
            <w:tcW w:w="820" w:type="dxa"/>
            <w:vAlign w:val="bottom"/>
          </w:tcPr>
          <w:p>
            <w:pPr>
              <w:jc w:val="right"/>
              <w:ind w:right="144"/>
              <w:spacing w:after="0"/>
              <w:rPr>
                <w:sz w:val="20"/>
                <w:szCs w:val="20"/>
                <w:color w:val="auto"/>
              </w:rPr>
            </w:pPr>
            <w:r>
              <w:rPr>
                <w:rFonts w:ascii="Arial" w:cs="Arial" w:eastAsia="Arial" w:hAnsi="Arial"/>
                <w:sz w:val="15"/>
                <w:szCs w:val="15"/>
                <w:color w:val="auto"/>
              </w:rPr>
              <w:t>504</w:t>
            </w: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4,843</w:t>
            </w:r>
          </w:p>
        </w:tc>
        <w:tc>
          <w:tcPr>
            <w:tcW w:w="600" w:type="dxa"/>
            <w:vAlign w:val="bottom"/>
          </w:tcPr>
          <w:p>
            <w:pPr>
              <w:jc w:val="right"/>
              <w:spacing w:after="0"/>
              <w:rPr>
                <w:sz w:val="20"/>
                <w:szCs w:val="20"/>
                <w:color w:val="auto"/>
              </w:rPr>
            </w:pPr>
            <w:r>
              <w:rPr>
                <w:rFonts w:ascii="Arial" w:cs="Arial" w:eastAsia="Arial" w:hAnsi="Arial"/>
                <w:sz w:val="15"/>
                <w:szCs w:val="15"/>
                <w:color w:val="auto"/>
              </w:rPr>
              <w:t>2,061</w:t>
            </w:r>
          </w:p>
        </w:tc>
      </w:tr>
      <w:tr>
        <w:trPr>
          <w:trHeight w:val="207"/>
        </w:trPr>
        <w:tc>
          <w:tcPr>
            <w:tcW w:w="5920" w:type="dxa"/>
            <w:vAlign w:val="bottom"/>
          </w:tcPr>
          <w:p>
            <w:pPr>
              <w:ind w:left="100"/>
              <w:spacing w:after="0"/>
              <w:rPr>
                <w:sz w:val="20"/>
                <w:szCs w:val="20"/>
                <w:color w:val="auto"/>
              </w:rPr>
            </w:pPr>
            <w:r>
              <w:rPr>
                <w:rFonts w:ascii="Arial" w:cs="Arial" w:eastAsia="Arial" w:hAnsi="Arial"/>
                <w:sz w:val="15"/>
                <w:szCs w:val="15"/>
                <w:color w:val="auto"/>
              </w:rPr>
              <w:t>General and administrative expenses</w:t>
            </w:r>
          </w:p>
        </w:tc>
        <w:tc>
          <w:tcPr>
            <w:tcW w:w="3100" w:type="dxa"/>
            <w:vAlign w:val="bottom"/>
          </w:tcPr>
          <w:p>
            <w:pPr>
              <w:jc w:val="right"/>
              <w:ind w:right="164"/>
              <w:spacing w:after="0"/>
              <w:rPr>
                <w:sz w:val="20"/>
                <w:szCs w:val="20"/>
                <w:color w:val="auto"/>
              </w:rPr>
            </w:pPr>
            <w:r>
              <w:rPr>
                <w:rFonts w:ascii="Arial" w:cs="Arial" w:eastAsia="Arial" w:hAnsi="Arial"/>
                <w:sz w:val="15"/>
                <w:szCs w:val="15"/>
                <w:color w:val="auto"/>
              </w:rPr>
              <w:t>2,005</w:t>
            </w:r>
          </w:p>
        </w:tc>
        <w:tc>
          <w:tcPr>
            <w:tcW w:w="820" w:type="dxa"/>
            <w:vAlign w:val="bottom"/>
          </w:tcPr>
          <w:p>
            <w:pPr>
              <w:jc w:val="right"/>
              <w:ind w:right="144"/>
              <w:spacing w:after="0"/>
              <w:rPr>
                <w:sz w:val="20"/>
                <w:szCs w:val="20"/>
                <w:color w:val="auto"/>
              </w:rPr>
            </w:pPr>
            <w:r>
              <w:rPr>
                <w:rFonts w:ascii="Arial" w:cs="Arial" w:eastAsia="Arial" w:hAnsi="Arial"/>
                <w:sz w:val="15"/>
                <w:szCs w:val="15"/>
                <w:color w:val="auto"/>
              </w:rPr>
              <w:t>1,015</w:t>
            </w:r>
          </w:p>
        </w:tc>
        <w:tc>
          <w:tcPr>
            <w:tcW w:w="920" w:type="dxa"/>
            <w:vAlign w:val="bottom"/>
          </w:tcPr>
          <w:p>
            <w:pPr>
              <w:jc w:val="right"/>
              <w:ind w:right="164"/>
              <w:spacing w:after="0"/>
              <w:rPr>
                <w:sz w:val="20"/>
                <w:szCs w:val="20"/>
                <w:color w:val="auto"/>
              </w:rPr>
            </w:pPr>
            <w:r>
              <w:rPr>
                <w:rFonts w:ascii="Arial" w:cs="Arial" w:eastAsia="Arial" w:hAnsi="Arial"/>
                <w:sz w:val="15"/>
                <w:szCs w:val="15"/>
                <w:color w:val="auto"/>
              </w:rPr>
              <w:t>6,022</w:t>
            </w:r>
          </w:p>
        </w:tc>
        <w:tc>
          <w:tcPr>
            <w:tcW w:w="600" w:type="dxa"/>
            <w:vAlign w:val="bottom"/>
          </w:tcPr>
          <w:p>
            <w:pPr>
              <w:jc w:val="right"/>
              <w:spacing w:after="0"/>
              <w:rPr>
                <w:sz w:val="20"/>
                <w:szCs w:val="20"/>
                <w:color w:val="auto"/>
              </w:rPr>
            </w:pPr>
            <w:r>
              <w:rPr>
                <w:rFonts w:ascii="Arial" w:cs="Arial" w:eastAsia="Arial" w:hAnsi="Arial"/>
                <w:sz w:val="15"/>
                <w:szCs w:val="15"/>
                <w:color w:val="auto"/>
              </w:rPr>
              <w:t>4,244</w:t>
            </w:r>
          </w:p>
        </w:tc>
      </w:tr>
    </w:tbl>
    <w:p>
      <w:pPr>
        <w:spacing w:after="0" w:line="186" w:lineRule="exact"/>
        <w:rPr>
          <w:sz w:val="20"/>
          <w:szCs w:val="20"/>
          <w:color w:val="auto"/>
        </w:rPr>
      </w:pPr>
    </w:p>
    <w:p>
      <w:pPr>
        <w:jc w:val="both"/>
        <w:ind w:right="80" w:firstLine="7"/>
        <w:spacing w:after="0" w:line="250" w:lineRule="auto"/>
        <w:tabs>
          <w:tab w:leader="none" w:pos="1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the fourth quarter of 2020, Agora formally implemented the Venture Partners Plan, which is a new incentive plan that can be settled in shares or cash at the discretion of plan administrator. Therefore, $3.4M accrued in prior quarters of 2020 were reclassified from cash bonus expenses to share-based compensation expenses to reflect the costs related to the new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485775</wp:posOffset>
            </wp:positionV>
            <wp:extent cx="71983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360"/>
          </w:cols>
          <w:pgMar w:left="300" w:top="546"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Agora,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in US$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5"/>
                <w:szCs w:val="15"/>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5"/>
                <w:szCs w:val="15"/>
                <w:color w:val="auto"/>
              </w:rPr>
              <w:t>Three Month Ended</w:t>
            </w:r>
          </w:p>
        </w:tc>
        <w:tc>
          <w:tcPr>
            <w:tcW w:w="5240" w:type="dxa"/>
            <w:vAlign w:val="bottom"/>
            <w:gridSpan w:val="3"/>
          </w:tcPr>
          <w:p>
            <w:pPr>
              <w:jc w:val="center"/>
              <w:ind w:right="3700"/>
              <w:spacing w:after="0"/>
              <w:rPr>
                <w:sz w:val="20"/>
                <w:szCs w:val="20"/>
                <w:color w:val="auto"/>
              </w:rPr>
            </w:pPr>
            <w:r>
              <w:rPr>
                <w:rFonts w:ascii="Arial" w:cs="Arial" w:eastAsia="Arial" w:hAnsi="Arial"/>
                <w:sz w:val="15"/>
                <w:szCs w:val="15"/>
                <w:color w:val="auto"/>
                <w:w w:val="98"/>
              </w:rPr>
              <w:t>Year Ended</w:t>
            </w:r>
          </w:p>
        </w:tc>
      </w:tr>
      <w:tr>
        <w:trPr>
          <w:trHeight w:val="183"/>
        </w:trPr>
        <w:tc>
          <w:tcPr>
            <w:tcW w:w="4320" w:type="dxa"/>
            <w:vAlign w:val="bottom"/>
          </w:tcPr>
          <w:p>
            <w:pPr>
              <w:spacing w:after="0"/>
              <w:rPr>
                <w:sz w:val="15"/>
                <w:szCs w:val="15"/>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5"/>
                <w:szCs w:val="15"/>
                <w:color w:val="auto"/>
              </w:rPr>
              <w:t>December 31,</w:t>
            </w:r>
          </w:p>
        </w:tc>
        <w:tc>
          <w:tcPr>
            <w:tcW w:w="5240" w:type="dxa"/>
            <w:vAlign w:val="bottom"/>
            <w:gridSpan w:val="3"/>
          </w:tcPr>
          <w:p>
            <w:pPr>
              <w:jc w:val="center"/>
              <w:ind w:right="3700"/>
              <w:spacing w:after="0"/>
              <w:rPr>
                <w:sz w:val="20"/>
                <w:szCs w:val="20"/>
                <w:color w:val="auto"/>
              </w:rPr>
            </w:pPr>
            <w:r>
              <w:rPr>
                <w:rFonts w:ascii="Arial" w:cs="Arial" w:eastAsia="Arial" w:hAnsi="Arial"/>
                <w:sz w:val="15"/>
                <w:szCs w:val="15"/>
                <w:color w:val="auto"/>
                <w:w w:val="99"/>
              </w:rPr>
              <w:t>December 31,</w:t>
            </w:r>
          </w:p>
        </w:tc>
      </w:tr>
      <w:tr>
        <w:trPr>
          <w:trHeight w:val="187"/>
        </w:trPr>
        <w:tc>
          <w:tcPr>
            <w:tcW w:w="43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rPr>
              <w:t>2021</w:t>
            </w:r>
          </w:p>
        </w:tc>
        <w:tc>
          <w:tcPr>
            <w:tcW w:w="7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2020</w:t>
            </w:r>
          </w:p>
        </w:tc>
        <w:tc>
          <w:tcPr>
            <w:tcW w:w="2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rPr>
              <w:t>2021</w:t>
            </w:r>
          </w:p>
        </w:tc>
        <w:tc>
          <w:tcPr>
            <w:tcW w:w="7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2020</w:t>
            </w:r>
          </w:p>
        </w:tc>
        <w:tc>
          <w:tcPr>
            <w:tcW w:w="3700" w:type="dxa"/>
            <w:vAlign w:val="bottom"/>
          </w:tcPr>
          <w:p>
            <w:pPr>
              <w:spacing w:after="0"/>
              <w:rPr>
                <w:sz w:val="16"/>
                <w:szCs w:val="16"/>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Net loss</w:t>
            </w:r>
          </w:p>
        </w:tc>
        <w:tc>
          <w:tcPr>
            <w:tcW w:w="820" w:type="dxa"/>
            <w:vAlign w:val="bottom"/>
          </w:tcPr>
          <w:p>
            <w:pPr>
              <w:jc w:val="right"/>
              <w:spacing w:after="0"/>
              <w:rPr>
                <w:sz w:val="20"/>
                <w:szCs w:val="20"/>
                <w:color w:val="auto"/>
              </w:rPr>
            </w:pPr>
            <w:r>
              <w:rPr>
                <w:rFonts w:ascii="Arial" w:cs="Arial" w:eastAsia="Arial" w:hAnsi="Arial"/>
                <w:sz w:val="15"/>
                <w:szCs w:val="15"/>
                <w:color w:val="auto"/>
              </w:rPr>
              <w:t>(21,175)</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(6,182)</w:t>
            </w:r>
          </w:p>
        </w:tc>
        <w:tc>
          <w:tcPr>
            <w:tcW w:w="820" w:type="dxa"/>
            <w:vAlign w:val="bottom"/>
          </w:tcPr>
          <w:p>
            <w:pPr>
              <w:jc w:val="right"/>
              <w:spacing w:after="0"/>
              <w:rPr>
                <w:sz w:val="20"/>
                <w:szCs w:val="20"/>
                <w:color w:val="auto"/>
              </w:rPr>
            </w:pPr>
            <w:r>
              <w:rPr>
                <w:rFonts w:ascii="Arial" w:cs="Arial" w:eastAsia="Arial" w:hAnsi="Arial"/>
                <w:sz w:val="15"/>
                <w:szCs w:val="15"/>
                <w:color w:val="auto"/>
              </w:rPr>
              <w:t>(72,356)</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(3,114)</w:t>
            </w:r>
          </w:p>
        </w:tc>
      </w:tr>
      <w:tr>
        <w:trPr>
          <w:trHeight w:val="208"/>
        </w:trPr>
        <w:tc>
          <w:tcPr>
            <w:tcW w:w="4320" w:type="dxa"/>
            <w:vAlign w:val="bottom"/>
          </w:tcPr>
          <w:p>
            <w:pPr>
              <w:spacing w:after="0"/>
              <w:rPr>
                <w:sz w:val="20"/>
                <w:szCs w:val="20"/>
                <w:color w:val="auto"/>
              </w:rPr>
            </w:pPr>
            <w:r>
              <w:rPr>
                <w:rFonts w:ascii="Arial" w:cs="Arial" w:eastAsia="Arial" w:hAnsi="Arial"/>
                <w:sz w:val="15"/>
                <w:szCs w:val="15"/>
                <w:color w:val="auto"/>
              </w:rPr>
              <w:t>Adjustments to reconcile net loss to net cash generated from</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84"/>
        </w:trPr>
        <w:tc>
          <w:tcPr>
            <w:tcW w:w="4320" w:type="dxa"/>
            <w:vAlign w:val="bottom"/>
          </w:tcPr>
          <w:p>
            <w:pPr>
              <w:spacing w:after="0"/>
              <w:rPr>
                <w:sz w:val="20"/>
                <w:szCs w:val="20"/>
                <w:color w:val="auto"/>
              </w:rPr>
            </w:pPr>
            <w:r>
              <w:rPr>
                <w:rFonts w:ascii="Arial" w:cs="Arial" w:eastAsia="Arial" w:hAnsi="Arial"/>
                <w:sz w:val="15"/>
                <w:szCs w:val="15"/>
                <w:color w:val="auto"/>
              </w:rPr>
              <w:t>(used in) operating activities:</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Share-based compensation expenses</w:t>
            </w:r>
          </w:p>
        </w:tc>
        <w:tc>
          <w:tcPr>
            <w:tcW w:w="820" w:type="dxa"/>
            <w:vAlign w:val="bottom"/>
          </w:tcPr>
          <w:p>
            <w:pPr>
              <w:jc w:val="right"/>
              <w:spacing w:after="0"/>
              <w:rPr>
                <w:sz w:val="20"/>
                <w:szCs w:val="20"/>
                <w:color w:val="auto"/>
              </w:rPr>
            </w:pPr>
            <w:r>
              <w:rPr>
                <w:rFonts w:ascii="Arial" w:cs="Arial" w:eastAsia="Arial" w:hAnsi="Arial"/>
                <w:sz w:val="15"/>
                <w:szCs w:val="15"/>
                <w:color w:val="auto"/>
              </w:rPr>
              <w:t>8,352</w:t>
            </w:r>
          </w:p>
        </w:tc>
        <w:tc>
          <w:tcPr>
            <w:tcW w:w="700" w:type="dxa"/>
            <w:vAlign w:val="bottom"/>
          </w:tcPr>
          <w:p>
            <w:pPr>
              <w:jc w:val="right"/>
              <w:spacing w:after="0"/>
              <w:rPr>
                <w:sz w:val="20"/>
                <w:szCs w:val="20"/>
                <w:color w:val="auto"/>
              </w:rPr>
            </w:pPr>
            <w:r>
              <w:rPr>
                <w:rFonts w:ascii="Arial" w:cs="Arial" w:eastAsia="Arial" w:hAnsi="Arial"/>
                <w:sz w:val="15"/>
                <w:szCs w:val="15"/>
                <w:color w:val="auto"/>
              </w:rPr>
              <w:t>2,948</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31,481</w:t>
            </w:r>
          </w:p>
        </w:tc>
        <w:tc>
          <w:tcPr>
            <w:tcW w:w="720" w:type="dxa"/>
            <w:vAlign w:val="bottom"/>
          </w:tcPr>
          <w:p>
            <w:pPr>
              <w:jc w:val="right"/>
              <w:spacing w:after="0"/>
              <w:rPr>
                <w:sz w:val="20"/>
                <w:szCs w:val="20"/>
                <w:color w:val="auto"/>
              </w:rPr>
            </w:pPr>
            <w:r>
              <w:rPr>
                <w:rFonts w:ascii="Arial" w:cs="Arial" w:eastAsia="Arial" w:hAnsi="Arial"/>
                <w:sz w:val="15"/>
                <w:szCs w:val="15"/>
                <w:color w:val="auto"/>
              </w:rPr>
              <w:t>11,974</w:t>
            </w:r>
          </w:p>
        </w:tc>
        <w:tc>
          <w:tcPr>
            <w:tcW w:w="3700" w:type="dxa"/>
            <w:vAlign w:val="bottom"/>
          </w:tcPr>
          <w:p>
            <w:pPr>
              <w:spacing w:after="0"/>
              <w:rPr>
                <w:sz w:val="17"/>
                <w:szCs w:val="17"/>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Depreciation of property and equipment</w:t>
            </w:r>
          </w:p>
        </w:tc>
        <w:tc>
          <w:tcPr>
            <w:tcW w:w="820" w:type="dxa"/>
            <w:vAlign w:val="bottom"/>
          </w:tcPr>
          <w:p>
            <w:pPr>
              <w:jc w:val="right"/>
              <w:spacing w:after="0"/>
              <w:rPr>
                <w:sz w:val="20"/>
                <w:szCs w:val="20"/>
                <w:color w:val="auto"/>
              </w:rPr>
            </w:pPr>
            <w:r>
              <w:rPr>
                <w:rFonts w:ascii="Arial" w:cs="Arial" w:eastAsia="Arial" w:hAnsi="Arial"/>
                <w:sz w:val="15"/>
                <w:szCs w:val="15"/>
                <w:color w:val="auto"/>
              </w:rPr>
              <w:t>2,303</w:t>
            </w:r>
          </w:p>
        </w:tc>
        <w:tc>
          <w:tcPr>
            <w:tcW w:w="700" w:type="dxa"/>
            <w:vAlign w:val="bottom"/>
          </w:tcPr>
          <w:p>
            <w:pPr>
              <w:jc w:val="right"/>
              <w:spacing w:after="0"/>
              <w:rPr>
                <w:sz w:val="20"/>
                <w:szCs w:val="20"/>
                <w:color w:val="auto"/>
              </w:rPr>
            </w:pPr>
            <w:r>
              <w:rPr>
                <w:rFonts w:ascii="Arial" w:cs="Arial" w:eastAsia="Arial" w:hAnsi="Arial"/>
                <w:sz w:val="15"/>
                <w:szCs w:val="15"/>
                <w:color w:val="auto"/>
              </w:rPr>
              <w:t>1,514</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8,281</w:t>
            </w:r>
          </w:p>
        </w:tc>
        <w:tc>
          <w:tcPr>
            <w:tcW w:w="720" w:type="dxa"/>
            <w:vAlign w:val="bottom"/>
          </w:tcPr>
          <w:p>
            <w:pPr>
              <w:jc w:val="right"/>
              <w:spacing w:after="0"/>
              <w:rPr>
                <w:sz w:val="20"/>
                <w:szCs w:val="20"/>
                <w:color w:val="auto"/>
              </w:rPr>
            </w:pPr>
            <w:r>
              <w:rPr>
                <w:rFonts w:ascii="Arial" w:cs="Arial" w:eastAsia="Arial" w:hAnsi="Arial"/>
                <w:sz w:val="15"/>
                <w:szCs w:val="15"/>
                <w:color w:val="auto"/>
              </w:rPr>
              <w:t>4,460</w:t>
            </w:r>
          </w:p>
        </w:tc>
        <w:tc>
          <w:tcPr>
            <w:tcW w:w="3700" w:type="dxa"/>
            <w:vAlign w:val="bottom"/>
          </w:tcPr>
          <w:p>
            <w:pPr>
              <w:spacing w:after="0"/>
              <w:rPr>
                <w:sz w:val="17"/>
                <w:szCs w:val="17"/>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20" w:type="dxa"/>
            <w:vAlign w:val="bottom"/>
          </w:tcPr>
          <w:p>
            <w:pPr>
              <w:jc w:val="right"/>
              <w:spacing w:after="0"/>
              <w:rPr>
                <w:sz w:val="20"/>
                <w:szCs w:val="20"/>
                <w:color w:val="auto"/>
              </w:rPr>
            </w:pPr>
            <w:r>
              <w:rPr>
                <w:rFonts w:ascii="Arial" w:cs="Arial" w:eastAsia="Arial" w:hAnsi="Arial"/>
                <w:sz w:val="15"/>
                <w:szCs w:val="15"/>
                <w:color w:val="auto"/>
              </w:rPr>
              <w:t>578</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1,933</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Deferred tax expense</w:t>
            </w:r>
          </w:p>
        </w:tc>
        <w:tc>
          <w:tcPr>
            <w:tcW w:w="820" w:type="dxa"/>
            <w:vAlign w:val="bottom"/>
          </w:tcPr>
          <w:p>
            <w:pPr>
              <w:jc w:val="right"/>
              <w:spacing w:after="0"/>
              <w:rPr>
                <w:sz w:val="20"/>
                <w:szCs w:val="20"/>
                <w:color w:val="auto"/>
              </w:rPr>
            </w:pPr>
            <w:r>
              <w:rPr>
                <w:rFonts w:ascii="Arial" w:cs="Arial" w:eastAsia="Arial" w:hAnsi="Arial"/>
                <w:sz w:val="15"/>
                <w:szCs w:val="15"/>
                <w:color w:val="auto"/>
              </w:rPr>
              <w:t>437</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378</w:t>
            </w:r>
          </w:p>
        </w:tc>
        <w:tc>
          <w:tcPr>
            <w:tcW w:w="820" w:type="dxa"/>
            <w:vAlign w:val="bottom"/>
          </w:tcPr>
          <w:p>
            <w:pPr>
              <w:jc w:val="right"/>
              <w:spacing w:after="0"/>
              <w:rPr>
                <w:sz w:val="20"/>
                <w:szCs w:val="20"/>
                <w:color w:val="auto"/>
              </w:rPr>
            </w:pPr>
            <w:r>
              <w:rPr>
                <w:rFonts w:ascii="Arial" w:cs="Arial" w:eastAsia="Arial" w:hAnsi="Arial"/>
                <w:sz w:val="15"/>
                <w:szCs w:val="15"/>
                <w:color w:val="auto"/>
              </w:rPr>
              <w:t>238</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378</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Amortization of right-of-use asset and interest on lease liabilities</w:t>
            </w:r>
          </w:p>
        </w:tc>
        <w:tc>
          <w:tcPr>
            <w:tcW w:w="820" w:type="dxa"/>
            <w:vAlign w:val="bottom"/>
          </w:tcPr>
          <w:p>
            <w:pPr>
              <w:jc w:val="right"/>
              <w:spacing w:after="0"/>
              <w:rPr>
                <w:sz w:val="20"/>
                <w:szCs w:val="20"/>
                <w:color w:val="auto"/>
              </w:rPr>
            </w:pPr>
            <w:r>
              <w:rPr>
                <w:rFonts w:ascii="Arial" w:cs="Arial" w:eastAsia="Arial" w:hAnsi="Arial"/>
                <w:sz w:val="15"/>
                <w:szCs w:val="15"/>
                <w:color w:val="auto"/>
              </w:rPr>
              <w:t>996</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3,724</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Change in the fair value of investments</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33</w:t>
            </w:r>
          </w:p>
        </w:tc>
        <w:tc>
          <w:tcPr>
            <w:tcW w:w="820" w:type="dxa"/>
            <w:vAlign w:val="bottom"/>
          </w:tcPr>
          <w:p>
            <w:pPr>
              <w:jc w:val="right"/>
              <w:spacing w:after="0"/>
              <w:rPr>
                <w:sz w:val="20"/>
                <w:szCs w:val="20"/>
                <w:color w:val="auto"/>
              </w:rPr>
            </w:pPr>
            <w:r>
              <w:rPr>
                <w:rFonts w:ascii="Arial" w:cs="Arial" w:eastAsia="Arial" w:hAnsi="Arial"/>
                <w:sz w:val="15"/>
                <w:szCs w:val="15"/>
                <w:color w:val="auto"/>
              </w:rPr>
              <w:t>1,064</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Interest income on debt securities</w:t>
            </w:r>
          </w:p>
        </w:tc>
        <w:tc>
          <w:tcPr>
            <w:tcW w:w="820" w:type="dxa"/>
            <w:vAlign w:val="bottom"/>
          </w:tcPr>
          <w:p>
            <w:pPr>
              <w:jc w:val="right"/>
              <w:spacing w:after="0"/>
              <w:rPr>
                <w:sz w:val="20"/>
                <w:szCs w:val="20"/>
                <w:color w:val="auto"/>
              </w:rPr>
            </w:pPr>
            <w:r>
              <w:rPr>
                <w:rFonts w:ascii="Arial" w:cs="Arial" w:eastAsia="Arial" w:hAnsi="Arial"/>
                <w:sz w:val="15"/>
                <w:szCs w:val="15"/>
                <w:color w:val="auto"/>
              </w:rPr>
              <w:t>(101)</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(295)</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Equity in income of affiliates</w:t>
            </w:r>
          </w:p>
        </w:tc>
        <w:tc>
          <w:tcPr>
            <w:tcW w:w="820" w:type="dxa"/>
            <w:vAlign w:val="bottom"/>
          </w:tcPr>
          <w:p>
            <w:pPr>
              <w:jc w:val="right"/>
              <w:spacing w:after="0"/>
              <w:rPr>
                <w:sz w:val="20"/>
                <w:szCs w:val="20"/>
                <w:color w:val="auto"/>
              </w:rPr>
            </w:pPr>
            <w:r>
              <w:rPr>
                <w:rFonts w:ascii="Arial" w:cs="Arial" w:eastAsia="Arial" w:hAnsi="Arial"/>
                <w:sz w:val="15"/>
                <w:szCs w:val="15"/>
                <w:color w:val="auto"/>
              </w:rPr>
              <w:t>(263)</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(329)</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Impairments of long-term investments</w:t>
            </w:r>
          </w:p>
        </w:tc>
        <w:tc>
          <w:tcPr>
            <w:tcW w:w="820" w:type="dxa"/>
            <w:vAlign w:val="bottom"/>
          </w:tcPr>
          <w:p>
            <w:pPr>
              <w:jc w:val="right"/>
              <w:spacing w:after="0"/>
              <w:rPr>
                <w:sz w:val="20"/>
                <w:szCs w:val="20"/>
                <w:color w:val="auto"/>
              </w:rPr>
            </w:pPr>
            <w:r>
              <w:rPr>
                <w:rFonts w:ascii="Arial" w:cs="Arial" w:eastAsia="Arial" w:hAnsi="Arial"/>
                <w:sz w:val="15"/>
                <w:szCs w:val="15"/>
                <w:color w:val="auto"/>
              </w:rPr>
              <w:t>626</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626</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Return on investment from equity affiliates</w:t>
            </w:r>
          </w:p>
        </w:tc>
        <w:tc>
          <w:tcPr>
            <w:tcW w:w="820" w:type="dxa"/>
            <w:vAlign w:val="bottom"/>
          </w:tcPr>
          <w:p>
            <w:pPr>
              <w:jc w:val="right"/>
              <w:spacing w:after="0"/>
              <w:rPr>
                <w:sz w:val="20"/>
                <w:szCs w:val="20"/>
                <w:color w:val="auto"/>
              </w:rPr>
            </w:pPr>
            <w:r>
              <w:rPr>
                <w:rFonts w:ascii="Arial" w:cs="Arial" w:eastAsia="Arial" w:hAnsi="Arial"/>
                <w:sz w:val="15"/>
                <w:szCs w:val="15"/>
                <w:color w:val="auto"/>
              </w:rPr>
              <w:t>329</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329</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Changes in assets and liabilities, net of effect of acquisition:</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96"/>
        </w:trPr>
        <w:tc>
          <w:tcPr>
            <w:tcW w:w="4320" w:type="dxa"/>
            <w:vAlign w:val="bottom"/>
          </w:tcPr>
          <w:p>
            <w:pPr>
              <w:ind w:left="80"/>
              <w:spacing w:after="0"/>
              <w:rPr>
                <w:sz w:val="20"/>
                <w:szCs w:val="20"/>
                <w:color w:val="auto"/>
              </w:rPr>
            </w:pPr>
            <w:r>
              <w:rPr>
                <w:rFonts w:ascii="Arial" w:cs="Arial" w:eastAsia="Arial" w:hAnsi="Arial"/>
                <w:sz w:val="15"/>
                <w:szCs w:val="15"/>
                <w:color w:val="auto"/>
              </w:rPr>
              <w:t>Accounts receivable</w:t>
            </w:r>
          </w:p>
        </w:tc>
        <w:tc>
          <w:tcPr>
            <w:tcW w:w="820" w:type="dxa"/>
            <w:vAlign w:val="bottom"/>
          </w:tcPr>
          <w:p>
            <w:pPr>
              <w:jc w:val="right"/>
              <w:spacing w:after="0"/>
              <w:rPr>
                <w:sz w:val="20"/>
                <w:szCs w:val="20"/>
                <w:color w:val="auto"/>
              </w:rPr>
            </w:pPr>
            <w:r>
              <w:rPr>
                <w:rFonts w:ascii="Arial" w:cs="Arial" w:eastAsia="Arial" w:hAnsi="Arial"/>
                <w:sz w:val="15"/>
                <w:szCs w:val="15"/>
                <w:color w:val="auto"/>
              </w:rPr>
              <w:t>3,843</w:t>
            </w:r>
          </w:p>
        </w:tc>
        <w:tc>
          <w:tcPr>
            <w:tcW w:w="700" w:type="dxa"/>
            <w:vAlign w:val="bottom"/>
          </w:tcPr>
          <w:p>
            <w:pPr>
              <w:jc w:val="right"/>
              <w:spacing w:after="0"/>
              <w:rPr>
                <w:sz w:val="20"/>
                <w:szCs w:val="20"/>
                <w:color w:val="auto"/>
              </w:rPr>
            </w:pPr>
            <w:r>
              <w:rPr>
                <w:rFonts w:ascii="Arial" w:cs="Arial" w:eastAsia="Arial" w:hAnsi="Arial"/>
                <w:sz w:val="15"/>
                <w:szCs w:val="15"/>
                <w:color w:val="auto"/>
              </w:rPr>
              <w:t>2,344</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(3,685)</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(9,789)</w:t>
            </w:r>
          </w:p>
        </w:tc>
      </w:tr>
      <w:tr>
        <w:trPr>
          <w:trHeight w:val="196"/>
        </w:trPr>
        <w:tc>
          <w:tcPr>
            <w:tcW w:w="4320" w:type="dxa"/>
            <w:vAlign w:val="bottom"/>
          </w:tcPr>
          <w:p>
            <w:pPr>
              <w:ind w:left="160"/>
              <w:spacing w:after="0"/>
              <w:rPr>
                <w:sz w:val="20"/>
                <w:szCs w:val="20"/>
                <w:color w:val="auto"/>
              </w:rPr>
            </w:pPr>
            <w:r>
              <w:rPr>
                <w:rFonts w:ascii="Arial" w:cs="Arial" w:eastAsia="Arial" w:hAnsi="Arial"/>
                <w:sz w:val="15"/>
                <w:szCs w:val="15"/>
                <w:color w:val="auto"/>
              </w:rPr>
              <w:t>Contract assets</w:t>
            </w:r>
          </w:p>
        </w:tc>
        <w:tc>
          <w:tcPr>
            <w:tcW w:w="820" w:type="dxa"/>
            <w:vAlign w:val="bottom"/>
          </w:tcPr>
          <w:p>
            <w:pPr>
              <w:jc w:val="right"/>
              <w:spacing w:after="0"/>
              <w:rPr>
                <w:sz w:val="20"/>
                <w:szCs w:val="20"/>
                <w:color w:val="auto"/>
              </w:rPr>
            </w:pPr>
            <w:r>
              <w:rPr>
                <w:rFonts w:ascii="Arial" w:cs="Arial" w:eastAsia="Arial" w:hAnsi="Arial"/>
                <w:sz w:val="15"/>
                <w:szCs w:val="15"/>
                <w:color w:val="auto"/>
              </w:rPr>
              <w:t>33</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ind w:left="100"/>
              <w:spacing w:after="0"/>
              <w:rPr>
                <w:sz w:val="20"/>
                <w:szCs w:val="20"/>
                <w:color w:val="auto"/>
              </w:rPr>
            </w:pPr>
            <w:r>
              <w:rPr>
                <w:rFonts w:ascii="Arial" w:cs="Arial" w:eastAsia="Arial" w:hAnsi="Arial"/>
                <w:sz w:val="15"/>
                <w:szCs w:val="15"/>
                <w:color w:val="auto"/>
              </w:rPr>
              <w:t>Prepayments and other current assets</w:t>
            </w: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(910)</w:t>
            </w:r>
          </w:p>
        </w:tc>
        <w:tc>
          <w:tcPr>
            <w:tcW w:w="820" w:type="dxa"/>
            <w:vAlign w:val="bottom"/>
          </w:tcPr>
          <w:p>
            <w:pPr>
              <w:jc w:val="right"/>
              <w:spacing w:after="0"/>
              <w:rPr>
                <w:sz w:val="20"/>
                <w:szCs w:val="20"/>
                <w:color w:val="auto"/>
              </w:rPr>
            </w:pPr>
            <w:r>
              <w:rPr>
                <w:rFonts w:ascii="Arial" w:cs="Arial" w:eastAsia="Arial" w:hAnsi="Arial"/>
                <w:sz w:val="15"/>
                <w:szCs w:val="15"/>
                <w:color w:val="auto"/>
              </w:rPr>
              <w:t>(907)</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(5,140)</w:t>
            </w:r>
          </w:p>
        </w:tc>
      </w:tr>
      <w:tr>
        <w:trPr>
          <w:trHeight w:val="196"/>
        </w:trPr>
        <w:tc>
          <w:tcPr>
            <w:tcW w:w="4320" w:type="dxa"/>
            <w:vAlign w:val="bottom"/>
          </w:tcPr>
          <w:p>
            <w:pPr>
              <w:ind w:left="100"/>
              <w:spacing w:after="0"/>
              <w:rPr>
                <w:sz w:val="20"/>
                <w:szCs w:val="20"/>
                <w:color w:val="auto"/>
              </w:rPr>
            </w:pPr>
            <w:r>
              <w:rPr>
                <w:rFonts w:ascii="Arial" w:cs="Arial" w:eastAsia="Arial" w:hAnsi="Arial"/>
                <w:sz w:val="15"/>
                <w:szCs w:val="15"/>
                <w:color w:val="auto"/>
              </w:rPr>
              <w:t>Other non-current assets</w:t>
            </w:r>
          </w:p>
        </w:tc>
        <w:tc>
          <w:tcPr>
            <w:tcW w:w="820" w:type="dxa"/>
            <w:vAlign w:val="bottom"/>
          </w:tcPr>
          <w:p>
            <w:pPr>
              <w:jc w:val="right"/>
              <w:spacing w:after="0"/>
              <w:rPr>
                <w:sz w:val="20"/>
                <w:szCs w:val="20"/>
                <w:color w:val="auto"/>
              </w:rPr>
            </w:pPr>
            <w:r>
              <w:rPr>
                <w:rFonts w:ascii="Arial" w:cs="Arial" w:eastAsia="Arial" w:hAnsi="Arial"/>
                <w:sz w:val="15"/>
                <w:szCs w:val="15"/>
                <w:color w:val="auto"/>
              </w:rPr>
              <w:t>171</w:t>
            </w:r>
          </w:p>
        </w:tc>
        <w:tc>
          <w:tcPr>
            <w:tcW w:w="700" w:type="dxa"/>
            <w:vAlign w:val="bottom"/>
          </w:tcPr>
          <w:p>
            <w:pPr>
              <w:jc w:val="right"/>
              <w:spacing w:after="0"/>
              <w:rPr>
                <w:sz w:val="20"/>
                <w:szCs w:val="20"/>
                <w:color w:val="auto"/>
              </w:rPr>
            </w:pPr>
            <w:r>
              <w:rPr>
                <w:rFonts w:ascii="Arial" w:cs="Arial" w:eastAsia="Arial" w:hAnsi="Arial"/>
                <w:sz w:val="15"/>
                <w:szCs w:val="15"/>
                <w:color w:val="auto"/>
              </w:rPr>
              <w:t>(93)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(128)</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(692)</w:t>
            </w:r>
          </w:p>
        </w:tc>
      </w:tr>
      <w:tr>
        <w:trPr>
          <w:trHeight w:val="196"/>
        </w:trPr>
        <w:tc>
          <w:tcPr>
            <w:tcW w:w="4320" w:type="dxa"/>
            <w:vAlign w:val="bottom"/>
          </w:tcPr>
          <w:p>
            <w:pPr>
              <w:ind w:left="80"/>
              <w:spacing w:after="0"/>
              <w:rPr>
                <w:sz w:val="20"/>
                <w:szCs w:val="20"/>
                <w:color w:val="auto"/>
              </w:rPr>
            </w:pPr>
            <w:r>
              <w:rPr>
                <w:rFonts w:ascii="Arial" w:cs="Arial" w:eastAsia="Arial" w:hAnsi="Arial"/>
                <w:sz w:val="15"/>
                <w:szCs w:val="15"/>
                <w:color w:val="auto"/>
              </w:rPr>
              <w:t>Accounts payable</w:t>
            </w:r>
          </w:p>
        </w:tc>
        <w:tc>
          <w:tcPr>
            <w:tcW w:w="820" w:type="dxa"/>
            <w:vAlign w:val="bottom"/>
          </w:tcPr>
          <w:p>
            <w:pPr>
              <w:jc w:val="right"/>
              <w:spacing w:after="0"/>
              <w:rPr>
                <w:sz w:val="20"/>
                <w:szCs w:val="20"/>
                <w:color w:val="auto"/>
              </w:rPr>
            </w:pPr>
            <w:r>
              <w:rPr>
                <w:rFonts w:ascii="Arial" w:cs="Arial" w:eastAsia="Arial" w:hAnsi="Arial"/>
                <w:sz w:val="15"/>
                <w:szCs w:val="15"/>
                <w:color w:val="auto"/>
              </w:rPr>
              <w:t>742</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864</w:t>
            </w:r>
          </w:p>
        </w:tc>
        <w:tc>
          <w:tcPr>
            <w:tcW w:w="820" w:type="dxa"/>
            <w:vAlign w:val="bottom"/>
          </w:tcPr>
          <w:p>
            <w:pPr>
              <w:jc w:val="right"/>
              <w:spacing w:after="0"/>
              <w:rPr>
                <w:sz w:val="20"/>
                <w:szCs w:val="20"/>
                <w:color w:val="auto"/>
              </w:rPr>
            </w:pPr>
            <w:r>
              <w:rPr>
                <w:rFonts w:ascii="Arial" w:cs="Arial" w:eastAsia="Arial" w:hAnsi="Arial"/>
                <w:sz w:val="15"/>
                <w:szCs w:val="15"/>
                <w:color w:val="auto"/>
              </w:rPr>
              <w:t>(734)</w:t>
            </w:r>
          </w:p>
        </w:tc>
        <w:tc>
          <w:tcPr>
            <w:tcW w:w="720" w:type="dxa"/>
            <w:vAlign w:val="bottom"/>
          </w:tcPr>
          <w:p>
            <w:pPr>
              <w:jc w:val="right"/>
              <w:spacing w:after="0"/>
              <w:rPr>
                <w:sz w:val="20"/>
                <w:szCs w:val="20"/>
                <w:color w:val="auto"/>
              </w:rPr>
            </w:pPr>
            <w:r>
              <w:rPr>
                <w:rFonts w:ascii="Arial" w:cs="Arial" w:eastAsia="Arial" w:hAnsi="Arial"/>
                <w:sz w:val="15"/>
                <w:szCs w:val="15"/>
                <w:color w:val="auto"/>
              </w:rPr>
              <w:t>1,755</w:t>
            </w:r>
          </w:p>
        </w:tc>
        <w:tc>
          <w:tcPr>
            <w:tcW w:w="3700" w:type="dxa"/>
            <w:vAlign w:val="bottom"/>
          </w:tcPr>
          <w:p>
            <w:pPr>
              <w:spacing w:after="0"/>
              <w:rPr>
                <w:sz w:val="17"/>
                <w:szCs w:val="17"/>
                <w:color w:val="auto"/>
              </w:rPr>
            </w:pPr>
          </w:p>
        </w:tc>
      </w:tr>
      <w:tr>
        <w:trPr>
          <w:trHeight w:val="196"/>
        </w:trPr>
        <w:tc>
          <w:tcPr>
            <w:tcW w:w="4320" w:type="dxa"/>
            <w:vAlign w:val="bottom"/>
          </w:tcPr>
          <w:p>
            <w:pPr>
              <w:ind w:left="80"/>
              <w:spacing w:after="0"/>
              <w:rPr>
                <w:sz w:val="20"/>
                <w:szCs w:val="20"/>
                <w:color w:val="auto"/>
              </w:rPr>
            </w:pPr>
            <w:r>
              <w:rPr>
                <w:rFonts w:ascii="Arial" w:cs="Arial" w:eastAsia="Arial" w:hAnsi="Arial"/>
                <w:sz w:val="15"/>
                <w:szCs w:val="15"/>
                <w:color w:val="auto"/>
              </w:rPr>
              <w:t>Advances from customers</w:t>
            </w:r>
          </w:p>
        </w:tc>
        <w:tc>
          <w:tcPr>
            <w:tcW w:w="820" w:type="dxa"/>
            <w:vAlign w:val="bottom"/>
          </w:tcPr>
          <w:p>
            <w:pPr>
              <w:jc w:val="right"/>
              <w:spacing w:after="0"/>
              <w:rPr>
                <w:sz w:val="20"/>
                <w:szCs w:val="20"/>
                <w:color w:val="auto"/>
              </w:rPr>
            </w:pPr>
            <w:r>
              <w:rPr>
                <w:rFonts w:ascii="Arial" w:cs="Arial" w:eastAsia="Arial" w:hAnsi="Arial"/>
                <w:sz w:val="15"/>
                <w:szCs w:val="15"/>
                <w:color w:val="auto"/>
              </w:rPr>
              <w:t>999</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151</w:t>
            </w:r>
          </w:p>
        </w:tc>
        <w:tc>
          <w:tcPr>
            <w:tcW w:w="820" w:type="dxa"/>
            <w:vAlign w:val="bottom"/>
          </w:tcPr>
          <w:p>
            <w:pPr>
              <w:jc w:val="right"/>
              <w:spacing w:after="0"/>
              <w:rPr>
                <w:sz w:val="20"/>
                <w:szCs w:val="20"/>
                <w:color w:val="auto"/>
              </w:rPr>
            </w:pPr>
            <w:r>
              <w:rPr>
                <w:rFonts w:ascii="Arial" w:cs="Arial" w:eastAsia="Arial" w:hAnsi="Arial"/>
                <w:sz w:val="15"/>
                <w:szCs w:val="15"/>
                <w:color w:val="auto"/>
              </w:rPr>
              <w:t>878</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335</w:t>
            </w:r>
          </w:p>
        </w:tc>
      </w:tr>
      <w:tr>
        <w:trPr>
          <w:trHeight w:val="196"/>
        </w:trPr>
        <w:tc>
          <w:tcPr>
            <w:tcW w:w="4320" w:type="dxa"/>
            <w:vAlign w:val="bottom"/>
          </w:tcPr>
          <w:p>
            <w:pPr>
              <w:ind w:left="80"/>
              <w:spacing w:after="0"/>
              <w:rPr>
                <w:sz w:val="20"/>
                <w:szCs w:val="20"/>
                <w:color w:val="auto"/>
              </w:rPr>
            </w:pPr>
            <w:r>
              <w:rPr>
                <w:rFonts w:ascii="Arial" w:cs="Arial" w:eastAsia="Arial" w:hAnsi="Arial"/>
                <w:sz w:val="15"/>
                <w:szCs w:val="15"/>
                <w:color w:val="auto"/>
              </w:rPr>
              <w:t>Taxes payable</w:t>
            </w:r>
          </w:p>
        </w:tc>
        <w:tc>
          <w:tcPr>
            <w:tcW w:w="820" w:type="dxa"/>
            <w:vAlign w:val="bottom"/>
          </w:tcPr>
          <w:p>
            <w:pPr>
              <w:jc w:val="right"/>
              <w:spacing w:after="0"/>
              <w:rPr>
                <w:sz w:val="20"/>
                <w:szCs w:val="20"/>
                <w:color w:val="auto"/>
              </w:rPr>
            </w:pPr>
            <w:r>
              <w:rPr>
                <w:rFonts w:ascii="Arial" w:cs="Arial" w:eastAsia="Arial" w:hAnsi="Arial"/>
                <w:sz w:val="15"/>
                <w:szCs w:val="15"/>
                <w:color w:val="auto"/>
              </w:rPr>
              <w:t>887</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(715)</w:t>
            </w:r>
          </w:p>
        </w:tc>
        <w:tc>
          <w:tcPr>
            <w:tcW w:w="820" w:type="dxa"/>
            <w:vAlign w:val="bottom"/>
          </w:tcPr>
          <w:p>
            <w:pPr>
              <w:jc w:val="right"/>
              <w:spacing w:after="0"/>
              <w:rPr>
                <w:sz w:val="20"/>
                <w:szCs w:val="20"/>
                <w:color w:val="auto"/>
              </w:rPr>
            </w:pPr>
            <w:r>
              <w:rPr>
                <w:rFonts w:ascii="Arial" w:cs="Arial" w:eastAsia="Arial" w:hAnsi="Arial"/>
                <w:sz w:val="15"/>
                <w:szCs w:val="15"/>
                <w:color w:val="auto"/>
              </w:rPr>
              <w:t>155</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(450)</w:t>
            </w:r>
          </w:p>
        </w:tc>
      </w:tr>
      <w:tr>
        <w:trPr>
          <w:trHeight w:val="196"/>
        </w:trPr>
        <w:tc>
          <w:tcPr>
            <w:tcW w:w="432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820" w:type="dxa"/>
            <w:vAlign w:val="bottom"/>
          </w:tcPr>
          <w:p>
            <w:pPr>
              <w:jc w:val="right"/>
              <w:spacing w:after="0"/>
              <w:rPr>
                <w:sz w:val="20"/>
                <w:szCs w:val="20"/>
                <w:color w:val="auto"/>
              </w:rPr>
            </w:pPr>
            <w:r>
              <w:rPr>
                <w:rFonts w:ascii="Arial" w:cs="Arial" w:eastAsia="Arial" w:hAnsi="Arial"/>
                <w:sz w:val="15"/>
                <w:szCs w:val="15"/>
                <w:color w:val="auto"/>
              </w:rPr>
              <w:t>(1,023)</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(3,995)</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ind w:left="160"/>
              <w:spacing w:after="0"/>
              <w:rPr>
                <w:sz w:val="20"/>
                <w:szCs w:val="20"/>
                <w:color w:val="auto"/>
              </w:rPr>
            </w:pPr>
            <w:r>
              <w:rPr>
                <w:rFonts w:ascii="Arial" w:cs="Arial" w:eastAsia="Arial" w:hAnsi="Arial"/>
                <w:sz w:val="15"/>
                <w:szCs w:val="15"/>
                <w:color w:val="auto"/>
              </w:rPr>
              <w:t>Deferred income</w:t>
            </w:r>
          </w:p>
        </w:tc>
        <w:tc>
          <w:tcPr>
            <w:tcW w:w="820" w:type="dxa"/>
            <w:vAlign w:val="bottom"/>
          </w:tcPr>
          <w:p>
            <w:pPr>
              <w:jc w:val="right"/>
              <w:spacing w:after="0"/>
              <w:rPr>
                <w:sz w:val="20"/>
                <w:szCs w:val="20"/>
                <w:color w:val="auto"/>
              </w:rPr>
            </w:pPr>
            <w:r>
              <w:rPr>
                <w:rFonts w:ascii="Arial" w:cs="Arial" w:eastAsia="Arial" w:hAnsi="Arial"/>
                <w:sz w:val="15"/>
                <w:szCs w:val="15"/>
                <w:color w:val="auto"/>
              </w:rPr>
              <w:t>(288)</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(102)</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83"/>
        </w:trPr>
        <w:tc>
          <w:tcPr>
            <w:tcW w:w="4320" w:type="dxa"/>
            <w:vAlign w:val="bottom"/>
          </w:tcPr>
          <w:p>
            <w:pPr>
              <w:ind w:left="80"/>
              <w:spacing w:after="0"/>
              <w:rPr>
                <w:sz w:val="20"/>
                <w:szCs w:val="20"/>
                <w:color w:val="auto"/>
              </w:rPr>
            </w:pPr>
            <w:r>
              <w:rPr>
                <w:rFonts w:ascii="Arial" w:cs="Arial" w:eastAsia="Arial" w:hAnsi="Arial"/>
                <w:sz w:val="15"/>
                <w:szCs w:val="15"/>
                <w:color w:val="auto"/>
              </w:rPr>
              <w:t>Accrued expenses and other liabilities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6,847</w:t>
            </w:r>
          </w:p>
        </w:tc>
        <w:tc>
          <w:tcPr>
            <w:tcW w:w="3700" w:type="dxa"/>
            <w:vAlign w:val="bottom"/>
          </w:tcPr>
          <w:p>
            <w:pPr>
              <w:spacing w:after="0"/>
              <w:rPr>
                <w:sz w:val="15"/>
                <w:szCs w:val="15"/>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Net cash generated from (used in) operating activities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1,967</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6,564</w:t>
            </w:r>
          </w:p>
        </w:tc>
        <w:tc>
          <w:tcPr>
            <w:tcW w:w="3700" w:type="dxa"/>
            <w:vAlign w:val="bottom"/>
          </w:tcPr>
          <w:p>
            <w:pPr>
              <w:spacing w:after="0"/>
              <w:rPr>
                <w:sz w:val="15"/>
                <w:szCs w:val="15"/>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96"/>
        </w:trPr>
        <w:tc>
          <w:tcPr>
            <w:tcW w:w="4320" w:type="dxa"/>
            <w:vAlign w:val="bottom"/>
          </w:tcPr>
          <w:p>
            <w:pPr>
              <w:ind w:left="100"/>
              <w:spacing w:after="0"/>
              <w:rPr>
                <w:sz w:val="20"/>
                <w:szCs w:val="20"/>
                <w:color w:val="auto"/>
              </w:rPr>
            </w:pPr>
            <w:r>
              <w:rPr>
                <w:rFonts w:ascii="Arial" w:cs="Arial" w:eastAsia="Arial" w:hAnsi="Arial"/>
                <w:sz w:val="15"/>
                <w:szCs w:val="15"/>
                <w:color w:val="auto"/>
              </w:rPr>
              <w:t>Purchase of short-term investments</w:t>
            </w:r>
          </w:p>
        </w:tc>
        <w:tc>
          <w:tcPr>
            <w:tcW w:w="820" w:type="dxa"/>
            <w:vAlign w:val="bottom"/>
          </w:tcPr>
          <w:p>
            <w:pPr>
              <w:jc w:val="right"/>
              <w:spacing w:after="0"/>
              <w:rPr>
                <w:sz w:val="20"/>
                <w:szCs w:val="20"/>
                <w:color w:val="auto"/>
              </w:rPr>
            </w:pPr>
            <w:r>
              <w:rPr>
                <w:rFonts w:ascii="Arial" w:cs="Arial" w:eastAsia="Arial" w:hAnsi="Arial"/>
                <w:sz w:val="15"/>
                <w:szCs w:val="15"/>
                <w:color w:val="auto"/>
              </w:rPr>
              <w:t>(71,818)</w:t>
            </w:r>
          </w:p>
        </w:tc>
        <w:tc>
          <w:tcPr>
            <w:tcW w:w="700" w:type="dxa"/>
            <w:vAlign w:val="bottom"/>
          </w:tcPr>
          <w:p>
            <w:pPr>
              <w:jc w:val="right"/>
              <w:spacing w:after="0"/>
              <w:rPr>
                <w:sz w:val="20"/>
                <w:szCs w:val="20"/>
                <w:color w:val="auto"/>
              </w:rPr>
            </w:pPr>
            <w:r>
              <w:rPr>
                <w:rFonts w:ascii="Arial" w:cs="Arial" w:eastAsia="Arial" w:hAnsi="Arial"/>
                <w:sz w:val="15"/>
                <w:szCs w:val="15"/>
                <w:color w:val="auto"/>
              </w:rPr>
              <w:t>(297,587)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(504,563)</w:t>
            </w:r>
          </w:p>
        </w:tc>
        <w:tc>
          <w:tcPr>
            <w:tcW w:w="720" w:type="dxa"/>
            <w:vAlign w:val="bottom"/>
          </w:tcPr>
          <w:p>
            <w:pPr>
              <w:jc w:val="right"/>
              <w:spacing w:after="0"/>
              <w:rPr>
                <w:sz w:val="20"/>
                <w:szCs w:val="20"/>
                <w:color w:val="auto"/>
              </w:rPr>
            </w:pPr>
            <w:r>
              <w:rPr>
                <w:rFonts w:ascii="Arial" w:cs="Arial" w:eastAsia="Arial" w:hAnsi="Arial"/>
                <w:sz w:val="15"/>
                <w:szCs w:val="15"/>
                <w:color w:val="auto"/>
              </w:rPr>
              <w:t>(522,730)</w:t>
            </w:r>
          </w:p>
        </w:tc>
        <w:tc>
          <w:tcPr>
            <w:tcW w:w="3700" w:type="dxa"/>
            <w:vAlign w:val="bottom"/>
          </w:tcPr>
          <w:p>
            <w:pPr>
              <w:spacing w:after="0"/>
              <w:rPr>
                <w:sz w:val="17"/>
                <w:szCs w:val="17"/>
                <w:color w:val="auto"/>
              </w:rPr>
            </w:pPr>
          </w:p>
        </w:tc>
      </w:tr>
      <w:tr>
        <w:trPr>
          <w:trHeight w:val="196"/>
        </w:trPr>
        <w:tc>
          <w:tcPr>
            <w:tcW w:w="4320" w:type="dxa"/>
            <w:vAlign w:val="bottom"/>
          </w:tcPr>
          <w:p>
            <w:pPr>
              <w:ind w:left="160"/>
              <w:spacing w:after="0"/>
              <w:rPr>
                <w:sz w:val="20"/>
                <w:szCs w:val="20"/>
                <w:color w:val="auto"/>
              </w:rPr>
            </w:pPr>
            <w:r>
              <w:rPr>
                <w:rFonts w:ascii="Arial" w:cs="Arial" w:eastAsia="Arial" w:hAnsi="Arial"/>
                <w:sz w:val="15"/>
                <w:szCs w:val="15"/>
                <w:color w:val="auto"/>
              </w:rPr>
              <w:t>Proceeds from sale and maturity of short-term investments</w:t>
            </w:r>
          </w:p>
        </w:tc>
        <w:tc>
          <w:tcPr>
            <w:tcW w:w="820" w:type="dxa"/>
            <w:vAlign w:val="bottom"/>
          </w:tcPr>
          <w:p>
            <w:pPr>
              <w:jc w:val="right"/>
              <w:spacing w:after="0"/>
              <w:rPr>
                <w:sz w:val="20"/>
                <w:szCs w:val="20"/>
                <w:color w:val="auto"/>
              </w:rPr>
            </w:pPr>
            <w:r>
              <w:rPr>
                <w:rFonts w:ascii="Arial" w:cs="Arial" w:eastAsia="Arial" w:hAnsi="Arial"/>
                <w:sz w:val="15"/>
                <w:szCs w:val="15"/>
                <w:color w:val="auto"/>
              </w:rPr>
              <w:t>150,706</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558,618</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86"/>
        </w:trPr>
        <w:tc>
          <w:tcPr>
            <w:tcW w:w="4320" w:type="dxa"/>
            <w:vAlign w:val="bottom"/>
          </w:tcPr>
          <w:p>
            <w:pPr>
              <w:ind w:left="100"/>
              <w:spacing w:after="0"/>
              <w:rPr>
                <w:sz w:val="20"/>
                <w:szCs w:val="20"/>
                <w:color w:val="auto"/>
              </w:rPr>
            </w:pPr>
            <w:r>
              <w:rPr>
                <w:rFonts w:ascii="Arial" w:cs="Arial" w:eastAsia="Arial" w:hAnsi="Arial"/>
                <w:sz w:val="15"/>
                <w:szCs w:val="15"/>
                <w:color w:val="auto"/>
              </w:rPr>
              <w:t>Purchase of property and equipment</w:t>
            </w:r>
          </w:p>
        </w:tc>
        <w:tc>
          <w:tcPr>
            <w:tcW w:w="820" w:type="dxa"/>
            <w:vAlign w:val="bottom"/>
          </w:tcPr>
          <w:p>
            <w:pPr>
              <w:jc w:val="right"/>
              <w:spacing w:after="0"/>
              <w:rPr>
                <w:sz w:val="20"/>
                <w:szCs w:val="20"/>
                <w:color w:val="auto"/>
              </w:rPr>
            </w:pPr>
            <w:r>
              <w:rPr>
                <w:rFonts w:ascii="Arial" w:cs="Arial" w:eastAsia="Arial" w:hAnsi="Arial"/>
                <w:sz w:val="15"/>
                <w:szCs w:val="15"/>
                <w:color w:val="auto"/>
              </w:rPr>
              <w:t>(2,131)</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(3,347)</w:t>
            </w:r>
          </w:p>
        </w:tc>
        <w:tc>
          <w:tcPr>
            <w:tcW w:w="820" w:type="dxa"/>
            <w:vAlign w:val="bottom"/>
          </w:tcPr>
          <w:p>
            <w:pPr>
              <w:jc w:val="right"/>
              <w:spacing w:after="0"/>
              <w:rPr>
                <w:sz w:val="20"/>
                <w:szCs w:val="20"/>
                <w:color w:val="auto"/>
              </w:rPr>
            </w:pPr>
            <w:r>
              <w:rPr>
                <w:rFonts w:ascii="Arial" w:cs="Arial" w:eastAsia="Arial" w:hAnsi="Arial"/>
                <w:sz w:val="15"/>
                <w:szCs w:val="15"/>
                <w:color w:val="auto"/>
              </w:rPr>
              <w:t>(12,211)</w:t>
            </w:r>
          </w:p>
        </w:tc>
        <w:tc>
          <w:tcPr>
            <w:tcW w:w="720" w:type="dxa"/>
            <w:vAlign w:val="bottom"/>
          </w:tcPr>
          <w:p>
            <w:pPr>
              <w:jc w:val="right"/>
              <w:spacing w:after="0"/>
              <w:rPr>
                <w:sz w:val="20"/>
                <w:szCs w:val="20"/>
                <w:color w:val="auto"/>
              </w:rPr>
            </w:pPr>
            <w:r>
              <w:rPr>
                <w:rFonts w:ascii="Arial" w:cs="Arial" w:eastAsia="Arial" w:hAnsi="Arial"/>
                <w:sz w:val="15"/>
                <w:szCs w:val="15"/>
                <w:color w:val="auto"/>
              </w:rPr>
              <w:t>(12,878)</w:t>
            </w:r>
          </w:p>
        </w:tc>
        <w:tc>
          <w:tcPr>
            <w:tcW w:w="3700" w:type="dxa"/>
            <w:vAlign w:val="bottom"/>
          </w:tcPr>
          <w:p>
            <w:pPr>
              <w:spacing w:after="0"/>
              <w:rPr>
                <w:sz w:val="16"/>
                <w:szCs w:val="16"/>
                <w:color w:val="auto"/>
              </w:rPr>
            </w:pPr>
          </w:p>
        </w:tc>
      </w:tr>
      <w:tr>
        <w:trPr>
          <w:trHeight w:val="196"/>
        </w:trPr>
        <w:tc>
          <w:tcPr>
            <w:tcW w:w="4320" w:type="dxa"/>
            <w:vAlign w:val="bottom"/>
          </w:tcPr>
          <w:p>
            <w:pPr>
              <w:ind w:left="100"/>
              <w:spacing w:after="0"/>
              <w:rPr>
                <w:sz w:val="20"/>
                <w:szCs w:val="20"/>
                <w:color w:val="auto"/>
              </w:rPr>
            </w:pPr>
            <w:r>
              <w:rPr>
                <w:rFonts w:ascii="Arial" w:cs="Arial" w:eastAsia="Arial" w:hAnsi="Arial"/>
                <w:sz w:val="15"/>
                <w:szCs w:val="15"/>
                <w:color w:val="auto"/>
              </w:rPr>
              <w:t>Purchase of intangible assets</w:t>
            </w:r>
          </w:p>
        </w:tc>
        <w:tc>
          <w:tcPr>
            <w:tcW w:w="820" w:type="dxa"/>
            <w:vAlign w:val="bottom"/>
          </w:tcPr>
          <w:p>
            <w:pPr>
              <w:jc w:val="right"/>
              <w:spacing w:after="0"/>
              <w:rPr>
                <w:sz w:val="20"/>
                <w:szCs w:val="20"/>
                <w:color w:val="auto"/>
              </w:rPr>
            </w:pPr>
            <w:r>
              <w:rPr>
                <w:rFonts w:ascii="Arial" w:cs="Arial" w:eastAsia="Arial" w:hAnsi="Arial"/>
                <w:sz w:val="15"/>
                <w:szCs w:val="15"/>
                <w:color w:val="auto"/>
              </w:rPr>
              <w:t>(20)</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(263)</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206"/>
        </w:trPr>
        <w:tc>
          <w:tcPr>
            <w:tcW w:w="4320" w:type="dxa"/>
            <w:vAlign w:val="bottom"/>
          </w:tcPr>
          <w:p>
            <w:pPr>
              <w:ind w:left="100"/>
              <w:spacing w:after="0"/>
              <w:rPr>
                <w:sz w:val="20"/>
                <w:szCs w:val="20"/>
                <w:color w:val="auto"/>
              </w:rPr>
            </w:pPr>
            <w:r>
              <w:rPr>
                <w:rFonts w:ascii="Arial" w:cs="Arial" w:eastAsia="Arial" w:hAnsi="Arial"/>
                <w:sz w:val="15"/>
                <w:szCs w:val="15"/>
                <w:color w:val="auto"/>
              </w:rPr>
              <w:t>Purchase of long-term investment</w:t>
            </w:r>
          </w:p>
        </w:tc>
        <w:tc>
          <w:tcPr>
            <w:tcW w:w="820" w:type="dxa"/>
            <w:vAlign w:val="bottom"/>
          </w:tcPr>
          <w:p>
            <w:pPr>
              <w:jc w:val="right"/>
              <w:spacing w:after="0"/>
              <w:rPr>
                <w:sz w:val="20"/>
                <w:szCs w:val="20"/>
                <w:color w:val="auto"/>
              </w:rPr>
            </w:pPr>
            <w:r>
              <w:rPr>
                <w:rFonts w:ascii="Arial" w:cs="Arial" w:eastAsia="Arial" w:hAnsi="Arial"/>
                <w:sz w:val="15"/>
                <w:szCs w:val="15"/>
                <w:color w:val="auto"/>
              </w:rPr>
              <w:t>(1,732)</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(48,843)</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96"/>
        </w:trPr>
        <w:tc>
          <w:tcPr>
            <w:tcW w:w="4320" w:type="dxa"/>
            <w:vAlign w:val="bottom"/>
          </w:tcPr>
          <w:p>
            <w:pPr>
              <w:ind w:left="100"/>
              <w:spacing w:after="0"/>
              <w:rPr>
                <w:sz w:val="20"/>
                <w:szCs w:val="20"/>
                <w:color w:val="auto"/>
              </w:rPr>
            </w:pPr>
            <w:r>
              <w:rPr>
                <w:rFonts w:ascii="Arial" w:cs="Arial" w:eastAsia="Arial" w:hAnsi="Arial"/>
                <w:sz w:val="15"/>
                <w:szCs w:val="15"/>
                <w:color w:val="auto"/>
              </w:rPr>
              <w:t>Cash paid for acquisition, net of cash received</w:t>
            </w:r>
          </w:p>
        </w:tc>
        <w:tc>
          <w:tcPr>
            <w:tcW w:w="820" w:type="dxa"/>
            <w:vAlign w:val="bottom"/>
          </w:tcPr>
          <w:p>
            <w:pPr>
              <w:jc w:val="right"/>
              <w:spacing w:after="0"/>
              <w:rPr>
                <w:sz w:val="20"/>
                <w:szCs w:val="20"/>
                <w:color w:val="auto"/>
              </w:rPr>
            </w:pPr>
            <w:r>
              <w:rPr>
                <w:rFonts w:ascii="Arial" w:cs="Arial" w:eastAsia="Arial" w:hAnsi="Arial"/>
                <w:sz w:val="15"/>
                <w:szCs w:val="15"/>
                <w:color w:val="auto"/>
              </w:rPr>
              <w:t>(13,936)</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556</w:t>
            </w:r>
          </w:p>
        </w:tc>
        <w:tc>
          <w:tcPr>
            <w:tcW w:w="820" w:type="dxa"/>
            <w:vAlign w:val="bottom"/>
          </w:tcPr>
          <w:p>
            <w:pPr>
              <w:jc w:val="right"/>
              <w:spacing w:after="0"/>
              <w:rPr>
                <w:sz w:val="20"/>
                <w:szCs w:val="20"/>
                <w:color w:val="auto"/>
              </w:rPr>
            </w:pPr>
            <w:r>
              <w:rPr>
                <w:rFonts w:ascii="Arial" w:cs="Arial" w:eastAsia="Arial" w:hAnsi="Arial"/>
                <w:sz w:val="15"/>
                <w:szCs w:val="15"/>
                <w:color w:val="auto"/>
              </w:rPr>
              <w:t>(50,566)</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556</w:t>
            </w:r>
          </w:p>
        </w:tc>
      </w:tr>
      <w:tr>
        <w:trPr>
          <w:trHeight w:val="183"/>
        </w:trPr>
        <w:tc>
          <w:tcPr>
            <w:tcW w:w="4320" w:type="dxa"/>
            <w:vAlign w:val="bottom"/>
          </w:tcPr>
          <w:p>
            <w:pPr>
              <w:ind w:left="100"/>
              <w:spacing w:after="0"/>
              <w:rPr>
                <w:sz w:val="20"/>
                <w:szCs w:val="20"/>
                <w:color w:val="auto"/>
              </w:rPr>
            </w:pPr>
            <w:r>
              <w:rPr>
                <w:rFonts w:ascii="Arial" w:cs="Arial" w:eastAsia="Arial" w:hAnsi="Arial"/>
                <w:sz w:val="15"/>
                <w:szCs w:val="15"/>
                <w:color w:val="auto"/>
              </w:rPr>
              <w:t>Return of investment from equity affiliates</w:t>
            </w:r>
          </w:p>
        </w:tc>
        <w:tc>
          <w:tcPr>
            <w:tcW w:w="820" w:type="dxa"/>
            <w:vAlign w:val="bottom"/>
          </w:tcPr>
          <w:p>
            <w:pPr>
              <w:jc w:val="right"/>
              <w:spacing w:after="0"/>
              <w:rPr>
                <w:sz w:val="20"/>
                <w:szCs w:val="20"/>
                <w:color w:val="auto"/>
              </w:rPr>
            </w:pPr>
            <w:r>
              <w:rPr>
                <w:rFonts w:ascii="Arial" w:cs="Arial" w:eastAsia="Arial" w:hAnsi="Arial"/>
                <w:sz w:val="15"/>
                <w:szCs w:val="15"/>
                <w:color w:val="auto"/>
              </w:rPr>
              <w:t>138</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138</w:t>
            </w:r>
          </w:p>
        </w:tc>
        <w:tc>
          <w:tcPr>
            <w:tcW w:w="4420" w:type="dxa"/>
            <w:vAlign w:val="bottom"/>
            <w:gridSpan w:val="2"/>
          </w:tcPr>
          <w:p>
            <w:pPr>
              <w:jc w:val="right"/>
              <w:ind w:right="3700"/>
              <w:spacing w:after="0"/>
              <w:rPr>
                <w:sz w:val="20"/>
                <w:szCs w:val="20"/>
                <w:color w:val="auto"/>
              </w:rPr>
            </w:pPr>
            <w:r>
              <w:rPr>
                <w:rFonts w:ascii="Arial" w:cs="Arial" w:eastAsia="Arial" w:hAnsi="Arial"/>
                <w:sz w:val="15"/>
                <w:szCs w:val="15"/>
                <w:color w:val="auto"/>
              </w:rPr>
              <w:t>-</w:t>
            </w: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Net cash generated from (used in) investing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61,207</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(300,378)</w:t>
            </w:r>
          </w:p>
        </w:tc>
        <w:tc>
          <w:tcPr>
            <w:tcW w:w="2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(57,690)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(535,052)</w:t>
            </w:r>
          </w:p>
        </w:tc>
        <w:tc>
          <w:tcPr>
            <w:tcW w:w="3700" w:type="dxa"/>
            <w:vAlign w:val="bottom"/>
          </w:tcPr>
          <w:p>
            <w:pPr>
              <w:spacing w:after="0"/>
              <w:rPr>
                <w:sz w:val="15"/>
                <w:szCs w:val="15"/>
                <w:color w:val="auto"/>
              </w:rPr>
            </w:pPr>
          </w:p>
        </w:tc>
      </w:tr>
      <w:tr>
        <w:trPr>
          <w:trHeight w:val="428"/>
        </w:trPr>
        <w:tc>
          <w:tcPr>
            <w:tcW w:w="4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3"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Proceeds from the private placement, net of issuance costs paid</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249,950</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160"/>
              <w:spacing w:after="0"/>
              <w:rPr>
                <w:sz w:val="20"/>
                <w:szCs w:val="20"/>
                <w:color w:val="auto"/>
              </w:rPr>
            </w:pPr>
            <w:r>
              <w:rPr>
                <w:rFonts w:ascii="Arial" w:cs="Arial" w:eastAsia="Arial" w:hAnsi="Arial"/>
                <w:sz w:val="15"/>
                <w:szCs w:val="15"/>
                <w:color w:val="auto"/>
              </w:rPr>
              <w:t>Proceeds from issuance of Series C+ convertible redeemable preferred</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40" w:type="dxa"/>
            <w:vAlign w:val="bottom"/>
          </w:tcPr>
          <w:p>
            <w:pPr>
              <w:ind w:left="160"/>
              <w:spacing w:after="0"/>
              <w:rPr>
                <w:sz w:val="20"/>
                <w:szCs w:val="20"/>
                <w:color w:val="auto"/>
              </w:rPr>
            </w:pPr>
            <w:r>
              <w:rPr>
                <w:rFonts w:ascii="Arial" w:cs="Arial" w:eastAsia="Arial" w:hAnsi="Arial"/>
                <w:sz w:val="15"/>
                <w:szCs w:val="15"/>
                <w:color w:val="auto"/>
              </w:rPr>
              <w:t>shares, net of the issuance costs of nil</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50,000</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160"/>
              <w:spacing w:after="0"/>
              <w:rPr>
                <w:sz w:val="20"/>
                <w:szCs w:val="20"/>
                <w:color w:val="auto"/>
              </w:rPr>
            </w:pPr>
            <w:r>
              <w:rPr>
                <w:rFonts w:ascii="Arial" w:cs="Arial" w:eastAsia="Arial" w:hAnsi="Arial"/>
                <w:sz w:val="15"/>
                <w:szCs w:val="15"/>
                <w:color w:val="auto"/>
              </w:rPr>
              <w:t>Proceeds from the IPO and concurrent private placement, net of</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40" w:type="dxa"/>
            <w:vAlign w:val="bottom"/>
          </w:tcPr>
          <w:p>
            <w:pPr>
              <w:ind w:left="160"/>
              <w:spacing w:after="0"/>
              <w:rPr>
                <w:sz w:val="20"/>
                <w:szCs w:val="20"/>
                <w:color w:val="auto"/>
              </w:rPr>
            </w:pPr>
            <w:r>
              <w:rPr>
                <w:rFonts w:ascii="Arial" w:cs="Arial" w:eastAsia="Arial" w:hAnsi="Arial"/>
                <w:sz w:val="15"/>
                <w:szCs w:val="15"/>
                <w:color w:val="auto"/>
              </w:rPr>
              <w:t>underwriter discounts and commissions and other offering costs paid</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(277)</w:t>
            </w:r>
          </w:p>
        </w:tc>
        <w:tc>
          <w:tcPr>
            <w:tcW w:w="1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483,628</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Proceeds from exercise of employees’ share options</w:t>
            </w:r>
          </w:p>
        </w:tc>
        <w:tc>
          <w:tcPr>
            <w:tcW w:w="760" w:type="dxa"/>
            <w:vAlign w:val="bottom"/>
          </w:tcPr>
          <w:p>
            <w:pPr>
              <w:jc w:val="right"/>
              <w:spacing w:after="0"/>
              <w:rPr>
                <w:sz w:val="20"/>
                <w:szCs w:val="20"/>
                <w:color w:val="auto"/>
              </w:rPr>
            </w:pPr>
            <w:r>
              <w:rPr>
                <w:rFonts w:ascii="Arial" w:cs="Arial" w:eastAsia="Arial" w:hAnsi="Arial"/>
                <w:sz w:val="15"/>
                <w:szCs w:val="15"/>
                <w:color w:val="auto"/>
              </w:rPr>
              <w:t>208</w:t>
            </w: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2,042</w:t>
            </w:r>
          </w:p>
        </w:tc>
        <w:tc>
          <w:tcPr>
            <w:tcW w:w="620" w:type="dxa"/>
            <w:vAlign w:val="bottom"/>
          </w:tcPr>
          <w:p>
            <w:pPr>
              <w:jc w:val="right"/>
              <w:spacing w:after="0"/>
              <w:rPr>
                <w:sz w:val="20"/>
                <w:szCs w:val="20"/>
                <w:color w:val="auto"/>
              </w:rPr>
            </w:pPr>
            <w:r>
              <w:rPr>
                <w:rFonts w:ascii="Arial" w:cs="Arial" w:eastAsia="Arial" w:hAnsi="Arial"/>
                <w:sz w:val="15"/>
                <w:szCs w:val="15"/>
                <w:color w:val="auto"/>
              </w:rPr>
              <w:t>10</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40" w:type="dxa"/>
            <w:vAlign w:val="bottom"/>
          </w:tcPr>
          <w:p>
            <w:pPr>
              <w:ind w:left="160"/>
              <w:spacing w:after="0"/>
              <w:rPr>
                <w:sz w:val="20"/>
                <w:szCs w:val="20"/>
                <w:color w:val="auto"/>
              </w:rPr>
            </w:pPr>
            <w:r>
              <w:rPr>
                <w:rFonts w:ascii="Arial" w:cs="Arial" w:eastAsia="Arial" w:hAnsi="Arial"/>
                <w:sz w:val="15"/>
                <w:szCs w:val="15"/>
                <w:color w:val="auto"/>
              </w:rPr>
              <w:t>Payment of financing cost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20"/>
                <w:szCs w:val="20"/>
                <w:color w:val="auto"/>
              </w:rPr>
            </w:pPr>
            <w:r>
              <w:rPr>
                <w:rFonts w:ascii="Arial" w:cs="Arial" w:eastAsia="Arial" w:hAnsi="Arial"/>
                <w:sz w:val="15"/>
                <w:szCs w:val="15"/>
                <w:color w:val="auto"/>
              </w:rPr>
              <w:t>Net cash provided by (used in) financing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251,937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533,638</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40" w:type="dxa"/>
            <w:vAlign w:val="bottom"/>
          </w:tcPr>
          <w:p>
            <w:pPr>
              <w:spacing w:after="0"/>
              <w:rPr>
                <w:sz w:val="20"/>
                <w:szCs w:val="20"/>
                <w:color w:val="auto"/>
              </w:rPr>
            </w:pPr>
            <w:r>
              <w:rPr>
                <w:rFonts w:ascii="Arial" w:cs="Arial" w:eastAsia="Arial" w:hAnsi="Arial"/>
                <w:sz w:val="15"/>
                <w:szCs w:val="15"/>
                <w:color w:val="auto"/>
              </w:rPr>
              <w:t>Effect of foreign exchange rate changes on cash, cash equivalents and</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20"/>
                <w:szCs w:val="20"/>
                <w:color w:val="auto"/>
              </w:rPr>
            </w:pPr>
            <w:r>
              <w:rPr>
                <w:rFonts w:ascii="Arial" w:cs="Arial" w:eastAsia="Arial" w:hAnsi="Arial"/>
                <w:sz w:val="15"/>
                <w:szCs w:val="15"/>
                <w:color w:val="auto"/>
              </w:rPr>
              <w:t>restricted cash</w:t>
            </w: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c>
          <w:tcPr>
            <w:tcW w:w="600" w:type="dxa"/>
            <w:vAlign w:val="bottom"/>
          </w:tcPr>
          <w:p>
            <w:pPr>
              <w:jc w:val="right"/>
              <w:spacing w:after="0"/>
              <w:rPr>
                <w:sz w:val="20"/>
                <w:szCs w:val="20"/>
                <w:color w:val="auto"/>
              </w:rPr>
            </w:pPr>
            <w:r>
              <w:rPr>
                <w:rFonts w:ascii="Arial" w:cs="Arial" w:eastAsia="Arial" w:hAnsi="Arial"/>
                <w:sz w:val="15"/>
                <w:szCs w:val="15"/>
                <w:color w:val="auto"/>
              </w:rPr>
              <w:t>114</w:t>
            </w:r>
          </w:p>
        </w:tc>
        <w:tc>
          <w:tcPr>
            <w:tcW w:w="1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279</w:t>
            </w:r>
          </w:p>
        </w:tc>
        <w:tc>
          <w:tcPr>
            <w:tcW w:w="620" w:type="dxa"/>
            <w:vAlign w:val="bottom"/>
          </w:tcPr>
          <w:p>
            <w:pPr>
              <w:jc w:val="right"/>
              <w:spacing w:after="0"/>
              <w:rPr>
                <w:sz w:val="20"/>
                <w:szCs w:val="20"/>
                <w:color w:val="auto"/>
              </w:rPr>
            </w:pPr>
            <w:r>
              <w:rPr>
                <w:rFonts w:ascii="Arial" w:cs="Arial" w:eastAsia="Arial" w:hAnsi="Arial"/>
                <w:sz w:val="15"/>
                <w:szCs w:val="15"/>
                <w:color w:val="auto"/>
              </w:rPr>
              <w:t>465</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66,419(298,564)</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174,526</w:t>
            </w:r>
          </w:p>
        </w:tc>
        <w:tc>
          <w:tcPr>
            <w:tcW w:w="620" w:type="dxa"/>
            <w:vAlign w:val="bottom"/>
          </w:tcPr>
          <w:p>
            <w:pPr>
              <w:jc w:val="right"/>
              <w:spacing w:after="0"/>
              <w:rPr>
                <w:sz w:val="20"/>
                <w:szCs w:val="20"/>
                <w:color w:val="auto"/>
              </w:rPr>
            </w:pPr>
            <w:r>
              <w:rPr>
                <w:rFonts w:ascii="Arial" w:cs="Arial" w:eastAsia="Arial" w:hAnsi="Arial"/>
                <w:sz w:val="15"/>
                <w:szCs w:val="15"/>
                <w:color w:val="auto"/>
              </w:rPr>
              <w:t>5,615</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40" w:type="dxa"/>
            <w:vAlign w:val="bottom"/>
          </w:tcPr>
          <w:p>
            <w:pPr>
              <w:ind w:left="160"/>
              <w:spacing w:after="0"/>
              <w:rPr>
                <w:sz w:val="20"/>
                <w:szCs w:val="20"/>
                <w:color w:val="auto"/>
              </w:rPr>
            </w:pPr>
            <w:r>
              <w:rPr>
                <w:rFonts w:ascii="Arial" w:cs="Arial" w:eastAsia="Arial" w:hAnsi="Arial"/>
                <w:sz w:val="15"/>
                <w:szCs w:val="15"/>
                <w:color w:val="auto"/>
              </w:rPr>
              <w:t>Cash, cash equivalents and restricted cash at beginning of period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219,405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409,862</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111,298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105,683</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160"/>
              <w:spacing w:after="0"/>
              <w:rPr>
                <w:sz w:val="20"/>
                <w:szCs w:val="20"/>
                <w:color w:val="auto"/>
              </w:rPr>
            </w:pPr>
            <w:r>
              <w:rPr>
                <w:rFonts w:ascii="Arial" w:cs="Arial" w:eastAsia="Arial" w:hAnsi="Arial"/>
                <w:sz w:val="15"/>
                <w:szCs w:val="15"/>
                <w:color w:val="auto"/>
              </w:rPr>
              <w:t>Cash, cash equivalents and restricted cash at end of period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285,824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111,298</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285,824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111,298</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5"/>
                <w:szCs w:val="15"/>
                <w:color w:val="auto"/>
              </w:rPr>
              <w:t>Supplemental disclosure of cash flow information:</w:t>
            </w: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00"/>
              <w:spacing w:after="0"/>
              <w:rPr>
                <w:sz w:val="20"/>
                <w:szCs w:val="20"/>
                <w:color w:val="auto"/>
              </w:rPr>
            </w:pPr>
            <w:r>
              <w:rPr>
                <w:rFonts w:ascii="Arial" w:cs="Arial" w:eastAsia="Arial" w:hAnsi="Arial"/>
                <w:sz w:val="15"/>
                <w:szCs w:val="15"/>
                <w:color w:val="auto"/>
              </w:rPr>
              <w:t>Income taxes paid</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966</w:t>
            </w:r>
          </w:p>
        </w:tc>
        <w:tc>
          <w:tcPr>
            <w:tcW w:w="620" w:type="dxa"/>
            <w:vAlign w:val="bottom"/>
          </w:tcPr>
          <w:p>
            <w:pPr>
              <w:jc w:val="right"/>
              <w:spacing w:after="0"/>
              <w:rPr>
                <w:sz w:val="20"/>
                <w:szCs w:val="20"/>
                <w:color w:val="auto"/>
              </w:rPr>
            </w:pPr>
            <w:r>
              <w:rPr>
                <w:rFonts w:ascii="Arial" w:cs="Arial" w:eastAsia="Arial" w:hAnsi="Arial"/>
                <w:sz w:val="15"/>
                <w:szCs w:val="15"/>
                <w:color w:val="auto"/>
              </w:rPr>
              <w:t>742</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Cash payments included in the measurement of operating lease liabilities</w:t>
            </w:r>
          </w:p>
        </w:tc>
        <w:tc>
          <w:tcPr>
            <w:tcW w:w="760" w:type="dxa"/>
            <w:vAlign w:val="bottom"/>
          </w:tcPr>
          <w:p>
            <w:pPr>
              <w:jc w:val="right"/>
              <w:spacing w:after="0"/>
              <w:rPr>
                <w:sz w:val="20"/>
                <w:szCs w:val="20"/>
                <w:color w:val="auto"/>
              </w:rPr>
            </w:pPr>
            <w:r>
              <w:rPr>
                <w:rFonts w:ascii="Arial" w:cs="Arial" w:eastAsia="Arial" w:hAnsi="Arial"/>
                <w:sz w:val="15"/>
                <w:szCs w:val="15"/>
                <w:color w:val="auto"/>
              </w:rPr>
              <w:t>1,023</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3,995</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Right-of-use assets obtained in exchange for operating lease obligations</w:t>
            </w:r>
          </w:p>
        </w:tc>
        <w:tc>
          <w:tcPr>
            <w:tcW w:w="760" w:type="dxa"/>
            <w:vAlign w:val="bottom"/>
          </w:tcPr>
          <w:p>
            <w:pPr>
              <w:jc w:val="right"/>
              <w:spacing w:after="0"/>
              <w:rPr>
                <w:sz w:val="20"/>
                <w:szCs w:val="20"/>
                <w:color w:val="auto"/>
              </w:rPr>
            </w:pPr>
            <w:r>
              <w:rPr>
                <w:rFonts w:ascii="Arial" w:cs="Arial" w:eastAsia="Arial" w:hAnsi="Arial"/>
                <w:sz w:val="15"/>
                <w:szCs w:val="15"/>
                <w:color w:val="auto"/>
              </w:rPr>
              <w:t>664</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4,300</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5"/>
                <w:szCs w:val="15"/>
                <w:color w:val="auto"/>
              </w:rPr>
              <w:t>Non-cash financing and investing activities:</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Accretion to redemption value of convertible redeemable preferred shares</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193,466</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Deposits utilized for employees’ share option exercises</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(339)</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(339)</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00"/>
              <w:spacing w:after="0"/>
              <w:rPr>
                <w:sz w:val="20"/>
                <w:szCs w:val="20"/>
                <w:color w:val="auto"/>
              </w:rPr>
            </w:pPr>
            <w:r>
              <w:rPr>
                <w:rFonts w:ascii="Arial" w:cs="Arial" w:eastAsia="Arial" w:hAnsi="Arial"/>
                <w:sz w:val="15"/>
                <w:szCs w:val="15"/>
                <w:color w:val="auto"/>
              </w:rPr>
              <w:t>Payables for property and equipment</w:t>
            </w:r>
          </w:p>
        </w:tc>
        <w:tc>
          <w:tcPr>
            <w:tcW w:w="760" w:type="dxa"/>
            <w:vAlign w:val="bottom"/>
          </w:tcPr>
          <w:p>
            <w:pPr>
              <w:jc w:val="right"/>
              <w:spacing w:after="0"/>
              <w:rPr>
                <w:sz w:val="20"/>
                <w:szCs w:val="20"/>
                <w:color w:val="auto"/>
              </w:rPr>
            </w:pPr>
            <w:r>
              <w:rPr>
                <w:rFonts w:ascii="Arial" w:cs="Arial" w:eastAsia="Arial" w:hAnsi="Arial"/>
                <w:sz w:val="15"/>
                <w:szCs w:val="15"/>
                <w:color w:val="auto"/>
              </w:rPr>
              <w:t>373</w:t>
            </w:r>
          </w:p>
        </w:tc>
        <w:tc>
          <w:tcPr>
            <w:tcW w:w="600" w:type="dxa"/>
            <w:vAlign w:val="bottom"/>
          </w:tcPr>
          <w:p>
            <w:pPr>
              <w:jc w:val="right"/>
              <w:spacing w:after="0"/>
              <w:rPr>
                <w:sz w:val="20"/>
                <w:szCs w:val="20"/>
                <w:color w:val="auto"/>
              </w:rPr>
            </w:pPr>
            <w:r>
              <w:rPr>
                <w:rFonts w:ascii="Arial" w:cs="Arial" w:eastAsia="Arial" w:hAnsi="Arial"/>
                <w:sz w:val="15"/>
                <w:szCs w:val="15"/>
                <w:color w:val="auto"/>
              </w:rPr>
              <w:t>2,293</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373</w:t>
            </w:r>
          </w:p>
        </w:tc>
        <w:tc>
          <w:tcPr>
            <w:tcW w:w="620" w:type="dxa"/>
            <w:vAlign w:val="bottom"/>
          </w:tcPr>
          <w:p>
            <w:pPr>
              <w:jc w:val="right"/>
              <w:spacing w:after="0"/>
              <w:rPr>
                <w:sz w:val="20"/>
                <w:szCs w:val="20"/>
                <w:color w:val="auto"/>
              </w:rPr>
            </w:pPr>
            <w:r>
              <w:rPr>
                <w:rFonts w:ascii="Arial" w:cs="Arial" w:eastAsia="Arial" w:hAnsi="Arial"/>
                <w:sz w:val="15"/>
                <w:szCs w:val="15"/>
                <w:color w:val="auto"/>
              </w:rPr>
              <w:t>2,293</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00"/>
              <w:spacing w:after="0"/>
              <w:rPr>
                <w:sz w:val="20"/>
                <w:szCs w:val="20"/>
                <w:color w:val="auto"/>
              </w:rPr>
            </w:pPr>
            <w:r>
              <w:rPr>
                <w:rFonts w:ascii="Arial" w:cs="Arial" w:eastAsia="Arial" w:hAnsi="Arial"/>
                <w:sz w:val="15"/>
                <w:szCs w:val="15"/>
                <w:color w:val="auto"/>
              </w:rPr>
              <w:t>Payables for acquisition</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3,150</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4,603</w:t>
            </w:r>
          </w:p>
        </w:tc>
        <w:tc>
          <w:tcPr>
            <w:tcW w:w="620" w:type="dxa"/>
            <w:vAlign w:val="bottom"/>
          </w:tcPr>
          <w:p>
            <w:pPr>
              <w:jc w:val="right"/>
              <w:spacing w:after="0"/>
              <w:rPr>
                <w:sz w:val="20"/>
                <w:szCs w:val="20"/>
                <w:color w:val="auto"/>
              </w:rPr>
            </w:pPr>
            <w:r>
              <w:rPr>
                <w:rFonts w:ascii="Arial" w:cs="Arial" w:eastAsia="Arial" w:hAnsi="Arial"/>
                <w:sz w:val="15"/>
                <w:szCs w:val="15"/>
                <w:color w:val="auto"/>
              </w:rPr>
              <w:t>3,150</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60"/>
              <w:spacing w:after="0"/>
              <w:rPr>
                <w:sz w:val="20"/>
                <w:szCs w:val="20"/>
                <w:color w:val="auto"/>
              </w:rPr>
            </w:pPr>
            <w:r>
              <w:rPr>
                <w:rFonts w:ascii="Arial" w:cs="Arial" w:eastAsia="Arial" w:hAnsi="Arial"/>
                <w:sz w:val="15"/>
                <w:szCs w:val="15"/>
                <w:color w:val="auto"/>
              </w:rPr>
              <w:t>Proceeds receivable from exercise of employees’ share options</w:t>
            </w:r>
          </w:p>
        </w:tc>
        <w:tc>
          <w:tcPr>
            <w:tcW w:w="760" w:type="dxa"/>
            <w:vAlign w:val="bottom"/>
          </w:tcPr>
          <w:p>
            <w:pPr>
              <w:jc w:val="right"/>
              <w:spacing w:after="0"/>
              <w:rPr>
                <w:sz w:val="20"/>
                <w:szCs w:val="20"/>
                <w:color w:val="auto"/>
              </w:rPr>
            </w:pPr>
            <w:r>
              <w:rPr>
                <w:rFonts w:ascii="Arial" w:cs="Arial" w:eastAsia="Arial" w:hAnsi="Arial"/>
                <w:sz w:val="15"/>
                <w:szCs w:val="15"/>
                <w:color w:val="auto"/>
              </w:rPr>
              <w:t>329</w:t>
            </w:r>
          </w:p>
        </w:tc>
        <w:tc>
          <w:tcPr>
            <w:tcW w:w="600" w:type="dxa"/>
            <w:vAlign w:val="bottom"/>
          </w:tcPr>
          <w:p>
            <w:pPr>
              <w:jc w:val="right"/>
              <w:spacing w:after="0"/>
              <w:rPr>
                <w:sz w:val="20"/>
                <w:szCs w:val="20"/>
                <w:color w:val="auto"/>
              </w:rPr>
            </w:pPr>
            <w:r>
              <w:rPr>
                <w:rFonts w:ascii="Arial" w:cs="Arial" w:eastAsia="Arial" w:hAnsi="Arial"/>
                <w:sz w:val="15"/>
                <w:szCs w:val="15"/>
                <w:color w:val="auto"/>
              </w:rPr>
              <w:t>612</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329</w:t>
            </w:r>
          </w:p>
        </w:tc>
        <w:tc>
          <w:tcPr>
            <w:tcW w:w="620" w:type="dxa"/>
            <w:vAlign w:val="bottom"/>
          </w:tcPr>
          <w:p>
            <w:pPr>
              <w:jc w:val="right"/>
              <w:spacing w:after="0"/>
              <w:rPr>
                <w:sz w:val="20"/>
                <w:szCs w:val="20"/>
                <w:color w:val="auto"/>
              </w:rPr>
            </w:pPr>
            <w:r>
              <w:rPr>
                <w:rFonts w:ascii="Arial" w:cs="Arial" w:eastAsia="Arial" w:hAnsi="Arial"/>
                <w:sz w:val="15"/>
                <w:szCs w:val="15"/>
                <w:color w:val="auto"/>
              </w:rPr>
              <w:t>612</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00"/>
              <w:spacing w:after="0"/>
              <w:rPr>
                <w:sz w:val="20"/>
                <w:szCs w:val="20"/>
                <w:color w:val="auto"/>
              </w:rPr>
            </w:pPr>
            <w:r>
              <w:rPr>
                <w:rFonts w:ascii="Arial" w:cs="Arial" w:eastAsia="Arial" w:hAnsi="Arial"/>
                <w:sz w:val="15"/>
                <w:szCs w:val="15"/>
                <w:color w:val="auto"/>
              </w:rPr>
              <w:t>Payables for financing cost</w:t>
            </w:r>
          </w:p>
        </w:tc>
        <w:tc>
          <w:tcPr>
            <w:tcW w:w="760" w:type="dxa"/>
            <w:vAlign w:val="bottom"/>
          </w:tcPr>
          <w:p>
            <w:pPr>
              <w:jc w:val="right"/>
              <w:spacing w:after="0"/>
              <w:rPr>
                <w:sz w:val="20"/>
                <w:szCs w:val="20"/>
                <w:color w:val="auto"/>
              </w:rPr>
            </w:pPr>
            <w:r>
              <w:rPr>
                <w:rFonts w:ascii="Arial" w:cs="Arial" w:eastAsia="Arial" w:hAnsi="Arial"/>
                <w:sz w:val="15"/>
                <w:szCs w:val="15"/>
                <w:color w:val="auto"/>
              </w:rPr>
              <w:t>2,234</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2,234</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100"/>
              <w:spacing w:after="0"/>
              <w:rPr>
                <w:sz w:val="20"/>
                <w:szCs w:val="20"/>
                <w:color w:val="auto"/>
              </w:rPr>
            </w:pPr>
            <w:r>
              <w:rPr>
                <w:rFonts w:ascii="Arial" w:cs="Arial" w:eastAsia="Arial" w:hAnsi="Arial"/>
                <w:sz w:val="15"/>
                <w:szCs w:val="15"/>
                <w:color w:val="auto"/>
              </w:rPr>
              <w:t>Payables for long-term investment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5,490</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140" w:type="dxa"/>
            <w:vAlign w:val="bottom"/>
          </w:tcPr>
          <w:p>
            <w:pPr>
              <w:spacing w:after="0"/>
              <w:rPr>
                <w:sz w:val="20"/>
                <w:szCs w:val="20"/>
                <w:color w:val="auto"/>
              </w:rPr>
            </w:pPr>
            <w:r>
              <w:rPr>
                <w:rFonts w:ascii="Arial" w:cs="Arial" w:eastAsia="Arial" w:hAnsi="Arial"/>
                <w:sz w:val="15"/>
                <w:szCs w:val="15"/>
                <w:color w:val="auto"/>
              </w:rPr>
              <w:t>* includes restricted cash balance</w:t>
            </w:r>
          </w:p>
        </w:tc>
        <w:tc>
          <w:tcPr>
            <w:tcW w:w="760" w:type="dxa"/>
            <w:vAlign w:val="bottom"/>
          </w:tcPr>
          <w:p>
            <w:pPr>
              <w:jc w:val="right"/>
              <w:spacing w:after="0"/>
              <w:rPr>
                <w:sz w:val="20"/>
                <w:szCs w:val="20"/>
                <w:color w:val="auto"/>
              </w:rPr>
            </w:pPr>
            <w:r>
              <w:rPr>
                <w:rFonts w:ascii="Arial" w:cs="Arial" w:eastAsia="Arial" w:hAnsi="Arial"/>
                <w:sz w:val="15"/>
                <w:szCs w:val="15"/>
                <w:color w:val="auto"/>
              </w:rPr>
              <w:t>156</w:t>
            </w:r>
          </w:p>
        </w:tc>
        <w:tc>
          <w:tcPr>
            <w:tcW w:w="600" w:type="dxa"/>
            <w:vAlign w:val="bottom"/>
          </w:tcPr>
          <w:p>
            <w:pPr>
              <w:jc w:val="right"/>
              <w:spacing w:after="0"/>
              <w:rPr>
                <w:sz w:val="20"/>
                <w:szCs w:val="20"/>
                <w:color w:val="auto"/>
              </w:rPr>
            </w:pPr>
            <w:r>
              <w:rPr>
                <w:rFonts w:ascii="Arial" w:cs="Arial" w:eastAsia="Arial" w:hAnsi="Arial"/>
                <w:sz w:val="15"/>
                <w:szCs w:val="15"/>
                <w:color w:val="auto"/>
              </w:rPr>
              <w:t>80</w:t>
            </w:r>
          </w:p>
        </w:tc>
        <w:tc>
          <w:tcPr>
            <w:tcW w:w="1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620" w:type="dxa"/>
            <w:vAlign w:val="bottom"/>
          </w:tcPr>
          <w:p>
            <w:pPr>
              <w:jc w:val="right"/>
              <w:spacing w:after="0"/>
              <w:rPr>
                <w:sz w:val="20"/>
                <w:szCs w:val="20"/>
                <w:color w:val="auto"/>
              </w:rPr>
            </w:pPr>
            <w:r>
              <w:rPr>
                <w:rFonts w:ascii="Arial" w:cs="Arial" w:eastAsia="Arial" w:hAnsi="Arial"/>
                <w:sz w:val="15"/>
                <w:szCs w:val="15"/>
                <w:color w:val="auto"/>
              </w:rPr>
              <w:t>80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5"/>
                <w:szCs w:val="15"/>
                <w:color w:val="auto"/>
              </w:rPr>
              <w:t>** includes restricted cash balance</w:t>
            </w:r>
          </w:p>
        </w:tc>
        <w:tc>
          <w:tcPr>
            <w:tcW w:w="760" w:type="dxa"/>
            <w:vAlign w:val="bottom"/>
          </w:tcPr>
          <w:p>
            <w:pPr>
              <w:jc w:val="right"/>
              <w:spacing w:after="0"/>
              <w:rPr>
                <w:sz w:val="20"/>
                <w:szCs w:val="20"/>
                <w:color w:val="auto"/>
              </w:rPr>
            </w:pPr>
            <w:r>
              <w:rPr>
                <w:rFonts w:ascii="Arial" w:cs="Arial" w:eastAsia="Arial" w:hAnsi="Arial"/>
                <w:sz w:val="15"/>
                <w:szCs w:val="15"/>
                <w:color w:val="auto"/>
              </w:rPr>
              <w:t>156</w:t>
            </w:r>
          </w:p>
        </w:tc>
        <w:tc>
          <w:tcPr>
            <w:tcW w:w="600" w:type="dxa"/>
            <w:vAlign w:val="bottom"/>
          </w:tcPr>
          <w:p>
            <w:pPr>
              <w:jc w:val="right"/>
              <w:spacing w:after="0"/>
              <w:rPr>
                <w:sz w:val="20"/>
                <w:szCs w:val="20"/>
                <w:color w:val="auto"/>
              </w:rPr>
            </w:pPr>
            <w:r>
              <w:rPr>
                <w:rFonts w:ascii="Arial" w:cs="Arial" w:eastAsia="Arial" w:hAnsi="Arial"/>
                <w:sz w:val="15"/>
                <w:szCs w:val="15"/>
                <w:color w:val="auto"/>
              </w:rPr>
              <w:t>80</w:t>
            </w:r>
          </w:p>
        </w:tc>
        <w:tc>
          <w:tcPr>
            <w:tcW w:w="1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156</w:t>
            </w:r>
          </w:p>
        </w:tc>
        <w:tc>
          <w:tcPr>
            <w:tcW w:w="620" w:type="dxa"/>
            <w:vAlign w:val="bottom"/>
          </w:tcPr>
          <w:p>
            <w:pPr>
              <w:jc w:val="right"/>
              <w:spacing w:after="0"/>
              <w:rPr>
                <w:sz w:val="20"/>
                <w:szCs w:val="20"/>
                <w:color w:val="auto"/>
              </w:rPr>
            </w:pPr>
            <w:r>
              <w:rPr>
                <w:rFonts w:ascii="Arial" w:cs="Arial" w:eastAsia="Arial" w:hAnsi="Arial"/>
                <w:sz w:val="15"/>
                <w:szCs w:val="15"/>
                <w:color w:val="auto"/>
              </w:rPr>
              <w:t>80</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6"/>
        </w:trPr>
        <w:tc>
          <w:tcPr>
            <w:tcW w:w="5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339" w:right="29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Agora,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GAAP to Non-GAAP Measures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in US$ thousands, except share and per ADS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5"/>
                <w:szCs w:val="15"/>
                <w:color w:val="auto"/>
              </w:rPr>
            </w:pPr>
          </w:p>
        </w:tc>
        <w:tc>
          <w:tcPr>
            <w:tcW w:w="2060" w:type="dxa"/>
            <w:vAlign w:val="bottom"/>
            <w:gridSpan w:val="3"/>
          </w:tcPr>
          <w:p>
            <w:pPr>
              <w:jc w:val="right"/>
              <w:ind w:right="440"/>
              <w:spacing w:after="0"/>
              <w:rPr>
                <w:sz w:val="20"/>
                <w:szCs w:val="20"/>
                <w:color w:val="auto"/>
              </w:rPr>
            </w:pPr>
            <w:r>
              <w:rPr>
                <w:rFonts w:ascii="Arial" w:cs="Arial" w:eastAsia="Arial" w:hAnsi="Arial"/>
                <w:sz w:val="15"/>
                <w:szCs w:val="15"/>
                <w:color w:val="auto"/>
              </w:rPr>
              <w:t>Three Month Ended</w:t>
            </w:r>
          </w:p>
        </w:tc>
        <w:tc>
          <w:tcPr>
            <w:tcW w:w="1820" w:type="dxa"/>
            <w:vAlign w:val="bottom"/>
            <w:gridSpan w:val="2"/>
          </w:tcPr>
          <w:p>
            <w:pPr>
              <w:jc w:val="right"/>
              <w:ind w:right="444"/>
              <w:spacing w:after="0"/>
              <w:rPr>
                <w:sz w:val="20"/>
                <w:szCs w:val="20"/>
                <w:color w:val="auto"/>
              </w:rPr>
            </w:pPr>
            <w:r>
              <w:rPr>
                <w:rFonts w:ascii="Arial" w:cs="Arial" w:eastAsia="Arial" w:hAnsi="Arial"/>
                <w:sz w:val="15"/>
                <w:szCs w:val="15"/>
                <w:color w:val="auto"/>
              </w:rPr>
              <w:t>Year Ended</w:t>
            </w:r>
          </w:p>
        </w:tc>
      </w:tr>
      <w:tr>
        <w:trPr>
          <w:trHeight w:val="183"/>
        </w:trPr>
        <w:tc>
          <w:tcPr>
            <w:tcW w:w="3720" w:type="dxa"/>
            <w:vAlign w:val="bottom"/>
          </w:tcPr>
          <w:p>
            <w:pPr>
              <w:spacing w:after="0"/>
              <w:rPr>
                <w:sz w:val="15"/>
                <w:szCs w:val="15"/>
                <w:color w:val="auto"/>
              </w:rPr>
            </w:pPr>
          </w:p>
        </w:tc>
        <w:tc>
          <w:tcPr>
            <w:tcW w:w="2060" w:type="dxa"/>
            <w:vAlign w:val="bottom"/>
            <w:gridSpan w:val="3"/>
          </w:tcPr>
          <w:p>
            <w:pPr>
              <w:jc w:val="right"/>
              <w:ind w:right="620"/>
              <w:spacing w:after="0"/>
              <w:rPr>
                <w:sz w:val="20"/>
                <w:szCs w:val="20"/>
                <w:color w:val="auto"/>
              </w:rPr>
            </w:pPr>
            <w:r>
              <w:rPr>
                <w:rFonts w:ascii="Arial" w:cs="Arial" w:eastAsia="Arial" w:hAnsi="Arial"/>
                <w:sz w:val="15"/>
                <w:szCs w:val="15"/>
                <w:color w:val="auto"/>
              </w:rPr>
              <w:t>December 31,</w:t>
            </w:r>
          </w:p>
        </w:tc>
        <w:tc>
          <w:tcPr>
            <w:tcW w:w="1820" w:type="dxa"/>
            <w:vAlign w:val="bottom"/>
            <w:gridSpan w:val="2"/>
          </w:tcPr>
          <w:p>
            <w:pPr>
              <w:jc w:val="right"/>
              <w:ind w:right="364"/>
              <w:spacing w:after="0"/>
              <w:rPr>
                <w:sz w:val="20"/>
                <w:szCs w:val="20"/>
                <w:color w:val="auto"/>
              </w:rPr>
            </w:pPr>
            <w:r>
              <w:rPr>
                <w:rFonts w:ascii="Arial" w:cs="Arial" w:eastAsia="Arial" w:hAnsi="Arial"/>
                <w:sz w:val="15"/>
                <w:szCs w:val="15"/>
                <w:color w:val="auto"/>
              </w:rPr>
              <w:t>December 31,</w:t>
            </w:r>
          </w:p>
        </w:tc>
      </w:tr>
      <w:tr>
        <w:trPr>
          <w:trHeight w:val="187"/>
        </w:trPr>
        <w:tc>
          <w:tcPr>
            <w:tcW w:w="37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rPr>
              <w:t>2021</w:t>
            </w: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rPr>
              <w:t>2021</w:t>
            </w:r>
          </w:p>
        </w:tc>
        <w:tc>
          <w:tcPr>
            <w:tcW w:w="7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rPr>
              <w:t>2020</w:t>
            </w:r>
          </w:p>
        </w:tc>
      </w:tr>
      <w:tr>
        <w:trPr>
          <w:trHeight w:val="200"/>
        </w:trPr>
        <w:tc>
          <w:tcPr>
            <w:tcW w:w="3720" w:type="dxa"/>
            <w:vAlign w:val="bottom"/>
          </w:tcPr>
          <w:p>
            <w:pPr>
              <w:spacing w:after="0"/>
              <w:rPr>
                <w:sz w:val="20"/>
                <w:szCs w:val="20"/>
                <w:color w:val="auto"/>
              </w:rPr>
            </w:pPr>
            <w:r>
              <w:rPr>
                <w:rFonts w:ascii="Arial" w:cs="Arial" w:eastAsia="Arial" w:hAnsi="Arial"/>
                <w:sz w:val="15"/>
                <w:szCs w:val="15"/>
                <w:color w:val="auto"/>
              </w:rPr>
              <w:t>GAAP net loss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(21,175)</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(6,182)</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(72,356)</w:t>
            </w:r>
          </w:p>
        </w:tc>
        <w:tc>
          <w:tcPr>
            <w:tcW w:w="760" w:type="dxa"/>
            <w:vAlign w:val="bottom"/>
          </w:tcPr>
          <w:p>
            <w:pPr>
              <w:jc w:val="right"/>
              <w:spacing w:after="0"/>
              <w:rPr>
                <w:sz w:val="20"/>
                <w:szCs w:val="20"/>
                <w:color w:val="auto"/>
              </w:rPr>
            </w:pPr>
            <w:r>
              <w:rPr>
                <w:rFonts w:ascii="Arial" w:cs="Arial" w:eastAsia="Arial" w:hAnsi="Arial"/>
                <w:sz w:val="15"/>
                <w:szCs w:val="15"/>
                <w:color w:val="auto"/>
              </w:rPr>
              <w:t>(3,114)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Add:</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Share-based compensation expenses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8,352</w:t>
            </w:r>
          </w:p>
        </w:tc>
        <w:tc>
          <w:tcPr>
            <w:tcW w:w="800" w:type="dxa"/>
            <w:vAlign w:val="bottom"/>
          </w:tcPr>
          <w:p>
            <w:pPr>
              <w:jc w:val="right"/>
              <w:spacing w:after="0"/>
              <w:rPr>
                <w:sz w:val="20"/>
                <w:szCs w:val="20"/>
                <w:color w:val="auto"/>
              </w:rPr>
            </w:pPr>
            <w:r>
              <w:rPr>
                <w:rFonts w:ascii="Arial" w:cs="Arial" w:eastAsia="Arial" w:hAnsi="Arial"/>
                <w:sz w:val="15"/>
                <w:szCs w:val="15"/>
                <w:color w:val="auto"/>
              </w:rPr>
              <w:t>2,948</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31,481</w:t>
            </w:r>
          </w:p>
        </w:tc>
        <w:tc>
          <w:tcPr>
            <w:tcW w:w="760" w:type="dxa"/>
            <w:vAlign w:val="bottom"/>
          </w:tcPr>
          <w:p>
            <w:pPr>
              <w:jc w:val="right"/>
              <w:spacing w:after="0"/>
              <w:rPr>
                <w:sz w:val="20"/>
                <w:szCs w:val="20"/>
                <w:color w:val="auto"/>
              </w:rPr>
            </w:pPr>
            <w:r>
              <w:rPr>
                <w:rFonts w:ascii="Arial" w:cs="Arial" w:eastAsia="Arial" w:hAnsi="Arial"/>
                <w:sz w:val="15"/>
                <w:szCs w:val="15"/>
                <w:color w:val="auto"/>
              </w:rPr>
              <w:t>11,974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Acquisition related expenses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425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5,780</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Amortization expenses of acquired intangible assets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556</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1,861</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720" w:type="dxa"/>
            <w:vAlign w:val="bottom"/>
          </w:tcPr>
          <w:p>
            <w:pPr>
              <w:spacing w:after="0"/>
              <w:rPr>
                <w:sz w:val="20"/>
                <w:szCs w:val="20"/>
                <w:color w:val="auto"/>
              </w:rPr>
            </w:pPr>
            <w:r>
              <w:rPr>
                <w:rFonts w:ascii="Arial" w:cs="Arial" w:eastAsia="Arial" w:hAnsi="Arial"/>
                <w:sz w:val="15"/>
                <w:szCs w:val="15"/>
                <w:color w:val="auto"/>
              </w:rPr>
              <w:t>Income tax related to acquired intangible assets</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720" w:type="dxa"/>
            <w:vAlign w:val="bottom"/>
          </w:tcPr>
          <w:p>
            <w:pPr>
              <w:spacing w:after="0"/>
              <w:rPr>
                <w:sz w:val="20"/>
                <w:szCs w:val="20"/>
                <w:color w:val="auto"/>
              </w:rPr>
            </w:pPr>
            <w:r>
              <w:rPr>
                <w:rFonts w:ascii="Arial" w:cs="Arial" w:eastAsia="Arial" w:hAnsi="Arial"/>
                <w:sz w:val="15"/>
                <w:szCs w:val="15"/>
                <w:color w:val="auto"/>
              </w:rPr>
              <w:t>Non-GAAP net (loss) income</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(11,926)</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(3,234)</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(33,517)</w:t>
            </w:r>
          </w:p>
        </w:tc>
        <w:tc>
          <w:tcPr>
            <w:tcW w:w="760" w:type="dxa"/>
            <w:vAlign w:val="bottom"/>
          </w:tcPr>
          <w:p>
            <w:pPr>
              <w:jc w:val="right"/>
              <w:spacing w:after="0"/>
              <w:rPr>
                <w:sz w:val="20"/>
                <w:szCs w:val="20"/>
                <w:color w:val="auto"/>
              </w:rPr>
            </w:pPr>
            <w:r>
              <w:rPr>
                <w:rFonts w:ascii="Arial" w:cs="Arial" w:eastAsia="Arial" w:hAnsi="Arial"/>
                <w:sz w:val="15"/>
                <w:szCs w:val="15"/>
                <w:color w:val="auto"/>
              </w:rPr>
              <w:t>8,860</w:t>
            </w:r>
          </w:p>
        </w:tc>
      </w:tr>
      <w:tr>
        <w:trPr>
          <w:trHeight w:val="20"/>
        </w:trPr>
        <w:tc>
          <w:tcPr>
            <w:tcW w:w="3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396"/>
        </w:trPr>
        <w:tc>
          <w:tcPr>
            <w:tcW w:w="3720" w:type="dxa"/>
            <w:vAlign w:val="bottom"/>
          </w:tcPr>
          <w:p>
            <w:pPr>
              <w:spacing w:after="0"/>
              <w:rPr>
                <w:sz w:val="20"/>
                <w:szCs w:val="20"/>
                <w:color w:val="auto"/>
              </w:rPr>
            </w:pPr>
            <w:r>
              <w:rPr>
                <w:rFonts w:ascii="Arial" w:cs="Arial" w:eastAsia="Arial" w:hAnsi="Arial"/>
                <w:sz w:val="15"/>
                <w:szCs w:val="15"/>
                <w:color w:val="auto"/>
              </w:rPr>
              <w:t>Net loss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(21,175)</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(6,182)</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(72,356)</w:t>
            </w:r>
          </w:p>
        </w:tc>
        <w:tc>
          <w:tcPr>
            <w:tcW w:w="760" w:type="dxa"/>
            <w:vAlign w:val="bottom"/>
          </w:tcPr>
          <w:p>
            <w:pPr>
              <w:jc w:val="right"/>
              <w:spacing w:after="0"/>
              <w:rPr>
                <w:sz w:val="20"/>
                <w:szCs w:val="20"/>
                <w:color w:val="auto"/>
              </w:rPr>
            </w:pPr>
            <w:r>
              <w:rPr>
                <w:rFonts w:ascii="Arial" w:cs="Arial" w:eastAsia="Arial" w:hAnsi="Arial"/>
                <w:sz w:val="15"/>
                <w:szCs w:val="15"/>
                <w:color w:val="auto"/>
              </w:rPr>
              <w:t>(3,114)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Excluding:</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Exchange gain (loss)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765</w:t>
            </w:r>
          </w:p>
        </w:tc>
        <w:tc>
          <w:tcPr>
            <w:tcW w:w="80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557</w:t>
            </w:r>
          </w:p>
        </w:tc>
        <w:tc>
          <w:tcPr>
            <w:tcW w:w="76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Interest income</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2,073</w:t>
            </w:r>
          </w:p>
        </w:tc>
        <w:tc>
          <w:tcPr>
            <w:tcW w:w="800" w:type="dxa"/>
            <w:vAlign w:val="bottom"/>
          </w:tcPr>
          <w:p>
            <w:pPr>
              <w:jc w:val="right"/>
              <w:spacing w:after="0"/>
              <w:rPr>
                <w:sz w:val="20"/>
                <w:szCs w:val="20"/>
                <w:color w:val="auto"/>
              </w:rPr>
            </w:pPr>
            <w:r>
              <w:rPr>
                <w:rFonts w:ascii="Arial" w:cs="Arial" w:eastAsia="Arial" w:hAnsi="Arial"/>
                <w:sz w:val="15"/>
                <w:szCs w:val="15"/>
                <w:color w:val="auto"/>
              </w:rPr>
              <w:t>1,527</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8,353</w:t>
            </w:r>
          </w:p>
        </w:tc>
        <w:tc>
          <w:tcPr>
            <w:tcW w:w="760" w:type="dxa"/>
            <w:vAlign w:val="bottom"/>
          </w:tcPr>
          <w:p>
            <w:pPr>
              <w:jc w:val="right"/>
              <w:spacing w:after="0"/>
              <w:rPr>
                <w:sz w:val="20"/>
                <w:szCs w:val="20"/>
                <w:color w:val="auto"/>
              </w:rPr>
            </w:pPr>
            <w:r>
              <w:rPr>
                <w:rFonts w:ascii="Arial" w:cs="Arial" w:eastAsia="Arial" w:hAnsi="Arial"/>
                <w:sz w:val="15"/>
                <w:szCs w:val="15"/>
                <w:color w:val="auto"/>
              </w:rPr>
              <w:t>2,704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Investment loss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(692)</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(1,659)</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Other income</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1,597</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1,597</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Equity in income of affiliates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329</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329</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Income taxes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(487)</w:t>
            </w:r>
          </w:p>
        </w:tc>
        <w:tc>
          <w:tcPr>
            <w:tcW w:w="800" w:type="dxa"/>
            <w:vAlign w:val="bottom"/>
          </w:tcPr>
          <w:p>
            <w:pPr>
              <w:jc w:val="right"/>
              <w:spacing w:after="0"/>
              <w:rPr>
                <w:sz w:val="20"/>
                <w:szCs w:val="20"/>
                <w:color w:val="auto"/>
              </w:rPr>
            </w:pPr>
            <w:r>
              <w:rPr>
                <w:rFonts w:ascii="Arial" w:cs="Arial" w:eastAsia="Arial" w:hAnsi="Arial"/>
                <w:sz w:val="15"/>
                <w:szCs w:val="15"/>
                <w:color w:val="auto"/>
              </w:rPr>
              <w:t>71</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(840)</w:t>
            </w:r>
          </w:p>
        </w:tc>
        <w:tc>
          <w:tcPr>
            <w:tcW w:w="760" w:type="dxa"/>
            <w:vAlign w:val="bottom"/>
          </w:tcPr>
          <w:p>
            <w:pPr>
              <w:jc w:val="right"/>
              <w:spacing w:after="0"/>
              <w:rPr>
                <w:sz w:val="20"/>
                <w:szCs w:val="20"/>
                <w:color w:val="auto"/>
              </w:rPr>
            </w:pPr>
            <w:r>
              <w:rPr>
                <w:rFonts w:ascii="Arial" w:cs="Arial" w:eastAsia="Arial" w:hAnsi="Arial"/>
                <w:sz w:val="15"/>
                <w:szCs w:val="15"/>
                <w:color w:val="auto"/>
              </w:rPr>
              <w:t>(562)</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Depreciation of property and equipment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2,303</w:t>
            </w:r>
          </w:p>
        </w:tc>
        <w:tc>
          <w:tcPr>
            <w:tcW w:w="800" w:type="dxa"/>
            <w:vAlign w:val="bottom"/>
          </w:tcPr>
          <w:p>
            <w:pPr>
              <w:jc w:val="right"/>
              <w:spacing w:after="0"/>
              <w:rPr>
                <w:sz w:val="20"/>
                <w:szCs w:val="20"/>
                <w:color w:val="auto"/>
              </w:rPr>
            </w:pPr>
            <w:r>
              <w:rPr>
                <w:rFonts w:ascii="Arial" w:cs="Arial" w:eastAsia="Arial" w:hAnsi="Arial"/>
                <w:sz w:val="15"/>
                <w:szCs w:val="15"/>
                <w:color w:val="auto"/>
              </w:rPr>
              <w:t>1,514</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8,281</w:t>
            </w:r>
          </w:p>
        </w:tc>
        <w:tc>
          <w:tcPr>
            <w:tcW w:w="760" w:type="dxa"/>
            <w:vAlign w:val="bottom"/>
          </w:tcPr>
          <w:p>
            <w:pPr>
              <w:jc w:val="right"/>
              <w:spacing w:after="0"/>
              <w:rPr>
                <w:sz w:val="20"/>
                <w:szCs w:val="20"/>
                <w:color w:val="auto"/>
              </w:rPr>
            </w:pPr>
            <w:r>
              <w:rPr>
                <w:rFonts w:ascii="Arial" w:cs="Arial" w:eastAsia="Arial" w:hAnsi="Arial"/>
                <w:sz w:val="15"/>
                <w:szCs w:val="15"/>
                <w:color w:val="auto"/>
              </w:rPr>
              <w:t>4,460</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Share-based compensation expenses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8,352</w:t>
            </w:r>
          </w:p>
        </w:tc>
        <w:tc>
          <w:tcPr>
            <w:tcW w:w="800" w:type="dxa"/>
            <w:vAlign w:val="bottom"/>
          </w:tcPr>
          <w:p>
            <w:pPr>
              <w:jc w:val="right"/>
              <w:spacing w:after="0"/>
              <w:rPr>
                <w:sz w:val="20"/>
                <w:szCs w:val="20"/>
                <w:color w:val="auto"/>
              </w:rPr>
            </w:pPr>
            <w:r>
              <w:rPr>
                <w:rFonts w:ascii="Arial" w:cs="Arial" w:eastAsia="Arial" w:hAnsi="Arial"/>
                <w:sz w:val="15"/>
                <w:szCs w:val="15"/>
                <w:color w:val="auto"/>
              </w:rPr>
              <w:t>2,948</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31,481</w:t>
            </w:r>
          </w:p>
        </w:tc>
        <w:tc>
          <w:tcPr>
            <w:tcW w:w="760" w:type="dxa"/>
            <w:vAlign w:val="bottom"/>
          </w:tcPr>
          <w:p>
            <w:pPr>
              <w:jc w:val="right"/>
              <w:spacing w:after="0"/>
              <w:rPr>
                <w:sz w:val="20"/>
                <w:szCs w:val="20"/>
                <w:color w:val="auto"/>
              </w:rPr>
            </w:pPr>
            <w:r>
              <w:rPr>
                <w:rFonts w:ascii="Arial" w:cs="Arial" w:eastAsia="Arial" w:hAnsi="Arial"/>
                <w:sz w:val="15"/>
                <w:szCs w:val="15"/>
                <w:color w:val="auto"/>
              </w:rPr>
              <w:t>11,974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Acquisition related expenses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425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5,780</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3720" w:type="dxa"/>
            <w:vAlign w:val="bottom"/>
          </w:tcPr>
          <w:p>
            <w:pPr>
              <w:spacing w:after="0"/>
              <w:rPr>
                <w:sz w:val="20"/>
                <w:szCs w:val="20"/>
                <w:color w:val="auto"/>
              </w:rPr>
            </w:pPr>
            <w:r>
              <w:rPr>
                <w:rFonts w:ascii="Arial" w:cs="Arial" w:eastAsia="Arial" w:hAnsi="Arial"/>
                <w:sz w:val="15"/>
                <w:szCs w:val="15"/>
                <w:color w:val="auto"/>
              </w:rPr>
              <w:t>Amortization expenses of acquired intangible assets</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556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1,861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720" w:type="dxa"/>
            <w:vAlign w:val="bottom"/>
          </w:tcPr>
          <w:p>
            <w:pPr>
              <w:spacing w:after="0"/>
              <w:rPr>
                <w:sz w:val="20"/>
                <w:szCs w:val="20"/>
                <w:color w:val="auto"/>
              </w:rPr>
            </w:pPr>
            <w:r>
              <w:rPr>
                <w:rFonts w:ascii="Arial" w:cs="Arial" w:eastAsia="Arial" w:hAnsi="Arial"/>
                <w:sz w:val="15"/>
                <w:szCs w:val="15"/>
                <w:color w:val="auto"/>
              </w:rPr>
              <w:t>Adjusted EBITDA</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(13,124)</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(3,287)</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(33,290)</w:t>
            </w:r>
          </w:p>
        </w:tc>
        <w:tc>
          <w:tcPr>
            <w:tcW w:w="760" w:type="dxa"/>
            <w:vAlign w:val="bottom"/>
          </w:tcPr>
          <w:p>
            <w:pPr>
              <w:jc w:val="right"/>
              <w:spacing w:after="0"/>
              <w:rPr>
                <w:sz w:val="20"/>
                <w:szCs w:val="20"/>
                <w:color w:val="auto"/>
              </w:rPr>
            </w:pPr>
            <w:r>
              <w:rPr>
                <w:rFonts w:ascii="Arial" w:cs="Arial" w:eastAsia="Arial" w:hAnsi="Arial"/>
                <w:sz w:val="15"/>
                <w:szCs w:val="15"/>
                <w:color w:val="auto"/>
              </w:rPr>
              <w:t>11,243</w:t>
            </w:r>
          </w:p>
        </w:tc>
      </w:tr>
      <w:tr>
        <w:trPr>
          <w:trHeight w:val="20"/>
        </w:trPr>
        <w:tc>
          <w:tcPr>
            <w:tcW w:w="3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5"/>
                <w:szCs w:val="15"/>
                <w:color w:val="auto"/>
              </w:rPr>
              <w:t>Net cash generated from (used in) operating activities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5,050</w:t>
            </w:r>
          </w:p>
        </w:tc>
        <w:tc>
          <w:tcPr>
            <w:tcW w:w="800" w:type="dxa"/>
            <w:vAlign w:val="bottom"/>
          </w:tcPr>
          <w:p>
            <w:pPr>
              <w:jc w:val="right"/>
              <w:spacing w:after="0"/>
              <w:rPr>
                <w:sz w:val="20"/>
                <w:szCs w:val="20"/>
                <w:color w:val="auto"/>
              </w:rPr>
            </w:pPr>
            <w:r>
              <w:rPr>
                <w:rFonts w:ascii="Arial" w:cs="Arial" w:eastAsia="Arial" w:hAnsi="Arial"/>
                <w:sz w:val="15"/>
                <w:szCs w:val="15"/>
                <w:color w:val="auto"/>
              </w:rPr>
              <w:t>1,967</w:t>
            </w:r>
          </w:p>
        </w:tc>
        <w:tc>
          <w:tcPr>
            <w:tcW w:w="16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(20,000)</w:t>
            </w:r>
          </w:p>
        </w:tc>
        <w:tc>
          <w:tcPr>
            <w:tcW w:w="760" w:type="dxa"/>
            <w:vAlign w:val="bottom"/>
          </w:tcPr>
          <w:p>
            <w:pPr>
              <w:jc w:val="right"/>
              <w:spacing w:after="0"/>
              <w:rPr>
                <w:sz w:val="20"/>
                <w:szCs w:val="20"/>
                <w:color w:val="auto"/>
              </w:rPr>
            </w:pPr>
            <w:r>
              <w:rPr>
                <w:rFonts w:ascii="Arial" w:cs="Arial" w:eastAsia="Arial" w:hAnsi="Arial"/>
                <w:sz w:val="15"/>
                <w:szCs w:val="15"/>
                <w:color w:val="auto"/>
              </w:rPr>
              <w:t>6,564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Purchase of property and equipment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(2,131)</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(3,347)</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(12,211)</w:t>
            </w:r>
          </w:p>
        </w:tc>
        <w:tc>
          <w:tcPr>
            <w:tcW w:w="760" w:type="dxa"/>
            <w:vAlign w:val="bottom"/>
          </w:tcPr>
          <w:p>
            <w:pPr>
              <w:jc w:val="right"/>
              <w:spacing w:after="0"/>
              <w:rPr>
                <w:sz w:val="20"/>
                <w:szCs w:val="20"/>
                <w:color w:val="auto"/>
              </w:rPr>
            </w:pPr>
            <w:r>
              <w:rPr>
                <w:rFonts w:ascii="Arial" w:cs="Arial" w:eastAsia="Arial" w:hAnsi="Arial"/>
                <w:sz w:val="15"/>
                <w:szCs w:val="15"/>
                <w:color w:val="auto"/>
              </w:rPr>
              <w:t>(12,878)</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Free Cash Flow</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2,919</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(1,380)</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(32,211)</w:t>
            </w:r>
          </w:p>
        </w:tc>
        <w:tc>
          <w:tcPr>
            <w:tcW w:w="760" w:type="dxa"/>
            <w:vAlign w:val="bottom"/>
          </w:tcPr>
          <w:p>
            <w:pPr>
              <w:jc w:val="right"/>
              <w:spacing w:after="0"/>
              <w:rPr>
                <w:sz w:val="20"/>
                <w:szCs w:val="20"/>
                <w:color w:val="auto"/>
              </w:rPr>
            </w:pPr>
            <w:r>
              <w:rPr>
                <w:rFonts w:ascii="Arial" w:cs="Arial" w:eastAsia="Arial" w:hAnsi="Arial"/>
                <w:sz w:val="15"/>
                <w:szCs w:val="15"/>
                <w:color w:val="auto"/>
              </w:rPr>
              <w:t>(6,314)</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Net cash generated from (used in) investing activities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61,207</w:t>
            </w:r>
          </w:p>
        </w:tc>
        <w:tc>
          <w:tcPr>
            <w:tcW w:w="800" w:type="dxa"/>
            <w:vAlign w:val="bottom"/>
          </w:tcPr>
          <w:p>
            <w:pPr>
              <w:jc w:val="right"/>
              <w:spacing w:after="0"/>
              <w:rPr>
                <w:sz w:val="20"/>
                <w:szCs w:val="20"/>
                <w:color w:val="auto"/>
              </w:rPr>
            </w:pPr>
            <w:r>
              <w:rPr>
                <w:rFonts w:ascii="Arial" w:cs="Arial" w:eastAsia="Arial" w:hAnsi="Arial"/>
                <w:sz w:val="15"/>
                <w:szCs w:val="15"/>
                <w:color w:val="auto"/>
              </w:rPr>
              <w:t>(300,378)</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(57,690)</w:t>
            </w:r>
          </w:p>
        </w:tc>
        <w:tc>
          <w:tcPr>
            <w:tcW w:w="760" w:type="dxa"/>
            <w:vAlign w:val="bottom"/>
          </w:tcPr>
          <w:p>
            <w:pPr>
              <w:jc w:val="right"/>
              <w:spacing w:after="0"/>
              <w:rPr>
                <w:sz w:val="20"/>
                <w:szCs w:val="20"/>
                <w:color w:val="auto"/>
              </w:rPr>
            </w:pPr>
            <w:r>
              <w:rPr>
                <w:rFonts w:ascii="Arial" w:cs="Arial" w:eastAsia="Arial" w:hAnsi="Arial"/>
                <w:sz w:val="15"/>
                <w:szCs w:val="15"/>
                <w:color w:val="auto"/>
              </w:rPr>
              <w:t>(535,052)</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Net cash provided by (used in) financing activities</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153</w:t>
            </w:r>
          </w:p>
        </w:tc>
        <w:tc>
          <w:tcPr>
            <w:tcW w:w="800" w:type="dxa"/>
            <w:vAlign w:val="bottom"/>
          </w:tcPr>
          <w:p>
            <w:pPr>
              <w:jc w:val="right"/>
              <w:spacing w:after="0"/>
              <w:rPr>
                <w:sz w:val="20"/>
                <w:szCs w:val="20"/>
                <w:color w:val="auto"/>
              </w:rPr>
            </w:pPr>
            <w:r>
              <w:rPr>
                <w:rFonts w:ascii="Arial" w:cs="Arial" w:eastAsia="Arial" w:hAnsi="Arial"/>
                <w:sz w:val="15"/>
                <w:szCs w:val="15"/>
                <w:color w:val="auto"/>
              </w:rPr>
              <w:t>(267)</w:t>
            </w:r>
          </w:p>
        </w:tc>
        <w:tc>
          <w:tcPr>
            <w:tcW w:w="16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251,937</w:t>
            </w:r>
          </w:p>
        </w:tc>
        <w:tc>
          <w:tcPr>
            <w:tcW w:w="760" w:type="dxa"/>
            <w:vAlign w:val="bottom"/>
          </w:tcPr>
          <w:p>
            <w:pPr>
              <w:jc w:val="right"/>
              <w:spacing w:after="0"/>
              <w:rPr>
                <w:sz w:val="20"/>
                <w:szCs w:val="20"/>
                <w:color w:val="auto"/>
              </w:rPr>
            </w:pPr>
            <w:r>
              <w:rPr>
                <w:rFonts w:ascii="Arial" w:cs="Arial" w:eastAsia="Arial" w:hAnsi="Arial"/>
                <w:sz w:val="15"/>
                <w:szCs w:val="15"/>
                <w:color w:val="auto"/>
              </w:rPr>
              <w:t>533,638</w:t>
            </w:r>
          </w:p>
        </w:tc>
      </w:tr>
    </w:tbl>
    <w:p>
      <w:pPr>
        <w:sectPr>
          <w:pgSz w:w="11900" w:h="16838" w:orient="portrait"/>
          <w:cols w:equalWidth="0" w:num="1">
            <w:col w:w="10159"/>
          </w:cols>
          <w:pgMar w:left="300" w:top="473"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7"/>
          <w:szCs w:val="17"/>
          <w:b w:val="1"/>
          <w:bCs w:val="1"/>
          <w:color w:val="auto"/>
        </w:rPr>
        <w:t>Exhibit 99.2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Agora, Inc. Announces US$200 Million Share Repurchase Program</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2022</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SANTA CLARA, Calif. – (Globe Newswire) – Agora, Inc. (NASDAQ: API) (“Agora”), a pioneer and leading platform for real-time engagement APIs, today announced that its board of directors (the “Board”) has authorized a share repurchase program under which Agora may repurchase up to US$200 million of its Class A ordinary shares in the form of American depositary shares over the next 12 months, subject to relevant rules under the Securities Exchange Act of 1934, as amended, and Agora’s insider trading policy.</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share repurchase program demonstrates the Board’s confidence in the fundamentals, strategies and long-term growth potential of Agora,” commented Tony Zhao, founder, chairman, and CEO of Agora. “It reflects our commitment to enhancing shareholder value, and our strong cash position will enable us to continue to invest in our technology and business expansion at the same time.”</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The Board will review the share repurchase program periodically and may authorize adjustment of its terms and size or suspend or discontinue the program. Agora expects to fund repurchases made under this program from its existing cash balance.</w:t>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Safe Harbor Statements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Agora’s financial outlook, beliefs and expectations. Forward-looking statements include statements containing words such as “expect,” “anticipate,” “believe,” “project,” “will” and similar expressions intended to identify forward-looking statements. These forward-looking statements are based on Agora’s current expectations and involve risks and uncertainties. Agora’s actual results and the timing of events could differ materially from those anticipated in such forward-looking statements as a result of these risks and uncertainties, which include, without limitation, risks related to the growth of the RTE-PaaS market; Agora’s ability to manage its growth and expand its operations; the continued impact of the COVID-19 pandemic on global markets and Agora’s business, operations and customers; Agora’s ability to attract new developers and convert them into customers; Agora’s ability to retain existing customers and expand their usage of Agora’s platform and products; Agora’s ability to drive popularity of existing use cases and enable new use cases,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365125</wp:posOffset>
            </wp:positionV>
            <wp:extent cx="719836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jc w:val="both"/>
        <w:spacing w:after="0" w:line="245" w:lineRule="auto"/>
        <w:rPr>
          <w:sz w:val="20"/>
          <w:szCs w:val="20"/>
          <w:color w:val="auto"/>
        </w:rPr>
      </w:pPr>
      <w:r>
        <w:rPr>
          <w:rFonts w:ascii="Arial" w:cs="Arial" w:eastAsia="Arial" w:hAnsi="Arial"/>
          <w:sz w:val="15"/>
          <w:szCs w:val="15"/>
          <w:color w:val="auto"/>
        </w:rPr>
        <w:t>through quality enhancements and introduction of new products, features and functionalities; Agora’s fluctuating operating results; competition; the effect of broader technological and market trends on Agora’s business and prospects; general economic conditions and their impact on customer and end-user demand; and other risks and uncertainties included elsewhere in our filings with the Securities and Exchange Commission, including, without limitation, the final prospectus related to the IPO filed with the SEC on June 26, 2020. You are cautioned not to place undue reliance on these forward-looking statements, which speak only as of the date of this press release. All forward-looking statements are qualified in their entirety by this cautionary statement, and Agora undertakes no obligation to revise or update any forward-looking statements to reflect events or circumstances after the date hereof.</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About Agora</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0A0A0A"/>
        </w:rPr>
        <w:t>Agora’s mission is to make real-time engagement ubiquitous, allowing everyone to interact with anyone, in any app, anytime and anywhere. Agora’s cloud platform provides developers simple, flexible and powerful application programming interfaces, or APIs, to embed real-time video, voice and chat experiences into their applications. Agora maintains dual headquarters in Shanghai, China and Santa Clara, California.</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more information, please visit: </w:t>
      </w:r>
      <w:r>
        <w:rPr>
          <w:rFonts w:ascii="Arial" w:cs="Arial" w:eastAsia="Arial" w:hAnsi="Arial"/>
          <w:sz w:val="15"/>
          <w:szCs w:val="15"/>
          <w:i w:val="1"/>
          <w:iCs w:val="1"/>
          <w:color w:val="auto"/>
        </w:rPr>
        <w:t>www.agora.io</w:t>
      </w:r>
      <w:r>
        <w:rPr>
          <w:rFonts w:ascii="Arial" w:cs="Arial" w:eastAsia="Arial" w:hAnsi="Arial"/>
          <w:sz w:val="15"/>
          <w:szCs w:val="15"/>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Investor Contact</w:t>
      </w:r>
      <w:r>
        <w:rPr>
          <w:rFonts w:ascii="Arial" w:cs="Arial" w:eastAsia="Arial" w:hAnsi="Arial"/>
          <w:sz w:val="15"/>
          <w:szCs w:val="15"/>
          <w:u w:val="single" w:color="auto"/>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Fionna Chen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investor@agora.io</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Media Contact</w:t>
      </w:r>
      <w:r>
        <w:rPr>
          <w:rFonts w:ascii="Arial" w:cs="Arial" w:eastAsia="Arial" w:hAnsi="Arial"/>
          <w:sz w:val="15"/>
          <w:szCs w:val="15"/>
          <w:u w:val="single" w:color="auto"/>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Suzanne Nguyen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press@agora.io</w:t>
      </w:r>
    </w:p>
    <w:sectPr>
      <w:pgSz w:w="11900" w:h="16838" w:orient="portrait"/>
      <w:cols w:equalWidth="0" w:num="1">
        <w:col w:w="11280"/>
      </w:cols>
      <w:pgMar w:left="300" w:top="3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2022-02-23T06:28:36Z</dcterms:created>
  <dcterms:modified xsi:type="dcterms:W3CDTF">2022-02-23T06:28:36Z</dcterms:modified>
</cp:coreProperties>
</file>