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-231775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-675005</wp:posOffset>
            </wp:positionV>
            <wp:extent cx="125730" cy="125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4027170</wp:posOffset>
            </wp:positionH>
            <wp:positionV relativeFrom="paragraph">
              <wp:posOffset>-640715</wp:posOffset>
            </wp:positionV>
            <wp:extent cx="59055" cy="654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763905</wp:posOffset>
            </wp:positionV>
            <wp:extent cx="7044690" cy="5037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503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60"/>
            <w:col w:w="858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 Eric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66 LANE, 411 SEC 1 NEI HU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Agora,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560" w:firstLine="1"/>
        <w:spacing w:after="0" w:line="27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1" w:space="720"/>
            <w:col w:w="3339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TAIPEI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ADSs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84,571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11/16/2035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ADSs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38,191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Restricted Share Units ("RSUs"). Every one ADS represents four Class A Ordinary Shares of the Issuer.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vesting of RSUs. Every one ADS represents four Class A Ordinary Shares of the Issuer.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contingent right to receive one ADS of the Issuer upon vesting.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Eric He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07/02/2026</w:t>
            </w: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403" TargetMode="External"/><Relationship Id="rId14" Type="http://schemas.openxmlformats.org/officeDocument/2006/relationships/hyperlink" Target="http://www.sec.gov/cgi-bin/browse-edgar?action=getcompany&amp;CIK=00018028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2026-07-02T10:06:33Z</dcterms:created>
  <dcterms:modified xsi:type="dcterms:W3CDTF">2026-07-02T10:06:33Z</dcterms:modified>
</cp:coreProperties>
</file>