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1683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1683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27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Zhao Bin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2804 MISSION COLLEGE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Agora,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13" w:lineRule="exact"/>
        <w:rPr>
          <w:sz w:val="24"/>
          <w:szCs w:val="24"/>
          <w:color w:val="auto"/>
        </w:rPr>
      </w:pPr>
    </w:p>
    <w:p>
      <w:pPr>
        <w:sectPr>
          <w:pgSz w:w="11900" w:h="16838" w:orient="portrait"/>
          <w:cols w:equalWidth="0" w:num="3">
            <w:col w:w="3200" w:space="720"/>
            <w:col w:w="3095" w:space="720"/>
            <w:col w:w="3265"/>
          </w:cols>
          <w:pgMar w:left="460" w:top="219" w:right="439" w:bottom="273" w:gutter="0" w:footer="0" w:header="0"/>
          <w:type w:val="continuous"/>
        </w:sectPr>
      </w:pP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5"/>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5"/>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Line)</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9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40" w:type="dxa"/>
            <w:vAlign w:val="bottom"/>
            <w:gridSpan w:val="4"/>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vMerge w:val="restart"/>
          </w:tcPr>
          <w:p>
            <w:pPr>
              <w:ind w:left="3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980" w:type="dxa"/>
            <w:vAlign w:val="bottom"/>
            <w:vMerge w:val="restart"/>
          </w:tcPr>
          <w:p>
            <w:pPr>
              <w:ind w:left="32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40" w:type="dxa"/>
            <w:vAlign w:val="bottom"/>
            <w:tcBorders>
              <w:bottom w:val="single" w:sz="8" w:color="2C2C2C"/>
            </w:tcBorders>
            <w:gridSpan w:val="8"/>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2"/>
          </w:tcPr>
          <w:p>
            <w:pPr>
              <w:ind w:left="9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10/29/2026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9,429</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4.4471</w:t>
            </w:r>
            <w:r>
              <w:rPr>
                <w:rFonts w:ascii="Times New Roman" w:cs="Times New Roman" w:eastAsia="Times New Roman" w:hAnsi="Times New Roman"/>
                <w:sz w:val="22"/>
                <w:szCs w:val="22"/>
                <w:color w:val="008000"/>
                <w:vertAlign w:val="superscript"/>
              </w:rPr>
              <w:t>(5)</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2,244,311</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34"/>
                <w:szCs w:val="34"/>
                <w:color w:val="0000FF"/>
                <w:vertAlign w:val="subscript"/>
              </w:rPr>
              <w:t>ADS</w:t>
            </w:r>
            <w:r>
              <w:rPr>
                <w:rFonts w:ascii="Times New Roman" w:cs="Times New Roman" w:eastAsia="Times New Roman" w:hAnsi="Times New Roman"/>
                <w:sz w:val="11"/>
                <w:szCs w:val="11"/>
                <w:color w:val="008000"/>
              </w:rPr>
              <w:t>(1)</w:t>
            </w:r>
          </w:p>
        </w:tc>
        <w:tc>
          <w:tcPr>
            <w:tcW w:w="980" w:type="dxa"/>
            <w:vAlign w:val="bottom"/>
          </w:tcPr>
          <w:p>
            <w:pPr>
              <w:spacing w:after="0"/>
              <w:rPr>
                <w:sz w:val="21"/>
                <w:szCs w:val="21"/>
                <w:color w:val="auto"/>
              </w:rPr>
            </w:pPr>
          </w:p>
        </w:tc>
        <w:tc>
          <w:tcPr>
            <w:tcW w:w="1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10/30/2026</w:t>
            </w:r>
          </w:p>
        </w:tc>
        <w:tc>
          <w:tcPr>
            <w:tcW w:w="118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(2)</w:t>
            </w:r>
          </w:p>
        </w:tc>
        <w:tc>
          <w:tcPr>
            <w:tcW w:w="700" w:type="dxa"/>
            <w:vAlign w:val="bottom"/>
            <w:vMerge w:val="restart"/>
          </w:tcPr>
          <w:p>
            <w:pPr>
              <w:jc w:val="right"/>
              <w:ind w:right="49"/>
              <w:spacing w:after="0"/>
              <w:rPr>
                <w:sz w:val="20"/>
                <w:szCs w:val="20"/>
                <w:color w:val="auto"/>
              </w:rPr>
            </w:pPr>
            <w:r>
              <w:rPr>
                <w:rFonts w:ascii="Times New Roman" w:cs="Times New Roman" w:eastAsia="Times New Roman" w:hAnsi="Times New Roman"/>
                <w:sz w:val="17"/>
                <w:szCs w:val="17"/>
                <w:color w:val="0000FF"/>
              </w:rPr>
              <w:t>9,095</w:t>
            </w:r>
          </w:p>
        </w:tc>
        <w:tc>
          <w:tcPr>
            <w:tcW w:w="52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w w:val="97"/>
              </w:rPr>
              <w:t>A</w:t>
            </w:r>
          </w:p>
        </w:tc>
        <w:tc>
          <w:tcPr>
            <w:tcW w:w="840" w:type="dxa"/>
            <w:vAlign w:val="bottom"/>
            <w:gridSpan w:val="2"/>
            <w:vMerge w:val="restart"/>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4.375</w:t>
            </w:r>
            <w:r>
              <w:rPr>
                <w:rFonts w:ascii="Times New Roman" w:cs="Times New Roman" w:eastAsia="Times New Roman" w:hAnsi="Times New Roman"/>
                <w:sz w:val="22"/>
                <w:szCs w:val="22"/>
                <w:color w:val="008000"/>
                <w:vertAlign w:val="superscript"/>
              </w:rPr>
              <w:t>(6)</w:t>
            </w: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2,253,406</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45" w:lineRule="exact"/>
        <w:rPr>
          <w:sz w:val="24"/>
          <w:szCs w:val="24"/>
          <w:color w:val="auto"/>
        </w:rPr>
      </w:pPr>
    </w:p>
    <w:p>
      <w:pPr>
        <w:sectPr>
          <w:pgSz w:w="11900" w:h="16838" w:orient="portrait"/>
          <w:cols w:equalWidth="0" w:num="1">
            <w:col w:w="11000"/>
          </w:cols>
          <w:pgMar w:left="460" w:top="219" w:right="439" w:bottom="273"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0000FF"/>
        </w:rPr>
        <w:t>Class A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4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B Ordinary Share, par value</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$0.0001</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8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color w:val="0000FF"/>
              </w:rPr>
              <w:t>7,267,029</w:t>
            </w:r>
          </w:p>
        </w:tc>
        <w:tc>
          <w:tcPr>
            <w:tcW w:w="6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YY TZ</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w w:val="94"/>
              </w:rPr>
              <w:t>LIMITED</w:t>
            </w:r>
            <w:r>
              <w:rPr>
                <w:rFonts w:ascii="Times New Roman" w:cs="Times New Roman" w:eastAsia="Times New Roman" w:hAnsi="Times New Roman"/>
                <w:sz w:val="22"/>
                <w:szCs w:val="22"/>
                <w:color w:val="008000"/>
                <w:w w:val="94"/>
                <w:vertAlign w:val="superscript"/>
              </w:rPr>
              <w:t>(3)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10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by Much</w:t>
            </w:r>
          </w:p>
        </w:tc>
        <w:tc>
          <w:tcPr>
            <w:tcW w:w="0" w:type="dxa"/>
            <w:vAlign w:val="bottom"/>
          </w:tcPr>
          <w:p>
            <w:pPr>
              <w:spacing w:after="0"/>
              <w:rPr>
                <w:sz w:val="1"/>
                <w:szCs w:val="1"/>
                <w:color w:val="auto"/>
              </w:rPr>
            </w:pPr>
          </w:p>
        </w:tc>
      </w:tr>
      <w:tr>
        <w:trPr>
          <w:trHeight w:val="213"/>
        </w:trPr>
        <w:tc>
          <w:tcPr>
            <w:tcW w:w="10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0000FF"/>
                <w:w w:val="99"/>
              </w:rPr>
              <w:t>76,179,938</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ado</w:t>
            </w:r>
          </w:p>
        </w:tc>
        <w:tc>
          <w:tcPr>
            <w:tcW w:w="0" w:type="dxa"/>
            <w:vAlign w:val="bottom"/>
          </w:tcPr>
          <w:p>
            <w:pPr>
              <w:spacing w:after="0"/>
              <w:rPr>
                <w:sz w:val="1"/>
                <w:szCs w:val="1"/>
                <w:color w:val="auto"/>
              </w:rPr>
            </w:pPr>
          </w:p>
        </w:tc>
      </w:tr>
      <w:tr>
        <w:trPr>
          <w:trHeight w:val="301"/>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Limited</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bl>
    <w:p>
      <w:pPr>
        <w:spacing w:after="0" w:line="71" w:lineRule="exact"/>
        <w:rPr>
          <w:sz w:val="24"/>
          <w:szCs w:val="24"/>
          <w:color w:val="auto"/>
        </w:rPr>
      </w:pPr>
    </w:p>
    <w:p>
      <w:pPr>
        <w:sectPr>
          <w:pgSz w:w="11900" w:h="16838" w:orient="portrait"/>
          <w:cols w:equalWidth="0" w:num="2">
            <w:col w:w="7400" w:space="720"/>
            <w:col w:w="2880"/>
          </w:cols>
          <w:pgMar w:left="460" w:top="219" w:right="439" w:bottom="273"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ADS represents four Class A Ordinary Shares, par value $0.0001 per share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YY TZ Limited on June 15,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YY TZ Limited and, as such, has discretionary authority to vote and dispose of the shares held by YY TZ Limited in Agora, Inc.</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director of Much ado Limited and, as such, has discretionary authority to vote and dispose of the shares held by Much ado Limited in Agora, Inc.</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$4.4100 to $4.4800, inclusive. The reporting person undertakes to provide to the issuer, any security holder of the issuer, or the staff of the SEC, upon request, full information regarding the number of ADSs purchased at each separate price within the range.</w:t>
      </w:r>
    </w:p>
    <w:p>
      <w:pPr>
        <w:spacing w:after="0" w:line="7"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ADSs were purchased in multiple transactions at prices ranging from $4.3400 to $4.4000, inclusive. The reporting person undertakes to provide to the issuer, any security holder of the issuer, or the staff of the SEC, upon request, full information regarding the number of ADSs purchased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BIN ZHAO</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10/31/2026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2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3236" TargetMode="External"/><Relationship Id="rId14"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2026-11-02T05:33:31Z</dcterms:created>
  <dcterms:modified xsi:type="dcterms:W3CDTF">2026-11-02T05:33:31Z</dcterms:modified>
</cp:coreProperties>
</file>