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CUSIP No. 00851L103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§240.13d-1(b), (c) AND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 AND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 THERETO FILED PURSUANT TO §240.13d-2.</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Agora,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 par value US$0.0001 per share</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00851L103**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440" w:right="9160" w:hanging="7"/>
        <w:spacing w:after="0" w:line="225" w:lineRule="exact"/>
        <w:tabs>
          <w:tab w:leader="none" w:pos="102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18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**CUSIP number 00851L103 has been assigned to the American Depositary Shares (“ADSs”) of the Company, which are quoted on the Nasdaq Global Select Market under the symbol “API”. Each ADS represents 4 Class A Ordinary Shares.</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ind w:left="580" w:hanging="34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SIG China Investments Master Fund III, LLLP</w:t>
      </w:r>
    </w:p>
    <w:p>
      <w:pPr>
        <w:spacing w:after="0" w:line="264" w:lineRule="exact"/>
        <w:rPr>
          <w:rFonts w:ascii="Arial" w:cs="Arial" w:eastAsia="Arial" w:hAnsi="Arial"/>
          <w:sz w:val="18"/>
          <w:szCs w:val="18"/>
          <w:color w:val="auto"/>
        </w:rPr>
      </w:pPr>
    </w:p>
    <w:p>
      <w:pPr>
        <w:ind w:left="580" w:hanging="34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580" w:hanging="34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80" w:right="8040" w:hanging="343"/>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772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-447675</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-756285</wp:posOffset>
            </wp:positionV>
            <wp:extent cx="6403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-902335</wp:posOffset>
            </wp:positionV>
            <wp:extent cx="6403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-1348105</wp:posOffset>
            </wp:positionV>
            <wp:extent cx="6772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0 (1)(2)</w:t>
            </w:r>
          </w:p>
        </w:tc>
        <w:tc>
          <w:tcPr>
            <w:tcW w:w="0" w:type="dxa"/>
            <w:vAlign w:val="bottom"/>
          </w:tcPr>
          <w:p>
            <w:pPr>
              <w:spacing w:after="0"/>
              <w:rPr>
                <w:sz w:val="1"/>
                <w:szCs w:val="1"/>
                <w:color w:val="auto"/>
              </w:rPr>
            </w:pPr>
          </w:p>
        </w:tc>
      </w:tr>
      <w:tr>
        <w:trPr>
          <w:trHeight w:val="27"/>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60" w:type="dxa"/>
            <w:vAlign w:val="bottom"/>
            <w:vMerge w:val="continue"/>
          </w:tcPr>
          <w:p>
            <w:pPr>
              <w:spacing w:after="0"/>
              <w:rPr>
                <w:sz w:val="20"/>
                <w:szCs w:val="20"/>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92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sz w:val="20"/>
                <w:szCs w:val="20"/>
                <w:color w:val="auto"/>
              </w:rPr>
            </w:pPr>
            <w:r>
              <w:rPr>
                <w:rFonts w:ascii="Arial" w:cs="Arial" w:eastAsia="Arial" w:hAnsi="Arial"/>
                <w:sz w:val="18"/>
                <w:szCs w:val="18"/>
                <w:color w:val="auto"/>
              </w:rPr>
              <w:t>Shares</w:t>
            </w:r>
          </w:p>
        </w:tc>
        <w:tc>
          <w:tcPr>
            <w:tcW w:w="360" w:type="dxa"/>
            <w:vAlign w:val="bottom"/>
            <w:vMerge w:val="continue"/>
          </w:tcPr>
          <w:p>
            <w:pPr>
              <w:spacing w:after="0"/>
              <w:rPr>
                <w:sz w:val="16"/>
                <w:szCs w:val="16"/>
                <w:color w:val="auto"/>
              </w:rPr>
            </w:pPr>
          </w:p>
        </w:tc>
        <w:tc>
          <w:tcPr>
            <w:tcW w:w="9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22"/>
                <w:szCs w:val="22"/>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5,219,012 (1)(2)</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0 (1)(2)</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Arial" w:cs="Arial" w:eastAsia="Arial" w:hAnsi="Arial"/>
                <w:sz w:val="18"/>
                <w:szCs w:val="18"/>
                <w:color w:val="auto"/>
                <w:w w:val="95"/>
              </w:rPr>
              <w:t>Person With</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80" w:right="7900" w:hanging="446"/>
        <w:spacing w:after="0" w:line="277" w:lineRule="auto"/>
        <w:tabs>
          <w:tab w:leader="none" w:pos="14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5,219,012 (1)(2)</w:t>
      </w:r>
    </w:p>
    <w:p>
      <w:pPr>
        <w:spacing w:after="0" w:line="224" w:lineRule="exact"/>
        <w:rPr>
          <w:rFonts w:ascii="Arial" w:cs="Arial" w:eastAsia="Arial" w:hAnsi="Arial"/>
          <w:sz w:val="18"/>
          <w:szCs w:val="18"/>
          <w:color w:val="auto"/>
        </w:rPr>
      </w:pPr>
    </w:p>
    <w:p>
      <w:pPr>
        <w:ind w:left="580" w:right="5860" w:hanging="343"/>
        <w:spacing w:after="0" w:line="277" w:lineRule="auto"/>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5,219,012 (1)(2)</w:t>
      </w:r>
    </w:p>
    <w:p>
      <w:pPr>
        <w:spacing w:after="0" w:line="191" w:lineRule="exact"/>
        <w:rPr>
          <w:rFonts w:ascii="Arial" w:cs="Arial" w:eastAsia="Arial" w:hAnsi="Arial"/>
          <w:sz w:val="18"/>
          <w:szCs w:val="18"/>
          <w:color w:val="auto"/>
        </w:rPr>
      </w:pPr>
    </w:p>
    <w:p>
      <w:pPr>
        <w:ind w:left="580" w:hanging="343"/>
        <w:spacing w:after="0" w:line="207" w:lineRule="exact"/>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580" w:hanging="343"/>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64" w:lineRule="exact"/>
        <w:rPr>
          <w:rFonts w:ascii="Arial" w:cs="Arial" w:eastAsia="Arial" w:hAnsi="Arial"/>
          <w:sz w:val="18"/>
          <w:szCs w:val="18"/>
          <w:color w:val="auto"/>
        </w:rPr>
      </w:pPr>
    </w:p>
    <w:p>
      <w:pPr>
        <w:ind w:left="580" w:hanging="343"/>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4" w:lineRule="exact"/>
        <w:rPr>
          <w:rFonts w:ascii="Arial" w:cs="Arial" w:eastAsia="Arial" w:hAnsi="Arial"/>
          <w:sz w:val="18"/>
          <w:szCs w:val="18"/>
          <w:color w:val="auto"/>
        </w:rPr>
      </w:pPr>
    </w:p>
    <w:p>
      <w:pPr>
        <w:ind w:right="20" w:firstLine="8"/>
        <w:spacing w:after="0" w:line="253"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 China Investments Master Fund III, LLLP, together with SIG Global China Fund I, LLLP, Heights Capital Management, Inc., and SIG Asia Investment, LLLP,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3"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 Asia Investment, LLLP is the investment manager to SIG China Investments Master Fund III, LLLP and to SIG Global China Fund I, LLLP and as such may exercise voting and dispositive power over these shares. Heights Capital Management, Inc. is the investment manager to SIG Asia Investment, LLLP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-1266825</wp:posOffset>
            </wp:positionV>
            <wp:extent cx="6772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-1704340</wp:posOffset>
            </wp:positionV>
            <wp:extent cx="6772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-2150110</wp:posOffset>
            </wp:positionV>
            <wp:extent cx="6772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-2458720</wp:posOffset>
            </wp:positionV>
            <wp:extent cx="6772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-2904490</wp:posOffset>
            </wp:positionV>
            <wp:extent cx="6197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ind w:left="580" w:right="8320" w:hanging="343"/>
        <w:spacing w:after="0" w:line="34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SIG Global China Fund I, LLLP</w:t>
      </w:r>
    </w:p>
    <w:p>
      <w:pPr>
        <w:spacing w:after="0" w:line="177" w:lineRule="exact"/>
        <w:rPr>
          <w:rFonts w:ascii="Arial" w:cs="Arial" w:eastAsia="Arial" w:hAnsi="Arial"/>
          <w:sz w:val="16"/>
          <w:szCs w:val="16"/>
          <w:color w:val="auto"/>
        </w:rPr>
      </w:pPr>
    </w:p>
    <w:p>
      <w:pPr>
        <w:ind w:left="580" w:hanging="34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580" w:hanging="34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80" w:right="8040" w:hanging="343"/>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77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-447675</wp:posOffset>
            </wp:positionV>
            <wp:extent cx="6772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-756285</wp:posOffset>
            </wp:positionV>
            <wp:extent cx="64033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-902335</wp:posOffset>
            </wp:positionV>
            <wp:extent cx="6403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-1348105</wp:posOffset>
            </wp:positionV>
            <wp:extent cx="67722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5,219,012 (1)(2)</w:t>
            </w:r>
          </w:p>
        </w:tc>
        <w:tc>
          <w:tcPr>
            <w:tcW w:w="0" w:type="dxa"/>
            <w:vAlign w:val="bottom"/>
          </w:tcPr>
          <w:p>
            <w:pPr>
              <w:spacing w:after="0"/>
              <w:rPr>
                <w:sz w:val="1"/>
                <w:szCs w:val="1"/>
                <w:color w:val="auto"/>
              </w:rPr>
            </w:pPr>
          </w:p>
        </w:tc>
      </w:tr>
      <w:tr>
        <w:trPr>
          <w:trHeight w:val="27"/>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60" w:type="dxa"/>
            <w:vAlign w:val="bottom"/>
            <w:vMerge w:val="continue"/>
          </w:tcPr>
          <w:p>
            <w:pPr>
              <w:spacing w:after="0"/>
              <w:rPr>
                <w:sz w:val="20"/>
                <w:szCs w:val="20"/>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92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sz w:val="20"/>
                <w:szCs w:val="20"/>
                <w:color w:val="auto"/>
              </w:rPr>
            </w:pPr>
            <w:r>
              <w:rPr>
                <w:rFonts w:ascii="Arial" w:cs="Arial" w:eastAsia="Arial" w:hAnsi="Arial"/>
                <w:sz w:val="18"/>
                <w:szCs w:val="18"/>
                <w:color w:val="auto"/>
              </w:rPr>
              <w:t>Shares</w:t>
            </w:r>
          </w:p>
        </w:tc>
        <w:tc>
          <w:tcPr>
            <w:tcW w:w="360" w:type="dxa"/>
            <w:vAlign w:val="bottom"/>
            <w:vMerge w:val="continue"/>
          </w:tcPr>
          <w:p>
            <w:pPr>
              <w:spacing w:after="0"/>
              <w:rPr>
                <w:sz w:val="16"/>
                <w:szCs w:val="16"/>
                <w:color w:val="auto"/>
              </w:rPr>
            </w:pPr>
          </w:p>
        </w:tc>
        <w:tc>
          <w:tcPr>
            <w:tcW w:w="9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22"/>
                <w:szCs w:val="22"/>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5,219,012 (1)(2)</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5,219,012 (1)(2)</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Arial" w:cs="Arial" w:eastAsia="Arial" w:hAnsi="Arial"/>
                <w:sz w:val="18"/>
                <w:szCs w:val="18"/>
                <w:color w:val="auto"/>
                <w:w w:val="95"/>
              </w:rPr>
              <w:t>Person With</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80" w:right="7900" w:hanging="446"/>
        <w:spacing w:after="0" w:line="277" w:lineRule="auto"/>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 5,219,012 (1)(2)</w:t>
      </w:r>
    </w:p>
    <w:p>
      <w:pPr>
        <w:spacing w:after="0" w:line="224" w:lineRule="exact"/>
        <w:rPr>
          <w:rFonts w:ascii="Arial" w:cs="Arial" w:eastAsia="Arial" w:hAnsi="Arial"/>
          <w:sz w:val="18"/>
          <w:szCs w:val="18"/>
          <w:color w:val="auto"/>
        </w:rPr>
      </w:pPr>
    </w:p>
    <w:p>
      <w:pPr>
        <w:ind w:left="580" w:right="5860" w:hanging="343"/>
        <w:spacing w:after="0" w:line="277" w:lineRule="auto"/>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5,219,012 (1)(2)</w:t>
      </w:r>
    </w:p>
    <w:p>
      <w:pPr>
        <w:spacing w:after="0" w:line="191" w:lineRule="exact"/>
        <w:rPr>
          <w:rFonts w:ascii="Arial" w:cs="Arial" w:eastAsia="Arial" w:hAnsi="Arial"/>
          <w:sz w:val="18"/>
          <w:szCs w:val="18"/>
          <w:color w:val="auto"/>
        </w:rPr>
      </w:pPr>
    </w:p>
    <w:p>
      <w:pPr>
        <w:ind w:left="580" w:hanging="343"/>
        <w:spacing w:after="0" w:line="207" w:lineRule="exact"/>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580" w:hanging="343"/>
        <w:spacing w:after="0"/>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64" w:lineRule="exact"/>
        <w:rPr>
          <w:rFonts w:ascii="Arial" w:cs="Arial" w:eastAsia="Arial" w:hAnsi="Arial"/>
          <w:sz w:val="18"/>
          <w:szCs w:val="18"/>
          <w:color w:val="auto"/>
        </w:rPr>
      </w:pPr>
    </w:p>
    <w:p>
      <w:pPr>
        <w:ind w:left="580" w:hanging="343"/>
        <w:spacing w:after="0"/>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4" w:lineRule="exact"/>
        <w:rPr>
          <w:rFonts w:ascii="Arial" w:cs="Arial" w:eastAsia="Arial" w:hAnsi="Arial"/>
          <w:sz w:val="18"/>
          <w:szCs w:val="18"/>
          <w:color w:val="auto"/>
        </w:rPr>
      </w:pPr>
    </w:p>
    <w:p>
      <w:pPr>
        <w:ind w:right="20" w:firstLine="8"/>
        <w:spacing w:after="0" w:line="25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 China Investments Master Fund III, LLLP, together with SIG Global China Fund I, LLLP, Heights Capital Management, Inc., and SIG Asia Investment, LLLP,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3"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 Asia Investment, LLLP is the investment manager to SIG China Investments Master Fund III, LLLP and to SIG Global China Fund I, LLLP and as such may exercise voting and dispositive power over these shares. Heights Capital Management, Inc. is the investment manager to SIG Asia Investment, LLLP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-1266825</wp:posOffset>
            </wp:positionV>
            <wp:extent cx="6772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-1704340</wp:posOffset>
            </wp:positionV>
            <wp:extent cx="6772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-2150110</wp:posOffset>
            </wp:positionV>
            <wp:extent cx="6772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-2458720</wp:posOffset>
            </wp:positionV>
            <wp:extent cx="6772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-2904490</wp:posOffset>
            </wp:positionV>
            <wp:extent cx="6197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jc w:val="both"/>
        <w:ind w:left="580" w:right="8600" w:hanging="343"/>
        <w:spacing w:after="0" w:line="34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SIG Asia Investment, LLLP</w:t>
      </w:r>
    </w:p>
    <w:p>
      <w:pPr>
        <w:spacing w:after="0" w:line="177" w:lineRule="exact"/>
        <w:rPr>
          <w:rFonts w:ascii="Arial" w:cs="Arial" w:eastAsia="Arial" w:hAnsi="Arial"/>
          <w:sz w:val="16"/>
          <w:szCs w:val="16"/>
          <w:color w:val="auto"/>
        </w:rPr>
      </w:pPr>
    </w:p>
    <w:p>
      <w:pPr>
        <w:ind w:left="580" w:hanging="343"/>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580" w:hanging="343"/>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80" w:right="8040" w:hanging="343"/>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772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-447675</wp:posOffset>
            </wp:positionV>
            <wp:extent cx="6772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-756285</wp:posOffset>
            </wp:positionV>
            <wp:extent cx="6403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-902335</wp:posOffset>
            </wp:positionV>
            <wp:extent cx="64033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-1348105</wp:posOffset>
            </wp:positionV>
            <wp:extent cx="6772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0 (1)(2)</w:t>
            </w:r>
          </w:p>
        </w:tc>
        <w:tc>
          <w:tcPr>
            <w:tcW w:w="0" w:type="dxa"/>
            <w:vAlign w:val="bottom"/>
          </w:tcPr>
          <w:p>
            <w:pPr>
              <w:spacing w:after="0"/>
              <w:rPr>
                <w:sz w:val="1"/>
                <w:szCs w:val="1"/>
                <w:color w:val="auto"/>
              </w:rPr>
            </w:pPr>
          </w:p>
        </w:tc>
      </w:tr>
      <w:tr>
        <w:trPr>
          <w:trHeight w:val="27"/>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60" w:type="dxa"/>
            <w:vAlign w:val="bottom"/>
            <w:vMerge w:val="continue"/>
          </w:tcPr>
          <w:p>
            <w:pPr>
              <w:spacing w:after="0"/>
              <w:rPr>
                <w:sz w:val="20"/>
                <w:szCs w:val="20"/>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92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sz w:val="20"/>
                <w:szCs w:val="20"/>
                <w:color w:val="auto"/>
              </w:rPr>
            </w:pPr>
            <w:r>
              <w:rPr>
                <w:rFonts w:ascii="Arial" w:cs="Arial" w:eastAsia="Arial" w:hAnsi="Arial"/>
                <w:sz w:val="18"/>
                <w:szCs w:val="18"/>
                <w:color w:val="auto"/>
              </w:rPr>
              <w:t>Shares</w:t>
            </w:r>
          </w:p>
        </w:tc>
        <w:tc>
          <w:tcPr>
            <w:tcW w:w="360" w:type="dxa"/>
            <w:vAlign w:val="bottom"/>
            <w:vMerge w:val="continue"/>
          </w:tcPr>
          <w:p>
            <w:pPr>
              <w:spacing w:after="0"/>
              <w:rPr>
                <w:sz w:val="16"/>
                <w:szCs w:val="16"/>
                <w:color w:val="auto"/>
              </w:rPr>
            </w:pPr>
          </w:p>
        </w:tc>
        <w:tc>
          <w:tcPr>
            <w:tcW w:w="9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22"/>
                <w:szCs w:val="22"/>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5,219,012 (1)(2)</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0 (1)(2)</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Arial" w:cs="Arial" w:eastAsia="Arial" w:hAnsi="Arial"/>
                <w:sz w:val="18"/>
                <w:szCs w:val="18"/>
                <w:color w:val="auto"/>
                <w:w w:val="95"/>
              </w:rPr>
              <w:t>Person With</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80" w:right="7900" w:hanging="446"/>
        <w:spacing w:after="0" w:line="277"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 5,219,012 (1)(2)</w:t>
      </w:r>
    </w:p>
    <w:p>
      <w:pPr>
        <w:spacing w:after="0" w:line="224" w:lineRule="exact"/>
        <w:rPr>
          <w:rFonts w:ascii="Arial" w:cs="Arial" w:eastAsia="Arial" w:hAnsi="Arial"/>
          <w:sz w:val="18"/>
          <w:szCs w:val="18"/>
          <w:color w:val="auto"/>
        </w:rPr>
      </w:pPr>
    </w:p>
    <w:p>
      <w:pPr>
        <w:ind w:left="580" w:right="5860" w:hanging="343"/>
        <w:spacing w:after="0" w:line="277"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5,219,012 (1)(2)</w:t>
      </w:r>
    </w:p>
    <w:p>
      <w:pPr>
        <w:spacing w:after="0" w:line="191" w:lineRule="exact"/>
        <w:rPr>
          <w:rFonts w:ascii="Arial" w:cs="Arial" w:eastAsia="Arial" w:hAnsi="Arial"/>
          <w:sz w:val="18"/>
          <w:szCs w:val="18"/>
          <w:color w:val="auto"/>
        </w:rPr>
      </w:pPr>
    </w:p>
    <w:p>
      <w:pPr>
        <w:ind w:left="580" w:hanging="343"/>
        <w:spacing w:after="0" w:line="207" w:lineRule="exact"/>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580" w:hanging="343"/>
        <w:spacing w:after="0"/>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64" w:lineRule="exact"/>
        <w:rPr>
          <w:rFonts w:ascii="Arial" w:cs="Arial" w:eastAsia="Arial" w:hAnsi="Arial"/>
          <w:sz w:val="18"/>
          <w:szCs w:val="18"/>
          <w:color w:val="auto"/>
        </w:rPr>
      </w:pPr>
    </w:p>
    <w:p>
      <w:pPr>
        <w:ind w:left="580" w:hanging="343"/>
        <w:spacing w:after="0"/>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64" w:lineRule="exact"/>
        <w:rPr>
          <w:rFonts w:ascii="Arial" w:cs="Arial" w:eastAsia="Arial" w:hAnsi="Arial"/>
          <w:sz w:val="18"/>
          <w:szCs w:val="18"/>
          <w:color w:val="auto"/>
        </w:rPr>
      </w:pPr>
    </w:p>
    <w:p>
      <w:pPr>
        <w:ind w:right="20" w:firstLine="8"/>
        <w:spacing w:after="0" w:line="253"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 China Investments Master Fund III, LLLP, together with SIG Global China Fund I, LLLP, Heights Capital Management, Inc., and SIG Asia Investment, LLLP,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3"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 Asia Investment, LLLP is the investment manager to SIG China Investments Master Fund III, LLLP and to SIG Global China Fund I, LLLP and as such may exercise voting and dispositive power over these shares. Heights Capital Management, Inc. is the investment manager to SIG Asia Investment, LLLP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-1266825</wp:posOffset>
            </wp:positionV>
            <wp:extent cx="67722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-1704340</wp:posOffset>
            </wp:positionV>
            <wp:extent cx="67722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-2150110</wp:posOffset>
            </wp:positionV>
            <wp:extent cx="6772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-2458720</wp:posOffset>
            </wp:positionV>
            <wp:extent cx="6772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-2904490</wp:posOffset>
            </wp:positionV>
            <wp:extent cx="6197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ind w:left="580" w:right="8200" w:hanging="343"/>
        <w:spacing w:after="0" w:line="34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Heights Capital Management, Inc.</w:t>
      </w:r>
    </w:p>
    <w:p>
      <w:pPr>
        <w:spacing w:after="0" w:line="177" w:lineRule="exact"/>
        <w:rPr>
          <w:rFonts w:ascii="Arial" w:cs="Arial" w:eastAsia="Arial" w:hAnsi="Arial"/>
          <w:sz w:val="16"/>
          <w:szCs w:val="16"/>
          <w:color w:val="auto"/>
        </w:rPr>
      </w:pPr>
    </w:p>
    <w:p>
      <w:pPr>
        <w:ind w:left="580" w:hanging="343"/>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7" w:lineRule="exact"/>
        <w:rPr>
          <w:rFonts w:ascii="Arial" w:cs="Arial" w:eastAsia="Arial" w:hAnsi="Arial"/>
          <w:sz w:val="18"/>
          <w:szCs w:val="18"/>
          <w:color w:val="auto"/>
        </w:rPr>
      </w:pPr>
    </w:p>
    <w:p>
      <w:pPr>
        <w:ind w:left="1160" w:hanging="585"/>
        <w:spacing w:after="0" w:line="207" w:lineRule="exact"/>
        <w:tabs>
          <w:tab w:leader="none" w:pos="11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9" w:lineRule="exact"/>
        <w:rPr>
          <w:rFonts w:ascii="Arial" w:cs="Arial" w:eastAsia="Arial" w:hAnsi="Arial"/>
          <w:sz w:val="18"/>
          <w:szCs w:val="18"/>
          <w:color w:val="auto"/>
        </w:rPr>
      </w:pPr>
    </w:p>
    <w:p>
      <w:pPr>
        <w:ind w:left="580" w:hanging="343"/>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80" w:right="8040" w:hanging="343"/>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7722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-447675</wp:posOffset>
            </wp:positionV>
            <wp:extent cx="6772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-756285</wp:posOffset>
            </wp:positionV>
            <wp:extent cx="6403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-902335</wp:posOffset>
            </wp:positionV>
            <wp:extent cx="6403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-1348105</wp:posOffset>
            </wp:positionV>
            <wp:extent cx="6772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0 (1)(2)</w:t>
            </w:r>
          </w:p>
        </w:tc>
        <w:tc>
          <w:tcPr>
            <w:tcW w:w="0" w:type="dxa"/>
            <w:vAlign w:val="bottom"/>
          </w:tcPr>
          <w:p>
            <w:pPr>
              <w:spacing w:after="0"/>
              <w:rPr>
                <w:sz w:val="1"/>
                <w:szCs w:val="1"/>
                <w:color w:val="auto"/>
              </w:rPr>
            </w:pPr>
          </w:p>
        </w:tc>
      </w:tr>
      <w:tr>
        <w:trPr>
          <w:trHeight w:val="27"/>
        </w:trPr>
        <w:tc>
          <w:tcPr>
            <w:tcW w:w="9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60" w:type="dxa"/>
            <w:vAlign w:val="bottom"/>
            <w:vMerge w:val="continue"/>
          </w:tcPr>
          <w:p>
            <w:pPr>
              <w:spacing w:after="0"/>
              <w:rPr>
                <w:sz w:val="20"/>
                <w:szCs w:val="20"/>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92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960" w:type="dxa"/>
            <w:vAlign w:val="bottom"/>
          </w:tcPr>
          <w:p>
            <w:pPr>
              <w:spacing w:after="0" w:line="189" w:lineRule="exact"/>
              <w:rPr>
                <w:sz w:val="20"/>
                <w:szCs w:val="20"/>
                <w:color w:val="auto"/>
              </w:rPr>
            </w:pPr>
            <w:r>
              <w:rPr>
                <w:rFonts w:ascii="Arial" w:cs="Arial" w:eastAsia="Arial" w:hAnsi="Arial"/>
                <w:sz w:val="18"/>
                <w:szCs w:val="18"/>
                <w:color w:val="auto"/>
              </w:rPr>
              <w:t>Shares</w:t>
            </w:r>
          </w:p>
        </w:tc>
        <w:tc>
          <w:tcPr>
            <w:tcW w:w="360" w:type="dxa"/>
            <w:vAlign w:val="bottom"/>
            <w:vMerge w:val="continue"/>
          </w:tcPr>
          <w:p>
            <w:pPr>
              <w:spacing w:after="0"/>
              <w:rPr>
                <w:sz w:val="16"/>
                <w:szCs w:val="16"/>
                <w:color w:val="auto"/>
              </w:rPr>
            </w:pPr>
          </w:p>
        </w:tc>
        <w:tc>
          <w:tcPr>
            <w:tcW w:w="9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22"/>
                <w:szCs w:val="22"/>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5,219,012 (1)(2)</w:t>
            </w:r>
          </w:p>
        </w:tc>
        <w:tc>
          <w:tcPr>
            <w:tcW w:w="0" w:type="dxa"/>
            <w:vAlign w:val="bottom"/>
          </w:tcPr>
          <w:p>
            <w:pPr>
              <w:spacing w:after="0"/>
              <w:rPr>
                <w:sz w:val="1"/>
                <w:szCs w:val="1"/>
                <w:color w:val="auto"/>
              </w:rPr>
            </w:pPr>
          </w:p>
        </w:tc>
      </w:tr>
      <w:tr>
        <w:trPr>
          <w:trHeight w:val="182"/>
        </w:trPr>
        <w:tc>
          <w:tcPr>
            <w:tcW w:w="9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Each</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9920" w:type="dxa"/>
            <w:vAlign w:val="bottom"/>
            <w:gridSpan w:val="2"/>
          </w:tcPr>
          <w:p>
            <w:pPr>
              <w:ind w:left="160"/>
              <w:spacing w:after="0"/>
              <w:rPr>
                <w:sz w:val="20"/>
                <w:szCs w:val="20"/>
                <w:color w:val="auto"/>
              </w:rPr>
            </w:pPr>
            <w:r>
              <w:rPr>
                <w:rFonts w:ascii="Arial" w:cs="Arial" w:eastAsia="Arial" w:hAnsi="Arial"/>
                <w:sz w:val="18"/>
                <w:szCs w:val="18"/>
                <w:color w:val="auto"/>
              </w:rPr>
              <w:t>0 (1)(2)</w:t>
            </w:r>
          </w:p>
        </w:tc>
        <w:tc>
          <w:tcPr>
            <w:tcW w:w="0" w:type="dxa"/>
            <w:vAlign w:val="bottom"/>
          </w:tcPr>
          <w:p>
            <w:pPr>
              <w:spacing w:after="0"/>
              <w:rPr>
                <w:sz w:val="1"/>
                <w:szCs w:val="1"/>
                <w:color w:val="auto"/>
              </w:rPr>
            </w:pPr>
          </w:p>
        </w:tc>
      </w:tr>
      <w:tr>
        <w:trPr>
          <w:trHeight w:val="68"/>
        </w:trPr>
        <w:tc>
          <w:tcPr>
            <w:tcW w:w="960" w:type="dxa"/>
            <w:vAlign w:val="bottom"/>
            <w:vMerge w:val="restart"/>
          </w:tcPr>
          <w:p>
            <w:pPr>
              <w:spacing w:after="0"/>
              <w:rPr>
                <w:sz w:val="20"/>
                <w:szCs w:val="20"/>
                <w:color w:val="auto"/>
              </w:rPr>
            </w:pPr>
            <w:r>
              <w:rPr>
                <w:rFonts w:ascii="Arial" w:cs="Arial" w:eastAsia="Arial" w:hAnsi="Arial"/>
                <w:sz w:val="18"/>
                <w:szCs w:val="18"/>
                <w:color w:val="auto"/>
                <w:w w:val="95"/>
              </w:rPr>
              <w:t>Person With</w:t>
            </w: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80" w:right="7900" w:hanging="446"/>
        <w:spacing w:after="0" w:line="277" w:lineRule="auto"/>
        <w:tabs>
          <w:tab w:leader="none" w:pos="14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 5,219,012 (1)(2)</w:t>
      </w:r>
    </w:p>
    <w:p>
      <w:pPr>
        <w:spacing w:after="0" w:line="224" w:lineRule="exact"/>
        <w:rPr>
          <w:rFonts w:ascii="Arial" w:cs="Arial" w:eastAsia="Arial" w:hAnsi="Arial"/>
          <w:sz w:val="18"/>
          <w:szCs w:val="18"/>
          <w:color w:val="auto"/>
        </w:rPr>
      </w:pPr>
    </w:p>
    <w:p>
      <w:pPr>
        <w:ind w:left="580" w:right="5860" w:hanging="343"/>
        <w:spacing w:after="0" w:line="277" w:lineRule="auto"/>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5,219,012 (1)(2)</w:t>
      </w:r>
    </w:p>
    <w:p>
      <w:pPr>
        <w:spacing w:after="0" w:line="191" w:lineRule="exact"/>
        <w:rPr>
          <w:rFonts w:ascii="Arial" w:cs="Arial" w:eastAsia="Arial" w:hAnsi="Arial"/>
          <w:sz w:val="18"/>
          <w:szCs w:val="18"/>
          <w:color w:val="auto"/>
        </w:rPr>
      </w:pPr>
    </w:p>
    <w:p>
      <w:pPr>
        <w:ind w:left="580" w:hanging="343"/>
        <w:spacing w:after="0" w:line="207" w:lineRule="exact"/>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580" w:hanging="343"/>
        <w:spacing w:after="0"/>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64" w:lineRule="exact"/>
        <w:rPr>
          <w:rFonts w:ascii="Arial" w:cs="Arial" w:eastAsia="Arial" w:hAnsi="Arial"/>
          <w:sz w:val="18"/>
          <w:szCs w:val="18"/>
          <w:color w:val="auto"/>
        </w:rPr>
      </w:pPr>
    </w:p>
    <w:p>
      <w:pPr>
        <w:ind w:left="580" w:hanging="343"/>
        <w:spacing w:after="0"/>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64" w:lineRule="exact"/>
        <w:rPr>
          <w:rFonts w:ascii="Arial" w:cs="Arial" w:eastAsia="Arial" w:hAnsi="Arial"/>
          <w:sz w:val="18"/>
          <w:szCs w:val="18"/>
          <w:color w:val="auto"/>
        </w:rPr>
      </w:pPr>
    </w:p>
    <w:p>
      <w:pPr>
        <w:ind w:right="20" w:firstLine="8"/>
        <w:spacing w:after="0" w:line="25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 China Investments Master Fund III, LLLP, together with SIG Global China Fund I, LLLP, Heights Capital Management, Inc., and SIG Asia Investment, LLLP,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3"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 Asia Investment, LLLP is the investment manager to SIG China Investments Master Fund III, LLLP and to SIG Global China Fund I, LLLP and as such may exercise voting and dispositive power over these shares. Heights Capital Management, Inc. is the investment manager to SIG Asia Investment, LLLP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-1266825</wp:posOffset>
            </wp:positionV>
            <wp:extent cx="6772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-1704340</wp:posOffset>
            </wp:positionV>
            <wp:extent cx="67722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-2150110</wp:posOffset>
            </wp:positionV>
            <wp:extent cx="6772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-2458720</wp:posOffset>
            </wp:positionV>
            <wp:extent cx="67722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-2904490</wp:posOffset>
            </wp:positionV>
            <wp:extent cx="6197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00851L103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360" w:hanging="448"/>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Agora, Inc. (the “Company”)</w:t>
      </w:r>
    </w:p>
    <w:p>
      <w:pPr>
        <w:spacing w:after="0" w:line="9" w:lineRule="exact"/>
        <w:rPr>
          <w:rFonts w:ascii="Arial" w:cs="Arial" w:eastAsia="Arial" w:hAnsi="Arial"/>
          <w:sz w:val="18"/>
          <w:szCs w:val="18"/>
          <w:color w:val="auto"/>
        </w:rPr>
      </w:pPr>
    </w:p>
    <w:p>
      <w:pPr>
        <w:ind w:left="1360" w:hanging="448"/>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4"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Floor 8, Building 12</w:t>
      </w:r>
    </w:p>
    <w:p>
      <w:pPr>
        <w:spacing w:after="0" w:line="23" w:lineRule="exact"/>
        <w:rPr>
          <w:rFonts w:ascii="Arial" w:cs="Arial" w:eastAsia="Arial" w:hAnsi="Arial"/>
          <w:sz w:val="18"/>
          <w:szCs w:val="18"/>
          <w:color w:val="auto"/>
        </w:rPr>
      </w:pPr>
    </w:p>
    <w:p>
      <w:pPr>
        <w:ind w:left="1360" w:right="7580"/>
        <w:spacing w:after="0" w:line="281" w:lineRule="auto"/>
        <w:rPr>
          <w:rFonts w:ascii="Arial" w:cs="Arial" w:eastAsia="Arial" w:hAnsi="Arial"/>
          <w:sz w:val="18"/>
          <w:szCs w:val="18"/>
          <w:color w:val="auto"/>
        </w:rPr>
      </w:pPr>
      <w:r>
        <w:rPr>
          <w:rFonts w:ascii="Arial" w:cs="Arial" w:eastAsia="Arial" w:hAnsi="Arial"/>
          <w:sz w:val="16"/>
          <w:szCs w:val="16"/>
          <w:color w:val="auto"/>
        </w:rPr>
        <w:t>Phase III of ChuangZhiTianDi 333 Songhu Road</w:t>
      </w:r>
    </w:p>
    <w:p>
      <w:pPr>
        <w:spacing w:after="0" w:line="1" w:lineRule="exact"/>
        <w:rPr>
          <w:rFonts w:ascii="Arial" w:cs="Arial" w:eastAsia="Arial" w:hAnsi="Arial"/>
          <w:sz w:val="18"/>
          <w:szCs w:val="18"/>
          <w:color w:val="auto"/>
        </w:rPr>
      </w:pPr>
    </w:p>
    <w:p>
      <w:pPr>
        <w:ind w:left="1360" w:right="7800"/>
        <w:spacing w:after="0" w:line="323" w:lineRule="auto"/>
        <w:rPr>
          <w:rFonts w:ascii="Arial" w:cs="Arial" w:eastAsia="Arial" w:hAnsi="Arial"/>
          <w:sz w:val="18"/>
          <w:szCs w:val="18"/>
          <w:color w:val="auto"/>
        </w:rPr>
      </w:pPr>
      <w:r>
        <w:rPr>
          <w:rFonts w:ascii="Arial" w:cs="Arial" w:eastAsia="Arial" w:hAnsi="Arial"/>
          <w:sz w:val="16"/>
          <w:szCs w:val="16"/>
          <w:color w:val="auto"/>
        </w:rPr>
        <w:t>Yangpu District, Shanghai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-39370</wp:posOffset>
            </wp:positionV>
            <wp:extent cx="6275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-1008380</wp:posOffset>
            </wp:positionV>
            <wp:extent cx="6275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360" w:hanging="44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10" w:lineRule="exact"/>
        <w:rPr>
          <w:rFonts w:ascii="Arial" w:cs="Arial" w:eastAsia="Arial" w:hAnsi="Arial"/>
          <w:sz w:val="18"/>
          <w:szCs w:val="18"/>
          <w:color w:val="auto"/>
        </w:rPr>
      </w:pPr>
    </w:p>
    <w:p>
      <w:pPr>
        <w:ind w:left="1360" w:right="300"/>
        <w:spacing w:after="0" w:line="277" w:lineRule="auto"/>
        <w:rPr>
          <w:rFonts w:ascii="Arial" w:cs="Arial" w:eastAsia="Arial" w:hAnsi="Arial"/>
          <w:sz w:val="18"/>
          <w:szCs w:val="18"/>
          <w:color w:val="auto"/>
        </w:rPr>
      </w:pPr>
      <w:r>
        <w:rPr>
          <w:rFonts w:ascii="Arial" w:cs="Arial" w:eastAsia="Arial" w:hAnsi="Arial"/>
          <w:sz w:val="18"/>
          <w:szCs w:val="18"/>
          <w:color w:val="auto"/>
        </w:rPr>
        <w:t>This statement is filed by the entities listed below, who are collectively referred to herein as “Reporting Persons” with respect to the Class A Ordinary Shares, par value US$0.00001 per share, of the Company (the “Shares”).</w:t>
      </w:r>
    </w:p>
    <w:p>
      <w:pPr>
        <w:spacing w:after="0" w:line="170" w:lineRule="exact"/>
        <w:rPr>
          <w:rFonts w:ascii="Arial" w:cs="Arial" w:eastAsia="Arial" w:hAnsi="Arial"/>
          <w:sz w:val="18"/>
          <w:szCs w:val="18"/>
          <w:color w:val="auto"/>
        </w:rPr>
      </w:pPr>
    </w:p>
    <w:p>
      <w:pPr>
        <w:ind w:left="1580" w:hanging="222"/>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SIG China Investments Master Fund III, LLLP</w:t>
      </w:r>
    </w:p>
    <w:p>
      <w:pPr>
        <w:spacing w:after="0" w:line="23" w:lineRule="exact"/>
        <w:rPr>
          <w:rFonts w:ascii="Arial" w:cs="Arial" w:eastAsia="Arial" w:hAnsi="Arial"/>
          <w:sz w:val="18"/>
          <w:szCs w:val="18"/>
          <w:color w:val="auto"/>
        </w:rPr>
      </w:pPr>
    </w:p>
    <w:p>
      <w:pPr>
        <w:ind w:left="1620" w:hanging="26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SIG Global China Fund I, LLLP</w:t>
      </w:r>
    </w:p>
    <w:p>
      <w:pPr>
        <w:spacing w:after="0" w:line="9" w:lineRule="exact"/>
        <w:rPr>
          <w:rFonts w:ascii="Arial" w:cs="Arial" w:eastAsia="Arial" w:hAnsi="Arial"/>
          <w:sz w:val="18"/>
          <w:szCs w:val="18"/>
          <w:color w:val="auto"/>
        </w:rPr>
      </w:pPr>
    </w:p>
    <w:p>
      <w:pPr>
        <w:ind w:left="1680" w:hanging="322"/>
        <w:spacing w:after="0"/>
        <w:tabs>
          <w:tab w:leader="none" w:pos="1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SIG Asia Investment, LLLP</w:t>
      </w:r>
    </w:p>
    <w:p>
      <w:pPr>
        <w:spacing w:after="0" w:line="9" w:lineRule="exact"/>
        <w:rPr>
          <w:rFonts w:ascii="Arial" w:cs="Arial" w:eastAsia="Arial" w:hAnsi="Arial"/>
          <w:sz w:val="18"/>
          <w:szCs w:val="18"/>
          <w:color w:val="auto"/>
        </w:rPr>
      </w:pPr>
    </w:p>
    <w:p>
      <w:pPr>
        <w:ind w:left="1660" w:hanging="302"/>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37" w:lineRule="exact"/>
        <w:rPr>
          <w:rFonts w:ascii="Arial" w:cs="Arial" w:eastAsia="Arial" w:hAnsi="Arial"/>
          <w:sz w:val="18"/>
          <w:szCs w:val="18"/>
          <w:color w:val="auto"/>
        </w:rPr>
      </w:pPr>
    </w:p>
    <w:p>
      <w:pPr>
        <w:ind w:left="1360" w:hanging="44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-276225</wp:posOffset>
            </wp:positionV>
            <wp:extent cx="6275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205" w:lineRule="exact"/>
        <w:rPr>
          <w:sz w:val="20"/>
          <w:szCs w:val="20"/>
          <w:color w:val="auto"/>
        </w:rPr>
      </w:pPr>
    </w:p>
    <w:p>
      <w:pPr>
        <w:ind w:left="1360" w:firstLine="40"/>
        <w:spacing w:after="0" w:line="277" w:lineRule="auto"/>
        <w:rPr>
          <w:sz w:val="20"/>
          <w:szCs w:val="20"/>
          <w:color w:val="auto"/>
        </w:rPr>
      </w:pPr>
      <w:r>
        <w:rPr>
          <w:rFonts w:ascii="Arial" w:cs="Arial" w:eastAsia="Arial" w:hAnsi="Arial"/>
          <w:sz w:val="18"/>
          <w:szCs w:val="18"/>
          <w:color w:val="auto"/>
        </w:rPr>
        <w:t>The address of the principal business office of each of SIG China Investments Master Fund III, LLLP, SIG Global China Fund I, LLLP, and SIG Asia Investment, LLLP is: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One Commerce Center</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1201 N. Orange Street, Suite 715</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Wilmington, DE 19801</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6275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218" w:lineRule="exact"/>
        <w:rPr>
          <w:sz w:val="20"/>
          <w:szCs w:val="20"/>
          <w:color w:val="auto"/>
        </w:rPr>
      </w:pPr>
    </w:p>
    <w:p>
      <w:pPr>
        <w:ind w:left="1360" w:hanging="448"/>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60" w:right="260"/>
        <w:spacing w:after="0" w:line="250" w:lineRule="auto"/>
        <w:rPr>
          <w:rFonts w:ascii="Arial" w:cs="Arial" w:eastAsia="Arial" w:hAnsi="Arial"/>
          <w:sz w:val="18"/>
          <w:szCs w:val="18"/>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ind w:left="1360" w:hanging="448"/>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Class A Ordinary Shares, par value US$0.0001 per share</w:t>
      </w:r>
    </w:p>
    <w:p>
      <w:pPr>
        <w:spacing w:after="0" w:line="9" w:lineRule="exact"/>
        <w:rPr>
          <w:rFonts w:ascii="Arial" w:cs="Arial" w:eastAsia="Arial" w:hAnsi="Arial"/>
          <w:sz w:val="18"/>
          <w:szCs w:val="18"/>
          <w:color w:val="auto"/>
        </w:rPr>
      </w:pPr>
    </w:p>
    <w:p>
      <w:pPr>
        <w:ind w:left="1360" w:hanging="448"/>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4" w:lineRule="exact"/>
        <w:rPr>
          <w:rFonts w:ascii="Arial" w:cs="Arial" w:eastAsia="Arial" w:hAnsi="Arial"/>
          <w:sz w:val="18"/>
          <w:szCs w:val="18"/>
          <w:color w:val="auto"/>
        </w:rPr>
      </w:pPr>
    </w:p>
    <w:p>
      <w:pPr>
        <w:ind w:left="1360" w:right="140"/>
        <w:spacing w:after="0" w:line="277" w:lineRule="auto"/>
        <w:rPr>
          <w:rFonts w:ascii="Arial" w:cs="Arial" w:eastAsia="Arial" w:hAnsi="Arial"/>
          <w:sz w:val="18"/>
          <w:szCs w:val="18"/>
          <w:color w:val="auto"/>
        </w:rPr>
      </w:pPr>
      <w:r>
        <w:rPr>
          <w:rFonts w:ascii="Arial" w:cs="Arial" w:eastAsia="Arial" w:hAnsi="Arial"/>
          <w:sz w:val="18"/>
          <w:szCs w:val="18"/>
          <w:color w:val="auto"/>
        </w:rPr>
        <w:t>CUSIP number 00851L103 has been assigned to the American Depositary Shares (“ADSs”) of the Company, which are quoted on the Nasdaq Global Select Market under the symbol “API”. Each ADS represents 4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-19050</wp:posOffset>
            </wp:positionV>
            <wp:extent cx="6275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-576580</wp:posOffset>
            </wp:positionV>
            <wp:extent cx="6275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-859155</wp:posOffset>
            </wp:positionV>
            <wp:extent cx="6275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00851L103</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96" w:lineRule="exact"/>
        <w:rPr>
          <w:sz w:val="20"/>
          <w:szCs w:val="20"/>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820" w:hanging="908"/>
        <w:spacing w:after="0" w:line="239" w:lineRule="exact"/>
        <w:tabs>
          <w:tab w:leader="none" w:pos="1374"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380" w:hanging="468"/>
        <w:spacing w:after="0" w:line="207" w:lineRule="exact"/>
        <w:tabs>
          <w:tab w:leader="none" w:pos="13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58" w:lineRule="exact"/>
        <w:rPr>
          <w:sz w:val="20"/>
          <w:szCs w:val="20"/>
          <w:color w:val="auto"/>
        </w:rPr>
      </w:pPr>
    </w:p>
    <w:p>
      <w:pPr>
        <w:ind w:left="1820" w:right="1800"/>
        <w:spacing w:after="0" w:line="277" w:lineRule="auto"/>
        <w:rPr>
          <w:sz w:val="20"/>
          <w:szCs w:val="20"/>
          <w:color w:val="auto"/>
        </w:rPr>
      </w:pPr>
      <w:r>
        <w:rPr>
          <w:rFonts w:ascii="Arial" w:cs="Arial" w:eastAsia="Arial" w:hAnsi="Arial"/>
          <w:sz w:val="18"/>
          <w:szCs w:val="18"/>
          <w:color w:val="auto"/>
        </w:rPr>
        <w:t>If filing as a non-U.S. institution in accordance with § 240.13d–1(b)(1)(ii)(J), please specify the type of institution:_________________________</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reported as beneficially owned by SIG Global China Fund I, LLLP consists of 1,304,753 ADSs.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Annual Report on Form 20-F, filed on March 26, 2021, indicates there were 347,302,624 Shares outstanding as of December 31, 2020.</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SIG Asia Investment, LLLP, which serves as the investment manager to SIG China Investments Master Fund III, LLLP, and SIG Global China Fund I, LLLP, may be deemed to be the beneficial owner of all Shares owned by SIG China Investments Master Fund III, LLLP and SIG Global China Fund I, LLLP, respectively. Heights Capital Management, Inc., which serves as the investment manager to SIG Asia Investment, LLLP, may be deemed to be the beneficial owner of all Shares owned by SIG China Investments Master Fund III and SIG Global China Fund I, LLLP. Each of the Reporting Persons hereby disclaims any beneficial ownership of any such Shares, except for their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28" w:right="51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00851L103</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2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28"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00851L103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 China Investments Master Fund III, LLLP</w:t>
      </w:r>
    </w:p>
    <w:p>
      <w:pPr>
        <w:sectPr>
          <w:pgSz w:w="11900" w:h="16838" w:orient="portrait"/>
          <w:cols w:equalWidth="0" w:num="1">
            <w:col w:w="10660"/>
          </w:cols>
          <w:pgMar w:left="320" w:top="908" w:right="9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SIG Asia Investment, LLLP,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pursuant to a Limited Power of Attorney, a copy of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ectPr>
          <w:pgSz w:w="11900" w:h="16838" w:orient="portrait"/>
          <w:cols w:equalWidth="0" w:num="2">
            <w:col w:w="260" w:space="320"/>
            <w:col w:w="10080"/>
          </w:cols>
          <w:pgMar w:left="320" w:top="908" w:right="9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Heights Capital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Pursuant to a Limited Power of Attorney, a copy of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ectPr>
          <w:pgSz w:w="11900" w:h="16838" w:orient="portrait"/>
          <w:cols w:equalWidth="0" w:num="2">
            <w:col w:w="260" w:space="320"/>
            <w:col w:w="10080"/>
          </w:cols>
          <w:pgMar w:left="320" w:top="908" w:right="919" w:bottom="1440" w:gutter="0" w:footer="0" w:header="0"/>
          <w:type w:val="continuous"/>
        </w:sectPr>
      </w:pPr>
    </w:p>
    <w:p>
      <w:pPr>
        <w:spacing w:after="0" w:line="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Spolan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Spolan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 Global China Fund I, LLLP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160"/>
              <w:spacing w:after="0"/>
              <w:rPr>
                <w:sz w:val="20"/>
                <w:szCs w:val="20"/>
                <w:color w:val="auto"/>
              </w:rPr>
            </w:pPr>
            <w:r>
              <w:rPr>
                <w:rFonts w:ascii="Arial" w:cs="Arial" w:eastAsia="Arial" w:hAnsi="Arial"/>
                <w:sz w:val="18"/>
                <w:szCs w:val="18"/>
                <w:color w:val="auto"/>
              </w:rPr>
              <w:t>SIG Asia Investment, LLLP,</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w w:val="91"/>
              </w:rPr>
              <w:t>pursuant to a Limited Power of Attorney, a copy of which was</w:t>
            </w:r>
          </w:p>
        </w:tc>
        <w:tc>
          <w:tcPr>
            <w:tcW w:w="0" w:type="dxa"/>
            <w:vAlign w:val="bottom"/>
          </w:tcPr>
          <w:p>
            <w:pPr>
              <w:spacing w:after="0"/>
              <w:rPr>
                <w:sz w:val="1"/>
                <w:szCs w:val="1"/>
                <w:color w:val="auto"/>
              </w:rPr>
            </w:pPr>
          </w:p>
        </w:tc>
      </w:tr>
      <w:tr>
        <w:trPr>
          <w:trHeight w:val="230"/>
        </w:trPr>
        <w:tc>
          <w:tcPr>
            <w:tcW w:w="42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160"/>
              <w:spacing w:after="0"/>
              <w:rPr>
                <w:sz w:val="20"/>
                <w:szCs w:val="20"/>
                <w:color w:val="auto"/>
              </w:rPr>
            </w:pPr>
            <w:r>
              <w:rPr>
                <w:rFonts w:ascii="Arial" w:cs="Arial" w:eastAsia="Arial" w:hAnsi="Arial"/>
                <w:sz w:val="18"/>
                <w:szCs w:val="18"/>
                <w:color w:val="auto"/>
              </w:rPr>
              <w:t>previously filed</w:t>
            </w: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660" w:type="dxa"/>
            <w:vAlign w:val="bottom"/>
            <w:vMerge w:val="restart"/>
          </w:tcPr>
          <w:p>
            <w:pPr>
              <w:ind w:left="160"/>
              <w:spacing w:after="0"/>
              <w:rPr>
                <w:sz w:val="20"/>
                <w:szCs w:val="20"/>
                <w:color w:val="auto"/>
              </w:rPr>
            </w:pPr>
            <w:r>
              <w:rPr>
                <w:rFonts w:ascii="Arial" w:cs="Arial" w:eastAsia="Arial" w:hAnsi="Arial"/>
                <w:sz w:val="18"/>
                <w:szCs w:val="18"/>
                <w:color w:val="auto"/>
              </w:rPr>
              <w:t>Heights Capital Management, Inc.,</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w w:val="91"/>
              </w:rPr>
              <w:t>Pursuant to a Limited Power of Attorney, a copy of which was</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previously filed</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Spolan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Spolan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 Asia Investment, LLLP</w:t>
      </w:r>
    </w:p>
    <w:p>
      <w:pPr>
        <w:sectPr>
          <w:pgSz w:w="11900" w:h="16838" w:orient="portrait"/>
          <w:cols w:equalWidth="0" w:num="1">
            <w:col w:w="10660"/>
          </w:cols>
          <w:pgMar w:left="320" w:top="908" w:right="91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Heights Capital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Pursuant to a Limited Power of Attorney, a copy of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ectPr>
          <w:pgSz w:w="11900" w:h="16838" w:orient="portrait"/>
          <w:cols w:equalWidth="0" w:num="2">
            <w:col w:w="260" w:space="320"/>
            <w:col w:w="10080"/>
          </w:cols>
          <w:pgMar w:left="320" w:top="908" w:right="919" w:bottom="1440" w:gutter="0" w:footer="0" w:header="0"/>
          <w:type w:val="continuous"/>
        </w:sectPr>
      </w:pPr>
    </w:p>
    <w:p>
      <w:pPr>
        <w:spacing w:after="0" w:line="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Spolan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Spolan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Heights Capital Management, Inc.</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Spolan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Spolan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CUSIP No. 00851L103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3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140" w:hanging="113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Power of Attorney for SIG China Investments Master Fund III, LLLP*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II</w:t>
            </w:r>
          </w:p>
        </w:tc>
        <w:tc>
          <w:tcPr>
            <w:tcW w:w="10580" w:type="dxa"/>
            <w:vAlign w:val="bottom"/>
          </w:tcPr>
          <w:p>
            <w:pPr>
              <w:ind w:left="480"/>
              <w:spacing w:after="0"/>
              <w:rPr>
                <w:sz w:val="20"/>
                <w:szCs w:val="20"/>
                <w:color w:val="auto"/>
              </w:rPr>
            </w:pPr>
            <w:r>
              <w:rPr>
                <w:rFonts w:ascii="Arial" w:cs="Arial" w:eastAsia="Arial" w:hAnsi="Arial"/>
                <w:sz w:val="18"/>
                <w:szCs w:val="18"/>
                <w:color w:val="auto"/>
              </w:rPr>
              <w:t>Limited Power of Attorney for SIG Global China Fund I, LLLP*</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III</w:t>
            </w:r>
          </w:p>
        </w:tc>
        <w:tc>
          <w:tcPr>
            <w:tcW w:w="10580" w:type="dxa"/>
            <w:vAlign w:val="bottom"/>
          </w:tcPr>
          <w:p>
            <w:pPr>
              <w:ind w:left="480"/>
              <w:spacing w:after="0"/>
              <w:rPr>
                <w:sz w:val="20"/>
                <w:szCs w:val="20"/>
                <w:color w:val="auto"/>
              </w:rPr>
            </w:pPr>
            <w:r>
              <w:rPr>
                <w:rFonts w:ascii="Arial" w:cs="Arial" w:eastAsia="Arial" w:hAnsi="Arial"/>
                <w:sz w:val="18"/>
                <w:szCs w:val="18"/>
                <w:color w:val="auto"/>
              </w:rPr>
              <w:t>Limited Power of Attorney for SIG Asia Investment, LLLP*</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IV</w:t>
            </w:r>
          </w:p>
        </w:tc>
        <w:tc>
          <w:tcPr>
            <w:tcW w:w="10580" w:type="dxa"/>
            <w:vAlign w:val="bottom"/>
          </w:tcPr>
          <w:p>
            <w:pPr>
              <w:ind w:left="480"/>
              <w:spacing w:after="0"/>
              <w:rPr>
                <w:sz w:val="20"/>
                <w:szCs w:val="20"/>
                <w:color w:val="auto"/>
              </w:rPr>
            </w:pPr>
            <w:r>
              <w:rPr>
                <w:rFonts w:ascii="Arial" w:cs="Arial" w:eastAsia="Arial" w:hAnsi="Arial"/>
                <w:sz w:val="18"/>
                <w:szCs w:val="18"/>
                <w:color w:val="auto"/>
              </w:rPr>
              <w:t>Joint Filing Agreement*</w:t>
            </w:r>
          </w:p>
        </w:tc>
      </w:tr>
      <w:tr>
        <w:trPr>
          <w:trHeight w:val="432"/>
        </w:trPr>
        <w:tc>
          <w:tcPr>
            <w:tcW w:w="660" w:type="dxa"/>
            <w:vAlign w:val="bottom"/>
          </w:tcPr>
          <w:p>
            <w:pPr>
              <w:spacing w:after="0"/>
              <w:rPr>
                <w:sz w:val="24"/>
                <w:szCs w:val="24"/>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*Previously filed</w:t>
            </w:r>
          </w:p>
        </w:tc>
      </w:tr>
      <w:tr>
        <w:trPr>
          <w:trHeight w:val="675"/>
        </w:trPr>
        <w:tc>
          <w:tcPr>
            <w:tcW w:w="6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abstractNum>
  <w:abstractNum w:abstractNumId="2">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3352255A"/>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DED7263"/>
    <w:multiLevelType w:val="hybridMultilevel"/>
    <w:lvl w:ilvl="0">
      <w:lvlJc w:val="left"/>
      <w:lvlText w:val="%1."/>
      <w:numFmt w:val="decimal"/>
      <w:start w:val="1"/>
    </w:lvl>
    <w:lvl w:ilvl="1">
      <w:lvlJc w:val="left"/>
      <w:lvlText w:val="(%2)"/>
      <w:numFmt w:val="lowerLetter"/>
      <w:start w:val="1"/>
    </w:lvl>
  </w:abstractNum>
  <w:abstractNum w:abstractNumId="6">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7">
    <w:nsid w:val="1BEFD79F"/>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8">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25E45D3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1"/>
    </w:lvl>
  </w:abstractNum>
  <w:abstractNum w:abstractNumId="1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5">
    <w:nsid w:val="7C83E458"/>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Letter"/>
      <w:start w:val="3"/>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2022-02-14T12:59:53Z</dcterms:created>
  <dcterms:modified xsi:type="dcterms:W3CDTF">2022-02-14T12:59:53Z</dcterms:modified>
</cp:coreProperties>
</file>