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Agora,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00851L103**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1"/>
        <w:spacing w:after="0" w:line="238" w:lineRule="auto"/>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**There is no CUSIP number assigned to the Class A Ordinary Shares. CUSIP number 00851L103 has been assigned to the American Depositary Shares ("</w:t>
      </w:r>
      <w:r>
        <w:rPr>
          <w:rFonts w:ascii="Times New Roman" w:cs="Times New Roman" w:eastAsia="Times New Roman" w:hAnsi="Times New Roman"/>
          <w:sz w:val="20"/>
          <w:szCs w:val="20"/>
          <w:u w:val="single" w:color="auto"/>
          <w:color w:val="auto"/>
        </w:rPr>
        <w:t>ADSs</w:t>
      </w:r>
      <w:r>
        <w:rPr>
          <w:rFonts w:ascii="Times New Roman" w:cs="Times New Roman" w:eastAsia="Times New Roman" w:hAnsi="Times New Roman"/>
          <w:sz w:val="20"/>
          <w:szCs w:val="20"/>
          <w:color w:val="auto"/>
        </w:rPr>
        <w:t>") of the Company, which are quoted on The Nasdaq Global Select Market under the symbol "API." Each ADS represents four (4) Class A Ordinary Shares.</w:t>
      </w:r>
    </w:p>
    <w:p>
      <w:pPr>
        <w:spacing w:after="0" w:line="147"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00851L103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HHLR Advisors, Ltd.</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Cayman Islands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19,287,300 Class A Ordinary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19,287,300 Class A Ordinary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19,287,300 Class A Ordinary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4"/>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00851L103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6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Agora, Inc. (the "Company").</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 is located at Floor 8, Building 12, Phase III of ChuangZhiTianDi, 333</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Songhu Road, Yangpu District, Shanghai, People’s Republic of China.</w:t>
            </w:r>
          </w:p>
        </w:tc>
      </w:tr>
      <w:tr>
        <w:trPr>
          <w:trHeight w:val="41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This Schedule 13G/A is filed by HHLR Advisors, Ltd., an exempted Cayman Islands company ("HHLR" or the</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"Reporting Person"), with respect to the Class A Ordinary Shares (as defined in Item 2(d) below) held by HHLR</w:t>
            </w:r>
          </w:p>
        </w:tc>
      </w:tr>
      <w:tr>
        <w:trPr>
          <w:trHeight w:val="20"/>
        </w:trPr>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Fund, L.P. ("HHLR Fund"). HHLR acts as the sole investment manager of HHLR Fund is hereby deemed to be the</w:t>
            </w:r>
          </w:p>
        </w:tc>
      </w:tr>
      <w:tr>
        <w:trPr>
          <w:trHeight w:val="20"/>
        </w:trPr>
        <w:tc>
          <w:tcPr>
            <w:tcW w:w="12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80" w:type="dxa"/>
            <w:vAlign w:val="bottom"/>
            <w:gridSpan w:val="11"/>
          </w:tcPr>
          <w:p>
            <w:pPr>
              <w:ind w:left="440"/>
              <w:spacing w:after="0" w:line="228" w:lineRule="exact"/>
              <w:rPr>
                <w:sz w:val="20"/>
                <w:szCs w:val="20"/>
                <w:color w:val="auto"/>
              </w:rPr>
            </w:pPr>
            <w:r>
              <w:rPr>
                <w:rFonts w:ascii="Times New Roman" w:cs="Times New Roman" w:eastAsia="Times New Roman" w:hAnsi="Times New Roman"/>
                <w:sz w:val="20"/>
                <w:szCs w:val="20"/>
                <w:color w:val="auto"/>
                <w:w w:val="99"/>
              </w:rPr>
              <w:t>sole beneficial owner of, and to solely control the voting and investment power of, the Class A Ordinary Shares held</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by HHLR Fund.</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w w:val="98"/>
              </w:rPr>
              <w:t>The address of the business office of the Reporting Person is Office #122, Windward 3 Building, Regatta Office Park,</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West Bay Road, Grand Cayman, Cayman Islands, KY1-9006.</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Class A ordinary shares, par value $0.0001 per share (the "Class A Ordinary Shares").</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510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960" w:type="dxa"/>
            <w:vAlign w:val="bottom"/>
            <w:tcBorders>
              <w:top w:val="single" w:sz="8" w:color="auto"/>
            </w:tcBorders>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There is no CUSIP number assigned to the Class A Ordinary Shares. CUSIP number 00851L103 has been assigned</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to the ADSs of the Company, which are quoted on The Nasdaq Global Select Market under the symbol "API." Each</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ADS represents four (4) Class A Ordinary Shares.</w:t>
            </w:r>
          </w:p>
        </w:tc>
      </w:tr>
    </w:tbl>
    <w:p>
      <w:pPr>
        <w:spacing w:after="0" w:line="197" w:lineRule="exact"/>
        <w:rPr>
          <w:sz w:val="20"/>
          <w:szCs w:val="20"/>
          <w:color w:val="auto"/>
        </w:rPr>
      </w:pPr>
    </w:p>
    <w:p>
      <w:pPr>
        <w:jc w:val="both"/>
        <w:ind w:left="1800" w:right="100" w:hanging="1687"/>
        <w:spacing w:after="0" w:line="25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w:t>
      </w:r>
    </w:p>
    <w:p>
      <w:pPr>
        <w:spacing w:after="0" w:line="161"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Rule 13d-1(b)(1)(ii)(F);</w:t>
      </w:r>
    </w:p>
    <w:p>
      <w:pPr>
        <w:sectPr>
          <w:pgSz w:w="11900" w:h="16838" w:orient="portrait"/>
          <w:cols w:equalWidth="0" w:num="1">
            <w:col w:w="11240"/>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00851L103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6 Pages</w:t>
      </w:r>
    </w:p>
    <w:p>
      <w:pPr>
        <w:sectPr>
          <w:pgSz w:w="11900" w:h="16838" w:orient="portrait"/>
          <w:cols w:equalWidth="0" w:num="1">
            <w:col w:w="11240"/>
          </w:cols>
          <w:pgMar w:left="320" w:top="468" w:right="339" w:bottom="1440" w:gutter="0" w:footer="0" w:header="0"/>
        </w:sectPr>
      </w:pPr>
    </w:p>
    <w:p>
      <w:pPr>
        <w:spacing w:after="0" w:line="314" w:lineRule="exact"/>
        <w:rPr>
          <w:sz w:val="20"/>
          <w:szCs w:val="20"/>
          <w:color w:val="auto"/>
        </w:rPr>
      </w:pPr>
    </w:p>
    <w:tbl>
      <w:tblPr>
        <w:tblLayout w:type="fixed"/>
        <w:tblInd w:w="100" w:type="dxa"/>
        <w:tblCellMar>
          <w:top w:w="0" w:type="dxa"/>
          <w:left w:w="0" w:type="dxa"/>
          <w:bottom w:w="0" w:type="dxa"/>
          <w:right w:w="0" w:type="dxa"/>
        </w:tblCellMar>
      </w:tblPr>
      <w:tr>
        <w:trPr>
          <w:trHeight w:val="334"/>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59"/>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(h)</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87"/>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church plan that is excluded from the definition of an investment company under Section 3(c)(14)</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 the Investment Company Act;</w:t>
            </w:r>
          </w:p>
        </w:tc>
      </w:tr>
      <w:tr>
        <w:trPr>
          <w:trHeight w:val="503"/>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(j)</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46"/>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(k)</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r>
        <w:trPr>
          <w:trHeight w:val="373"/>
        </w:trPr>
        <w:tc>
          <w:tcPr>
            <w:tcW w:w="1140" w:type="dxa"/>
            <w:vAlign w:val="bottom"/>
          </w:tcPr>
          <w:p>
            <w:pPr>
              <w:spacing w:after="0"/>
              <w:rPr>
                <w:sz w:val="24"/>
                <w:szCs w:val="24"/>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specify the type of institution: ____________________________________</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b w:val="1"/>
                <w:bCs w:val="1"/>
                <w:color w:val="auto"/>
                <w:w w:val="96"/>
              </w:rPr>
              <w:t>OWNERSHIP</w:t>
            </w:r>
          </w:p>
        </w:tc>
        <w:tc>
          <w:tcPr>
            <w:tcW w:w="812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percentage set forth in this Schedule 13G/A is calculated based upon an aggregate of</w:t>
            </w:r>
          </w:p>
        </w:tc>
      </w:tr>
      <w:tr>
        <w:trPr>
          <w:trHeight w:val="229"/>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9"/>
              </w:rPr>
              <w:t>377,000,000 Class A Ordinary Shares reported to be issued and outstanding as of September 30, 2023, as reported in</w:t>
            </w:r>
          </w:p>
        </w:tc>
      </w:tr>
      <w:tr>
        <w:trPr>
          <w:trHeight w:val="230"/>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Exhibit 99.1 to the Company's Foreign Report on Form 6-K filed with the Securities and Exchange Commission on</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November 22, 2023.</w:t>
            </w:r>
          </w:p>
        </w:tc>
      </w:tr>
      <w:tr>
        <w:trPr>
          <w:trHeight w:val="430"/>
        </w:trPr>
        <w:tc>
          <w:tcPr>
            <w:tcW w:w="1140" w:type="dxa"/>
            <w:vAlign w:val="bottom"/>
          </w:tcPr>
          <w:p>
            <w:pPr>
              <w:spacing w:after="0"/>
              <w:rPr>
                <w:sz w:val="24"/>
                <w:szCs w:val="24"/>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8"/>
              </w:rPr>
              <w:t>The information required by Items 4(a) - (c) is set forth in Rows 5 - 11 of the cover page for the Reporting Person and</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is incorporated herein by reference.</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See Item 2.</w:t>
            </w:r>
          </w:p>
        </w:tc>
        <w:tc>
          <w:tcPr>
            <w:tcW w:w="8120" w:type="dxa"/>
            <w:vAlign w:val="bottom"/>
          </w:tcPr>
          <w:p>
            <w:pPr>
              <w:spacing w:after="0"/>
              <w:rPr>
                <w:sz w:val="22"/>
                <w:szCs w:val="22"/>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w:t>
            </w:r>
          </w:p>
        </w:tc>
      </w:tr>
      <w:tr>
        <w:trPr>
          <w:trHeight w:val="233"/>
        </w:trPr>
        <w:tc>
          <w:tcPr>
            <w:tcW w:w="1140" w:type="dxa"/>
            <w:vAlign w:val="bottom"/>
          </w:tcPr>
          <w:p>
            <w:pPr>
              <w:spacing w:after="0"/>
              <w:rPr>
                <w:sz w:val="20"/>
                <w:szCs w:val="20"/>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 OR CONTROL PERSON</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MEMBERS OF THE GROUP</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9.</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NOTICE OF DISSOLUTION OF GROUP</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00851L103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6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Reporting Person hereby makes the following certification:</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By signing below the Reporting Person certifies that, to the best of its knowledge and belief, the securities referred to</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above were not acquired and are not held for the purpose of or with the effect of changing or influencing the control</w:t>
      </w:r>
    </w:p>
    <w:p>
      <w:pPr>
        <w:ind w:left="1800"/>
        <w:spacing w:after="0"/>
        <w:rPr>
          <w:sz w:val="20"/>
          <w:szCs w:val="20"/>
          <w:color w:val="auto"/>
        </w:rPr>
      </w:pPr>
      <w:r>
        <w:rPr>
          <w:rFonts w:ascii="Times New Roman" w:cs="Times New Roman" w:eastAsia="Times New Roman" w:hAnsi="Times New Roman"/>
          <w:sz w:val="20"/>
          <w:szCs w:val="20"/>
          <w:color w:val="auto"/>
        </w:rPr>
        <w:t>of the issuer of the securities and were not acquired and are not held in connection with or as a participant in any</w:t>
      </w:r>
    </w:p>
    <w:p>
      <w:pPr>
        <w:ind w:left="1800"/>
        <w:spacing w:after="0"/>
        <w:rPr>
          <w:sz w:val="20"/>
          <w:szCs w:val="20"/>
          <w:color w:val="auto"/>
        </w:rPr>
      </w:pPr>
      <w:r>
        <w:rPr>
          <w:rFonts w:ascii="Times New Roman" w:cs="Times New Roman" w:eastAsia="Times New Roman" w:hAnsi="Times New Roman"/>
          <w:sz w:val="20"/>
          <w:szCs w:val="20"/>
          <w:color w:val="auto"/>
        </w:rPr>
        <w:t>transaction having that purpose or effect.</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00851L103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its knowledge and belief,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HHLR ADVISORS, LTD.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Audrey Woon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Audrey Woon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Compliance Officer</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ý"/>
      <w:numFmt w:val="bullet"/>
      <w:start w:val="1"/>
    </w:lvl>
    <w:lvl w:ilvl="1">
      <w:lvlJc w:val="left"/>
      <w:lvlText w:val="☐"/>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2024-02-14T17:08:50Z</dcterms:created>
  <dcterms:modified xsi:type="dcterms:W3CDTF">2024-02-14T17:08:50Z</dcterms:modified>
</cp:coreProperties>
</file>