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4824"/>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1884"/>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TO § 240.13d-1(b), (c) AND (d) AND AMENDMENTS THERETO FILED</w:t>
      </w:r>
    </w:p>
    <w:p>
      <w:pPr>
        <w:jc w:val="center"/>
        <w:ind w:right="-63"/>
        <w:spacing w:after="0"/>
        <w:rPr>
          <w:sz w:val="20"/>
          <w:szCs w:val="20"/>
          <w:color w:val="auto"/>
        </w:rPr>
      </w:pPr>
      <w:r>
        <w:rPr>
          <w:rFonts w:ascii="Arial" w:cs="Arial" w:eastAsia="Arial" w:hAnsi="Arial"/>
          <w:sz w:val="22"/>
          <w:szCs w:val="22"/>
          <w:b w:val="1"/>
          <w:bCs w:val="1"/>
          <w:color w:val="auto"/>
        </w:rPr>
        <w:t>PURSUANT TO § 240.13d-2</w:t>
      </w:r>
    </w:p>
    <w:p>
      <w:pPr>
        <w:spacing w:after="0" w:line="182"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Agora,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ordinary shares,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00851L103**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4" w:hanging="213"/>
        <w:spacing w:after="0"/>
        <w:tabs>
          <w:tab w:leader="none" w:pos="1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4" w:hanging="213"/>
        <w:spacing w:after="0"/>
        <w:tabs>
          <w:tab w:leader="none" w:pos="1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4" w:hanging="213"/>
        <w:spacing w:after="0"/>
        <w:tabs>
          <w:tab w:leader="none" w:pos="1204"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4" w:hanging="432"/>
        <w:spacing w:after="0" w:line="274"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ind w:left="424" w:right="80" w:hanging="424"/>
        <w:spacing w:after="0" w:line="26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CUSIP number 00851L103 has been assigned to the American depositary shares (“ADSs”) of the Issuer, which are quoted on the Nasdaq Global Select Market under the symbol “API.” Each ADS represents four Class A ordinary shares of the Issuer.</w:t>
      </w:r>
    </w:p>
    <w:p>
      <w:pPr>
        <w:spacing w:after="0" w:line="18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The information required on the remainder of this cover page shall not be deemed to be “filed” for the purpose of Section 18 of the Securities</w:t>
      </w:r>
    </w:p>
    <w:p>
      <w:pPr>
        <w:spacing w:after="0" w:line="46" w:lineRule="exact"/>
        <w:rPr>
          <w:sz w:val="24"/>
          <w:szCs w:val="24"/>
          <w:color w:val="auto"/>
        </w:rPr>
      </w:pPr>
    </w:p>
    <w:p>
      <w:pPr>
        <w:ind w:left="4"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 of 17 Pages</w:t>
      </w:r>
    </w:p>
    <w:p>
      <w:pPr>
        <w:spacing w:after="0" w:line="171"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Shunwei Technology II Limited</w:t>
      </w:r>
    </w:p>
    <w:p>
      <w:pPr>
        <w:spacing w:after="0" w:line="36"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British Virgin Islands</w:t>
      </w:r>
    </w:p>
    <w:p>
      <w:pPr>
        <w:spacing w:after="0" w:line="36" w:lineRule="exact"/>
        <w:rPr>
          <w:rFonts w:ascii="Arial" w:cs="Arial" w:eastAsia="Arial" w:hAnsi="Arial"/>
          <w:sz w:val="18"/>
          <w:szCs w:val="18"/>
          <w:color w:val="auto"/>
        </w:rPr>
      </w:pPr>
    </w:p>
    <w:p>
      <w:pPr>
        <w:ind w:left="12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18,005,908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 xml:space="preserve">18,005,908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 xml:space="preserve">18,005,908 </w:t>
      </w:r>
      <w:r>
        <w:rPr>
          <w:rFonts w:ascii="Arial" w:cs="Arial" w:eastAsia="Arial" w:hAnsi="Arial"/>
          <w:sz w:val="15"/>
          <w:szCs w:val="15"/>
          <w:color w:val="auto"/>
        </w:rPr>
        <w:t>(1)</w:t>
      </w:r>
    </w:p>
    <w:p>
      <w:pPr>
        <w:spacing w:after="0" w:line="36" w:lineRule="exact"/>
        <w:rPr>
          <w:sz w:val="20"/>
          <w:szCs w:val="20"/>
          <w:color w:val="auto"/>
        </w:rPr>
      </w:pPr>
    </w:p>
    <w:p>
      <w:pPr>
        <w:ind w:left="624" w:hanging="467"/>
        <w:spacing w:after="0"/>
        <w:tabs>
          <w:tab w:leader="none" w:pos="624"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3.9%</w:t>
      </w:r>
      <w:r>
        <w:rPr>
          <w:rFonts w:ascii="Arial" w:cs="Arial" w:eastAsia="Arial" w:hAnsi="Arial"/>
          <w:sz w:val="15"/>
          <w:szCs w:val="15"/>
          <w:color w:val="auto"/>
        </w:rPr>
        <w:t>(2)</w:t>
      </w:r>
      <w:r>
        <w:rPr>
          <w:rFonts w:ascii="Arial" w:cs="Arial" w:eastAsia="Arial" w:hAnsi="Arial"/>
          <w:sz w:val="18"/>
          <w:szCs w:val="18"/>
          <w:color w:val="auto"/>
        </w:rPr>
        <w:t xml:space="preserve"> (or 0.9%</w:t>
      </w:r>
      <w:r>
        <w:rPr>
          <w:rFonts w:ascii="Arial" w:cs="Arial" w:eastAsia="Arial" w:hAnsi="Arial"/>
          <w:sz w:val="15"/>
          <w:szCs w:val="15"/>
          <w:color w:val="auto"/>
        </w:rPr>
        <w:t>(2)</w:t>
      </w:r>
      <w:r>
        <w:rPr>
          <w:rFonts w:ascii="Arial" w:cs="Arial" w:eastAsia="Arial" w:hAnsi="Arial"/>
          <w:sz w:val="18"/>
          <w:szCs w:val="18"/>
          <w:color w:val="auto"/>
        </w:rPr>
        <w:t xml:space="preserve"> of the aggregate voting power)</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5"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18,005,908 Class A ordinary shares held by Shunwei Technology II Limited.</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beneficial ownership percentage is calculated based on 463,482,562 ordinary shares of the Issuer as a single class, being the sum of</w:t>
      </w:r>
    </w:p>
    <w:p>
      <w:pPr>
        <w:spacing w:after="0" w:line="20" w:lineRule="exact"/>
        <w:rPr>
          <w:rFonts w:ascii="Arial" w:cs="Arial" w:eastAsia="Arial" w:hAnsi="Arial"/>
          <w:sz w:val="17"/>
          <w:szCs w:val="17"/>
          <w:color w:val="auto"/>
        </w:rPr>
      </w:pPr>
    </w:p>
    <w:p>
      <w:pPr>
        <w:ind w:left="424" w:right="20"/>
        <w:spacing w:after="0" w:line="253" w:lineRule="auto"/>
        <w:rPr>
          <w:rFonts w:ascii="Arial" w:cs="Arial" w:eastAsia="Arial" w:hAnsi="Arial"/>
          <w:sz w:val="17"/>
          <w:szCs w:val="17"/>
          <w:color w:val="auto"/>
        </w:rPr>
      </w:pPr>
      <w:r>
        <w:rPr>
          <w:rFonts w:ascii="Arial" w:cs="Arial" w:eastAsia="Arial" w:hAnsi="Arial"/>
          <w:sz w:val="18"/>
          <w:szCs w:val="18"/>
          <w:color w:val="auto"/>
        </w:rPr>
        <w:t>(i) 387,302,624 Class A ordinary shares issued and outstanding as of March 2, 2021, and (ii) 76,179,938 Class B ordinary shares issued and outstanding as of March 2, 2021, assuming conversion of all Class B ordinary shares into Class A ordinary shares, as reported on the Issuer’s Form 20-F filed with the Securities and Exchange Commission on March 26, 2021. The voting power of the shares beneficially owned represented 0.9% of the total outstanding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-862330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3 of 17 Pages</w:t>
      </w:r>
    </w:p>
    <w:p>
      <w:pPr>
        <w:spacing w:after="0" w:line="171" w:lineRule="exact"/>
        <w:rPr>
          <w:sz w:val="20"/>
          <w:szCs w:val="20"/>
          <w:color w:val="auto"/>
        </w:rPr>
      </w:pPr>
    </w:p>
    <w:p>
      <w:pPr>
        <w:ind w:left="624" w:hanging="377"/>
        <w:spacing w:after="0"/>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Shunwei China Internet Fund, L.P.</w:t>
      </w:r>
    </w:p>
    <w:p>
      <w:pPr>
        <w:spacing w:after="0" w:line="36" w:lineRule="exact"/>
        <w:rPr>
          <w:sz w:val="20"/>
          <w:szCs w:val="20"/>
          <w:color w:val="auto"/>
        </w:rPr>
      </w:pPr>
    </w:p>
    <w:p>
      <w:pPr>
        <w:ind w:left="624" w:hanging="377"/>
        <w:spacing w:after="0"/>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2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18,005,908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 xml:space="preserve">18,005,908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 xml:space="preserve">18,005,908 </w:t>
      </w:r>
      <w:r>
        <w:rPr>
          <w:rFonts w:ascii="Arial" w:cs="Arial" w:eastAsia="Arial" w:hAnsi="Arial"/>
          <w:sz w:val="15"/>
          <w:szCs w:val="15"/>
          <w:color w:val="auto"/>
        </w:rPr>
        <w:t>(1)</w:t>
      </w:r>
    </w:p>
    <w:p>
      <w:pPr>
        <w:spacing w:after="0" w:line="36" w:lineRule="exact"/>
        <w:rPr>
          <w:sz w:val="20"/>
          <w:szCs w:val="20"/>
          <w:color w:val="auto"/>
        </w:rPr>
      </w:pPr>
    </w:p>
    <w:p>
      <w:pPr>
        <w:ind w:left="624" w:hanging="467"/>
        <w:spacing w:after="0"/>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3.9%</w:t>
      </w:r>
      <w:r>
        <w:rPr>
          <w:rFonts w:ascii="Arial" w:cs="Arial" w:eastAsia="Arial" w:hAnsi="Arial"/>
          <w:sz w:val="15"/>
          <w:szCs w:val="15"/>
          <w:color w:val="auto"/>
        </w:rPr>
        <w:t>(2)</w:t>
      </w:r>
      <w:r>
        <w:rPr>
          <w:rFonts w:ascii="Arial" w:cs="Arial" w:eastAsia="Arial" w:hAnsi="Arial"/>
          <w:sz w:val="18"/>
          <w:szCs w:val="18"/>
          <w:color w:val="auto"/>
        </w:rPr>
        <w:t xml:space="preserve"> (or 0.9%</w:t>
      </w:r>
      <w:r>
        <w:rPr>
          <w:rFonts w:ascii="Arial" w:cs="Arial" w:eastAsia="Arial" w:hAnsi="Arial"/>
          <w:sz w:val="15"/>
          <w:szCs w:val="15"/>
          <w:color w:val="auto"/>
        </w:rPr>
        <w:t>(2)</w:t>
      </w:r>
      <w:r>
        <w:rPr>
          <w:rFonts w:ascii="Arial" w:cs="Arial" w:eastAsia="Arial" w:hAnsi="Arial"/>
          <w:sz w:val="18"/>
          <w:szCs w:val="18"/>
          <w:color w:val="auto"/>
        </w:rPr>
        <w:t xml:space="preserve"> of the aggregate voting power)</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5" w:lineRule="exact"/>
        <w:rPr>
          <w:rFonts w:ascii="Arial" w:cs="Arial" w:eastAsia="Arial" w:hAnsi="Arial"/>
          <w:sz w:val="18"/>
          <w:szCs w:val="18"/>
          <w:color w:val="auto"/>
        </w:rPr>
      </w:pPr>
    </w:p>
    <w:p>
      <w:pPr>
        <w:ind w:left="424" w:right="40" w:hanging="424"/>
        <w:spacing w:after="0" w:line="258"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18,005,908 Class A ordinary shares held by Shunwei Technology II Limited. Shunwei China Internet Fund, L.P. is the sole shareholder of Shunwei Technology II Limited.</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beneficial ownership percentage is calculated based on 463,482,562 ordinary shares of the Issuer as a single class, being the sum of</w:t>
      </w:r>
    </w:p>
    <w:p>
      <w:pPr>
        <w:spacing w:after="0" w:line="20" w:lineRule="exact"/>
        <w:rPr>
          <w:rFonts w:ascii="Arial" w:cs="Arial" w:eastAsia="Arial" w:hAnsi="Arial"/>
          <w:sz w:val="17"/>
          <w:szCs w:val="17"/>
          <w:color w:val="auto"/>
        </w:rPr>
      </w:pPr>
    </w:p>
    <w:p>
      <w:pPr>
        <w:ind w:left="424" w:right="20"/>
        <w:spacing w:after="0" w:line="253" w:lineRule="auto"/>
        <w:rPr>
          <w:rFonts w:ascii="Arial" w:cs="Arial" w:eastAsia="Arial" w:hAnsi="Arial"/>
          <w:sz w:val="17"/>
          <w:szCs w:val="17"/>
          <w:color w:val="auto"/>
        </w:rPr>
      </w:pPr>
      <w:r>
        <w:rPr>
          <w:rFonts w:ascii="Arial" w:cs="Arial" w:eastAsia="Arial" w:hAnsi="Arial"/>
          <w:sz w:val="18"/>
          <w:szCs w:val="18"/>
          <w:color w:val="auto"/>
        </w:rPr>
        <w:t>(i) 387,302,624 Class A ordinary shares issued and outstanding as of March 2, 2021, and (ii) 76,179,938 Class B ordinary shares issued and outstanding as of March 2, 2021, assuming conversion of all Class B ordinary shares into Class A ordinary shares, as reported on the Issuer’s Form 20-F filed with the Securities and Exchange Commission on March 26, 2021. The voting power of the shares beneficially owned represented 0.9% of the total outstanding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-999490</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4 of 17 Pages</w:t>
      </w:r>
    </w:p>
    <w:p>
      <w:pPr>
        <w:spacing w:after="0" w:line="171" w:lineRule="exact"/>
        <w:rPr>
          <w:sz w:val="20"/>
          <w:szCs w:val="20"/>
          <w:color w:val="auto"/>
        </w:rPr>
      </w:pPr>
    </w:p>
    <w:p>
      <w:pPr>
        <w:ind w:left="624" w:hanging="377"/>
        <w:spacing w:after="0"/>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Shunwei Capital Partners GP, L.P.</w:t>
      </w:r>
    </w:p>
    <w:p>
      <w:pPr>
        <w:spacing w:after="0" w:line="36" w:lineRule="exact"/>
        <w:rPr>
          <w:sz w:val="20"/>
          <w:szCs w:val="20"/>
          <w:color w:val="auto"/>
        </w:rPr>
      </w:pPr>
    </w:p>
    <w:p>
      <w:pPr>
        <w:ind w:left="624" w:hanging="377"/>
        <w:spacing w:after="0"/>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2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18,005,908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 xml:space="preserve">18,005,908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 xml:space="preserve">18,005,908 </w:t>
      </w:r>
      <w:r>
        <w:rPr>
          <w:rFonts w:ascii="Arial" w:cs="Arial" w:eastAsia="Arial" w:hAnsi="Arial"/>
          <w:sz w:val="15"/>
          <w:szCs w:val="15"/>
          <w:color w:val="auto"/>
        </w:rPr>
        <w:t>(1)</w:t>
      </w:r>
    </w:p>
    <w:p>
      <w:pPr>
        <w:spacing w:after="0" w:line="36" w:lineRule="exact"/>
        <w:rPr>
          <w:sz w:val="20"/>
          <w:szCs w:val="20"/>
          <w:color w:val="auto"/>
        </w:rPr>
      </w:pPr>
    </w:p>
    <w:p>
      <w:pPr>
        <w:ind w:left="624" w:hanging="467"/>
        <w:spacing w:after="0"/>
        <w:tabs>
          <w:tab w:leader="none" w:pos="624"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3.9%</w:t>
      </w:r>
      <w:r>
        <w:rPr>
          <w:rFonts w:ascii="Arial" w:cs="Arial" w:eastAsia="Arial" w:hAnsi="Arial"/>
          <w:sz w:val="15"/>
          <w:szCs w:val="15"/>
          <w:color w:val="auto"/>
        </w:rPr>
        <w:t>(2)</w:t>
      </w:r>
      <w:r>
        <w:rPr>
          <w:rFonts w:ascii="Arial" w:cs="Arial" w:eastAsia="Arial" w:hAnsi="Arial"/>
          <w:sz w:val="18"/>
          <w:szCs w:val="18"/>
          <w:color w:val="auto"/>
        </w:rPr>
        <w:t xml:space="preserve"> (or 0.9%</w:t>
      </w:r>
      <w:r>
        <w:rPr>
          <w:rFonts w:ascii="Arial" w:cs="Arial" w:eastAsia="Arial" w:hAnsi="Arial"/>
          <w:sz w:val="15"/>
          <w:szCs w:val="15"/>
          <w:color w:val="auto"/>
        </w:rPr>
        <w:t>(2)</w:t>
      </w:r>
      <w:r>
        <w:rPr>
          <w:rFonts w:ascii="Arial" w:cs="Arial" w:eastAsia="Arial" w:hAnsi="Arial"/>
          <w:sz w:val="18"/>
          <w:szCs w:val="18"/>
          <w:color w:val="auto"/>
        </w:rPr>
        <w:t xml:space="preserve"> of the aggregate voting power)</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2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5" w:lineRule="exact"/>
        <w:rPr>
          <w:rFonts w:ascii="Arial" w:cs="Arial" w:eastAsia="Arial" w:hAnsi="Arial"/>
          <w:sz w:val="18"/>
          <w:szCs w:val="18"/>
          <w:color w:val="auto"/>
        </w:rPr>
      </w:pPr>
    </w:p>
    <w:p>
      <w:pPr>
        <w:ind w:left="424" w:right="40" w:hanging="424"/>
        <w:spacing w:after="0" w:line="291" w:lineRule="auto"/>
        <w:tabs>
          <w:tab w:leader="none" w:pos="424"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18,005,908 Class A ordinary shares held by Shunwei Technology II Limited. Shunwei China Internet Fund, L.P. is the sole shareholder of Shunwei Technology II Limited. Shunwei Capital Partners GP, L.P. is the general partner of Shunwei China Internet Fund, L.P.</w:t>
      </w:r>
    </w:p>
    <w:p>
      <w:pPr>
        <w:ind w:left="424" w:hanging="424"/>
        <w:spacing w:after="0"/>
        <w:tabs>
          <w:tab w:leader="none" w:pos="4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beneficial ownership percentage is calculated based on 463,482,562 ordinary shares of the Issuer as a single class, being the sum of</w:t>
      </w:r>
    </w:p>
    <w:p>
      <w:pPr>
        <w:spacing w:after="0" w:line="20" w:lineRule="exact"/>
        <w:rPr>
          <w:rFonts w:ascii="Arial" w:cs="Arial" w:eastAsia="Arial" w:hAnsi="Arial"/>
          <w:sz w:val="17"/>
          <w:szCs w:val="17"/>
          <w:color w:val="auto"/>
        </w:rPr>
      </w:pPr>
    </w:p>
    <w:p>
      <w:pPr>
        <w:ind w:left="424" w:right="20"/>
        <w:spacing w:after="0" w:line="253" w:lineRule="auto"/>
        <w:rPr>
          <w:rFonts w:ascii="Arial" w:cs="Arial" w:eastAsia="Arial" w:hAnsi="Arial"/>
          <w:sz w:val="17"/>
          <w:szCs w:val="17"/>
          <w:color w:val="auto"/>
        </w:rPr>
      </w:pPr>
      <w:r>
        <w:rPr>
          <w:rFonts w:ascii="Arial" w:cs="Arial" w:eastAsia="Arial" w:hAnsi="Arial"/>
          <w:sz w:val="18"/>
          <w:szCs w:val="18"/>
          <w:color w:val="auto"/>
        </w:rPr>
        <w:t>(i) 387,302,624 Class A ordinary shares issued and outstanding as of March 2, 2021, and (ii) 76,179,938 Class B ordinary shares issued and outstanding as of March 2, 2021, assuming conversion of all Class B ordinary shares into Class A ordinary shares, as reported on the Issuer’s Form 20-F filed with the Securities and Exchange Commission on March 26, 2021. The voting power of the shares beneficially owned represented 0.9% of the total outstanding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-999490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5 of 17 Pages</w:t>
      </w:r>
    </w:p>
    <w:p>
      <w:pPr>
        <w:spacing w:after="0" w:line="171" w:lineRule="exact"/>
        <w:rPr>
          <w:sz w:val="20"/>
          <w:szCs w:val="20"/>
          <w:color w:val="auto"/>
        </w:rPr>
      </w:pPr>
    </w:p>
    <w:p>
      <w:pPr>
        <w:ind w:left="624" w:hanging="377"/>
        <w:spacing w:after="0"/>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Shunwei Capital Partners GP Limited</w:t>
      </w:r>
    </w:p>
    <w:p>
      <w:pPr>
        <w:spacing w:after="0" w:line="36" w:lineRule="exact"/>
        <w:rPr>
          <w:sz w:val="20"/>
          <w:szCs w:val="20"/>
          <w:color w:val="auto"/>
        </w:rPr>
      </w:pPr>
    </w:p>
    <w:p>
      <w:pPr>
        <w:ind w:left="624" w:hanging="377"/>
        <w:spacing w:after="0"/>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2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18,005,908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 xml:space="preserve">18,005,908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 xml:space="preserve">18,005,908 </w:t>
      </w:r>
      <w:r>
        <w:rPr>
          <w:rFonts w:ascii="Arial" w:cs="Arial" w:eastAsia="Arial" w:hAnsi="Arial"/>
          <w:sz w:val="15"/>
          <w:szCs w:val="15"/>
          <w:color w:val="auto"/>
        </w:rPr>
        <w:t>(1)</w:t>
      </w:r>
    </w:p>
    <w:p>
      <w:pPr>
        <w:spacing w:after="0" w:line="36" w:lineRule="exact"/>
        <w:rPr>
          <w:sz w:val="20"/>
          <w:szCs w:val="20"/>
          <w:color w:val="auto"/>
        </w:rPr>
      </w:pPr>
    </w:p>
    <w:p>
      <w:pPr>
        <w:ind w:left="624" w:hanging="467"/>
        <w:spacing w:after="0"/>
        <w:tabs>
          <w:tab w:leader="none" w:pos="624"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3.9%</w:t>
      </w:r>
      <w:r>
        <w:rPr>
          <w:rFonts w:ascii="Arial" w:cs="Arial" w:eastAsia="Arial" w:hAnsi="Arial"/>
          <w:sz w:val="15"/>
          <w:szCs w:val="15"/>
          <w:color w:val="auto"/>
        </w:rPr>
        <w:t>(2)</w:t>
      </w:r>
      <w:r>
        <w:rPr>
          <w:rFonts w:ascii="Arial" w:cs="Arial" w:eastAsia="Arial" w:hAnsi="Arial"/>
          <w:sz w:val="18"/>
          <w:szCs w:val="18"/>
          <w:color w:val="auto"/>
        </w:rPr>
        <w:t xml:space="preserve"> (or 0.9%</w:t>
      </w:r>
      <w:r>
        <w:rPr>
          <w:rFonts w:ascii="Arial" w:cs="Arial" w:eastAsia="Arial" w:hAnsi="Arial"/>
          <w:sz w:val="15"/>
          <w:szCs w:val="15"/>
          <w:color w:val="auto"/>
        </w:rPr>
        <w:t>(2)</w:t>
      </w:r>
      <w:r>
        <w:rPr>
          <w:rFonts w:ascii="Arial" w:cs="Arial" w:eastAsia="Arial" w:hAnsi="Arial"/>
          <w:sz w:val="18"/>
          <w:szCs w:val="18"/>
          <w:color w:val="auto"/>
        </w:rPr>
        <w:t xml:space="preserve"> of the aggregate voting power)</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5" w:lineRule="exact"/>
        <w:rPr>
          <w:rFonts w:ascii="Arial" w:cs="Arial" w:eastAsia="Arial" w:hAnsi="Arial"/>
          <w:sz w:val="18"/>
          <w:szCs w:val="18"/>
          <w:color w:val="auto"/>
        </w:rPr>
      </w:pPr>
    </w:p>
    <w:p>
      <w:pPr>
        <w:jc w:val="both"/>
        <w:ind w:left="424" w:right="20" w:hanging="424"/>
        <w:spacing w:after="0" w:line="255"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18,005,908 Class A ordinary shares held by Shunwei Technology II Limited. Shunwei China Internet Fund, L.P. is the sole shareholder of Shunwei Technology II Limited. Shunwei Capital Partners GP, L.P. is the general partner of Shunwei China Internet Fund, L.P. Shunwei Capital Partners GP Limited is the general partner of Shunwei Capital Partners GP, L.P.</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beneficial ownership percentage is calculated based on 463,482,562 ordinary shares of the Issuer as a single class, being the sum of</w:t>
      </w:r>
    </w:p>
    <w:p>
      <w:pPr>
        <w:spacing w:after="0" w:line="20" w:lineRule="exact"/>
        <w:rPr>
          <w:rFonts w:ascii="Arial" w:cs="Arial" w:eastAsia="Arial" w:hAnsi="Arial"/>
          <w:sz w:val="17"/>
          <w:szCs w:val="17"/>
          <w:color w:val="auto"/>
        </w:rPr>
      </w:pPr>
    </w:p>
    <w:p>
      <w:pPr>
        <w:ind w:left="424" w:right="20"/>
        <w:spacing w:after="0" w:line="253" w:lineRule="auto"/>
        <w:rPr>
          <w:rFonts w:ascii="Arial" w:cs="Arial" w:eastAsia="Arial" w:hAnsi="Arial"/>
          <w:sz w:val="17"/>
          <w:szCs w:val="17"/>
          <w:color w:val="auto"/>
        </w:rPr>
      </w:pPr>
      <w:r>
        <w:rPr>
          <w:rFonts w:ascii="Arial" w:cs="Arial" w:eastAsia="Arial" w:hAnsi="Arial"/>
          <w:sz w:val="18"/>
          <w:szCs w:val="18"/>
          <w:color w:val="auto"/>
        </w:rPr>
        <w:t>(i) 387,302,624 Class A ordinary shares issued and outstanding as of March 2, 2021, and (ii) 76,179,938 Class B ordinary shares issued and outstanding as of March 2, 2021, assuming conversion of all Class B ordinary shares into Class A ordinary shares, as reported on the Issuer’s Form 20-F filed with the Securities and Exchange Commission on March 26, 2021. The voting power of the shares beneficially owned represented 0.9% of the total outstanding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6 of 17 Pages</w:t>
      </w:r>
    </w:p>
    <w:p>
      <w:pPr>
        <w:spacing w:after="0" w:line="171" w:lineRule="exact"/>
        <w:rPr>
          <w:sz w:val="20"/>
          <w:szCs w:val="20"/>
          <w:color w:val="auto"/>
        </w:rPr>
      </w:pPr>
    </w:p>
    <w:p>
      <w:pPr>
        <w:ind w:left="624" w:hanging="377"/>
        <w:spacing w:after="0"/>
        <w:tabs>
          <w:tab w:leader="none" w:pos="6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Astrend Opportunity III Alpha Limted</w:t>
      </w:r>
    </w:p>
    <w:p>
      <w:pPr>
        <w:spacing w:after="0" w:line="36" w:lineRule="exact"/>
        <w:rPr>
          <w:sz w:val="20"/>
          <w:szCs w:val="20"/>
          <w:color w:val="auto"/>
        </w:rPr>
      </w:pPr>
    </w:p>
    <w:p>
      <w:pPr>
        <w:ind w:left="624" w:hanging="377"/>
        <w:spacing w:after="0"/>
        <w:tabs>
          <w:tab w:leader="none" w:pos="6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British Virgin Islands</w:t>
      </w:r>
    </w:p>
    <w:p>
      <w:pPr>
        <w:spacing w:after="0" w:line="36" w:lineRule="exact"/>
        <w:rPr>
          <w:rFonts w:ascii="Arial" w:cs="Arial" w:eastAsia="Arial" w:hAnsi="Arial"/>
          <w:sz w:val="18"/>
          <w:szCs w:val="18"/>
          <w:color w:val="auto"/>
        </w:rPr>
      </w:pPr>
    </w:p>
    <w:p>
      <w:pPr>
        <w:ind w:left="12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5"/>
          <w:szCs w:val="15"/>
          <w:color w:val="auto"/>
        </w:rPr>
        <w:t>(1)</w:t>
      </w:r>
    </w:p>
    <w:p>
      <w:pPr>
        <w:spacing w:after="0" w:line="36" w:lineRule="exact"/>
        <w:rPr>
          <w:sz w:val="20"/>
          <w:szCs w:val="20"/>
          <w:color w:val="auto"/>
        </w:rPr>
      </w:pPr>
    </w:p>
    <w:p>
      <w:pPr>
        <w:ind w:left="624" w:hanging="467"/>
        <w:spacing w:after="0"/>
        <w:tabs>
          <w:tab w:leader="none" w:pos="624"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0.6%</w:t>
      </w:r>
      <w:r>
        <w:rPr>
          <w:rFonts w:ascii="Arial" w:cs="Arial" w:eastAsia="Arial" w:hAnsi="Arial"/>
          <w:sz w:val="15"/>
          <w:szCs w:val="15"/>
          <w:color w:val="auto"/>
        </w:rPr>
        <w:t>(2)</w:t>
      </w:r>
      <w:r>
        <w:rPr>
          <w:rFonts w:ascii="Arial" w:cs="Arial" w:eastAsia="Arial" w:hAnsi="Arial"/>
          <w:sz w:val="18"/>
          <w:szCs w:val="18"/>
          <w:color w:val="auto"/>
        </w:rPr>
        <w:t xml:space="preserve"> (or 0.2%</w:t>
      </w:r>
      <w:r>
        <w:rPr>
          <w:rFonts w:ascii="Arial" w:cs="Arial" w:eastAsia="Arial" w:hAnsi="Arial"/>
          <w:sz w:val="15"/>
          <w:szCs w:val="15"/>
          <w:color w:val="auto"/>
        </w:rPr>
        <w:t>(2)</w:t>
      </w:r>
      <w:r>
        <w:rPr>
          <w:rFonts w:ascii="Arial" w:cs="Arial" w:eastAsia="Arial" w:hAnsi="Arial"/>
          <w:sz w:val="18"/>
          <w:szCs w:val="18"/>
          <w:color w:val="auto"/>
        </w:rPr>
        <w:t xml:space="preserve"> of the aggregate voting power)</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5" w:lineRule="exact"/>
        <w:rPr>
          <w:rFonts w:ascii="Arial" w:cs="Arial" w:eastAsia="Arial" w:hAnsi="Arial"/>
          <w:sz w:val="18"/>
          <w:szCs w:val="18"/>
          <w:color w:val="auto"/>
        </w:rPr>
      </w:pPr>
    </w:p>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3,000,000 Class A ordinary shares (represented by 750,000 ADSs) held by Astrend Opportunity III Alpha Limited.</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beneficial ownership percentage is calculated based on 463,482,562 ordinary shares of the Issuer as a single class, being the sum of</w:t>
      </w:r>
    </w:p>
    <w:p>
      <w:pPr>
        <w:spacing w:after="0" w:line="20" w:lineRule="exact"/>
        <w:rPr>
          <w:rFonts w:ascii="Arial" w:cs="Arial" w:eastAsia="Arial" w:hAnsi="Arial"/>
          <w:sz w:val="17"/>
          <w:szCs w:val="17"/>
          <w:color w:val="auto"/>
        </w:rPr>
      </w:pPr>
    </w:p>
    <w:p>
      <w:pPr>
        <w:ind w:left="424" w:right="20"/>
        <w:spacing w:after="0" w:line="253" w:lineRule="auto"/>
        <w:rPr>
          <w:rFonts w:ascii="Arial" w:cs="Arial" w:eastAsia="Arial" w:hAnsi="Arial"/>
          <w:sz w:val="17"/>
          <w:szCs w:val="17"/>
          <w:color w:val="auto"/>
        </w:rPr>
      </w:pPr>
      <w:r>
        <w:rPr>
          <w:rFonts w:ascii="Arial" w:cs="Arial" w:eastAsia="Arial" w:hAnsi="Arial"/>
          <w:sz w:val="18"/>
          <w:szCs w:val="18"/>
          <w:color w:val="auto"/>
        </w:rPr>
        <w:t>(i) 387,302,624 Class A ordinary shares issued and outstanding as of March 2, 2021, and (ii) 76,179,938 Class B ordinary shares issued and outstanding as of March 2, 2021, assuming conversion of all Class B ordinary shares into Class A ordinary shares, as reported on the Issuer’s Form 20-F filed with the Securities and Exchange Commission on March 26, 2021. The voting power of the shares beneficially owned represented 0.2% of the total outstanding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-862330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7 of 17 Pages</w:t>
      </w:r>
    </w:p>
    <w:p>
      <w:pPr>
        <w:spacing w:after="0" w:line="171" w:lineRule="exact"/>
        <w:rPr>
          <w:sz w:val="20"/>
          <w:szCs w:val="20"/>
          <w:color w:val="auto"/>
        </w:rPr>
      </w:pPr>
    </w:p>
    <w:p>
      <w:pPr>
        <w:ind w:left="624" w:hanging="377"/>
        <w:spacing w:after="0"/>
        <w:tabs>
          <w:tab w:leader="none" w:pos="6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Shunwei China Internet Opportunity Fund III, L.P.</w:t>
      </w:r>
    </w:p>
    <w:p>
      <w:pPr>
        <w:spacing w:after="0" w:line="36" w:lineRule="exact"/>
        <w:rPr>
          <w:sz w:val="20"/>
          <w:szCs w:val="20"/>
          <w:color w:val="auto"/>
        </w:rPr>
      </w:pPr>
    </w:p>
    <w:p>
      <w:pPr>
        <w:ind w:left="624" w:hanging="377"/>
        <w:spacing w:after="0"/>
        <w:tabs>
          <w:tab w:leader="none" w:pos="6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2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5"/>
          <w:szCs w:val="15"/>
          <w:color w:val="auto"/>
        </w:rPr>
        <w:t>(1)</w:t>
      </w:r>
    </w:p>
    <w:p>
      <w:pPr>
        <w:spacing w:after="0" w:line="36" w:lineRule="exact"/>
        <w:rPr>
          <w:sz w:val="20"/>
          <w:szCs w:val="20"/>
          <w:color w:val="auto"/>
        </w:rPr>
      </w:pPr>
    </w:p>
    <w:p>
      <w:pPr>
        <w:ind w:left="624" w:hanging="467"/>
        <w:spacing w:after="0"/>
        <w:tabs>
          <w:tab w:leader="none" w:pos="6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0.6%</w:t>
      </w:r>
      <w:r>
        <w:rPr>
          <w:rFonts w:ascii="Arial" w:cs="Arial" w:eastAsia="Arial" w:hAnsi="Arial"/>
          <w:sz w:val="15"/>
          <w:szCs w:val="15"/>
          <w:color w:val="auto"/>
        </w:rPr>
        <w:t>(2)</w:t>
      </w:r>
      <w:r>
        <w:rPr>
          <w:rFonts w:ascii="Arial" w:cs="Arial" w:eastAsia="Arial" w:hAnsi="Arial"/>
          <w:sz w:val="18"/>
          <w:szCs w:val="18"/>
          <w:color w:val="auto"/>
        </w:rPr>
        <w:t xml:space="preserve"> (or 0.2%</w:t>
      </w:r>
      <w:r>
        <w:rPr>
          <w:rFonts w:ascii="Arial" w:cs="Arial" w:eastAsia="Arial" w:hAnsi="Arial"/>
          <w:sz w:val="15"/>
          <w:szCs w:val="15"/>
          <w:color w:val="auto"/>
        </w:rPr>
        <w:t>(2)</w:t>
      </w:r>
      <w:r>
        <w:rPr>
          <w:rFonts w:ascii="Arial" w:cs="Arial" w:eastAsia="Arial" w:hAnsi="Arial"/>
          <w:sz w:val="18"/>
          <w:szCs w:val="18"/>
          <w:color w:val="auto"/>
        </w:rPr>
        <w:t xml:space="preserve"> of the aggregate voting power)</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4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5" w:lineRule="exact"/>
        <w:rPr>
          <w:rFonts w:ascii="Arial" w:cs="Arial" w:eastAsia="Arial" w:hAnsi="Arial"/>
          <w:sz w:val="18"/>
          <w:szCs w:val="18"/>
          <w:color w:val="auto"/>
        </w:rPr>
      </w:pPr>
    </w:p>
    <w:p>
      <w:pPr>
        <w:ind w:left="424" w:right="320" w:hanging="424"/>
        <w:spacing w:after="0" w:line="258"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3,000,000 Class A ordinary shares (represented by 750,000 ADSs) held by Astrend Opportunity III Alpha Limited. Shunwei China Internet Opportunity Fund III, L.P. is the sole shareholder of Astrend Opportunity III Alpha Limited.</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beneficial ownership percentage is calculated based on 463,482,562 ordinary shares of the Issuer as a single class, being the sum of</w:t>
      </w:r>
    </w:p>
    <w:p>
      <w:pPr>
        <w:spacing w:after="0" w:line="20" w:lineRule="exact"/>
        <w:rPr>
          <w:rFonts w:ascii="Arial" w:cs="Arial" w:eastAsia="Arial" w:hAnsi="Arial"/>
          <w:sz w:val="17"/>
          <w:szCs w:val="17"/>
          <w:color w:val="auto"/>
        </w:rPr>
      </w:pPr>
    </w:p>
    <w:p>
      <w:pPr>
        <w:ind w:left="424" w:right="20"/>
        <w:spacing w:after="0" w:line="253" w:lineRule="auto"/>
        <w:rPr>
          <w:rFonts w:ascii="Arial" w:cs="Arial" w:eastAsia="Arial" w:hAnsi="Arial"/>
          <w:sz w:val="17"/>
          <w:szCs w:val="17"/>
          <w:color w:val="auto"/>
        </w:rPr>
      </w:pPr>
      <w:r>
        <w:rPr>
          <w:rFonts w:ascii="Arial" w:cs="Arial" w:eastAsia="Arial" w:hAnsi="Arial"/>
          <w:sz w:val="18"/>
          <w:szCs w:val="18"/>
          <w:color w:val="auto"/>
        </w:rPr>
        <w:t>(i) 387,302,624 Class A ordinary shares issued and outstanding as of March 2, 2021, and (ii) 76,179,938 Class B ordinary shares issued and outstanding as of March 2, 2021, assuming conversion of all Class B ordinary shares into Class A ordinary shares, as reported on the Issuer’s Form 20-F filed with the Securities and Exchange Commission on March 26, 2021. The voting power of the shares beneficially owned represented 0.2% of the total outstanding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-999490</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8 of 17 Pages</w:t>
      </w:r>
    </w:p>
    <w:p>
      <w:pPr>
        <w:spacing w:after="0" w:line="171" w:lineRule="exact"/>
        <w:rPr>
          <w:sz w:val="20"/>
          <w:szCs w:val="20"/>
          <w:color w:val="auto"/>
        </w:rPr>
      </w:pPr>
    </w:p>
    <w:p>
      <w:pPr>
        <w:ind w:left="624" w:hanging="377"/>
        <w:spacing w:after="0"/>
        <w:tabs>
          <w:tab w:leader="none" w:pos="6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Shunwei Capital Partners IV GP, L.P.</w:t>
      </w:r>
    </w:p>
    <w:p>
      <w:pPr>
        <w:spacing w:after="0" w:line="36" w:lineRule="exact"/>
        <w:rPr>
          <w:sz w:val="20"/>
          <w:szCs w:val="20"/>
          <w:color w:val="auto"/>
        </w:rPr>
      </w:pPr>
    </w:p>
    <w:p>
      <w:pPr>
        <w:ind w:left="624" w:hanging="377"/>
        <w:spacing w:after="0"/>
        <w:tabs>
          <w:tab w:leader="none" w:pos="6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2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5"/>
          <w:szCs w:val="15"/>
          <w:color w:val="auto"/>
        </w:rPr>
        <w:t>(1)</w:t>
      </w:r>
    </w:p>
    <w:p>
      <w:pPr>
        <w:spacing w:after="0" w:line="36" w:lineRule="exact"/>
        <w:rPr>
          <w:sz w:val="20"/>
          <w:szCs w:val="20"/>
          <w:color w:val="auto"/>
        </w:rPr>
      </w:pPr>
    </w:p>
    <w:p>
      <w:pPr>
        <w:ind w:left="624" w:hanging="467"/>
        <w:spacing w:after="0"/>
        <w:tabs>
          <w:tab w:leader="none" w:pos="624"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5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0.6%</w:t>
      </w:r>
      <w:r>
        <w:rPr>
          <w:rFonts w:ascii="Arial" w:cs="Arial" w:eastAsia="Arial" w:hAnsi="Arial"/>
          <w:sz w:val="15"/>
          <w:szCs w:val="15"/>
          <w:color w:val="auto"/>
        </w:rPr>
        <w:t>(2)</w:t>
      </w:r>
      <w:r>
        <w:rPr>
          <w:rFonts w:ascii="Arial" w:cs="Arial" w:eastAsia="Arial" w:hAnsi="Arial"/>
          <w:sz w:val="18"/>
          <w:szCs w:val="18"/>
          <w:color w:val="auto"/>
        </w:rPr>
        <w:t xml:space="preserve"> (or 0.2%</w:t>
      </w:r>
      <w:r>
        <w:rPr>
          <w:rFonts w:ascii="Arial" w:cs="Arial" w:eastAsia="Arial" w:hAnsi="Arial"/>
          <w:sz w:val="15"/>
          <w:szCs w:val="15"/>
          <w:color w:val="auto"/>
        </w:rPr>
        <w:t>(2)</w:t>
      </w:r>
      <w:r>
        <w:rPr>
          <w:rFonts w:ascii="Arial" w:cs="Arial" w:eastAsia="Arial" w:hAnsi="Arial"/>
          <w:sz w:val="18"/>
          <w:szCs w:val="18"/>
          <w:color w:val="auto"/>
        </w:rPr>
        <w:t xml:space="preserve"> of the aggregate voting power)</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5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5" w:lineRule="exact"/>
        <w:rPr>
          <w:rFonts w:ascii="Arial" w:cs="Arial" w:eastAsia="Arial" w:hAnsi="Arial"/>
          <w:sz w:val="18"/>
          <w:szCs w:val="18"/>
          <w:color w:val="auto"/>
        </w:rPr>
      </w:pPr>
    </w:p>
    <w:p>
      <w:pPr>
        <w:ind w:left="424" w:right="80" w:hanging="424"/>
        <w:spacing w:after="0" w:line="255"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3,000,000 Class A ordinary shares (represented by 750,000 ADSs) held by Astrend Opportunity III Alpha Limited. Astrend Opportunity III Alpha Limited is wholly owned by Shunwei China Internet Opportunity Fund III, L.P. Shunwei Capital Partners IV GP, L.P. is the general partner of Shunwei China Internet Opportunity Fund III, L.P.</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beneficial ownership percentage is calculated based on 463,482,562 ordinary shares of the Issuer as a single class, being the sum of</w:t>
      </w:r>
    </w:p>
    <w:p>
      <w:pPr>
        <w:spacing w:after="0" w:line="20" w:lineRule="exact"/>
        <w:rPr>
          <w:rFonts w:ascii="Arial" w:cs="Arial" w:eastAsia="Arial" w:hAnsi="Arial"/>
          <w:sz w:val="17"/>
          <w:szCs w:val="17"/>
          <w:color w:val="auto"/>
        </w:rPr>
      </w:pPr>
    </w:p>
    <w:p>
      <w:pPr>
        <w:ind w:left="424" w:right="20"/>
        <w:spacing w:after="0" w:line="253" w:lineRule="auto"/>
        <w:rPr>
          <w:rFonts w:ascii="Arial" w:cs="Arial" w:eastAsia="Arial" w:hAnsi="Arial"/>
          <w:sz w:val="17"/>
          <w:szCs w:val="17"/>
          <w:color w:val="auto"/>
        </w:rPr>
      </w:pPr>
      <w:r>
        <w:rPr>
          <w:rFonts w:ascii="Arial" w:cs="Arial" w:eastAsia="Arial" w:hAnsi="Arial"/>
          <w:sz w:val="18"/>
          <w:szCs w:val="18"/>
          <w:color w:val="auto"/>
        </w:rPr>
        <w:t>(i) 387,302,624 Class A ordinary shares issued and outstanding as of March 2, 2021, and (ii) 76,179,938 Class B ordinary shares issued and outstanding as of March 2, 2021, assuming conversion of all Class B ordinary shares into Class A ordinary shares, as reported on the Issuer’s Form 20-F filed with the Securities and Exchange Commission on March 26, 2021. The voting power of the shares beneficially owned represented 0.2% of the total outstanding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-1136650</wp:posOffset>
            </wp:positionV>
            <wp:extent cx="7715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9 of 17 Pages</w:t>
      </w:r>
    </w:p>
    <w:p>
      <w:pPr>
        <w:spacing w:after="0" w:line="171" w:lineRule="exact"/>
        <w:rPr>
          <w:sz w:val="20"/>
          <w:szCs w:val="20"/>
          <w:color w:val="auto"/>
        </w:rPr>
      </w:pPr>
    </w:p>
    <w:p>
      <w:pPr>
        <w:ind w:left="624" w:hanging="377"/>
        <w:spacing w:after="0"/>
        <w:tabs>
          <w:tab w:leader="none" w:pos="6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Shunwei Capital Partners IV GP Limited</w:t>
      </w:r>
    </w:p>
    <w:p>
      <w:pPr>
        <w:spacing w:after="0" w:line="36" w:lineRule="exact"/>
        <w:rPr>
          <w:sz w:val="20"/>
          <w:szCs w:val="20"/>
          <w:color w:val="auto"/>
        </w:rPr>
      </w:pPr>
    </w:p>
    <w:p>
      <w:pPr>
        <w:ind w:left="624" w:hanging="377"/>
        <w:spacing w:after="0"/>
        <w:tabs>
          <w:tab w:leader="none" w:pos="6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36" w:lineRule="exact"/>
        <w:rPr>
          <w:rFonts w:ascii="Arial" w:cs="Arial" w:eastAsia="Arial" w:hAnsi="Arial"/>
          <w:sz w:val="18"/>
          <w:szCs w:val="18"/>
          <w:color w:val="auto"/>
        </w:rPr>
      </w:pPr>
    </w:p>
    <w:p>
      <w:pPr>
        <w:ind w:left="12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 xml:space="preserve">3,000,000 </w:t>
      </w:r>
      <w:r>
        <w:rPr>
          <w:rFonts w:ascii="Arial" w:cs="Arial" w:eastAsia="Arial" w:hAnsi="Arial"/>
          <w:sz w:val="15"/>
          <w:szCs w:val="15"/>
          <w:color w:val="auto"/>
        </w:rPr>
        <w:t>(1)</w:t>
      </w:r>
    </w:p>
    <w:p>
      <w:pPr>
        <w:spacing w:after="0" w:line="36" w:lineRule="exact"/>
        <w:rPr>
          <w:sz w:val="20"/>
          <w:szCs w:val="20"/>
          <w:color w:val="auto"/>
        </w:rPr>
      </w:pPr>
    </w:p>
    <w:p>
      <w:pPr>
        <w:ind w:left="624" w:hanging="467"/>
        <w:spacing w:after="0"/>
        <w:tabs>
          <w:tab w:leader="none" w:pos="624"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5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0.6%</w:t>
      </w:r>
      <w:r>
        <w:rPr>
          <w:rFonts w:ascii="Arial" w:cs="Arial" w:eastAsia="Arial" w:hAnsi="Arial"/>
          <w:sz w:val="15"/>
          <w:szCs w:val="15"/>
          <w:color w:val="auto"/>
        </w:rPr>
        <w:t>(2)</w:t>
      </w:r>
      <w:r>
        <w:rPr>
          <w:rFonts w:ascii="Arial" w:cs="Arial" w:eastAsia="Arial" w:hAnsi="Arial"/>
          <w:sz w:val="18"/>
          <w:szCs w:val="18"/>
          <w:color w:val="auto"/>
        </w:rPr>
        <w:t xml:space="preserve"> (or 0.2%</w:t>
      </w:r>
      <w:r>
        <w:rPr>
          <w:rFonts w:ascii="Arial" w:cs="Arial" w:eastAsia="Arial" w:hAnsi="Arial"/>
          <w:sz w:val="15"/>
          <w:szCs w:val="15"/>
          <w:color w:val="auto"/>
        </w:rPr>
        <w:t>(2)</w:t>
      </w:r>
      <w:r>
        <w:rPr>
          <w:rFonts w:ascii="Arial" w:cs="Arial" w:eastAsia="Arial" w:hAnsi="Arial"/>
          <w:sz w:val="18"/>
          <w:szCs w:val="18"/>
          <w:color w:val="auto"/>
        </w:rPr>
        <w:t xml:space="preserve"> of the aggregate voting power)</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5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5" w:lineRule="exact"/>
        <w:rPr>
          <w:rFonts w:ascii="Arial" w:cs="Arial" w:eastAsia="Arial" w:hAnsi="Arial"/>
          <w:sz w:val="18"/>
          <w:szCs w:val="18"/>
          <w:color w:val="auto"/>
        </w:rPr>
      </w:pPr>
    </w:p>
    <w:p>
      <w:pPr>
        <w:ind w:left="424" w:right="80" w:hanging="424"/>
        <w:spacing w:after="0" w:line="269" w:lineRule="auto"/>
        <w:tabs>
          <w:tab w:leader="none" w:pos="424"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Represents 3,000,000 Class A ordinary shares (represented by 750,000 ADSs) held by Astrend Opportunity III Alpha Limted. Astrend Opportunity III Alpha Limited is wholly owned by Shunwei China Internet Opportunity Fund III, L.P. Shunwei Capital Partners IV GP, L.P. is the general partner of Shunwei China Internet Opportunity Fund III, L.P. Shunwei Capital Partners IV GP Limited is the general partner of Shunwei Capital Partners IV GP, L.P. Shunwei Capital Partners IV GP Limited is controlled by Silver Unicorn Ventures Limited.</w:t>
      </w:r>
    </w:p>
    <w:p>
      <w:pPr>
        <w:spacing w:after="0" w:line="1" w:lineRule="exact"/>
        <w:rPr>
          <w:rFonts w:ascii="Arial" w:cs="Arial" w:eastAsia="Arial" w:hAnsi="Arial"/>
          <w:sz w:val="17"/>
          <w:szCs w:val="17"/>
          <w:color w:val="auto"/>
        </w:rPr>
      </w:pPr>
    </w:p>
    <w:p>
      <w:pPr>
        <w:ind w:left="424" w:hanging="424"/>
        <w:spacing w:after="0"/>
        <w:tabs>
          <w:tab w:leader="none" w:pos="424"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beneficial ownership percentage is calculated based on 463,482,562 ordinary shares of the Issuer as a single class, being the sum of</w:t>
      </w:r>
    </w:p>
    <w:p>
      <w:pPr>
        <w:spacing w:after="0" w:line="20" w:lineRule="exact"/>
        <w:rPr>
          <w:rFonts w:ascii="Arial" w:cs="Arial" w:eastAsia="Arial" w:hAnsi="Arial"/>
          <w:sz w:val="17"/>
          <w:szCs w:val="17"/>
          <w:color w:val="auto"/>
        </w:rPr>
      </w:pPr>
    </w:p>
    <w:p>
      <w:pPr>
        <w:ind w:left="424" w:right="20"/>
        <w:spacing w:after="0" w:line="253" w:lineRule="auto"/>
        <w:rPr>
          <w:rFonts w:ascii="Arial" w:cs="Arial" w:eastAsia="Arial" w:hAnsi="Arial"/>
          <w:sz w:val="17"/>
          <w:szCs w:val="17"/>
          <w:color w:val="auto"/>
        </w:rPr>
      </w:pPr>
      <w:r>
        <w:rPr>
          <w:rFonts w:ascii="Arial" w:cs="Arial" w:eastAsia="Arial" w:hAnsi="Arial"/>
          <w:sz w:val="18"/>
          <w:szCs w:val="18"/>
          <w:color w:val="auto"/>
        </w:rPr>
        <w:t>(i) 387,302,624 Class A ordinary shares issued and outstanding as of March 2, 2021, and (ii) 76,179,938 Class B ordinary shares issued and outstanding as of March 2, 2021, assuming conversion of all Class B ordinary shares into Class A ordinary shares, as reported on the Issuer’s Form 20-F filed with the Securities and Exchange Commission on March 26, 2021. The voting power of the shares beneficially owned represented 0.2% of the total outstanding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-1273810</wp:posOffset>
            </wp:positionV>
            <wp:extent cx="771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10 of 17 Pages</w:t>
      </w:r>
    </w:p>
    <w:p>
      <w:pPr>
        <w:spacing w:after="0" w:line="171" w:lineRule="exact"/>
        <w:rPr>
          <w:sz w:val="20"/>
          <w:szCs w:val="20"/>
          <w:color w:val="auto"/>
        </w:rPr>
      </w:pPr>
    </w:p>
    <w:p>
      <w:pPr>
        <w:ind w:left="624" w:hanging="377"/>
        <w:spacing w:after="0"/>
        <w:tabs>
          <w:tab w:leader="none" w:pos="6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Silver Unicorn Ventures Limited</w:t>
      </w:r>
    </w:p>
    <w:p>
      <w:pPr>
        <w:spacing w:after="0" w:line="36" w:lineRule="exact"/>
        <w:rPr>
          <w:sz w:val="20"/>
          <w:szCs w:val="20"/>
          <w:color w:val="auto"/>
        </w:rPr>
      </w:pPr>
    </w:p>
    <w:p>
      <w:pPr>
        <w:ind w:left="624" w:hanging="377"/>
        <w:spacing w:after="0"/>
        <w:tabs>
          <w:tab w:leader="none" w:pos="6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British Virgin Islands</w:t>
      </w:r>
    </w:p>
    <w:p>
      <w:pPr>
        <w:spacing w:after="0" w:line="36" w:lineRule="exact"/>
        <w:rPr>
          <w:rFonts w:ascii="Arial" w:cs="Arial" w:eastAsia="Arial" w:hAnsi="Arial"/>
          <w:sz w:val="18"/>
          <w:szCs w:val="18"/>
          <w:color w:val="auto"/>
        </w:rPr>
      </w:pPr>
    </w:p>
    <w:p>
      <w:pPr>
        <w:ind w:left="12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21,005,908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 xml:space="preserve">21,005,908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 xml:space="preserve">21,005,908 </w:t>
      </w:r>
      <w:r>
        <w:rPr>
          <w:rFonts w:ascii="Arial" w:cs="Arial" w:eastAsia="Arial" w:hAnsi="Arial"/>
          <w:sz w:val="15"/>
          <w:szCs w:val="15"/>
          <w:color w:val="auto"/>
        </w:rPr>
        <w:t>(1)</w:t>
      </w:r>
    </w:p>
    <w:p>
      <w:pPr>
        <w:spacing w:after="0" w:line="36" w:lineRule="exact"/>
        <w:rPr>
          <w:sz w:val="20"/>
          <w:szCs w:val="20"/>
          <w:color w:val="auto"/>
        </w:rPr>
      </w:pPr>
    </w:p>
    <w:p>
      <w:pPr>
        <w:ind w:left="624" w:hanging="467"/>
        <w:spacing w:after="0"/>
        <w:tabs>
          <w:tab w:leader="none" w:pos="624" w:val="left"/>
        </w:tabs>
        <w:numPr>
          <w:ilvl w:val="1"/>
          <w:numId w:val="6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6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4.5%</w:t>
      </w:r>
      <w:r>
        <w:rPr>
          <w:rFonts w:ascii="Arial" w:cs="Arial" w:eastAsia="Arial" w:hAnsi="Arial"/>
          <w:sz w:val="15"/>
          <w:szCs w:val="15"/>
          <w:color w:val="auto"/>
        </w:rPr>
        <w:t>(2)</w:t>
      </w:r>
      <w:r>
        <w:rPr>
          <w:rFonts w:ascii="Arial" w:cs="Arial" w:eastAsia="Arial" w:hAnsi="Arial"/>
          <w:sz w:val="18"/>
          <w:szCs w:val="18"/>
          <w:color w:val="auto"/>
        </w:rPr>
        <w:t xml:space="preserve"> (or 1.1%</w:t>
      </w:r>
      <w:r>
        <w:rPr>
          <w:rFonts w:ascii="Arial" w:cs="Arial" w:eastAsia="Arial" w:hAnsi="Arial"/>
          <w:sz w:val="15"/>
          <w:szCs w:val="15"/>
          <w:color w:val="auto"/>
        </w:rPr>
        <w:t>(2)</w:t>
      </w:r>
      <w:r>
        <w:rPr>
          <w:rFonts w:ascii="Arial" w:cs="Arial" w:eastAsia="Arial" w:hAnsi="Arial"/>
          <w:sz w:val="18"/>
          <w:szCs w:val="18"/>
          <w:color w:val="auto"/>
        </w:rPr>
        <w:t xml:space="preserve"> of the aggregate voting power)</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25" w:lineRule="exact"/>
        <w:rPr>
          <w:rFonts w:ascii="Arial" w:cs="Arial" w:eastAsia="Arial" w:hAnsi="Arial"/>
          <w:sz w:val="18"/>
          <w:szCs w:val="18"/>
          <w:color w:val="auto"/>
        </w:rPr>
      </w:pPr>
    </w:p>
    <w:p>
      <w:pPr>
        <w:ind w:left="424" w:right="40" w:hanging="424"/>
        <w:spacing w:after="0" w:line="252" w:lineRule="auto"/>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(i) 18,005,908 Class A ordinary shares held by Shunwei Technology II Limited and (ii) 3,000,000 Class A ordinary shares (represented by 750,000 ADSs) held by Astrend Opportunity III Alpha Limited. Shunwei China Internet Fund, L.P. is the sole shareholder of Shunwei Technology II Limited. Shunwei Capital Partners GP, L.P. is the general partner of Shunwei China Internet Fund, L.P. Shunwei Capital Partners GP Limited is the general partner of Shunwei Capital Partners GP, L.P. Shunwei Capital Partners GP Limited is controlled by Silver Unicorn Ventures Limited. Astrend Opportunity III Alpha Limited is wholly owned by Shunwei China Internet Opportunity Fund III, L.P. Shunwei Capital Partners IV GP, L.P. is the general partner of Shunwei China Internet Opportunity Fund III, L.P. Shunwei Capital Partners IV GP Limited is the general partner of Shunwei Capital Partners IV GP, L.P. Shunwei Capital Partners IV GP Limited is controlled by Silver Unicorn Ventures Limited.</w:t>
      </w:r>
    </w:p>
    <w:p>
      <w:pPr>
        <w:spacing w:after="0" w:line="3" w:lineRule="exact"/>
        <w:rPr>
          <w:rFonts w:ascii="Arial" w:cs="Arial" w:eastAsia="Arial" w:hAnsi="Arial"/>
          <w:sz w:val="18"/>
          <w:szCs w:val="18"/>
          <w:color w:val="auto"/>
        </w:rPr>
      </w:pPr>
    </w:p>
    <w:p>
      <w:pPr>
        <w:ind w:left="424" w:hanging="424"/>
        <w:spacing w:after="0"/>
        <w:tabs>
          <w:tab w:leader="none" w:pos="424"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beneficial ownership percentage is calculated based on 463,482,562 ordinary shares of the Issuer as a single class, being the sum of</w:t>
      </w:r>
    </w:p>
    <w:p>
      <w:pPr>
        <w:spacing w:after="0" w:line="20" w:lineRule="exact"/>
        <w:rPr>
          <w:rFonts w:ascii="Arial" w:cs="Arial" w:eastAsia="Arial" w:hAnsi="Arial"/>
          <w:sz w:val="17"/>
          <w:szCs w:val="17"/>
          <w:color w:val="auto"/>
        </w:rPr>
      </w:pPr>
    </w:p>
    <w:p>
      <w:pPr>
        <w:ind w:left="424" w:right="20"/>
        <w:spacing w:after="0" w:line="253" w:lineRule="auto"/>
        <w:rPr>
          <w:rFonts w:ascii="Arial" w:cs="Arial" w:eastAsia="Arial" w:hAnsi="Arial"/>
          <w:sz w:val="17"/>
          <w:szCs w:val="17"/>
          <w:color w:val="auto"/>
        </w:rPr>
      </w:pPr>
      <w:r>
        <w:rPr>
          <w:rFonts w:ascii="Arial" w:cs="Arial" w:eastAsia="Arial" w:hAnsi="Arial"/>
          <w:sz w:val="18"/>
          <w:szCs w:val="18"/>
          <w:color w:val="auto"/>
        </w:rPr>
        <w:t>(i) 387,302,624 Class A ordinary shares issued and outstanding as of March 2, 2021, and (ii) 76,179,938 Class B ordinary shares issued and outstanding as of March 2, 2021, assuming conversion of all Class B ordinary shares into Class A ordinary shares, as reported on the Issuer’s Form 20-F filed with the Securities and Exchange Commission on March 26, 2021. The voting power of the shares beneficially owned represented 1.1% of the total outstanding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-1822450</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11 of 17 Pages</w:t>
      </w:r>
    </w:p>
    <w:p>
      <w:pPr>
        <w:spacing w:after="0" w:line="171" w:lineRule="exact"/>
        <w:rPr>
          <w:sz w:val="20"/>
          <w:szCs w:val="20"/>
          <w:color w:val="auto"/>
        </w:rPr>
      </w:pPr>
    </w:p>
    <w:p>
      <w:pPr>
        <w:ind w:left="624" w:hanging="377"/>
        <w:spacing w:after="0"/>
        <w:tabs>
          <w:tab w:leader="none" w:pos="6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Tuck Lye Koh</w:t>
      </w:r>
    </w:p>
    <w:p>
      <w:pPr>
        <w:spacing w:after="0" w:line="36" w:lineRule="exact"/>
        <w:rPr>
          <w:sz w:val="20"/>
          <w:szCs w:val="20"/>
          <w:color w:val="auto"/>
        </w:rPr>
      </w:pPr>
    </w:p>
    <w:p>
      <w:pPr>
        <w:ind w:left="624" w:hanging="377"/>
        <w:spacing w:after="0"/>
        <w:tabs>
          <w:tab w:leader="none" w:pos="6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Singapore</w:t>
      </w:r>
    </w:p>
    <w:p>
      <w:pPr>
        <w:spacing w:after="0" w:line="36" w:lineRule="exact"/>
        <w:rPr>
          <w:rFonts w:ascii="Arial" w:cs="Arial" w:eastAsia="Arial" w:hAnsi="Arial"/>
          <w:sz w:val="18"/>
          <w:szCs w:val="18"/>
          <w:color w:val="auto"/>
        </w:rPr>
      </w:pPr>
    </w:p>
    <w:p>
      <w:pPr>
        <w:ind w:left="1224"/>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21,005,908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440" w:type="dxa"/>
            <w:vAlign w:val="bottom"/>
          </w:tcPr>
          <w:p>
            <w:pPr>
              <w:ind w:left="160"/>
              <w:spacing w:after="0"/>
              <w:rPr>
                <w:sz w:val="20"/>
                <w:szCs w:val="20"/>
                <w:color w:val="auto"/>
              </w:rPr>
            </w:pPr>
            <w:r>
              <w:rPr>
                <w:rFonts w:ascii="Arial" w:cs="Arial" w:eastAsia="Arial" w:hAnsi="Arial"/>
                <w:sz w:val="18"/>
                <w:szCs w:val="18"/>
                <w:color w:val="auto"/>
              </w:rPr>
              <w:t xml:space="preserve">21,005,908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 xml:space="preserve">21,005,908 </w:t>
      </w:r>
      <w:r>
        <w:rPr>
          <w:rFonts w:ascii="Arial" w:cs="Arial" w:eastAsia="Arial" w:hAnsi="Arial"/>
          <w:sz w:val="15"/>
          <w:szCs w:val="15"/>
          <w:color w:val="auto"/>
        </w:rPr>
        <w:t>(1)</w:t>
      </w:r>
    </w:p>
    <w:p>
      <w:pPr>
        <w:spacing w:after="0" w:line="36" w:lineRule="exact"/>
        <w:rPr>
          <w:sz w:val="20"/>
          <w:szCs w:val="20"/>
          <w:color w:val="auto"/>
        </w:rPr>
      </w:pPr>
    </w:p>
    <w:p>
      <w:pPr>
        <w:ind w:left="624" w:hanging="467"/>
        <w:spacing w:after="0"/>
        <w:tabs>
          <w:tab w:leader="none" w:pos="624" w:val="left"/>
        </w:tabs>
        <w:numPr>
          <w:ilvl w:val="1"/>
          <w:numId w:val="7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hanging="467"/>
        <w:spacing w:after="0"/>
        <w:tabs>
          <w:tab w:leader="none" w:pos="624" w:val="left"/>
        </w:tabs>
        <w:numPr>
          <w:ilvl w:val="1"/>
          <w:numId w:val="72"/>
        </w:numPr>
        <w:rPr>
          <w:rFonts w:ascii="Arial" w:cs="Arial" w:eastAsia="Arial" w:hAnsi="Arial"/>
          <w:sz w:val="18"/>
          <w:szCs w:val="18"/>
          <w:color w:val="auto"/>
        </w:rPr>
      </w:pPr>
      <w:r>
        <w:rPr>
          <w:rFonts w:ascii="Arial" w:cs="Arial" w:eastAsia="Arial" w:hAnsi="Arial"/>
          <w:sz w:val="18"/>
          <w:szCs w:val="18"/>
          <w:color w:val="auto"/>
        </w:rPr>
        <w:t>Percent of Class Represented by Amount in Row</w:t>
      </w:r>
    </w:p>
    <w:p>
      <w:pPr>
        <w:spacing w:after="0" w:line="244"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4.5%</w:t>
      </w:r>
      <w:r>
        <w:rPr>
          <w:rFonts w:ascii="Arial" w:cs="Arial" w:eastAsia="Arial" w:hAnsi="Arial"/>
          <w:sz w:val="15"/>
          <w:szCs w:val="15"/>
          <w:color w:val="auto"/>
        </w:rPr>
        <w:t>(2)</w:t>
      </w:r>
      <w:r>
        <w:rPr>
          <w:rFonts w:ascii="Arial" w:cs="Arial" w:eastAsia="Arial" w:hAnsi="Arial"/>
          <w:sz w:val="18"/>
          <w:szCs w:val="18"/>
          <w:color w:val="auto"/>
        </w:rPr>
        <w:t xml:space="preserve"> (or 1.1%</w:t>
      </w:r>
      <w:r>
        <w:rPr>
          <w:rFonts w:ascii="Arial" w:cs="Arial" w:eastAsia="Arial" w:hAnsi="Arial"/>
          <w:sz w:val="15"/>
          <w:szCs w:val="15"/>
          <w:color w:val="auto"/>
        </w:rPr>
        <w:t>(2)</w:t>
      </w:r>
      <w:r>
        <w:rPr>
          <w:rFonts w:ascii="Arial" w:cs="Arial" w:eastAsia="Arial" w:hAnsi="Arial"/>
          <w:sz w:val="18"/>
          <w:szCs w:val="18"/>
          <w:color w:val="auto"/>
        </w:rPr>
        <w:t xml:space="preserve"> of the aggregate voting power)</w:t>
      </w:r>
    </w:p>
    <w:p>
      <w:pPr>
        <w:spacing w:after="0" w:line="36" w:lineRule="exact"/>
        <w:rPr>
          <w:rFonts w:ascii="Arial" w:cs="Arial" w:eastAsia="Arial" w:hAnsi="Arial"/>
          <w:sz w:val="18"/>
          <w:szCs w:val="18"/>
          <w:color w:val="auto"/>
        </w:rPr>
      </w:pPr>
    </w:p>
    <w:p>
      <w:pPr>
        <w:ind w:left="604" w:hanging="447"/>
        <w:spacing w:after="0"/>
        <w:tabs>
          <w:tab w:leader="none" w:pos="60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25" w:lineRule="exact"/>
        <w:rPr>
          <w:rFonts w:ascii="Arial" w:cs="Arial" w:eastAsia="Arial" w:hAnsi="Arial"/>
          <w:sz w:val="18"/>
          <w:szCs w:val="18"/>
          <w:color w:val="auto"/>
        </w:rPr>
      </w:pPr>
    </w:p>
    <w:p>
      <w:pPr>
        <w:ind w:left="424" w:right="20" w:hanging="424"/>
        <w:spacing w:after="0" w:line="267" w:lineRule="auto"/>
        <w:tabs>
          <w:tab w:leader="none" w:pos="424"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Represents (i) 18,005,908 Class A ordinary shares held by Shunwei Technology II Limited and (ii) 3,000,000 Class A ordinary shares (represented by 750,000 ADSs) held by Astrend Opportunity III Alpha Limited. Shunwei China Internet Fund, L.P. is the sole shareholder of Shunwei Technology II Limited. Shunwei Capital Partners GP, L.P. is the general partner of Shunwei China Internet Fund, L.P. Shunwei Capital Partners GP Limited is the general partner of Shunwei Capital Partners GP, L.P. Shunwei Capital Partners GP Limited is controlled by Silver Unicorn Ventures Limited. Astrend Opportunity III Alpha Limited is wholly owned by Shunwei China Internet Opportunity Fund III, L.P. Shunwei Capital Partners IV GP, L.P. is the general partner of Shunwei China Internet Opportunity Fund III, L.P. Shunwei Capital Partners IV GP Limited is the general partner of Shunwei Capital Partners IV GP, L.P. Shunwei Capital Partners IV GP Limited is controlled by Silver Unicorn Ventures Limited. Silver Unicorn Ventures Limited is controlled by Mr. Tuck Lye Koh.</w:t>
      </w:r>
    </w:p>
    <w:p>
      <w:pPr>
        <w:spacing w:after="0" w:line="2" w:lineRule="exact"/>
        <w:rPr>
          <w:rFonts w:ascii="Arial" w:cs="Arial" w:eastAsia="Arial" w:hAnsi="Arial"/>
          <w:sz w:val="17"/>
          <w:szCs w:val="17"/>
          <w:color w:val="auto"/>
        </w:rPr>
      </w:pPr>
    </w:p>
    <w:p>
      <w:pPr>
        <w:ind w:left="424" w:hanging="424"/>
        <w:spacing w:after="0"/>
        <w:tabs>
          <w:tab w:leader="none" w:pos="424"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beneficial ownership percentage is calculated based on 463,482,562 ordinary shares of the Issuer as a single class, being the sum of</w:t>
      </w:r>
    </w:p>
    <w:p>
      <w:pPr>
        <w:spacing w:after="0" w:line="20" w:lineRule="exact"/>
        <w:rPr>
          <w:rFonts w:ascii="Arial" w:cs="Arial" w:eastAsia="Arial" w:hAnsi="Arial"/>
          <w:sz w:val="17"/>
          <w:szCs w:val="17"/>
          <w:color w:val="auto"/>
        </w:rPr>
      </w:pPr>
    </w:p>
    <w:p>
      <w:pPr>
        <w:ind w:left="424" w:right="20"/>
        <w:spacing w:after="0" w:line="253" w:lineRule="auto"/>
        <w:rPr>
          <w:rFonts w:ascii="Arial" w:cs="Arial" w:eastAsia="Arial" w:hAnsi="Arial"/>
          <w:sz w:val="17"/>
          <w:szCs w:val="17"/>
          <w:color w:val="auto"/>
        </w:rPr>
      </w:pPr>
      <w:r>
        <w:rPr>
          <w:rFonts w:ascii="Arial" w:cs="Arial" w:eastAsia="Arial" w:hAnsi="Arial"/>
          <w:sz w:val="18"/>
          <w:szCs w:val="18"/>
          <w:color w:val="auto"/>
        </w:rPr>
        <w:t>(i) 387,302,624 Class A ordinary shares issued and outstanding as of March 2, 2021, and (ii) 76,179,938 Class B ordinary shares issued and outstanding as of March 2, 2021, assuming conversion of all Class B ordinary shares into Class A ordinary shares, as reported on the Issuer’s Form 20-F filed with the Securities and Exchange Commission on March 26, 2021. The voting power of the shares beneficially owned represented 1.1% of the total outstanding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4"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12 of 17 Pages</w:t>
      </w:r>
    </w:p>
    <w:p>
      <w:pPr>
        <w:spacing w:after="0" w:line="15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Agora,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5715</wp:posOffset>
            </wp:positionV>
            <wp:extent cx="62922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tabs>
          <w:tab w:leader="none" w:pos="10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Floor 8, Building 12, Phase III of ChuangZhiTianDi, 333 Songhu Road, Yangpu District, Shanghai, 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13335</wp:posOffset>
            </wp:positionV>
            <wp:extent cx="62922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7" w:lineRule="exact"/>
        <w:rPr>
          <w:sz w:val="20"/>
          <w:szCs w:val="20"/>
          <w:color w:val="auto"/>
        </w:rPr>
      </w:pPr>
    </w:p>
    <w:p>
      <w:pPr>
        <w:ind w:left="1320" w:hanging="217"/>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Shunwei Technology II Limited;</w:t>
      </w:r>
    </w:p>
    <w:p>
      <w:pPr>
        <w:spacing w:after="0" w:line="9" w:lineRule="exact"/>
        <w:rPr>
          <w:rFonts w:ascii="Arial" w:cs="Arial" w:eastAsia="Arial" w:hAnsi="Arial"/>
          <w:sz w:val="18"/>
          <w:szCs w:val="18"/>
          <w:color w:val="auto"/>
        </w:rPr>
      </w:pPr>
    </w:p>
    <w:p>
      <w:pPr>
        <w:ind w:left="1360" w:hanging="257"/>
        <w:spacing w:after="0"/>
        <w:tabs>
          <w:tab w:leader="none" w:pos="1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Shunwei China Internet Fund, L.P.;</w:t>
      </w:r>
    </w:p>
    <w:p>
      <w:pPr>
        <w:spacing w:after="0" w:line="9" w:lineRule="exact"/>
        <w:rPr>
          <w:rFonts w:ascii="Arial" w:cs="Arial" w:eastAsia="Arial" w:hAnsi="Arial"/>
          <w:sz w:val="18"/>
          <w:szCs w:val="18"/>
          <w:color w:val="auto"/>
        </w:rPr>
      </w:pPr>
    </w:p>
    <w:p>
      <w:pPr>
        <w:ind w:left="1420" w:hanging="317"/>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Shunwei Capital Partners GP, L.P.;</w:t>
      </w:r>
    </w:p>
    <w:p>
      <w:pPr>
        <w:spacing w:after="0" w:line="9" w:lineRule="exact"/>
        <w:rPr>
          <w:rFonts w:ascii="Arial" w:cs="Arial" w:eastAsia="Arial" w:hAnsi="Arial"/>
          <w:sz w:val="18"/>
          <w:szCs w:val="18"/>
          <w:color w:val="auto"/>
        </w:rPr>
      </w:pPr>
    </w:p>
    <w:p>
      <w:pPr>
        <w:ind w:left="1400" w:hanging="297"/>
        <w:spacing w:after="0"/>
        <w:tabs>
          <w:tab w:leader="none" w:pos="1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Shunwei Capital Partners GP Limited;</w:t>
      </w:r>
    </w:p>
    <w:p>
      <w:pPr>
        <w:spacing w:after="0" w:line="9" w:lineRule="exact"/>
        <w:rPr>
          <w:rFonts w:ascii="Arial" w:cs="Arial" w:eastAsia="Arial" w:hAnsi="Arial"/>
          <w:sz w:val="18"/>
          <w:szCs w:val="18"/>
          <w:color w:val="auto"/>
        </w:rPr>
      </w:pPr>
    </w:p>
    <w:p>
      <w:pPr>
        <w:ind w:left="1360" w:hanging="257"/>
        <w:spacing w:after="0"/>
        <w:tabs>
          <w:tab w:leader="none" w:pos="1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Astrend Opportunity III Alpah Limited</w:t>
      </w:r>
    </w:p>
    <w:p>
      <w:pPr>
        <w:spacing w:after="0" w:line="9" w:lineRule="exact"/>
        <w:rPr>
          <w:rFonts w:ascii="Arial" w:cs="Arial" w:eastAsia="Arial" w:hAnsi="Arial"/>
          <w:sz w:val="18"/>
          <w:szCs w:val="18"/>
          <w:color w:val="auto"/>
        </w:rPr>
      </w:pPr>
    </w:p>
    <w:p>
      <w:pPr>
        <w:ind w:left="1400" w:hanging="297"/>
        <w:spacing w:after="0"/>
        <w:tabs>
          <w:tab w:leader="none" w:pos="1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Shunwei China Internet Opportunity Fund III, L.P.</w:t>
      </w:r>
    </w:p>
    <w:p>
      <w:pPr>
        <w:spacing w:after="0" w:line="9" w:lineRule="exact"/>
        <w:rPr>
          <w:rFonts w:ascii="Arial" w:cs="Arial" w:eastAsia="Arial" w:hAnsi="Arial"/>
          <w:sz w:val="18"/>
          <w:szCs w:val="18"/>
          <w:color w:val="auto"/>
        </w:rPr>
      </w:pPr>
    </w:p>
    <w:p>
      <w:pPr>
        <w:ind w:left="1460" w:hanging="357"/>
        <w:spacing w:after="0"/>
        <w:tabs>
          <w:tab w:leader="none" w:pos="1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Shunwei Capital Partners IV GP, L.P.</w:t>
      </w:r>
    </w:p>
    <w:p>
      <w:pPr>
        <w:spacing w:after="0" w:line="9" w:lineRule="exact"/>
        <w:rPr>
          <w:rFonts w:ascii="Arial" w:cs="Arial" w:eastAsia="Arial" w:hAnsi="Arial"/>
          <w:sz w:val="18"/>
          <w:szCs w:val="18"/>
          <w:color w:val="auto"/>
        </w:rPr>
      </w:pPr>
    </w:p>
    <w:p>
      <w:pPr>
        <w:ind w:left="1500" w:hanging="397"/>
        <w:spacing w:after="0"/>
        <w:tabs>
          <w:tab w:leader="none" w:pos="1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Shunwei Capital Partners IV GP Limited</w:t>
      </w:r>
    </w:p>
    <w:p>
      <w:pPr>
        <w:spacing w:after="0" w:line="9" w:lineRule="exact"/>
        <w:rPr>
          <w:rFonts w:ascii="Arial" w:cs="Arial" w:eastAsia="Arial" w:hAnsi="Arial"/>
          <w:sz w:val="18"/>
          <w:szCs w:val="18"/>
          <w:color w:val="auto"/>
        </w:rPr>
      </w:pPr>
    </w:p>
    <w:p>
      <w:pPr>
        <w:ind w:left="1400" w:hanging="297"/>
        <w:spacing w:after="0"/>
        <w:tabs>
          <w:tab w:leader="none" w:pos="1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Silver Unicorn Ventures Limited, and</w:t>
      </w:r>
    </w:p>
    <w:p>
      <w:pPr>
        <w:spacing w:after="0" w:line="9" w:lineRule="exact"/>
        <w:rPr>
          <w:rFonts w:ascii="Arial" w:cs="Arial" w:eastAsia="Arial" w:hAnsi="Arial"/>
          <w:sz w:val="18"/>
          <w:szCs w:val="18"/>
          <w:color w:val="auto"/>
        </w:rPr>
      </w:pPr>
    </w:p>
    <w:p>
      <w:pPr>
        <w:ind w:left="1360" w:hanging="257"/>
        <w:spacing w:after="0"/>
        <w:tabs>
          <w:tab w:leader="none" w:pos="1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Tuck Lye Koh (collectively,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5715</wp:posOffset>
            </wp:positionV>
            <wp:extent cx="62922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tabs>
          <w:tab w:leader="none" w:pos="10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addresses of the Reporting Persons are:</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Shunwei Technology II Limited</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Vistra Corporate Services Center,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Wickhams Cay II, Road Town, Tortola, VG 1110,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British Virgin Islands</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Shunwei China Internet Fund, 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Walker House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87 Mary Street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George Town, Grand Cayman KY1-9005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Cayman Islands</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Shunwei Capital Partners GP, 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Walker House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87 Mary Street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George Town, Grand Cayman KY1-9005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Cayman Islands</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Shunwei Capital Partners GP Limited</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Walker House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87 Mary Street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George Town, Grand Cayman KY1-9005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Cayman Islands</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Astrend Opportunity III Alpha Limited</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Vistra Corporate Services Center,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Wickhams Cay II, Road Town, Tortola, VG 1110,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5715</wp:posOffset>
            </wp:positionV>
            <wp:extent cx="62922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13 of 17 Pages</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Shunwei China Internet Opportunity Fund III, 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 Campbells Corporate Services Limited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Floor 4, Willow House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Cricket Square, Grand Cayman KY1-9010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Cayman Islands</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Shunwei Capital Partners IV GP, 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Walker House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 Campbells Corporate Services Limited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Floor 4, Willow House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Cricket Square, Grand Cayman KY1-9010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Cayman Islands</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Shunwei Capital Partners IV GP Limited</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c/oWalker House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87 Mary Street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George Town, Grand Cayman KY1-9005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Cayman Islands</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Silver Unicorn Ventures Limited</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Vistra Corporate Services Center,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Wickhams Cay II, Road Town, Tortola, VG 1110,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British Virgin Islands</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Mr. Tuck Lye Koh</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32D Watten Rise, Singapore 286651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5715</wp:posOffset>
            </wp:positionV>
            <wp:extent cx="62922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tabs>
          <w:tab w:leader="none" w:pos="10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Shunwei Technology II Limited – British Virgin Islands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Shunwei China Internet Fund, L.P. – Cayman Islands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Shunwei Capital Partners GP, L.P. – Cayman Islands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Shunwei Capital Partners GP Limited – Cayman Islands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Astrend Opportunity III Alpha Limited – British Virgin Islands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Shunwei China Internet Opportunity Fund III, L.P. – Cayman Islands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Shunwei Capital Partners IV GP, L.P. – Cayman Islands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Shunwei Capital Partners IV GP Limited – Cayman Islands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Silver Unicorn Ventures Limited – British Virgin Islands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Tuck Lye Koh –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5715</wp:posOffset>
            </wp:positionV>
            <wp:extent cx="6292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tabs>
          <w:tab w:leader="none" w:pos="10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Class A ordinary shares, par value US$0.0001 per share, of the Issuer.</w:t>
      </w:r>
    </w:p>
    <w:p>
      <w:pPr>
        <w:spacing w:after="0" w:line="238" w:lineRule="exact"/>
        <w:rPr>
          <w:sz w:val="20"/>
          <w:szCs w:val="20"/>
          <w:color w:val="auto"/>
        </w:rPr>
      </w:pPr>
    </w:p>
    <w:p>
      <w:pPr>
        <w:ind w:left="1100" w:right="280"/>
        <w:spacing w:after="0" w:line="289" w:lineRule="auto"/>
        <w:rPr>
          <w:sz w:val="20"/>
          <w:szCs w:val="20"/>
          <w:color w:val="auto"/>
        </w:rPr>
      </w:pPr>
      <w:r>
        <w:rPr>
          <w:rFonts w:ascii="Arial" w:cs="Arial" w:eastAsia="Arial" w:hAnsi="Arial"/>
          <w:sz w:val="16"/>
          <w:szCs w:val="16"/>
          <w:color w:val="auto"/>
        </w:rPr>
        <w:t>The Issuer’s ordinary shares consist of Class A ordinary shares and Class B ordinary shares. Each holder of Class A ordinary shares is entitled to one vote per share and each holder of Class B ordinary shares is entitled to 20 votes per share, on all matters submitted to shareholders for vote. Class B ordinary shares are convertible at any time by the holder thereof into Class A ordinary shares on a one-for-one basis. Class A ordinary shares are not convertible into Class B ordinary shares under any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-4445</wp:posOffset>
            </wp:positionV>
            <wp:extent cx="62922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tabs>
          <w:tab w:leader="none" w:pos="10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00851L103</w:t>
      </w:r>
    </w:p>
    <w:p>
      <w:pPr>
        <w:spacing w:after="0" w:line="23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This CUSIP number applies to the American depositary shares of the Issuer, each representing two Class A ordinary shares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29210</wp:posOffset>
            </wp:positionV>
            <wp:extent cx="62922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3" w:name="page14"/>
    <w:bookmarkEnd w:id="13"/>
    <w:p>
      <w:pPr>
        <w:ind w:left="9564"/>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14 of 17 Pages</w:t>
      </w:r>
    </w:p>
    <w:p>
      <w:pPr>
        <w:spacing w:after="0" w:line="188"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persons filing is a:</w:t>
      </w:r>
    </w:p>
    <w:p>
      <w:pPr>
        <w:spacing w:after="0" w:line="229"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The following information with respect to the ownership of Class A ordinary shares by the Reporting Persons filing this statement on Schedule 13G is provided as of December 31, 2021:</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Percentage</w:t>
            </w: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Percentage</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Shared</w:t>
            </w: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Sole</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Shared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of the</w:t>
            </w:r>
          </w:p>
        </w:tc>
        <w:tc>
          <w:tcPr>
            <w:tcW w:w="0" w:type="dxa"/>
            <w:vAlign w:val="bottom"/>
          </w:tcPr>
          <w:p>
            <w:pPr>
              <w:spacing w:after="0"/>
              <w:rPr>
                <w:sz w:val="1"/>
                <w:szCs w:val="1"/>
                <w:color w:val="auto"/>
              </w:rPr>
            </w:pPr>
          </w:p>
        </w:tc>
      </w:tr>
      <w:tr>
        <w:trPr>
          <w:trHeight w:val="148"/>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Sole Voting</w:t>
            </w:r>
          </w:p>
        </w:tc>
        <w:tc>
          <w:tcPr>
            <w:tcW w:w="6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Beneficial</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 Class A</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 Total</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4"/>
        </w:trPr>
        <w:tc>
          <w:tcPr>
            <w:tcW w:w="33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Voting</w:t>
            </w:r>
          </w:p>
        </w:tc>
        <w:tc>
          <w:tcPr>
            <w:tcW w:w="10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Dispositive</w:t>
            </w:r>
          </w:p>
        </w:tc>
        <w:tc>
          <w:tcPr>
            <w:tcW w:w="8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w w:val="88"/>
              </w:rPr>
              <w:t>Dispositive</w:t>
            </w:r>
          </w:p>
        </w:tc>
        <w:tc>
          <w:tcPr>
            <w:tcW w:w="1060" w:type="dxa"/>
            <w:vAlign w:val="bottom"/>
            <w:gridSpan w:val="2"/>
            <w:vMerge w:val="continue"/>
          </w:tcPr>
          <w:p>
            <w:pPr>
              <w:spacing w:after="0"/>
              <w:rPr>
                <w:sz w:val="12"/>
                <w:szCs w:val="12"/>
                <w:color w:val="auto"/>
              </w:rPr>
            </w:pP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9"/>
              </w:rPr>
              <w:t>Ordinary</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9"/>
              </w:rPr>
              <w:t>Ordinary</w:t>
            </w:r>
          </w:p>
        </w:tc>
        <w:tc>
          <w:tcPr>
            <w:tcW w:w="9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62"/>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Persons</w:t>
            </w:r>
          </w:p>
        </w:tc>
        <w:tc>
          <w:tcPr>
            <w:tcW w:w="268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Power</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Power</w:t>
            </w:r>
            <w:r>
              <w:rPr>
                <w:rFonts w:ascii="Arial" w:cs="Arial" w:eastAsia="Arial" w:hAnsi="Arial"/>
                <w:sz w:val="12"/>
                <w:szCs w:val="12"/>
                <w:b w:val="1"/>
                <w:bCs w:val="1"/>
                <w:color w:val="auto"/>
              </w:rPr>
              <w:t>)</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Power</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Power</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Ownership</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Shares</w:t>
            </w:r>
            <w:r>
              <w:rPr>
                <w:rFonts w:ascii="Arial" w:cs="Arial" w:eastAsia="Arial" w:hAnsi="Arial"/>
                <w:sz w:val="12"/>
                <w:szCs w:val="12"/>
                <w:b w:val="1"/>
                <w:bCs w:val="1"/>
                <w:color w:val="auto"/>
                <w:w w:val="91"/>
              </w:rPr>
              <w:t>(1)</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Shares</w:t>
            </w:r>
            <w:r>
              <w:rPr>
                <w:rFonts w:ascii="Arial" w:cs="Arial" w:eastAsia="Arial" w:hAnsi="Arial"/>
                <w:sz w:val="12"/>
                <w:szCs w:val="12"/>
                <w:b w:val="1"/>
                <w:bCs w:val="1"/>
                <w:color w:val="auto"/>
                <w:w w:val="91"/>
              </w:rPr>
              <w:t>(1)</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Power</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Shunwei Technology II Limited</w:t>
            </w:r>
            <w:r>
              <w:rPr>
                <w:rFonts w:ascii="Arial" w:cs="Arial" w:eastAsia="Arial" w:hAnsi="Arial"/>
                <w:sz w:val="15"/>
                <w:szCs w:val="15"/>
                <w:color w:val="auto"/>
              </w:rPr>
              <w:t>(3)</w:t>
            </w: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18,005,908</w:t>
            </w:r>
          </w:p>
        </w:tc>
        <w:tc>
          <w:tcPr>
            <w:tcW w:w="2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0</w:t>
            </w:r>
          </w:p>
        </w:tc>
        <w:tc>
          <w:tcPr>
            <w:tcW w:w="2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18,005,908</w:t>
            </w:r>
          </w:p>
        </w:tc>
        <w:tc>
          <w:tcPr>
            <w:tcW w:w="2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0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18,005,908</w:t>
            </w:r>
          </w:p>
        </w:tc>
        <w:tc>
          <w:tcPr>
            <w:tcW w:w="20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3.9%</w:t>
            </w:r>
          </w:p>
        </w:tc>
        <w:tc>
          <w:tcPr>
            <w:tcW w:w="10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3.9%</w:t>
            </w: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Shunwei China Internet Fund, L.P.</w:t>
            </w:r>
            <w:r>
              <w:rPr>
                <w:rFonts w:ascii="Arial" w:cs="Arial" w:eastAsia="Arial" w:hAnsi="Arial"/>
                <w:sz w:val="15"/>
                <w:szCs w:val="15"/>
                <w:color w:val="auto"/>
              </w:rPr>
              <w:t>(3)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18,005,908</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18,005,908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18,005,908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Shunwei Capital Partners GP, L.P. </w:t>
            </w:r>
            <w:r>
              <w:rPr>
                <w:rFonts w:ascii="Arial" w:cs="Arial" w:eastAsia="Arial" w:hAnsi="Arial"/>
                <w:sz w:val="15"/>
                <w:szCs w:val="15"/>
                <w:color w:val="auto"/>
              </w:rPr>
              <w:t>(3)</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18,005,908</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18,005,908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18,005,908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Shunwei Capital Partners GP Limited </w:t>
            </w:r>
            <w:r>
              <w:rPr>
                <w:rFonts w:ascii="Arial" w:cs="Arial" w:eastAsia="Arial" w:hAnsi="Arial"/>
                <w:sz w:val="15"/>
                <w:szCs w:val="15"/>
                <w:color w:val="auto"/>
              </w:rPr>
              <w:t>(3)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18,005,908</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18,005,908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18,005,908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Astrend Opportunity III Alpha Limited</w:t>
            </w:r>
            <w:r>
              <w:rPr>
                <w:rFonts w:ascii="Arial" w:cs="Arial" w:eastAsia="Arial" w:hAnsi="Arial"/>
                <w:sz w:val="15"/>
                <w:szCs w:val="15"/>
                <w:color w:val="auto"/>
              </w:rPr>
              <w:t>(4)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3,000,000</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Shunwei China Internet Opportunity</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Fund III, L.P.</w:t>
            </w:r>
            <w:r>
              <w:rPr>
                <w:rFonts w:ascii="Arial" w:cs="Arial" w:eastAsia="Arial" w:hAnsi="Arial"/>
                <w:sz w:val="15"/>
                <w:szCs w:val="15"/>
                <w:color w:val="auto"/>
              </w:rPr>
              <w:t>(4)</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3,000,000</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3,000,000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Shunwei Capital Partners IV GP, L.P.</w:t>
            </w:r>
            <w:r>
              <w:rPr>
                <w:rFonts w:ascii="Arial" w:cs="Arial" w:eastAsia="Arial" w:hAnsi="Arial"/>
                <w:sz w:val="15"/>
                <w:szCs w:val="15"/>
                <w:color w:val="auto"/>
              </w:rPr>
              <w:t>(4)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3,000,000</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w w:val="97"/>
              </w:rPr>
              <w:t>Shunwei Capital Partners IV GP Limited</w:t>
            </w:r>
            <w:r>
              <w:rPr>
                <w:rFonts w:ascii="Arial" w:cs="Arial" w:eastAsia="Arial" w:hAnsi="Arial"/>
                <w:sz w:val="15"/>
                <w:szCs w:val="15"/>
                <w:color w:val="auto"/>
                <w:w w:val="97"/>
              </w:rPr>
              <w:t>(4)</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3,000,000</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3,000,000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Silver Unicorn Ventures Limited </w:t>
            </w:r>
            <w:r>
              <w:rPr>
                <w:rFonts w:ascii="Arial" w:cs="Arial" w:eastAsia="Arial" w:hAnsi="Arial"/>
                <w:sz w:val="15"/>
                <w:szCs w:val="15"/>
                <w:color w:val="auto"/>
              </w:rPr>
              <w:t>(3)(4)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21,005,908</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21,005,908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21,005,908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 xml:space="preserve">Tuck Lye Koh </w:t>
            </w:r>
            <w:r>
              <w:rPr>
                <w:rFonts w:ascii="Arial" w:cs="Arial" w:eastAsia="Arial" w:hAnsi="Arial"/>
                <w:sz w:val="15"/>
                <w:szCs w:val="15"/>
                <w:color w:val="auto"/>
              </w:rPr>
              <w:t>(3)(4)</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21,005,908</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21,005,908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21,005,908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307975</wp:posOffset>
            </wp:positionV>
            <wp:extent cx="7715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544" w:right="340" w:hanging="544"/>
        <w:spacing w:after="0" w:line="259" w:lineRule="auto"/>
        <w:tabs>
          <w:tab w:leader="none" w:pos="54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beneficial ownership percentage is calculated based on 463,482,562 ordinary shares of the Issuer as a single class, being the sum of (i) 387,302,624 Class A ordinary shares issued and outstanding as of March 2, 2021, and (ii) 76,179,938 Class B ordinary shares issued and outstanding as of March 2, 2021, assuming conversion of all Class B ordinary shares into Class A ordinary shares, as reported on the Issuer’s Form 20-F filed with the Securities and Exchange Commission on March 26, 2021.</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4" w:right="4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15 of 17 Pages</w:t>
      </w:r>
    </w:p>
    <w:p>
      <w:pPr>
        <w:spacing w:after="0" w:line="158" w:lineRule="exact"/>
        <w:rPr>
          <w:sz w:val="20"/>
          <w:szCs w:val="20"/>
          <w:color w:val="auto"/>
        </w:rPr>
      </w:pPr>
    </w:p>
    <w:p>
      <w:pPr>
        <w:ind w:left="544" w:right="120" w:hanging="544"/>
        <w:spacing w:after="0" w:line="263" w:lineRule="auto"/>
        <w:tabs>
          <w:tab w:leader="none" w:pos="5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percentage of voting power is calculated by dividing the voting power beneficially owned by each Reporting Person by the voting power of all of the Issuer’s Class A ordinary shares and Class B ordinary shares as a single class. Each Class A ordinary share is entitled to one vote and each Class B ordinary share is entitled to 20 votes, on all matters submitted to them for vote.</w:t>
      </w:r>
    </w:p>
    <w:p>
      <w:pPr>
        <w:spacing w:after="0" w:line="89" w:lineRule="exact"/>
        <w:rPr>
          <w:rFonts w:ascii="Arial" w:cs="Arial" w:eastAsia="Arial" w:hAnsi="Arial"/>
          <w:sz w:val="18"/>
          <w:szCs w:val="18"/>
          <w:color w:val="auto"/>
        </w:rPr>
      </w:pPr>
    </w:p>
    <w:p>
      <w:pPr>
        <w:jc w:val="both"/>
        <w:ind w:left="544" w:right="220" w:hanging="544"/>
        <w:spacing w:after="0" w:line="311" w:lineRule="auto"/>
        <w:tabs>
          <w:tab w:leader="none" w:pos="544" w:val="left"/>
        </w:tabs>
        <w:numPr>
          <w:ilvl w:val="0"/>
          <w:numId w:val="76"/>
        </w:numPr>
        <w:rPr>
          <w:rFonts w:ascii="Arial" w:cs="Arial" w:eastAsia="Arial" w:hAnsi="Arial"/>
          <w:sz w:val="16"/>
          <w:szCs w:val="16"/>
          <w:color w:val="auto"/>
        </w:rPr>
      </w:pPr>
      <w:r>
        <w:rPr>
          <w:rFonts w:ascii="Arial" w:cs="Arial" w:eastAsia="Arial" w:hAnsi="Arial"/>
          <w:sz w:val="16"/>
          <w:szCs w:val="16"/>
          <w:color w:val="auto"/>
        </w:rPr>
        <w:t>Shunwei China Internet Fund, L.P. is the sole shareholder of Shunwei Technology II Limited. Shunwei Capital Partners GP, L.P. is the general partner of Shunwei China Internet Fund, L.P. Shunwei Capital Partners GP Limited is the general partner of Shunwei Capital Partners GP, L.P. Shunwei Capital Partners GP Limited is controlled by Silver Unicorn Ventures Limited, which is controlled by Mr. Tuck Lye Koh.</w:t>
      </w:r>
    </w:p>
    <w:p>
      <w:pPr>
        <w:spacing w:after="0" w:line="54" w:lineRule="exact"/>
        <w:rPr>
          <w:rFonts w:ascii="Arial" w:cs="Arial" w:eastAsia="Arial" w:hAnsi="Arial"/>
          <w:sz w:val="16"/>
          <w:szCs w:val="16"/>
          <w:color w:val="auto"/>
        </w:rPr>
      </w:pPr>
    </w:p>
    <w:p>
      <w:pPr>
        <w:ind w:left="544" w:right="20" w:hanging="544"/>
        <w:spacing w:after="0" w:line="259" w:lineRule="auto"/>
        <w:tabs>
          <w:tab w:leader="none" w:pos="54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Astrend Opportunity III Alpha Limited is wholly owned by Shunwei China Internet Opportunity Fund III, L.P. Shunwei Capital Partners IV GP, L.P. is the general partner of Shunwei China Internet Opportunity Fund III, L.P. Shunwei Capital Partners IV GP Limited is the general partner of Shunwei Capital Partners IV GP, L.P. Shunwei Capital Partners IV GP Limited is controlled by Silver Unicorn Ventures Limited. Silver Unicorn Ventures Limited is controlled by Mr. Tuck Lye Koh.</w:t>
      </w:r>
    </w:p>
    <w:p>
      <w:pPr>
        <w:spacing w:after="0" w:line="210"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104" w:right="3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9" w:lineRule="exact"/>
        <w:rPr>
          <w:sz w:val="20"/>
          <w:szCs w:val="20"/>
          <w:color w:val="auto"/>
        </w:rPr>
      </w:pPr>
    </w:p>
    <w:p>
      <w:pPr>
        <w:ind w:left="1104" w:right="400"/>
        <w:spacing w:after="0" w:line="263" w:lineRule="auto"/>
        <w:rPr>
          <w:sz w:val="20"/>
          <w:szCs w:val="20"/>
          <w:color w:val="auto"/>
        </w:rPr>
      </w:pPr>
      <w:r>
        <w:rPr>
          <w:rFonts w:ascii="Arial" w:cs="Arial" w:eastAsia="Arial" w:hAnsi="Arial"/>
          <w:sz w:val="18"/>
          <w:szCs w:val="18"/>
          <w:color w:val="auto"/>
        </w:rPr>
        <w:t>This filing constitutes an exit filing as each of Shunwei Technology II Limited, Shunwei China Internet Fund, L.P., Shunwei Capital Partners GP, L.P., Shunwei Capital Partners GP Limited, Silver Unicorn Ventures Limited, and Tuck Lye Koh has ceased to be the beneficial owner of more than 5 percent of the referenced class of securities.</w:t>
      </w:r>
    </w:p>
    <w:p>
      <w:pPr>
        <w:spacing w:after="0" w:line="193"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7"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1104" w:right="560" w:hanging="1106"/>
        <w:spacing w:after="0" w:line="261" w:lineRule="auto"/>
        <w:tabs>
          <w:tab w:leader="none" w:pos="108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Controlling Person:</w:t>
      </w:r>
    </w:p>
    <w:p>
      <w:pPr>
        <w:ind w:left="1104"/>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7"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7"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7"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4"/>
          </w:cols>
          <w:pgMar w:left="436" w:top="274" w:right="4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16 of 17 Pages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860" w:type="dxa"/>
            <w:vAlign w:val="bottom"/>
            <w:gridSpan w:val="3"/>
          </w:tcPr>
          <w:p>
            <w:pPr>
              <w:ind w:left="4240"/>
              <w:spacing w:after="0"/>
              <w:rPr>
                <w:sz w:val="20"/>
                <w:szCs w:val="20"/>
                <w:color w:val="auto"/>
              </w:rPr>
            </w:pPr>
            <w:r>
              <w:rPr>
                <w:rFonts w:ascii="Arial" w:cs="Arial" w:eastAsia="Arial" w:hAnsi="Arial"/>
                <w:sz w:val="18"/>
                <w:szCs w:val="18"/>
                <w:b w:val="1"/>
                <w:bCs w:val="1"/>
                <w:color w:val="auto"/>
              </w:rPr>
              <w:t>LIST OF EXHIBITS</w:t>
            </w:r>
          </w:p>
        </w:tc>
        <w:tc>
          <w:tcPr>
            <w:tcW w:w="0" w:type="dxa"/>
            <w:vAlign w:val="bottom"/>
          </w:tcPr>
          <w:p>
            <w:pPr>
              <w:spacing w:after="0"/>
              <w:rPr>
                <w:sz w:val="1"/>
                <w:szCs w:val="1"/>
                <w:color w:val="auto"/>
              </w:rPr>
            </w:pPr>
          </w:p>
        </w:tc>
      </w:tr>
      <w:tr>
        <w:trPr>
          <w:trHeight w:val="369"/>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1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51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 by and among the Reporting Persons dated February 7,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Previous filed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17 of 17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Dated: February 14, 2022</w:t>
            </w:r>
          </w:p>
        </w:tc>
        <w:tc>
          <w:tcPr>
            <w:tcW w:w="164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59"/>
        </w:trPr>
        <w:tc>
          <w:tcPr>
            <w:tcW w:w="4520" w:type="dxa"/>
            <w:vAlign w:val="bottom"/>
          </w:tcPr>
          <w:p>
            <w:pPr>
              <w:spacing w:after="0"/>
              <w:rPr>
                <w:sz w:val="20"/>
                <w:szCs w:val="20"/>
                <w:color w:val="auto"/>
              </w:rPr>
            </w:pPr>
            <w:r>
              <w:rPr>
                <w:rFonts w:ascii="Arial" w:cs="Arial" w:eastAsia="Arial" w:hAnsi="Arial"/>
                <w:sz w:val="18"/>
                <w:szCs w:val="18"/>
                <w:color w:val="auto"/>
              </w:rPr>
              <w:t>Shunwei Technology II Limited</w:t>
            </w:r>
          </w:p>
        </w:tc>
        <w:tc>
          <w:tcPr>
            <w:tcW w:w="1640" w:type="dxa"/>
            <w:vAlign w:val="bottom"/>
          </w:tcPr>
          <w:p>
            <w:pPr>
              <w:ind w:left="1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Tuck Lye Koh</w:t>
            </w:r>
          </w:p>
        </w:tc>
      </w:tr>
      <w:tr>
        <w:trPr>
          <w:trHeight w:val="209"/>
        </w:trPr>
        <w:tc>
          <w:tcPr>
            <w:tcW w:w="4520" w:type="dxa"/>
            <w:vAlign w:val="bottom"/>
          </w:tcPr>
          <w:p>
            <w:pPr>
              <w:spacing w:after="0"/>
              <w:rPr>
                <w:sz w:val="18"/>
                <w:szCs w:val="18"/>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Tuck Lye Koh</w:t>
            </w:r>
          </w:p>
        </w:tc>
      </w:tr>
      <w:tr>
        <w:trPr>
          <w:trHeight w:val="230"/>
        </w:trPr>
        <w:tc>
          <w:tcPr>
            <w:tcW w:w="4520" w:type="dxa"/>
            <w:vAlign w:val="bottom"/>
          </w:tcPr>
          <w:p>
            <w:pPr>
              <w:spacing w:after="0"/>
              <w:rPr>
                <w:sz w:val="20"/>
                <w:szCs w:val="20"/>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Shunwei China Internet Fund, L.P.</w:t>
            </w:r>
          </w:p>
        </w:tc>
        <w:tc>
          <w:tcPr>
            <w:tcW w:w="1640" w:type="dxa"/>
            <w:vAlign w:val="bottom"/>
          </w:tcPr>
          <w:p>
            <w:pPr>
              <w:ind w:left="1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Tuck Lye Koh</w:t>
            </w:r>
          </w:p>
        </w:tc>
      </w:tr>
      <w:tr>
        <w:trPr>
          <w:trHeight w:val="209"/>
        </w:trPr>
        <w:tc>
          <w:tcPr>
            <w:tcW w:w="4520" w:type="dxa"/>
            <w:vAlign w:val="bottom"/>
          </w:tcPr>
          <w:p>
            <w:pPr>
              <w:spacing w:after="0"/>
              <w:rPr>
                <w:sz w:val="18"/>
                <w:szCs w:val="18"/>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Tuck Lye Koh</w:t>
            </w:r>
          </w:p>
        </w:tc>
      </w:tr>
      <w:tr>
        <w:trPr>
          <w:trHeight w:val="230"/>
        </w:trPr>
        <w:tc>
          <w:tcPr>
            <w:tcW w:w="4520" w:type="dxa"/>
            <w:vAlign w:val="bottom"/>
          </w:tcPr>
          <w:p>
            <w:pPr>
              <w:spacing w:after="0"/>
              <w:rPr>
                <w:sz w:val="20"/>
                <w:szCs w:val="20"/>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Shunwei Capital Partners GP, L.P.</w:t>
            </w:r>
          </w:p>
        </w:tc>
        <w:tc>
          <w:tcPr>
            <w:tcW w:w="1640" w:type="dxa"/>
            <w:vAlign w:val="bottom"/>
          </w:tcPr>
          <w:p>
            <w:pPr>
              <w:ind w:left="1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Tuck Lye Koh</w:t>
            </w:r>
          </w:p>
        </w:tc>
      </w:tr>
      <w:tr>
        <w:trPr>
          <w:trHeight w:val="209"/>
        </w:trPr>
        <w:tc>
          <w:tcPr>
            <w:tcW w:w="4520" w:type="dxa"/>
            <w:vAlign w:val="bottom"/>
          </w:tcPr>
          <w:p>
            <w:pPr>
              <w:spacing w:after="0"/>
              <w:rPr>
                <w:sz w:val="18"/>
                <w:szCs w:val="18"/>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Tuck Lye Koh</w:t>
            </w:r>
          </w:p>
        </w:tc>
      </w:tr>
      <w:tr>
        <w:trPr>
          <w:trHeight w:val="230"/>
        </w:trPr>
        <w:tc>
          <w:tcPr>
            <w:tcW w:w="4520" w:type="dxa"/>
            <w:vAlign w:val="bottom"/>
          </w:tcPr>
          <w:p>
            <w:pPr>
              <w:spacing w:after="0"/>
              <w:rPr>
                <w:sz w:val="20"/>
                <w:szCs w:val="20"/>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Shunwei Capital Partners GP Limited</w:t>
            </w:r>
          </w:p>
        </w:tc>
        <w:tc>
          <w:tcPr>
            <w:tcW w:w="1640" w:type="dxa"/>
            <w:vAlign w:val="bottom"/>
          </w:tcPr>
          <w:p>
            <w:pPr>
              <w:ind w:left="1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Tuck Lye Koh</w:t>
            </w:r>
          </w:p>
        </w:tc>
      </w:tr>
      <w:tr>
        <w:trPr>
          <w:trHeight w:val="209"/>
        </w:trPr>
        <w:tc>
          <w:tcPr>
            <w:tcW w:w="4520" w:type="dxa"/>
            <w:vAlign w:val="bottom"/>
          </w:tcPr>
          <w:p>
            <w:pPr>
              <w:spacing w:after="0"/>
              <w:rPr>
                <w:sz w:val="18"/>
                <w:szCs w:val="18"/>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Tuck Lye Koh</w:t>
            </w:r>
          </w:p>
        </w:tc>
      </w:tr>
      <w:tr>
        <w:trPr>
          <w:trHeight w:val="230"/>
        </w:trPr>
        <w:tc>
          <w:tcPr>
            <w:tcW w:w="4520" w:type="dxa"/>
            <w:vAlign w:val="bottom"/>
          </w:tcPr>
          <w:p>
            <w:pPr>
              <w:spacing w:after="0"/>
              <w:rPr>
                <w:sz w:val="20"/>
                <w:szCs w:val="20"/>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Astrend Opportunity III Alpha Limited</w:t>
            </w:r>
          </w:p>
        </w:tc>
        <w:tc>
          <w:tcPr>
            <w:tcW w:w="1640" w:type="dxa"/>
            <w:vAlign w:val="bottom"/>
          </w:tcPr>
          <w:p>
            <w:pPr>
              <w:ind w:left="1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Tuck Lye Koh</w:t>
            </w:r>
          </w:p>
        </w:tc>
      </w:tr>
      <w:tr>
        <w:trPr>
          <w:trHeight w:val="209"/>
        </w:trPr>
        <w:tc>
          <w:tcPr>
            <w:tcW w:w="4520" w:type="dxa"/>
            <w:vAlign w:val="bottom"/>
          </w:tcPr>
          <w:p>
            <w:pPr>
              <w:spacing w:after="0"/>
              <w:rPr>
                <w:sz w:val="18"/>
                <w:szCs w:val="18"/>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Tuck Lye Koh</w:t>
            </w:r>
          </w:p>
        </w:tc>
      </w:tr>
      <w:tr>
        <w:trPr>
          <w:trHeight w:val="230"/>
        </w:trPr>
        <w:tc>
          <w:tcPr>
            <w:tcW w:w="4520" w:type="dxa"/>
            <w:vAlign w:val="bottom"/>
          </w:tcPr>
          <w:p>
            <w:pPr>
              <w:spacing w:after="0"/>
              <w:rPr>
                <w:sz w:val="20"/>
                <w:szCs w:val="20"/>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Shunwei China Internet Opportunity Fund III, L.P.</w:t>
            </w:r>
          </w:p>
        </w:tc>
        <w:tc>
          <w:tcPr>
            <w:tcW w:w="1640" w:type="dxa"/>
            <w:vAlign w:val="bottom"/>
          </w:tcPr>
          <w:p>
            <w:pPr>
              <w:ind w:left="1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Tuck Lye Koh</w:t>
            </w:r>
          </w:p>
        </w:tc>
      </w:tr>
      <w:tr>
        <w:trPr>
          <w:trHeight w:val="209"/>
        </w:trPr>
        <w:tc>
          <w:tcPr>
            <w:tcW w:w="4520" w:type="dxa"/>
            <w:vAlign w:val="bottom"/>
          </w:tcPr>
          <w:p>
            <w:pPr>
              <w:spacing w:after="0"/>
              <w:rPr>
                <w:sz w:val="18"/>
                <w:szCs w:val="18"/>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Tuck Lye Koh</w:t>
            </w:r>
          </w:p>
        </w:tc>
      </w:tr>
      <w:tr>
        <w:trPr>
          <w:trHeight w:val="230"/>
        </w:trPr>
        <w:tc>
          <w:tcPr>
            <w:tcW w:w="4520" w:type="dxa"/>
            <w:vAlign w:val="bottom"/>
          </w:tcPr>
          <w:p>
            <w:pPr>
              <w:spacing w:after="0"/>
              <w:rPr>
                <w:sz w:val="20"/>
                <w:szCs w:val="20"/>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Shunwei Capital Partners IV GP, L.P.</w:t>
            </w:r>
          </w:p>
        </w:tc>
        <w:tc>
          <w:tcPr>
            <w:tcW w:w="1640" w:type="dxa"/>
            <w:vAlign w:val="bottom"/>
          </w:tcPr>
          <w:p>
            <w:pPr>
              <w:ind w:left="1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Tuck Lye Koh</w:t>
            </w:r>
          </w:p>
        </w:tc>
      </w:tr>
      <w:tr>
        <w:trPr>
          <w:trHeight w:val="209"/>
        </w:trPr>
        <w:tc>
          <w:tcPr>
            <w:tcW w:w="4520" w:type="dxa"/>
            <w:vAlign w:val="bottom"/>
          </w:tcPr>
          <w:p>
            <w:pPr>
              <w:spacing w:after="0"/>
              <w:rPr>
                <w:sz w:val="18"/>
                <w:szCs w:val="18"/>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Tuck Lye Koh</w:t>
            </w:r>
          </w:p>
        </w:tc>
      </w:tr>
      <w:tr>
        <w:trPr>
          <w:trHeight w:val="230"/>
        </w:trPr>
        <w:tc>
          <w:tcPr>
            <w:tcW w:w="4520" w:type="dxa"/>
            <w:vAlign w:val="bottom"/>
          </w:tcPr>
          <w:p>
            <w:pPr>
              <w:spacing w:after="0"/>
              <w:rPr>
                <w:sz w:val="20"/>
                <w:szCs w:val="20"/>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Authorized Representative</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Shunwei Capital Partners IV GP Limited</w:t>
            </w:r>
          </w:p>
        </w:tc>
        <w:tc>
          <w:tcPr>
            <w:tcW w:w="1640" w:type="dxa"/>
            <w:vAlign w:val="bottom"/>
          </w:tcPr>
          <w:p>
            <w:pPr>
              <w:ind w:left="1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Tuck Lye Koh</w:t>
            </w:r>
          </w:p>
        </w:tc>
      </w:tr>
      <w:tr>
        <w:trPr>
          <w:trHeight w:val="209"/>
        </w:trPr>
        <w:tc>
          <w:tcPr>
            <w:tcW w:w="4520" w:type="dxa"/>
            <w:vAlign w:val="bottom"/>
          </w:tcPr>
          <w:p>
            <w:pPr>
              <w:spacing w:after="0"/>
              <w:rPr>
                <w:sz w:val="18"/>
                <w:szCs w:val="18"/>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Tuck Lye Koh</w:t>
            </w:r>
          </w:p>
        </w:tc>
      </w:tr>
      <w:tr>
        <w:trPr>
          <w:trHeight w:val="230"/>
        </w:trPr>
        <w:tc>
          <w:tcPr>
            <w:tcW w:w="4520" w:type="dxa"/>
            <w:vAlign w:val="bottom"/>
          </w:tcPr>
          <w:p>
            <w:pPr>
              <w:spacing w:after="0"/>
              <w:rPr>
                <w:sz w:val="20"/>
                <w:szCs w:val="20"/>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Silver Unicorn Ventures Limited</w:t>
            </w:r>
          </w:p>
        </w:tc>
        <w:tc>
          <w:tcPr>
            <w:tcW w:w="1640" w:type="dxa"/>
            <w:vAlign w:val="bottom"/>
          </w:tcPr>
          <w:p>
            <w:pPr>
              <w:ind w:left="1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Tuck Lye Koh</w:t>
            </w:r>
          </w:p>
        </w:tc>
      </w:tr>
      <w:tr>
        <w:trPr>
          <w:trHeight w:val="209"/>
        </w:trPr>
        <w:tc>
          <w:tcPr>
            <w:tcW w:w="4520" w:type="dxa"/>
            <w:vAlign w:val="bottom"/>
          </w:tcPr>
          <w:p>
            <w:pPr>
              <w:spacing w:after="0"/>
              <w:rPr>
                <w:sz w:val="18"/>
                <w:szCs w:val="18"/>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Tuck Lye Koh</w:t>
            </w:r>
          </w:p>
        </w:tc>
      </w:tr>
      <w:tr>
        <w:trPr>
          <w:trHeight w:val="230"/>
        </w:trPr>
        <w:tc>
          <w:tcPr>
            <w:tcW w:w="4520" w:type="dxa"/>
            <w:vAlign w:val="bottom"/>
          </w:tcPr>
          <w:p>
            <w:pPr>
              <w:spacing w:after="0"/>
              <w:rPr>
                <w:sz w:val="20"/>
                <w:szCs w:val="20"/>
                <w:color w:val="auto"/>
              </w:rPr>
            </w:pPr>
          </w:p>
        </w:tc>
        <w:tc>
          <w:tcPr>
            <w:tcW w:w="1640" w:type="dxa"/>
            <w:vAlign w:val="bottom"/>
          </w:tcPr>
          <w:p>
            <w:pPr>
              <w:ind w:left="1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Tuck Lye Koh</w:t>
            </w:r>
          </w:p>
        </w:tc>
        <w:tc>
          <w:tcPr>
            <w:tcW w:w="1640" w:type="dxa"/>
            <w:vAlign w:val="bottom"/>
          </w:tcPr>
          <w:p>
            <w:pPr>
              <w:spacing w:after="0"/>
              <w:rPr>
                <w:sz w:val="24"/>
                <w:szCs w:val="24"/>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Tuck Lye Koh</w:t>
            </w:r>
          </w:p>
        </w:tc>
      </w:tr>
      <w:tr>
        <w:trPr>
          <w:trHeight w:val="372"/>
        </w:trPr>
        <w:tc>
          <w:tcPr>
            <w:tcW w:w="4520" w:type="dxa"/>
            <w:vAlign w:val="bottom"/>
          </w:tcPr>
          <w:p>
            <w:pPr>
              <w:spacing w:after="0"/>
              <w:rPr>
                <w:sz w:val="24"/>
                <w:szCs w:val="24"/>
                <w:color w:val="auto"/>
              </w:rPr>
            </w:pPr>
          </w:p>
        </w:tc>
        <w:tc>
          <w:tcPr>
            <w:tcW w:w="1640" w:type="dxa"/>
            <w:vAlign w:val="bottom"/>
          </w:tcPr>
          <w:p>
            <w:pPr>
              <w:ind w:left="900"/>
              <w:spacing w:after="0"/>
              <w:rPr>
                <w:sz w:val="20"/>
                <w:szCs w:val="20"/>
                <w:color w:val="auto"/>
              </w:rPr>
            </w:pPr>
            <w:r>
              <w:rPr>
                <w:rFonts w:ascii="Arial" w:cs="Arial" w:eastAsia="Arial" w:hAnsi="Arial"/>
                <w:sz w:val="18"/>
                <w:szCs w:val="18"/>
                <w:color w:val="auto"/>
              </w:rPr>
              <w:t>17</w:t>
            </w:r>
          </w:p>
        </w:tc>
        <w:tc>
          <w:tcPr>
            <w:tcW w:w="48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lvl w:ilvl="1">
      <w:lvlJc w:val="left"/>
      <w:lvlText w:val="☒"/>
      <w:numFmt w:val="bullet"/>
      <w:start w:val="1"/>
    </w:lvl>
  </w:abstractNum>
  <w:abstractNum w:abstractNumId="2">
    <w:nsid w:val="51EAD36B"/>
    <w:multiLevelType w:val="hybridMultilevel"/>
    <w:lvl w:ilvl="0">
      <w:lvlJc w:val="left"/>
      <w:lvlText w:val="**"/>
      <w:numFmt w:val="bullet"/>
      <w:start w:val="1"/>
    </w:lvl>
    <w:lvl w:ilvl="1">
      <w:lvlJc w:val="left"/>
      <w:lvlText w:val="☒"/>
      <w:numFmt w:val="bullet"/>
      <w:start w:val="1"/>
    </w:lvl>
  </w:abstractNum>
  <w:abstractNum w:abstractNumId="3">
    <w:nsid w:val="2D517796"/>
    <w:multiLevelType w:val="hybridMultilevel"/>
    <w:lvl w:ilvl="0">
      <w:lvlJc w:val="left"/>
      <w:lvlText w:val="1"/>
      <w:numFmt w:val="bullet"/>
      <w:start w:val="1"/>
    </w:lvl>
  </w:abstractNum>
  <w:abstractNum w:abstractNumId="4">
    <w:nsid w:val="580BD78F"/>
    <w:multiLevelType w:val="hybridMultilevel"/>
    <w:lvl w:ilvl="0">
      <w:lvlJc w:val="left"/>
      <w:lvlText w:val="2"/>
      <w:numFmt w:val="bullet"/>
      <w:start w:val="1"/>
    </w:lvl>
  </w:abstractNum>
  <w:abstractNum w:abstractNumId="5">
    <w:nsid w:val="153EA438"/>
    <w:multiLevelType w:val="hybridMultilevel"/>
    <w:lvl w:ilvl="0">
      <w:lvlJc w:val="left"/>
      <w:lvlText w:val="3"/>
      <w:numFmt w:val="bullet"/>
      <w:start w:val="1"/>
    </w:lvl>
  </w:abstractNum>
  <w:abstractNum w:abstractNumId="6">
    <w:nsid w:val="3855585C"/>
    <w:multiLevelType w:val="hybridMultilevel"/>
    <w:lvl w:ilvl="0">
      <w:lvlJc w:val="left"/>
      <w:lvlText w:val="4"/>
      <w:numFmt w:val="bullet"/>
      <w:start w:val="1"/>
    </w:lvl>
  </w:abstractNum>
  <w:abstractNum w:abstractNumId="7">
    <w:nsid w:val="70A64E2A"/>
    <w:multiLevelType w:val="hybridMultilevel"/>
    <w:lvl w:ilvl="0">
      <w:lvlJc w:val="left"/>
      <w:lvlText w:val="9"/>
      <w:numFmt w:val="bullet"/>
      <w:start w:val="1"/>
    </w:lvl>
  </w:abstractNum>
  <w:abstractNum w:abstractNumId="8">
    <w:nsid w:val="6A2342EC"/>
    <w:multiLevelType w:val="hybridMultilevel"/>
    <w:lvl w:ilvl="0">
      <w:lvlJc w:val="left"/>
      <w:lvlText w:val="%1"/>
      <w:numFmt w:val="decimal"/>
      <w:start w:val="1"/>
    </w:lvl>
    <w:lvl w:ilvl="1">
      <w:lvlJc w:val="left"/>
      <w:lvlText w:val="%2"/>
      <w:numFmt w:val="decimal"/>
      <w:start w:val="10"/>
    </w:lvl>
  </w:abstractNum>
  <w:abstractNum w:abstractNumId="9">
    <w:nsid w:val="2A487CB0"/>
    <w:multiLevelType w:val="hybridMultilevel"/>
    <w:lvl w:ilvl="0">
      <w:lvlJc w:val="left"/>
      <w:lvlText w:val="(%1)"/>
      <w:numFmt w:val="decimal"/>
      <w:start w:val="1"/>
    </w:lvl>
    <w:lvl w:ilvl="1">
      <w:lvlJc w:val="left"/>
      <w:lvlText w:val="%2"/>
      <w:numFmt w:val="decimal"/>
      <w:start w:val="1"/>
    </w:lvl>
  </w:abstractNum>
  <w:abstractNum w:abstractNumId="10">
    <w:nsid w:val="1D4ED43B"/>
    <w:multiLevelType w:val="hybridMultilevel"/>
    <w:lvl w:ilvl="0">
      <w:lvlJc w:val="left"/>
      <w:lvlText w:val="1"/>
      <w:numFmt w:val="bullet"/>
      <w:start w:val="1"/>
    </w:lvl>
  </w:abstractNum>
  <w:abstractNum w:abstractNumId="11">
    <w:nsid w:val="725A06FB"/>
    <w:multiLevelType w:val="hybridMultilevel"/>
    <w:lvl w:ilvl="0">
      <w:lvlJc w:val="left"/>
      <w:lvlText w:val="2"/>
      <w:numFmt w:val="bullet"/>
      <w:start w:val="1"/>
    </w:lvl>
  </w:abstractNum>
  <w:abstractNum w:abstractNumId="12">
    <w:nsid w:val="2CD89A32"/>
    <w:multiLevelType w:val="hybridMultilevel"/>
    <w:lvl w:ilvl="0">
      <w:lvlJc w:val="left"/>
      <w:lvlText w:val="3"/>
      <w:numFmt w:val="bullet"/>
      <w:start w:val="1"/>
    </w:lvl>
  </w:abstractNum>
  <w:abstractNum w:abstractNumId="13">
    <w:nsid w:val="57E4CCAF"/>
    <w:multiLevelType w:val="hybridMultilevel"/>
    <w:lvl w:ilvl="0">
      <w:lvlJc w:val="left"/>
      <w:lvlText w:val="4"/>
      <w:numFmt w:val="bullet"/>
      <w:start w:val="1"/>
    </w:lvl>
  </w:abstractNum>
  <w:abstractNum w:abstractNumId="14">
    <w:nsid w:val="7A6D8D3C"/>
    <w:multiLevelType w:val="hybridMultilevel"/>
    <w:lvl w:ilvl="0">
      <w:lvlJc w:val="left"/>
      <w:lvlText w:val="9"/>
      <w:numFmt w:val="bullet"/>
      <w:start w:val="1"/>
    </w:lvl>
  </w:abstractNum>
  <w:abstractNum w:abstractNumId="15">
    <w:nsid w:val="4B588F54"/>
    <w:multiLevelType w:val="hybridMultilevel"/>
    <w:lvl w:ilvl="0">
      <w:lvlJc w:val="left"/>
      <w:lvlText w:val="%1"/>
      <w:numFmt w:val="decimal"/>
      <w:start w:val="1"/>
    </w:lvl>
    <w:lvl w:ilvl="1">
      <w:lvlJc w:val="left"/>
      <w:lvlText w:val="%2"/>
      <w:numFmt w:val="decimal"/>
      <w:start w:val="10"/>
    </w:lvl>
  </w:abstractNum>
  <w:abstractNum w:abstractNumId="16">
    <w:nsid w:val="542289EC"/>
    <w:multiLevelType w:val="hybridMultilevel"/>
    <w:lvl w:ilvl="0">
      <w:lvlJc w:val="left"/>
      <w:lvlText w:val="(%1)"/>
      <w:numFmt w:val="decimal"/>
      <w:start w:val="1"/>
    </w:lvl>
    <w:lvl w:ilvl="1">
      <w:lvlJc w:val="left"/>
      <w:lvlText w:val="%2"/>
      <w:numFmt w:val="decimal"/>
      <w:start w:val="1"/>
    </w:lvl>
  </w:abstractNum>
  <w:abstractNum w:abstractNumId="17">
    <w:nsid w:val="6DE91B18"/>
    <w:multiLevelType w:val="hybridMultilevel"/>
    <w:lvl w:ilvl="0">
      <w:lvlJc w:val="left"/>
      <w:lvlText w:val="1"/>
      <w:numFmt w:val="bullet"/>
      <w:start w:val="1"/>
    </w:lvl>
  </w:abstractNum>
  <w:abstractNum w:abstractNumId="18">
    <w:nsid w:val="38437FDB"/>
    <w:multiLevelType w:val="hybridMultilevel"/>
    <w:lvl w:ilvl="0">
      <w:lvlJc w:val="left"/>
      <w:lvlText w:val="2"/>
      <w:numFmt w:val="bullet"/>
      <w:start w:val="1"/>
    </w:lvl>
  </w:abstractNum>
  <w:abstractNum w:abstractNumId="19">
    <w:nsid w:val="7644A45C"/>
    <w:multiLevelType w:val="hybridMultilevel"/>
    <w:lvl w:ilvl="0">
      <w:lvlJc w:val="left"/>
      <w:lvlText w:val="3"/>
      <w:numFmt w:val="bullet"/>
      <w:start w:val="1"/>
    </w:lvl>
  </w:abstractNum>
  <w:abstractNum w:abstractNumId="20">
    <w:nsid w:val="32FFF902"/>
    <w:multiLevelType w:val="hybridMultilevel"/>
    <w:lvl w:ilvl="0">
      <w:lvlJc w:val="left"/>
      <w:lvlText w:val="4"/>
      <w:numFmt w:val="bullet"/>
      <w:start w:val="1"/>
    </w:lvl>
  </w:abstractNum>
  <w:abstractNum w:abstractNumId="21">
    <w:nsid w:val="684A481A"/>
    <w:multiLevelType w:val="hybridMultilevel"/>
    <w:lvl w:ilvl="0">
      <w:lvlJc w:val="left"/>
      <w:lvlText w:val="9"/>
      <w:numFmt w:val="bullet"/>
      <w:start w:val="1"/>
    </w:lvl>
  </w:abstractNum>
  <w:abstractNum w:abstractNumId="22">
    <w:nsid w:val="579478FE"/>
    <w:multiLevelType w:val="hybridMultilevel"/>
    <w:lvl w:ilvl="0">
      <w:lvlJc w:val="left"/>
      <w:lvlText w:val="%1"/>
      <w:numFmt w:val="decimal"/>
      <w:start w:val="1"/>
    </w:lvl>
    <w:lvl w:ilvl="1">
      <w:lvlJc w:val="left"/>
      <w:lvlText w:val="%2"/>
      <w:numFmt w:val="decimal"/>
      <w:start w:val="10"/>
    </w:lvl>
  </w:abstractNum>
  <w:abstractNum w:abstractNumId="23">
    <w:nsid w:val="749ABB43"/>
    <w:multiLevelType w:val="hybridMultilevel"/>
    <w:lvl w:ilvl="0">
      <w:lvlJc w:val="left"/>
      <w:lvlText w:val="(%1)"/>
      <w:numFmt w:val="decimal"/>
      <w:start w:val="1"/>
    </w:lvl>
    <w:lvl w:ilvl="1">
      <w:lvlJc w:val="left"/>
      <w:lvlText w:val="%2"/>
      <w:numFmt w:val="decimal"/>
      <w:start w:val="1"/>
    </w:lvl>
  </w:abstractNum>
  <w:abstractNum w:abstractNumId="24">
    <w:nsid w:val="3DC240FB"/>
    <w:multiLevelType w:val="hybridMultilevel"/>
    <w:lvl w:ilvl="0">
      <w:lvlJc w:val="left"/>
      <w:lvlText w:val="1"/>
      <w:numFmt w:val="bullet"/>
      <w:start w:val="1"/>
    </w:lvl>
  </w:abstractNum>
  <w:abstractNum w:abstractNumId="25">
    <w:nsid w:val="1BA026FA"/>
    <w:multiLevelType w:val="hybridMultilevel"/>
    <w:lvl w:ilvl="0">
      <w:lvlJc w:val="left"/>
      <w:lvlText w:val="2"/>
      <w:numFmt w:val="bullet"/>
      <w:start w:val="1"/>
    </w:lvl>
  </w:abstractNum>
  <w:abstractNum w:abstractNumId="26">
    <w:nsid w:val="79A1DEAA"/>
    <w:multiLevelType w:val="hybridMultilevel"/>
    <w:lvl w:ilvl="0">
      <w:lvlJc w:val="left"/>
      <w:lvlText w:val="3"/>
      <w:numFmt w:val="bullet"/>
      <w:start w:val="1"/>
    </w:lvl>
  </w:abstractNum>
  <w:abstractNum w:abstractNumId="27">
    <w:nsid w:val="75C6C33A"/>
    <w:multiLevelType w:val="hybridMultilevel"/>
    <w:lvl w:ilvl="0">
      <w:lvlJc w:val="left"/>
      <w:lvlText w:val="4"/>
      <w:numFmt w:val="bullet"/>
      <w:start w:val="1"/>
    </w:lvl>
  </w:abstractNum>
  <w:abstractNum w:abstractNumId="28">
    <w:nsid w:val="12E685FB"/>
    <w:multiLevelType w:val="hybridMultilevel"/>
    <w:lvl w:ilvl="0">
      <w:lvlJc w:val="left"/>
      <w:lvlText w:val="9"/>
      <w:numFmt w:val="bullet"/>
      <w:start w:val="1"/>
    </w:lvl>
  </w:abstractNum>
  <w:abstractNum w:abstractNumId="29">
    <w:nsid w:val="70C6A529"/>
    <w:multiLevelType w:val="hybridMultilevel"/>
    <w:lvl w:ilvl="0">
      <w:lvlJc w:val="left"/>
      <w:lvlText w:val="%1"/>
      <w:numFmt w:val="decimal"/>
      <w:start w:val="1"/>
    </w:lvl>
    <w:lvl w:ilvl="1">
      <w:lvlJc w:val="left"/>
      <w:lvlText w:val="%2"/>
      <w:numFmt w:val="decimal"/>
      <w:start w:val="10"/>
    </w:lvl>
  </w:abstractNum>
  <w:abstractNum w:abstractNumId="30">
    <w:nsid w:val="520EEDD1"/>
    <w:multiLevelType w:val="hybridMultilevel"/>
    <w:lvl w:ilvl="0">
      <w:lvlJc w:val="left"/>
      <w:lvlText w:val="(%1)"/>
      <w:numFmt w:val="decimal"/>
      <w:start w:val="1"/>
    </w:lvl>
    <w:lvl w:ilvl="1">
      <w:lvlJc w:val="left"/>
      <w:lvlText w:val="%2"/>
      <w:numFmt w:val="decimal"/>
      <w:start w:val="1"/>
    </w:lvl>
  </w:abstractNum>
  <w:abstractNum w:abstractNumId="31">
    <w:nsid w:val="374A3FE6"/>
    <w:multiLevelType w:val="hybridMultilevel"/>
    <w:lvl w:ilvl="0">
      <w:lvlJc w:val="left"/>
      <w:lvlText w:val="1"/>
      <w:numFmt w:val="bullet"/>
      <w:start w:val="1"/>
    </w:lvl>
  </w:abstractNum>
  <w:abstractNum w:abstractNumId="32">
    <w:nsid w:val="4F4EF005"/>
    <w:multiLevelType w:val="hybridMultilevel"/>
    <w:lvl w:ilvl="0">
      <w:lvlJc w:val="left"/>
      <w:lvlText w:val="2"/>
      <w:numFmt w:val="bullet"/>
      <w:start w:val="1"/>
    </w:lvl>
  </w:abstractNum>
  <w:abstractNum w:abstractNumId="33">
    <w:nsid w:val="23F9C13C"/>
    <w:multiLevelType w:val="hybridMultilevel"/>
    <w:lvl w:ilvl="0">
      <w:lvlJc w:val="left"/>
      <w:lvlText w:val="3"/>
      <w:numFmt w:val="bullet"/>
      <w:start w:val="1"/>
    </w:lvl>
  </w:abstractNum>
  <w:abstractNum w:abstractNumId="34">
    <w:nsid w:val="649BB77C"/>
    <w:multiLevelType w:val="hybridMultilevel"/>
    <w:lvl w:ilvl="0">
      <w:lvlJc w:val="left"/>
      <w:lvlText w:val="4"/>
      <w:numFmt w:val="bullet"/>
      <w:start w:val="1"/>
    </w:lvl>
  </w:abstractNum>
  <w:abstractNum w:abstractNumId="35">
    <w:nsid w:val="275AC794"/>
    <w:multiLevelType w:val="hybridMultilevel"/>
    <w:lvl w:ilvl="0">
      <w:lvlJc w:val="left"/>
      <w:lvlText w:val="9"/>
      <w:numFmt w:val="bullet"/>
      <w:start w:val="1"/>
    </w:lvl>
  </w:abstractNum>
  <w:abstractNum w:abstractNumId="36">
    <w:nsid w:val="39386575"/>
    <w:multiLevelType w:val="hybridMultilevel"/>
    <w:lvl w:ilvl="0">
      <w:lvlJc w:val="left"/>
      <w:lvlText w:val="%1"/>
      <w:numFmt w:val="decimal"/>
      <w:start w:val="1"/>
    </w:lvl>
    <w:lvl w:ilvl="1">
      <w:lvlJc w:val="left"/>
      <w:lvlText w:val="%2"/>
      <w:numFmt w:val="decimal"/>
      <w:start w:val="10"/>
    </w:lvl>
  </w:abstractNum>
  <w:abstractNum w:abstractNumId="37">
    <w:nsid w:val="1CF10FD8"/>
    <w:multiLevelType w:val="hybridMultilevel"/>
    <w:lvl w:ilvl="0">
      <w:lvlJc w:val="left"/>
      <w:lvlText w:val="(%1)"/>
      <w:numFmt w:val="decimal"/>
      <w:start w:val="1"/>
    </w:lvl>
    <w:lvl w:ilvl="1">
      <w:lvlJc w:val="left"/>
      <w:lvlText w:val="%2"/>
      <w:numFmt w:val="decimal"/>
      <w:start w:val="1"/>
    </w:lvl>
  </w:abstractNum>
  <w:abstractNum w:abstractNumId="38">
    <w:nsid w:val="180115BE"/>
    <w:multiLevelType w:val="hybridMultilevel"/>
    <w:lvl w:ilvl="0">
      <w:lvlJc w:val="left"/>
      <w:lvlText w:val="1"/>
      <w:numFmt w:val="bullet"/>
      <w:start w:val="1"/>
    </w:lvl>
  </w:abstractNum>
  <w:abstractNum w:abstractNumId="39">
    <w:nsid w:val="235BA861"/>
    <w:multiLevelType w:val="hybridMultilevel"/>
    <w:lvl w:ilvl="0">
      <w:lvlJc w:val="left"/>
      <w:lvlText w:val="2"/>
      <w:numFmt w:val="bullet"/>
      <w:start w:val="1"/>
    </w:lvl>
  </w:abstractNum>
  <w:abstractNum w:abstractNumId="40">
    <w:nsid w:val="47398C89"/>
    <w:multiLevelType w:val="hybridMultilevel"/>
    <w:lvl w:ilvl="0">
      <w:lvlJc w:val="left"/>
      <w:lvlText w:val="3"/>
      <w:numFmt w:val="bullet"/>
      <w:start w:val="1"/>
    </w:lvl>
  </w:abstractNum>
  <w:abstractNum w:abstractNumId="41">
    <w:nsid w:val="354FE9F9"/>
    <w:multiLevelType w:val="hybridMultilevel"/>
    <w:lvl w:ilvl="0">
      <w:lvlJc w:val="left"/>
      <w:lvlText w:val="4"/>
      <w:numFmt w:val="bullet"/>
      <w:start w:val="1"/>
    </w:lvl>
  </w:abstractNum>
  <w:abstractNum w:abstractNumId="42">
    <w:nsid w:val="15B5AF5C"/>
    <w:multiLevelType w:val="hybridMultilevel"/>
    <w:lvl w:ilvl="0">
      <w:lvlJc w:val="left"/>
      <w:lvlText w:val="9"/>
      <w:numFmt w:val="bullet"/>
      <w:start w:val="1"/>
    </w:lvl>
  </w:abstractNum>
  <w:abstractNum w:abstractNumId="43">
    <w:nsid w:val="741226BB"/>
    <w:multiLevelType w:val="hybridMultilevel"/>
    <w:lvl w:ilvl="0">
      <w:lvlJc w:val="left"/>
      <w:lvlText w:val="%1"/>
      <w:numFmt w:val="decimal"/>
      <w:start w:val="1"/>
    </w:lvl>
    <w:lvl w:ilvl="1">
      <w:lvlJc w:val="left"/>
      <w:lvlText w:val="%2"/>
      <w:numFmt w:val="decimal"/>
      <w:start w:val="10"/>
    </w:lvl>
  </w:abstractNum>
  <w:abstractNum w:abstractNumId="44">
    <w:nsid w:val="D34B6A8"/>
    <w:multiLevelType w:val="hybridMultilevel"/>
    <w:lvl w:ilvl="0">
      <w:lvlJc w:val="left"/>
      <w:lvlText w:val="(%1)"/>
      <w:numFmt w:val="decimal"/>
      <w:start w:val="1"/>
    </w:lvl>
    <w:lvl w:ilvl="1">
      <w:lvlJc w:val="left"/>
      <w:lvlText w:val="%2"/>
      <w:numFmt w:val="decimal"/>
      <w:start w:val="1"/>
    </w:lvl>
  </w:abstractNum>
  <w:abstractNum w:abstractNumId="45">
    <w:nsid w:val="10233C99"/>
    <w:multiLevelType w:val="hybridMultilevel"/>
    <w:lvl w:ilvl="0">
      <w:lvlJc w:val="left"/>
      <w:lvlText w:val="1"/>
      <w:numFmt w:val="bullet"/>
      <w:start w:val="1"/>
    </w:lvl>
  </w:abstractNum>
  <w:abstractNum w:abstractNumId="46">
    <w:nsid w:val="3F6AB60F"/>
    <w:multiLevelType w:val="hybridMultilevel"/>
    <w:lvl w:ilvl="0">
      <w:lvlJc w:val="left"/>
      <w:lvlText w:val="2"/>
      <w:numFmt w:val="bullet"/>
      <w:start w:val="1"/>
    </w:lvl>
  </w:abstractNum>
  <w:abstractNum w:abstractNumId="47">
    <w:nsid w:val="61574095"/>
    <w:multiLevelType w:val="hybridMultilevel"/>
    <w:lvl w:ilvl="0">
      <w:lvlJc w:val="left"/>
      <w:lvlText w:val="3"/>
      <w:numFmt w:val="bullet"/>
      <w:start w:val="1"/>
    </w:lvl>
  </w:abstractNum>
  <w:abstractNum w:abstractNumId="48">
    <w:nsid w:val="7E0C57B1"/>
    <w:multiLevelType w:val="hybridMultilevel"/>
    <w:lvl w:ilvl="0">
      <w:lvlJc w:val="left"/>
      <w:lvlText w:val="4"/>
      <w:numFmt w:val="bullet"/>
      <w:start w:val="1"/>
    </w:lvl>
  </w:abstractNum>
  <w:abstractNum w:abstractNumId="49">
    <w:nsid w:val="77AE35EB"/>
    <w:multiLevelType w:val="hybridMultilevel"/>
    <w:lvl w:ilvl="0">
      <w:lvlJc w:val="left"/>
      <w:lvlText w:val="9"/>
      <w:numFmt w:val="bullet"/>
      <w:start w:val="1"/>
    </w:lvl>
  </w:abstractNum>
  <w:abstractNum w:abstractNumId="50">
    <w:nsid w:val="579BE4F1"/>
    <w:multiLevelType w:val="hybridMultilevel"/>
    <w:lvl w:ilvl="0">
      <w:lvlJc w:val="left"/>
      <w:lvlText w:val="%1"/>
      <w:numFmt w:val="decimal"/>
      <w:start w:val="1"/>
    </w:lvl>
    <w:lvl w:ilvl="1">
      <w:lvlJc w:val="left"/>
      <w:lvlText w:val="%2"/>
      <w:numFmt w:val="decimal"/>
      <w:start w:val="10"/>
    </w:lvl>
  </w:abstractNum>
  <w:abstractNum w:abstractNumId="51">
    <w:nsid w:val="310C50B3"/>
    <w:multiLevelType w:val="hybridMultilevel"/>
    <w:lvl w:ilvl="0">
      <w:lvlJc w:val="left"/>
      <w:lvlText w:val="(%1)"/>
      <w:numFmt w:val="decimal"/>
      <w:start w:val="1"/>
    </w:lvl>
    <w:lvl w:ilvl="1">
      <w:lvlJc w:val="left"/>
      <w:lvlText w:val="%2"/>
      <w:numFmt w:val="decimal"/>
      <w:start w:val="1"/>
    </w:lvl>
  </w:abstractNum>
  <w:abstractNum w:abstractNumId="52">
    <w:nsid w:val="5FF87E05"/>
    <w:multiLevelType w:val="hybridMultilevel"/>
    <w:lvl w:ilvl="0">
      <w:lvlJc w:val="left"/>
      <w:lvlText w:val="1"/>
      <w:numFmt w:val="bullet"/>
      <w:start w:val="1"/>
    </w:lvl>
  </w:abstractNum>
  <w:abstractNum w:abstractNumId="53">
    <w:nsid w:val="2F305DEF"/>
    <w:multiLevelType w:val="hybridMultilevel"/>
    <w:lvl w:ilvl="0">
      <w:lvlJc w:val="left"/>
      <w:lvlText w:val="2"/>
      <w:numFmt w:val="bullet"/>
      <w:start w:val="1"/>
    </w:lvl>
  </w:abstractNum>
  <w:abstractNum w:abstractNumId="54">
    <w:nsid w:val="25A70BF7"/>
    <w:multiLevelType w:val="hybridMultilevel"/>
    <w:lvl w:ilvl="0">
      <w:lvlJc w:val="left"/>
      <w:lvlText w:val="3"/>
      <w:numFmt w:val="bullet"/>
      <w:start w:val="1"/>
    </w:lvl>
  </w:abstractNum>
  <w:abstractNum w:abstractNumId="55">
    <w:nsid w:val="1DBABF00"/>
    <w:multiLevelType w:val="hybridMultilevel"/>
    <w:lvl w:ilvl="0">
      <w:lvlJc w:val="left"/>
      <w:lvlText w:val="4"/>
      <w:numFmt w:val="bullet"/>
      <w:start w:val="1"/>
    </w:lvl>
  </w:abstractNum>
  <w:abstractNum w:abstractNumId="56">
    <w:nsid w:val="4AD084E9"/>
    <w:multiLevelType w:val="hybridMultilevel"/>
    <w:lvl w:ilvl="0">
      <w:lvlJc w:val="left"/>
      <w:lvlText w:val="9"/>
      <w:numFmt w:val="bullet"/>
      <w:start w:val="1"/>
    </w:lvl>
  </w:abstractNum>
  <w:abstractNum w:abstractNumId="57">
    <w:nsid w:val="1F48EAA1"/>
    <w:multiLevelType w:val="hybridMultilevel"/>
    <w:lvl w:ilvl="0">
      <w:lvlJc w:val="left"/>
      <w:lvlText w:val="%1"/>
      <w:numFmt w:val="decimal"/>
      <w:start w:val="1"/>
    </w:lvl>
    <w:lvl w:ilvl="1">
      <w:lvlJc w:val="left"/>
      <w:lvlText w:val="%2"/>
      <w:numFmt w:val="decimal"/>
      <w:start w:val="10"/>
    </w:lvl>
  </w:abstractNum>
  <w:abstractNum w:abstractNumId="58">
    <w:nsid w:val="1381823A"/>
    <w:multiLevelType w:val="hybridMultilevel"/>
    <w:lvl w:ilvl="0">
      <w:lvlJc w:val="left"/>
      <w:lvlText w:val="(%1)"/>
      <w:numFmt w:val="decimal"/>
      <w:start w:val="1"/>
    </w:lvl>
    <w:lvl w:ilvl="1">
      <w:lvlJc w:val="left"/>
      <w:lvlText w:val="%2"/>
      <w:numFmt w:val="decimal"/>
      <w:start w:val="1"/>
    </w:lvl>
  </w:abstractNum>
  <w:abstractNum w:abstractNumId="59">
    <w:nsid w:val="5DB70AE5"/>
    <w:multiLevelType w:val="hybridMultilevel"/>
    <w:lvl w:ilvl="0">
      <w:lvlJc w:val="left"/>
      <w:lvlText w:val="1"/>
      <w:numFmt w:val="bullet"/>
      <w:start w:val="1"/>
    </w:lvl>
  </w:abstractNum>
  <w:abstractNum w:abstractNumId="60">
    <w:nsid w:val="100F8FCA"/>
    <w:multiLevelType w:val="hybridMultilevel"/>
    <w:lvl w:ilvl="0">
      <w:lvlJc w:val="left"/>
      <w:lvlText w:val="2"/>
      <w:numFmt w:val="bullet"/>
      <w:start w:val="1"/>
    </w:lvl>
  </w:abstractNum>
  <w:abstractNum w:abstractNumId="61">
    <w:nsid w:val="6590700B"/>
    <w:multiLevelType w:val="hybridMultilevel"/>
    <w:lvl w:ilvl="0">
      <w:lvlJc w:val="left"/>
      <w:lvlText w:val="3"/>
      <w:numFmt w:val="bullet"/>
      <w:start w:val="1"/>
    </w:lvl>
  </w:abstractNum>
  <w:abstractNum w:abstractNumId="62">
    <w:nsid w:val="15014ACB"/>
    <w:multiLevelType w:val="hybridMultilevel"/>
    <w:lvl w:ilvl="0">
      <w:lvlJc w:val="left"/>
      <w:lvlText w:val="4"/>
      <w:numFmt w:val="bullet"/>
      <w:start w:val="1"/>
    </w:lvl>
  </w:abstractNum>
  <w:abstractNum w:abstractNumId="63">
    <w:nsid w:val="5F5E7FD0"/>
    <w:multiLevelType w:val="hybridMultilevel"/>
    <w:lvl w:ilvl="0">
      <w:lvlJc w:val="left"/>
      <w:lvlText w:val="9"/>
      <w:numFmt w:val="bullet"/>
      <w:start w:val="1"/>
    </w:lvl>
  </w:abstractNum>
  <w:abstractNum w:abstractNumId="64">
    <w:nsid w:val="98A3148"/>
    <w:multiLevelType w:val="hybridMultilevel"/>
    <w:lvl w:ilvl="0">
      <w:lvlJc w:val="left"/>
      <w:lvlText w:val="%1"/>
      <w:numFmt w:val="decimal"/>
      <w:start w:val="1"/>
    </w:lvl>
    <w:lvl w:ilvl="1">
      <w:lvlJc w:val="left"/>
      <w:lvlText w:val="%2"/>
      <w:numFmt w:val="decimal"/>
      <w:start w:val="10"/>
    </w:lvl>
  </w:abstractNum>
  <w:abstractNum w:abstractNumId="65">
    <w:nsid w:val="799D0247"/>
    <w:multiLevelType w:val="hybridMultilevel"/>
    <w:lvl w:ilvl="0">
      <w:lvlJc w:val="left"/>
      <w:lvlText w:val="(%1)"/>
      <w:numFmt w:val="decimal"/>
      <w:start w:val="1"/>
    </w:lvl>
    <w:lvl w:ilvl="1">
      <w:lvlJc w:val="left"/>
      <w:lvlText w:val="%2"/>
      <w:numFmt w:val="decimal"/>
      <w:start w:val="1"/>
    </w:lvl>
  </w:abstractNum>
  <w:abstractNum w:abstractNumId="66">
    <w:nsid w:val="6B94764"/>
    <w:multiLevelType w:val="hybridMultilevel"/>
    <w:lvl w:ilvl="0">
      <w:lvlJc w:val="left"/>
      <w:lvlText w:val="1"/>
      <w:numFmt w:val="bullet"/>
      <w:start w:val="1"/>
    </w:lvl>
  </w:abstractNum>
  <w:abstractNum w:abstractNumId="67">
    <w:nsid w:val="42C296BD"/>
    <w:multiLevelType w:val="hybridMultilevel"/>
    <w:lvl w:ilvl="0">
      <w:lvlJc w:val="left"/>
      <w:lvlText w:val="2"/>
      <w:numFmt w:val="bullet"/>
      <w:start w:val="1"/>
    </w:lvl>
  </w:abstractNum>
  <w:abstractNum w:abstractNumId="68">
    <w:nsid w:val="168E121F"/>
    <w:multiLevelType w:val="hybridMultilevel"/>
    <w:lvl w:ilvl="0">
      <w:lvlJc w:val="left"/>
      <w:lvlText w:val="3"/>
      <w:numFmt w:val="bullet"/>
      <w:start w:val="1"/>
    </w:lvl>
  </w:abstractNum>
  <w:abstractNum w:abstractNumId="69">
    <w:nsid w:val="1EBA5D23"/>
    <w:multiLevelType w:val="hybridMultilevel"/>
    <w:lvl w:ilvl="0">
      <w:lvlJc w:val="left"/>
      <w:lvlText w:val="4"/>
      <w:numFmt w:val="bullet"/>
      <w:start w:val="1"/>
    </w:lvl>
  </w:abstractNum>
  <w:abstractNum w:abstractNumId="70">
    <w:nsid w:val="661E3F1E"/>
    <w:multiLevelType w:val="hybridMultilevel"/>
    <w:lvl w:ilvl="0">
      <w:lvlJc w:val="left"/>
      <w:lvlText w:val="9"/>
      <w:numFmt w:val="bullet"/>
      <w:start w:val="1"/>
    </w:lvl>
  </w:abstractNum>
  <w:abstractNum w:abstractNumId="71">
    <w:nsid w:val="5DC79EA8"/>
    <w:multiLevelType w:val="hybridMultilevel"/>
    <w:lvl w:ilvl="0">
      <w:lvlJc w:val="left"/>
      <w:lvlText w:val="%1"/>
      <w:numFmt w:val="decimal"/>
      <w:start w:val="1"/>
    </w:lvl>
    <w:lvl w:ilvl="1">
      <w:lvlJc w:val="left"/>
      <w:lvlText w:val="%2"/>
      <w:numFmt w:val="decimal"/>
      <w:start w:val="10"/>
    </w:lvl>
  </w:abstractNum>
  <w:abstractNum w:abstractNumId="72">
    <w:nsid w:val="540A471C"/>
    <w:multiLevelType w:val="hybridMultilevel"/>
    <w:lvl w:ilvl="0">
      <w:lvlJc w:val="left"/>
      <w:lvlText w:val="(%1)"/>
      <w:numFmt w:val="decimal"/>
      <w:start w:val="1"/>
    </w:lvl>
    <w:lvl w:ilvl="1">
      <w:lvlJc w:val="left"/>
      <w:lvlText w:val="%2"/>
      <w:numFmt w:val="decimal"/>
      <w:start w:val="1"/>
    </w:lvl>
  </w:abstractNum>
  <w:abstractNum w:abstractNumId="73">
    <w:nsid w:val="7BD3EE7B"/>
    <w:multiLevelType w:val="hybridMultilevel"/>
    <w:lvl w:ilvl="0">
      <w:lvlJc w:val="left"/>
      <w:lvlText w:val="(%1)"/>
      <w:numFmt w:val="lowerRoman"/>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2022-02-14T05:39:33Z</dcterms:created>
  <dcterms:modified xsi:type="dcterms:W3CDTF">2022-02-14T05:39:33Z</dcterms:modified>
</cp:coreProperties>
</file>