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i-20260814.htm"/>
      <w:bookmarkStart w:id="1" w:name="ksapi20260814"/>
      <w:bookmarkEnd w:id="0"/>
      <w:bookmarkEnd w:id="1"/>
      <w:r>
        <w:rPr/>
        <w:t> </w:t>
      </w:r>
    </w:p>
    <w:p>
      <w:pPr>
        <w:pStyle w:val="TextBody"/>
        <w:pBdr>
          <w:top w:val="single" w:sz="6"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 the month of August 2026</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Commission File Number: 001-39340</w:t>
      </w:r>
    </w:p>
    <w:p>
      <w:pPr>
        <w:pStyle w:val="TextBody"/>
        <w:pBdr>
          <w:bottom w:val="single" w:sz="8" w:space="1" w:color="000000"/>
        </w:pBdr>
        <w:bidi w:val="0"/>
        <w:spacing w:before="240" w:after="283"/>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AGORA, INC.</w:t>
      </w:r>
      <w:r>
        <w:rPr>
          <w:rFonts w:ascii="Times New Roman" w:hAnsi="Times New Roman"/>
          <w:color w:val="000000"/>
          <w:sz w:val="20"/>
        </w:rPr>
        <w:t xml:space="preserve"> </w:t>
      </w:r>
    </w:p>
    <w:p>
      <w:pPr>
        <w:pStyle w:val="TextBody"/>
        <w:pBdr>
          <w:bottom w:val="single" w:sz="8" w:space="1" w:color="000000"/>
        </w:pBdr>
        <w:bidi w:val="0"/>
        <w:spacing w:before="240" w:after="283"/>
        <w:jc w:val="center"/>
        <w:rPr>
          <w:rFonts w:ascii="Times New Roman" w:hAnsi="Times New Roman"/>
          <w:sz w:val="20"/>
        </w:rPr>
      </w:pPr>
      <w:r>
        <w:rPr>
          <w:rFonts w:ascii="Times New Roman" w:hAnsi="Times New Roman"/>
          <w:color w:val="000000"/>
          <w:sz w:val="24"/>
        </w:rPr>
        <w:t>(Translation of registrant’s name into English)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2804 Mission College Blvd,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Santa Clara, California 95054,</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sz w:val="20"/>
        </w:rPr>
      </w:pPr>
      <w:r>
        <w:rPr>
          <w:rFonts w:ascii="Times New Roman" w:hAnsi="Times New Roman"/>
          <w:b/>
          <w:color w:val="000000"/>
          <w:sz w:val="16"/>
        </w:rPr>
        <w:t>(Address of principal executive office)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pBdr>
          <w:top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2237" w:type="dxa"/>
        <w:jc w:val="left"/>
        <w:tblInd w:w="0" w:type="dxa"/>
        <w:tblLayout w:type="fixed"/>
        <w:tblCellMar>
          <w:top w:w="28" w:type="dxa"/>
          <w:left w:w="28" w:type="dxa"/>
          <w:bottom w:w="28" w:type="dxa"/>
          <w:right w:w="28" w:type="dxa"/>
        </w:tblCellMar>
      </w:tblPr>
      <w:tblGrid>
        <w:gridCol w:w="931"/>
        <w:gridCol w:w="1306"/>
      </w:tblGrid>
      <w:tr>
        <w:trPr/>
        <w:tc>
          <w:tcPr>
            <w:tcW w:w="93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pBdr>
                <w:bottom w:val="single" w:sz="4" w:space="1" w:color="000000"/>
              </w:pBdr>
              <w:bidi w:val="0"/>
              <w:spacing w:before="0" w:after="283"/>
              <w:ind w:left="0" w:right="0" w:firstLine="180"/>
              <w:jc w:val="center"/>
              <w:rPr>
                <w:rFonts w:ascii="Times New Roman" w:hAnsi="Times New Roman"/>
                <w:b/>
                <w:color w:val="000000"/>
                <w:sz w:val="20"/>
              </w:rPr>
            </w:pPr>
            <w:r>
              <w:rPr>
                <w:rFonts w:ascii="Times New Roman" w:hAnsi="Times New Roman"/>
                <w:b/>
                <w:color w:val="000000"/>
                <w:sz w:val="20"/>
              </w:rPr>
              <w:t>Exhibit</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0" w:after="283"/>
              <w:ind w:left="0" w:right="0" w:firstLine="180"/>
              <w:jc w:val="left"/>
              <w:rPr>
                <w:rFonts w:ascii="Times New Roman" w:hAnsi="Times New Roman"/>
                <w:b/>
                <w:color w:val="000000"/>
                <w:sz w:val="20"/>
              </w:rPr>
            </w:pPr>
            <w:r>
              <w:rPr>
                <w:rFonts w:ascii="Times New Roman" w:hAnsi="Times New Roman"/>
                <w:b/>
                <w:color w:val="000000"/>
                <w:sz w:val="20"/>
              </w:rPr>
              <w:t>Description</w:t>
            </w:r>
          </w:p>
        </w:tc>
      </w:tr>
    </w:tbl>
    <w:tbl>
      <w:tblPr>
        <w:tblW w:w="2210" w:type="dxa"/>
        <w:jc w:val="left"/>
        <w:tblInd w:w="0" w:type="dxa"/>
        <w:tblLayout w:type="fixed"/>
        <w:tblCellMar>
          <w:top w:w="28" w:type="dxa"/>
          <w:left w:w="28" w:type="dxa"/>
          <w:bottom w:w="28" w:type="dxa"/>
          <w:right w:w="28" w:type="dxa"/>
        </w:tblCellMar>
      </w:tblPr>
      <w:tblGrid>
        <w:gridCol w:w="625"/>
        <w:gridCol w:w="1585"/>
      </w:tblGrid>
      <w:tr>
        <w:trPr/>
        <w:tc>
          <w:tcPr>
            <w:tcW w:w="62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625" w:type="dxa"/>
            <w:tcBorders/>
            <w:tcMar>
              <w:top w:w="0" w:type="dxa"/>
              <w:left w:w="0" w:type="dxa"/>
              <w:bottom w:w="0" w:type="dxa"/>
              <w:right w:w="0" w:type="dxa"/>
            </w:tcMar>
            <w:vAlign w:val="center"/>
          </w:tcPr>
          <w:p>
            <w:pPr>
              <w:pStyle w:val="TableContents"/>
              <w:bidi w:val="0"/>
              <w:spacing w:before="0" w:after="283"/>
              <w:ind w:left="0" w:right="0" w:firstLine="144"/>
              <w:jc w:val="center"/>
              <w:rPr/>
            </w:pPr>
            <w:hyperlink w:anchor="api-ex99_1.htm">
              <w:r>
                <w:rPr>
                  <w:rStyle w:val="InternetLink"/>
                  <w:rFonts w:ascii="Times New Roman" w:hAnsi="Times New Roman"/>
                  <w:color w:val="0000FF"/>
                  <w:sz w:val="20"/>
                  <w:u w:val="single"/>
                </w:rPr>
                <w:t>99.1</w:t>
              </w:r>
            </w:hyperlink>
          </w:p>
        </w:tc>
        <w:tc>
          <w:tcPr>
            <w:tcW w:w="158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api-ex99_1.htm">
              <w:r>
                <w:rPr>
                  <w:rStyle w:val="InternetLink"/>
                  <w:rFonts w:ascii="Times New Roman" w:hAnsi="Times New Roman"/>
                  <w:color w:val="0000FF"/>
                  <w:sz w:val="24"/>
                  <w:u w:val="single"/>
                </w:rPr>
                <w:t>Press Release</w:t>
              </w:r>
            </w:hyperlink>
          </w:p>
        </w:tc>
      </w:tr>
    </w:tbl>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thereto duly authorized.</w:t>
      </w:r>
    </w:p>
    <w:p>
      <w:pPr>
        <w:pStyle w:val="TextBody"/>
        <w:bidi w:val="0"/>
        <w:jc w:val="left"/>
        <w:rPr/>
      </w:pPr>
      <w:r>
        <w:rPr/>
        <w:t> </w:t>
      </w:r>
    </w:p>
    <w:tbl>
      <w:tblPr>
        <w:tblW w:w="2657" w:type="dxa"/>
        <w:jc w:val="left"/>
        <w:tblInd w:w="0" w:type="dxa"/>
        <w:tblLayout w:type="fixed"/>
        <w:tblCellMar>
          <w:top w:w="28" w:type="dxa"/>
          <w:left w:w="28" w:type="dxa"/>
          <w:bottom w:w="28" w:type="dxa"/>
          <w:right w:w="28" w:type="dxa"/>
        </w:tblCellMar>
      </w:tblPr>
      <w:tblGrid>
        <w:gridCol w:w="6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6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AGORA, INC.</w:t>
            </w:r>
          </w:p>
        </w:tc>
      </w:tr>
      <w:tr>
        <w:trPr/>
        <w:tc>
          <w:tcPr>
            <w:tcW w:w="26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Jingbo Wang</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Jingbo Wang</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14,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1"/>
        </w:rPr>
      </w:pPr>
      <w:bookmarkStart w:id="2" w:name="api-ex99_1.htm"/>
      <w:bookmarkStart w:id="3" w:name="ksapiex99_1"/>
      <w:bookmarkEnd w:id="2"/>
      <w:bookmarkEnd w:id="3"/>
      <w:r>
        <w:rPr>
          <w:rFonts w:ascii="Arial" w:hAnsi="Arial"/>
          <w:b/>
          <w:color w:val="000000"/>
          <w:sz w:val="21"/>
        </w:rPr>
        <w:t>Agora, Inc. Reports Second Quarter 2026 Financial Results</w:t>
      </w:r>
      <w:r>
        <w:br w:type="page"/>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SANTA CLARA, Calif., August 13, 2026 (GLOBE NEWSWIRE) -- Agora, Inc. (NASDAQ: API) (the “Company”), a pioneer and leader in conversational AI and real-time engagement technology, today announced its unaudited financial results for the second quarter ended June 30, 2026.</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1"/>
        </w:rPr>
        <w:t>We are pleased to report another quarter of accelerating growth, driven by strength across both our real-time engagement and conversational AI businesses, and our seventh consecutive quarter of GAAP profitability,” said Tony Zhao, Founder, Chairman, and CEO of Agora, Inc. “Our voice AI agents are now deployed across an expanding set of use cases—including market surveying, buyer interest capture, and customer service—and we are beginning to see them match or even surpass human performance in an increasing number of tasks. We believe continued improvements in our AI agent solutions will unlock new demand and accelerate the industry shift toward AI-led call center workflows. Looking ahead, we will continue investing in our real-time infrastructure and developer ecosystem for both human-to-human and human-to-AI interactions, while maintaining strong financial discipline.”</w:t>
      </w:r>
    </w:p>
    <w:p>
      <w:pPr>
        <w:pStyle w:val="TextBody"/>
        <w:bidi w:val="0"/>
        <w:jc w:val="both"/>
        <w:rPr/>
      </w:pPr>
      <w:r>
        <w:rPr/>
        <w:t> </w:t>
      </w:r>
    </w:p>
    <w:p>
      <w:pPr>
        <w:pStyle w:val="TextBody"/>
        <w:bidi w:val="0"/>
        <w:jc w:val="both"/>
        <w:rPr>
          <w:rFonts w:ascii="Arial" w:hAnsi="Arial"/>
          <w:b/>
          <w:color w:val="000000"/>
          <w:sz w:val="21"/>
          <w:u w:val="single"/>
        </w:rPr>
      </w:pPr>
      <w:r>
        <w:rPr>
          <w:rFonts w:ascii="Arial" w:hAnsi="Arial"/>
          <w:b/>
          <w:color w:val="000000"/>
          <w:sz w:val="21"/>
          <w:u w:val="single"/>
        </w:rPr>
        <w:t>Second Quarter 2026 Highlights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1"/>
        </w:rPr>
        <w:t xml:space="preserve">Total revenues </w:t>
      </w:r>
      <w:r>
        <w:rPr>
          <w:rFonts w:ascii="Arial" w:hAnsi="Arial"/>
          <w:color w:val="000000"/>
          <w:sz w:val="21"/>
        </w:rPr>
        <w:t>for the quarter were $40.4 million, an increase of 18.0% from $34.3 million in the second quarter of 2025.</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1"/>
        </w:rPr>
        <w:t xml:space="preserve">Active Customers </w:t>
      </w:r>
      <w:r>
        <w:rPr>
          <w:rFonts w:ascii="Arial" w:hAnsi="Arial"/>
          <w:color w:val="000000"/>
          <w:sz w:val="21"/>
        </w:rPr>
        <w:t>as of June 30, 2026 were 3,892, an increase of 0.4% from 3,877 as of June 30, 2025.</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1"/>
        </w:rPr>
        <w:t>Dollar-Based Net Retention Rate</w:t>
      </w:r>
      <w:r>
        <w:rPr>
          <w:color w:val="000000"/>
        </w:rPr>
        <w:t xml:space="preserve"> </w:t>
      </w:r>
      <w:r>
        <w:rPr>
          <w:rFonts w:ascii="Arial" w:hAnsi="Arial"/>
          <w:color w:val="000000"/>
          <w:sz w:val="21"/>
        </w:rPr>
        <w:t>for the quarter was 104%, compared to 94% in the second quarter of 2025.</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1"/>
        </w:rPr>
        <w:t xml:space="preserve">Net income </w:t>
      </w:r>
      <w:r>
        <w:rPr>
          <w:rFonts w:ascii="Arial" w:hAnsi="Arial"/>
          <w:color w:val="000000"/>
          <w:sz w:val="21"/>
        </w:rPr>
        <w:t>for the quarter was $2.2 million, compared to $1.5 million in the second quarter of 2025.</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1"/>
        </w:rPr>
        <w:t>Total cash, cash equivalents, bank deposits and financial products issued by banks</w:t>
      </w:r>
      <w:r>
        <w:rPr>
          <w:color w:val="000000"/>
        </w:rPr>
        <w:t xml:space="preserve"> </w:t>
      </w:r>
      <w:r>
        <w:rPr>
          <w:rFonts w:ascii="Arial" w:hAnsi="Arial"/>
          <w:color w:val="000000"/>
          <w:sz w:val="21"/>
        </w:rPr>
        <w:t>as of June 30, 2026 was $361.7 million.</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1"/>
        </w:rPr>
        <w:t xml:space="preserve">Net cash used in operating activities </w:t>
      </w:r>
      <w:r>
        <w:rPr>
          <w:rFonts w:ascii="Arial" w:hAnsi="Arial"/>
          <w:color w:val="000000"/>
          <w:sz w:val="21"/>
        </w:rPr>
        <w:t>for the quarter was $2.1 million, compared to $0.4 million in the second quarter of 2025.</w:t>
      </w:r>
    </w:p>
    <w:p>
      <w:pPr>
        <w:pStyle w:val="TextBody"/>
        <w:bidi w:val="0"/>
        <w:jc w:val="both"/>
        <w:rPr/>
      </w:pPr>
      <w:r>
        <w:rPr/>
        <w:t> </w:t>
      </w:r>
    </w:p>
    <w:p>
      <w:pPr>
        <w:pStyle w:val="TextBody"/>
        <w:bidi w:val="0"/>
        <w:jc w:val="both"/>
        <w:rPr>
          <w:rFonts w:ascii="Arial" w:hAnsi="Arial"/>
          <w:b/>
          <w:color w:val="000000"/>
          <w:sz w:val="21"/>
          <w:u w:val="single"/>
        </w:rPr>
      </w:pPr>
      <w:r>
        <w:rPr>
          <w:rFonts w:ascii="Arial" w:hAnsi="Arial"/>
          <w:b/>
          <w:color w:val="000000"/>
          <w:sz w:val="21"/>
          <w:u w:val="single"/>
        </w:rPr>
        <w:t>Second Quarter 2026 Financial Results</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Revenues</w:t>
      </w:r>
    </w:p>
    <w:p>
      <w:pPr>
        <w:pStyle w:val="TextBody"/>
        <w:bidi w:val="0"/>
        <w:jc w:val="both"/>
        <w:rPr>
          <w:rFonts w:ascii="Arial" w:hAnsi="Arial"/>
          <w:color w:val="000000"/>
          <w:sz w:val="21"/>
        </w:rPr>
      </w:pPr>
      <w:r>
        <w:rPr>
          <w:rFonts w:ascii="Arial" w:hAnsi="Arial"/>
          <w:color w:val="000000"/>
          <w:sz w:val="21"/>
        </w:rPr>
        <w:t>Total revenues were $40.4 million in the second quarter of 2026, an increase of 18.0% from $34.3 million in the same period last year, primarily due to the continued expansion of our real-time engagement service in sectors such as live shopping and financial service.</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Cost of Revenues</w:t>
      </w:r>
    </w:p>
    <w:p>
      <w:pPr>
        <w:pStyle w:val="TextBody"/>
        <w:bidi w:val="0"/>
        <w:jc w:val="both"/>
        <w:rPr>
          <w:rFonts w:ascii="Arial" w:hAnsi="Arial"/>
          <w:color w:val="000000"/>
          <w:sz w:val="21"/>
        </w:rPr>
      </w:pPr>
      <w:r>
        <w:rPr>
          <w:rFonts w:ascii="Arial" w:hAnsi="Arial"/>
          <w:color w:val="000000"/>
          <w:sz w:val="21"/>
        </w:rPr>
        <w:t>Cost of revenues was $14.7 million in the second quarter of 2026, an increase of 28.9% from $11.4 million in the same period last year, primarily due to increases in bandwidth and server costs and costs related to conversational AI products.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b/>
          <w:color w:val="000000"/>
          <w:sz w:val="21"/>
        </w:rPr>
      </w:pPr>
      <w:r>
        <w:rPr>
          <w:rFonts w:ascii="Arial" w:hAnsi="Arial"/>
          <w:b/>
          <w:color w:val="000000"/>
          <w:sz w:val="21"/>
        </w:rPr>
        <w:t>Gross Profit and Gross Margin</w:t>
      </w:r>
    </w:p>
    <w:p>
      <w:pPr>
        <w:pStyle w:val="TextBody"/>
        <w:bidi w:val="0"/>
        <w:jc w:val="both"/>
        <w:rPr>
          <w:rFonts w:ascii="Arial" w:hAnsi="Arial"/>
          <w:color w:val="000000"/>
          <w:sz w:val="21"/>
        </w:rPr>
      </w:pPr>
      <w:r>
        <w:rPr>
          <w:rFonts w:ascii="Arial" w:hAnsi="Arial"/>
          <w:color w:val="000000"/>
          <w:sz w:val="21"/>
        </w:rPr>
        <w:t>Gross profit was $25.7 million in the second quarter of 2026, an increase of 12.5% from $22.9 million in the same period last year. Gross margin was 63.7% in the second quarter of 2026, compared to 66.8% in the same period last year, mainly due to product mix changes, including conversational AI products remaining at a sub-scale stage.</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Operating Expenses</w:t>
      </w:r>
    </w:p>
    <w:p>
      <w:pPr>
        <w:pStyle w:val="TextBody"/>
        <w:bidi w:val="0"/>
        <w:jc w:val="both"/>
        <w:rPr>
          <w:rFonts w:ascii="Arial" w:hAnsi="Arial"/>
          <w:color w:val="000000"/>
          <w:sz w:val="21"/>
        </w:rPr>
      </w:pPr>
      <w:r>
        <w:rPr>
          <w:rFonts w:ascii="Arial" w:hAnsi="Arial"/>
          <w:color w:val="000000"/>
          <w:sz w:val="21"/>
        </w:rPr>
        <w:t>Operating expenses were $27.3 million in the second quarter of 2026, an increase of 2.8% from $26.5 million in the same period last year.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1"/>
        </w:rPr>
        <w:t>Research and development</w:t>
      </w:r>
      <w:r>
        <w:rPr>
          <w:color w:val="000000"/>
        </w:rPr>
        <w:t xml:space="preserve"> </w:t>
      </w:r>
      <w:r>
        <w:rPr>
          <w:rFonts w:ascii="Arial" w:hAnsi="Arial"/>
          <w:color w:val="000000"/>
          <w:sz w:val="21"/>
        </w:rPr>
        <w:t>expenses were $15.4 million in the second quarter of 2026, an increase of 10.2% from $14.0 million in the same period last year, primarily due to increased investment in conversational AI products.</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1"/>
        </w:rPr>
        <w:t xml:space="preserve">Sales and marketing </w:t>
      </w:r>
      <w:r>
        <w:rPr>
          <w:rFonts w:ascii="Arial" w:hAnsi="Arial"/>
          <w:color w:val="000000"/>
          <w:sz w:val="21"/>
        </w:rPr>
        <w:t>expenses were $6.4 million in the second quarter of 2026, a decrease of 1.5% from $6.5 million in the same period last year, primarily due to disciplined expense management.</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1"/>
        </w:rPr>
        <w:t xml:space="preserve">General and administrative </w:t>
      </w:r>
      <w:r>
        <w:rPr>
          <w:rFonts w:ascii="Arial" w:hAnsi="Arial"/>
          <w:color w:val="000000"/>
          <w:sz w:val="21"/>
        </w:rPr>
        <w:t>expenses were $5.5 million in the second quarter of 2026, a decrease of 9.5% from $6.0 million in the same period last year, primarily due to a decrease in allowance for current expected credit losses, mainly because of improved customer credit conditions and collection outcomes.</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Loss from Operations</w:t>
      </w:r>
    </w:p>
    <w:p>
      <w:pPr>
        <w:pStyle w:val="TextBody"/>
        <w:bidi w:val="0"/>
        <w:jc w:val="both"/>
        <w:rPr>
          <w:rFonts w:ascii="Arial" w:hAnsi="Arial"/>
          <w:color w:val="000000"/>
          <w:sz w:val="21"/>
        </w:rPr>
      </w:pPr>
      <w:r>
        <w:rPr>
          <w:rFonts w:ascii="Arial" w:hAnsi="Arial"/>
          <w:color w:val="000000"/>
          <w:sz w:val="21"/>
        </w:rPr>
        <w:t>Loss from operations was $1.0 million in the second quarter of 2026, compared to $3.1 million in the same period last year.</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Interest Income</w:t>
      </w:r>
    </w:p>
    <w:p>
      <w:pPr>
        <w:pStyle w:val="TextBody"/>
        <w:bidi w:val="0"/>
        <w:jc w:val="both"/>
        <w:rPr>
          <w:rFonts w:ascii="Arial" w:hAnsi="Arial"/>
          <w:color w:val="000000"/>
          <w:sz w:val="21"/>
        </w:rPr>
      </w:pPr>
      <w:r>
        <w:rPr>
          <w:rFonts w:ascii="Arial" w:hAnsi="Arial"/>
          <w:color w:val="000000"/>
          <w:sz w:val="21"/>
        </w:rPr>
        <w:t>Interest income was $3.4 million in the second quarter of 2026, compared to $3.7 million in the same period last year, primarily due to the decrease in the average principal amount.</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Investment (Loss) Income</w:t>
      </w:r>
    </w:p>
    <w:p>
      <w:pPr>
        <w:pStyle w:val="TextBody"/>
        <w:bidi w:val="0"/>
        <w:jc w:val="both"/>
        <w:rPr>
          <w:rFonts w:ascii="Arial" w:hAnsi="Arial"/>
          <w:color w:val="000000"/>
          <w:sz w:val="21"/>
        </w:rPr>
      </w:pPr>
      <w:r>
        <w:rPr>
          <w:rFonts w:ascii="Arial" w:hAnsi="Arial"/>
          <w:color w:val="000000"/>
          <w:sz w:val="21"/>
        </w:rPr>
        <w:t>Investment loss was $0.4 million in the second quarter of 2026, compared to investment income of $0.8 million in the same period last year, primarily due to fair value changes in equity investments.</w:t>
      </w:r>
    </w:p>
    <w:p>
      <w:pPr>
        <w:pStyle w:val="TextBody"/>
        <w:bidi w:val="0"/>
        <w:jc w:val="both"/>
        <w:rPr/>
      </w:pPr>
      <w:r>
        <w:rPr/>
        <w:t> </w:t>
      </w:r>
    </w:p>
    <w:p>
      <w:pPr>
        <w:pStyle w:val="TextBody"/>
        <w:bidi w:val="0"/>
        <w:jc w:val="both"/>
        <w:rPr>
          <w:rFonts w:ascii="Arial" w:hAnsi="Arial"/>
          <w:b/>
          <w:color w:val="000000"/>
          <w:sz w:val="21"/>
        </w:rPr>
      </w:pPr>
      <w:r>
        <w:rPr>
          <w:rFonts w:ascii="Arial" w:hAnsi="Arial"/>
          <w:b/>
          <w:color w:val="000000"/>
          <w:sz w:val="21"/>
        </w:rPr>
        <w:t>Net Income per American Depositary Share Attributable to Ordinary Shareholders</w:t>
      </w:r>
    </w:p>
    <w:p>
      <w:pPr>
        <w:pStyle w:val="TextBody"/>
        <w:bidi w:val="0"/>
        <w:jc w:val="both"/>
        <w:rPr>
          <w:rFonts w:ascii="Times New Roman" w:hAnsi="Times New Roman"/>
          <w:sz w:val="20"/>
        </w:rPr>
      </w:pPr>
      <w:r>
        <w:rPr>
          <w:rFonts w:ascii="Arial" w:hAnsi="Arial"/>
          <w:color w:val="000000"/>
          <w:sz w:val="21"/>
        </w:rPr>
        <w:t>Basic and diluted net income per American Depositary Share (“ADS”) attributable to ordinary shareholders were $0.03 and $0.02, respectively, in the second quarter of 2026, compared to $0.02 and $0.01, respectively, in the same period last year.</w:t>
      </w:r>
      <w:r>
        <w:rPr>
          <w:rFonts w:ascii="Arial" w:hAnsi="Arial"/>
          <w:color w:val="000000"/>
          <w:sz w:val="14"/>
        </w:rPr>
        <w:t>1</w:t>
      </w:r>
    </w:p>
    <w:p>
      <w:pPr>
        <w:pStyle w:val="TextBody"/>
        <w:bidi w:val="0"/>
        <w:jc w:val="both"/>
        <w:rPr/>
      </w:pPr>
      <w:r>
        <w:rPr/>
        <w:t> </w:t>
      </w:r>
    </w:p>
    <w:p>
      <w:pPr>
        <w:pStyle w:val="TextBody"/>
        <w:bidi w:val="0"/>
        <w:jc w:val="both"/>
        <w:rPr>
          <w:rFonts w:ascii="Arial" w:hAnsi="Arial"/>
          <w:b/>
          <w:color w:val="000000"/>
          <w:sz w:val="21"/>
          <w:u w:val="single"/>
        </w:rPr>
      </w:pPr>
      <w:r>
        <w:rPr>
          <w:rFonts w:ascii="Arial" w:hAnsi="Arial"/>
          <w:b/>
          <w:color w:val="000000"/>
          <w:sz w:val="21"/>
          <w:u w:val="single"/>
        </w:rPr>
        <w:t>Share Repurchase Program</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During the three months ended June 30, 2026, the Company repurchased approximately 3.8 million of its Class A ordinary shares (equivalent to approximately 1.0 million ADSs) for approximately US$3.7 million.</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One ADS represents four Class A ordinary shares.</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As of June 30, 2026, the Company had repurchased approximately 178.5 million of its Class A ordinary shares (equivalent to approximately 44.6 million ADSs) for approximately US$159.9 million under the current share repurchase program.</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As of June 30, 2026, the Company had 335.1 million ordinary shares (equivalent to approximately 83.8 million ADSs) outstanding, compared to 449.8 million ordinary shares (equivalent to approximately 112.4 million ADSs) as of the inception of the program.</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The current share repurchase program will expire at the end of February 2027.</w:t>
      </w:r>
    </w:p>
    <w:p>
      <w:pPr>
        <w:pStyle w:val="TextBody"/>
        <w:bidi w:val="0"/>
        <w:jc w:val="both"/>
        <w:rPr/>
      </w:pPr>
      <w:r>
        <w:rPr/>
        <w:t> </w:t>
      </w:r>
    </w:p>
    <w:p>
      <w:pPr>
        <w:pStyle w:val="TextBody"/>
        <w:bidi w:val="0"/>
        <w:jc w:val="both"/>
        <w:rPr>
          <w:rFonts w:ascii="Arial" w:hAnsi="Arial"/>
          <w:b/>
          <w:color w:val="000000"/>
          <w:sz w:val="21"/>
          <w:u w:val="single"/>
        </w:rPr>
      </w:pPr>
      <w:r>
        <w:rPr>
          <w:rFonts w:ascii="Arial" w:hAnsi="Arial"/>
          <w:b/>
          <w:color w:val="000000"/>
          <w:sz w:val="21"/>
          <w:u w:val="single"/>
        </w:rPr>
        <w:t>Financial Outlook</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Based on currently available information, the Company expects total revenues for the third quarter of 2026 to be between $41 million and $42 million, representing year-over-year growth of 15.8% to 18.6%. This outlook reflects the Company's current and preliminary views on the market and operational conditions, which are subject to change.</w:t>
      </w:r>
    </w:p>
    <w:p>
      <w:pPr>
        <w:pStyle w:val="TextBody"/>
        <w:bidi w:val="0"/>
        <w:jc w:val="both"/>
        <w:rPr/>
      </w:pPr>
      <w:r>
        <w:rPr/>
        <w:t> </w:t>
      </w:r>
    </w:p>
    <w:p>
      <w:pPr>
        <w:pStyle w:val="TextBody"/>
        <w:bidi w:val="0"/>
        <w:jc w:val="both"/>
        <w:rPr>
          <w:rFonts w:ascii="Arial" w:hAnsi="Arial"/>
          <w:b/>
          <w:color w:val="000000"/>
          <w:sz w:val="21"/>
          <w:u w:val="single"/>
        </w:rPr>
      </w:pPr>
      <w:r>
        <w:rPr>
          <w:rFonts w:ascii="Arial" w:hAnsi="Arial"/>
          <w:b/>
          <w:color w:val="000000"/>
          <w:sz w:val="21"/>
          <w:u w:val="single"/>
        </w:rPr>
        <w:t>Earnings Call</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The Company will host a conference call to discuss the financial results at 6 p.m. Pacific Time / 9 p.m. Eastern Time on August 13, 2026. Details for the conference call are as follows:</w:t>
      </w:r>
    </w:p>
    <w:p>
      <w:pPr>
        <w:pStyle w:val="TextBody"/>
        <w:bidi w:val="0"/>
        <w:jc w:val="both"/>
        <w:rPr>
          <w:rFonts w:ascii="Arial" w:hAnsi="Arial"/>
          <w:color w:val="000000"/>
          <w:sz w:val="21"/>
        </w:rPr>
      </w:pPr>
      <w:r>
        <w:rPr>
          <w:rFonts w:ascii="Arial" w:hAnsi="Arial"/>
          <w:color w:val="000000"/>
          <w:sz w:val="21"/>
        </w:rPr>
        <w:t>Event title: Agora, Inc. 2Q 2026 Financial Results</w:t>
      </w:r>
    </w:p>
    <w:p>
      <w:pPr>
        <w:pStyle w:val="TextBody"/>
        <w:bidi w:val="0"/>
        <w:jc w:val="both"/>
        <w:rPr>
          <w:rFonts w:ascii="Times New Roman" w:hAnsi="Times New Roman"/>
          <w:sz w:val="20"/>
        </w:rPr>
      </w:pPr>
      <w:r>
        <w:rPr>
          <w:rFonts w:ascii="Arial" w:hAnsi="Arial"/>
          <w:color w:val="000000"/>
          <w:sz w:val="21"/>
        </w:rPr>
        <w:t xml:space="preserve">The call will be available at </w:t>
      </w:r>
      <w:r>
        <w:rPr>
          <w:rFonts w:ascii="Arial" w:hAnsi="Arial"/>
          <w:sz w:val="21"/>
        </w:rPr>
        <w:t>https://edge.media-server.com/mmc/p/vbsrxuhv</w:t>
      </w:r>
    </w:p>
    <w:p>
      <w:pPr>
        <w:pStyle w:val="TextBody"/>
        <w:bidi w:val="0"/>
        <w:jc w:val="both"/>
        <w:rPr>
          <w:rFonts w:ascii="Arial" w:hAnsi="Arial"/>
          <w:color w:val="000000"/>
          <w:sz w:val="21"/>
        </w:rPr>
      </w:pPr>
      <w:r>
        <w:rPr>
          <w:rFonts w:ascii="Arial" w:hAnsi="Arial"/>
          <w:color w:val="000000"/>
          <w:sz w:val="21"/>
        </w:rPr>
        <w:t>Investors who want to hear the call should log on at least 15 minutes prior to the broadcast. Participants may register for the call with the link below.</w:t>
      </w:r>
    </w:p>
    <w:p>
      <w:pPr>
        <w:pStyle w:val="TextBody"/>
        <w:bidi w:val="0"/>
        <w:jc w:val="both"/>
        <w:rPr>
          <w:rFonts w:ascii="Arial" w:hAnsi="Arial"/>
          <w:sz w:val="21"/>
        </w:rPr>
      </w:pPr>
      <w:r>
        <w:rPr>
          <w:rFonts w:ascii="Arial" w:hAnsi="Arial"/>
          <w:sz w:val="21"/>
        </w:rPr>
        <w:t>https://register-conf.media-server.com/register/BI5f0cd7b35b2145edaa88a91c662e14aa</w:t>
      </w:r>
    </w:p>
    <w:p>
      <w:pPr>
        <w:pStyle w:val="TextBody"/>
        <w:bidi w:val="0"/>
        <w:jc w:val="both"/>
        <w:rPr>
          <w:rFonts w:ascii="Arial" w:hAnsi="Arial"/>
          <w:color w:val="000000"/>
          <w:sz w:val="21"/>
        </w:rPr>
      </w:pPr>
      <w:r>
        <w:rPr>
          <w:rFonts w:ascii="Arial" w:hAnsi="Arial"/>
          <w:color w:val="000000"/>
          <w:sz w:val="21"/>
        </w:rPr>
        <w:t>Please visit the Company's investor relations website at https://investor.agora.io on August 13, 2026 to view the earnings release and accompanying slides prior to the conference call.</w:t>
      </w:r>
    </w:p>
    <w:p>
      <w:pPr>
        <w:pStyle w:val="TextBody"/>
        <w:bidi w:val="0"/>
        <w:jc w:val="both"/>
        <w:rPr/>
      </w:pPr>
      <w:r>
        <w:rPr/>
        <w:t> </w:t>
      </w:r>
    </w:p>
    <w:p>
      <w:pPr>
        <w:pStyle w:val="TextBody"/>
        <w:bidi w:val="0"/>
        <w:jc w:val="both"/>
        <w:rPr>
          <w:rFonts w:ascii="Arial" w:hAnsi="Arial"/>
          <w:b/>
          <w:color w:val="000000"/>
          <w:sz w:val="21"/>
          <w:u w:val="single"/>
        </w:rPr>
      </w:pPr>
      <w:r>
        <w:rPr>
          <w:rFonts w:ascii="Arial" w:hAnsi="Arial"/>
          <w:b/>
          <w:color w:val="000000"/>
          <w:sz w:val="21"/>
          <w:u w:val="single"/>
        </w:rPr>
        <w:t>Operating Metrics</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The Company also uses other operating metrics included in this press release and defined below to assess the performance of its business.</w:t>
      </w:r>
    </w:p>
    <w:p>
      <w:pPr>
        <w:pStyle w:val="TextBody"/>
        <w:bidi w:val="0"/>
        <w:jc w:val="both"/>
        <w:rPr/>
      </w:pPr>
      <w:r>
        <w:rPr/>
        <w:t> </w:t>
      </w:r>
    </w:p>
    <w:p>
      <w:pPr>
        <w:pStyle w:val="TextBody"/>
        <w:bidi w:val="0"/>
        <w:jc w:val="both"/>
        <w:rPr>
          <w:rFonts w:ascii="Arial" w:hAnsi="Arial"/>
          <w:b/>
          <w:i/>
          <w:color w:val="000000"/>
          <w:sz w:val="21"/>
        </w:rPr>
      </w:pPr>
      <w:r>
        <w:rPr>
          <w:rFonts w:ascii="Arial" w:hAnsi="Arial"/>
          <w:b/>
          <w:i/>
          <w:color w:val="000000"/>
          <w:sz w:val="21"/>
        </w:rPr>
        <w:t>Active Customers</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An active customer at the end of any period is defined as an organization or individual developer from which the Company generated more than $100 of revenue during the preceding 12 months, excluding customers from Easemob. Customers are counted based on unique customer account identifiers. Generally, one software application uses the same customer account identifier throughout its life cycle while one account may be used for multiple applications.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i/>
          <w:color w:val="000000"/>
          <w:sz w:val="21"/>
        </w:rPr>
        <w:t>Dollar-Based Net Retention Rate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Dollar-Based Net Retention Rate is calculated by comparing the quarterly revenue from paying customers, excluding revenue from certain end-of-sale products, in the quarter four quarters prior to the most recent quarter to the quarterly revenue from the same set of customers in the most recent quarter. The Company believes Dollar-Based Net Retention Rate facilitates operating performance comparisons on a period-to-period basis.</w:t>
      </w:r>
    </w:p>
    <w:p>
      <w:pPr>
        <w:pStyle w:val="TextBody"/>
        <w:bidi w:val="0"/>
        <w:jc w:val="both"/>
        <w:rPr/>
      </w:pPr>
      <w:r>
        <w:rPr/>
        <w:t> </w:t>
      </w:r>
    </w:p>
    <w:p>
      <w:pPr>
        <w:pStyle w:val="TextBody"/>
        <w:bidi w:val="0"/>
        <w:jc w:val="both"/>
        <w:rPr>
          <w:rFonts w:ascii="Arial" w:hAnsi="Arial"/>
          <w:b/>
          <w:color w:val="000000"/>
          <w:sz w:val="21"/>
          <w:u w:val="single"/>
        </w:rPr>
      </w:pPr>
      <w:r>
        <w:rPr>
          <w:rFonts w:ascii="Arial" w:hAnsi="Arial"/>
          <w:b/>
          <w:color w:val="000000"/>
          <w:sz w:val="21"/>
          <w:u w:val="single"/>
        </w:rPr>
        <w:t>Safe Harbor Statements</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This press release contains “forward-looking statements” within the meaning of Section 27A of the Securities Act of 1933, as amended, and Section 21E of the Securities Exchange Act of 1934, as amended, and the Private Securities Litigation Reform Act of 1995. All statements other than statements of historical or current fact included in this press release are forward-looking statements, including but not limited to statements regarding the Company's financial outlook, beliefs, and expectations. Forward-looking statements include statements containing words such as “expect,” “anticipate,” “believe,” “project,” “will,” and similar expressions intended to identify forward-looking statements. Among other things, the Financial Outlook in this announcement contains forward-looking statements. These forward-looking statements are based on the Company's current expectations and involve risks and uncertainties. The Company's actual results and the timing of events could differ materially from those anticipated in such forward-looking statements as a result of these risks and uncertainties, which include, without limitation, risks related to the growth of the RTE-PaaS market; the Company's ability to manage its growth and expand its operations; the Company's ability to attract new developers and convert them into customers; the Company's ability to retain existing customers and expand their usage of its platform and products; the Company's ability to drive popularity of existing use cases and enable new use cases, including through quality enhancements and introduction of new products, features, and functionalities; the Company's fluctuating operating results; competition; the effect of broader technological and market trends on the Company's business and prospects; general economic conditions and their impact on customer and end-user demand; and other risks and uncertainties included elsewhere in the Company's filings with the Securities and Exchange Commission (“SEC”), including, without limitation, the Company's annual report on Form 20-F for the year ended December 31, 2025 and other filings with the SEC. You are cautioned not to place undue reliance on these forward-looking statements, which speak only as of the date of this press release. All forward-looking statements are qualified in their entirety by this cautionary statement, and the Company undertakes no obligation to revise or update any forward-looking statements to reflect events or circumstances after the date hereof.</w:t>
      </w:r>
    </w:p>
    <w:p>
      <w:pPr>
        <w:pStyle w:val="TextBody"/>
        <w:bidi w:val="0"/>
        <w:jc w:val="both"/>
        <w:rPr/>
      </w:pPr>
      <w:r>
        <w:rPr/>
        <w:t> </w:t>
      </w:r>
    </w:p>
    <w:p>
      <w:pPr>
        <w:pStyle w:val="TextBody"/>
        <w:bidi w:val="0"/>
        <w:jc w:val="both"/>
        <w:rPr>
          <w:rFonts w:ascii="Arial" w:hAnsi="Arial"/>
          <w:b/>
          <w:color w:val="000000"/>
          <w:sz w:val="21"/>
          <w:u w:val="single"/>
        </w:rPr>
      </w:pPr>
      <w:r>
        <w:rPr>
          <w:rFonts w:ascii="Arial" w:hAnsi="Arial"/>
          <w:b/>
          <w:color w:val="000000"/>
          <w:sz w:val="21"/>
          <w:u w:val="single"/>
        </w:rPr>
        <w:t>About Agora, Inc.</w:t>
      </w:r>
    </w:p>
    <w:p>
      <w:pPr>
        <w:pStyle w:val="TextBody"/>
        <w:bidi w:val="0"/>
        <w:jc w:val="both"/>
        <w:rPr/>
      </w:pPr>
      <w:r>
        <w:rPr/>
        <w:t> </w:t>
      </w:r>
    </w:p>
    <w:p>
      <w:pPr>
        <w:pStyle w:val="TextBody"/>
        <w:bidi w:val="0"/>
        <w:jc w:val="both"/>
        <w:rPr>
          <w:rFonts w:ascii="Arial" w:hAnsi="Arial"/>
          <w:color w:val="0A0A0A"/>
          <w:sz w:val="21"/>
        </w:rPr>
      </w:pPr>
      <w:r>
        <w:rPr>
          <w:rFonts w:ascii="Arial" w:hAnsi="Arial"/>
          <w:color w:val="0A0A0A"/>
          <w:sz w:val="21"/>
        </w:rPr>
        <w:t>Agora, Inc. is the holding company of two independent divisions, under the Agora brand and the Shengwang brand, respectively.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A0A0A"/>
          <w:sz w:val="21"/>
        </w:rPr>
      </w:pPr>
      <w:r>
        <w:rPr>
          <w:rFonts w:ascii="Arial" w:hAnsi="Arial"/>
          <w:color w:val="0A0A0A"/>
          <w:sz w:val="21"/>
        </w:rPr>
        <w:t>Headquartered in Santa Clara, California, Agora is a pioneer and global leader in conversational AI and Real-Time Engagement Platform-as-a-Service (PaaS), providing developers with simple, flexible, and powerful application programming interfaces, or APIs, to embed real-time conversational AI, video, voice, chat, and interactive streaming into their applications.</w:t>
      </w:r>
    </w:p>
    <w:p>
      <w:pPr>
        <w:pStyle w:val="TextBody"/>
        <w:bidi w:val="0"/>
        <w:jc w:val="both"/>
        <w:rPr/>
      </w:pPr>
      <w:r>
        <w:rPr/>
        <w:t> </w:t>
      </w:r>
    </w:p>
    <w:p>
      <w:pPr>
        <w:pStyle w:val="TextBody"/>
        <w:bidi w:val="0"/>
        <w:jc w:val="both"/>
        <w:rPr>
          <w:rFonts w:ascii="Arial" w:hAnsi="Arial"/>
          <w:color w:val="0A0A0A"/>
          <w:sz w:val="21"/>
        </w:rPr>
      </w:pPr>
      <w:r>
        <w:rPr>
          <w:rFonts w:ascii="Arial" w:hAnsi="Arial"/>
          <w:color w:val="0A0A0A"/>
          <w:sz w:val="21"/>
        </w:rPr>
        <w:t>Headquartered in Shanghai, China, Shengwang is a pioneer and leading conversational AI and Real-Time Engagement PaaS provider in the China market.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1"/>
        </w:rPr>
        <w:t xml:space="preserve">For more information on Agora, please visit: </w:t>
      </w:r>
      <w:r>
        <w:rPr>
          <w:rFonts w:ascii="Arial" w:hAnsi="Arial"/>
          <w:i/>
          <w:sz w:val="21"/>
        </w:rPr>
        <w:t>www.agora.io</w:t>
      </w:r>
    </w:p>
    <w:p>
      <w:pPr>
        <w:pStyle w:val="TextBody"/>
        <w:bidi w:val="0"/>
        <w:jc w:val="both"/>
        <w:rPr>
          <w:rFonts w:ascii="Times New Roman" w:hAnsi="Times New Roman"/>
          <w:sz w:val="20"/>
        </w:rPr>
      </w:pPr>
      <w:r>
        <w:rPr>
          <w:rFonts w:ascii="Arial" w:hAnsi="Arial"/>
          <w:color w:val="000000"/>
          <w:sz w:val="21"/>
        </w:rPr>
        <w:t xml:space="preserve">For more information on Shengwang, please visit: </w:t>
      </w:r>
      <w:r>
        <w:rPr>
          <w:rFonts w:ascii="Arial" w:hAnsi="Arial"/>
          <w:i/>
          <w:sz w:val="21"/>
        </w:rPr>
        <w:t>www.shengwang.cn</w:t>
      </w:r>
    </w:p>
    <w:p>
      <w:pPr>
        <w:pStyle w:val="TextBody"/>
        <w:bidi w:val="0"/>
        <w:jc w:val="both"/>
        <w:rPr/>
      </w:pPr>
      <w:r>
        <w:rPr/>
        <w:t> </w:t>
      </w:r>
    </w:p>
    <w:p>
      <w:pPr>
        <w:pStyle w:val="TextBody"/>
        <w:bidi w:val="0"/>
        <w:jc w:val="left"/>
        <w:rPr/>
      </w:pPr>
      <w:r>
        <w:rPr/>
        <w:t> </w:t>
      </w:r>
    </w:p>
    <w:p>
      <w:pPr>
        <w:pStyle w:val="TextBody"/>
        <w:bidi w:val="0"/>
        <w:jc w:val="left"/>
        <w:rPr>
          <w:rFonts w:ascii="Arial" w:hAnsi="Arial"/>
          <w:b/>
          <w:color w:val="000000"/>
          <w:sz w:val="21"/>
          <w:u w:val="single"/>
        </w:rPr>
      </w:pPr>
      <w:r>
        <w:rPr>
          <w:rFonts w:ascii="Arial" w:hAnsi="Arial"/>
          <w:b/>
          <w:color w:val="000000"/>
          <w:sz w:val="21"/>
          <w:u w:val="single"/>
        </w:rPr>
        <w:t>Investor Contact:</w:t>
      </w:r>
    </w:p>
    <w:p>
      <w:pPr>
        <w:pStyle w:val="TextBody"/>
        <w:bidi w:val="0"/>
        <w:jc w:val="left"/>
        <w:rPr>
          <w:rFonts w:ascii="Arial" w:hAnsi="Arial"/>
          <w:sz w:val="21"/>
        </w:rPr>
      </w:pPr>
      <w:r>
        <w:rPr>
          <w:rFonts w:ascii="Arial" w:hAnsi="Arial"/>
          <w:sz w:val="21"/>
        </w:rPr>
        <w:t>investor@agora.io</w:t>
      </w:r>
    </w:p>
    <w:p>
      <w:pPr>
        <w:pStyle w:val="TextBody"/>
        <w:bidi w:val="0"/>
        <w:jc w:val="left"/>
        <w:rPr/>
      </w:pPr>
      <w:r>
        <w:rPr/>
        <w:t> </w:t>
      </w:r>
    </w:p>
    <w:p>
      <w:pPr>
        <w:pStyle w:val="TextBody"/>
        <w:bidi w:val="0"/>
        <w:jc w:val="left"/>
        <w:rPr>
          <w:rFonts w:ascii="Arial" w:hAnsi="Arial"/>
          <w:b/>
          <w:color w:val="000000"/>
          <w:sz w:val="21"/>
          <w:u w:val="single"/>
        </w:rPr>
      </w:pPr>
      <w:r>
        <w:rPr>
          <w:rFonts w:ascii="Arial" w:hAnsi="Arial"/>
          <w:b/>
          <w:color w:val="000000"/>
          <w:sz w:val="21"/>
          <w:u w:val="single"/>
        </w:rPr>
        <w:t>Media Contact:</w:t>
      </w:r>
    </w:p>
    <w:p>
      <w:pPr>
        <w:pStyle w:val="TextBody"/>
        <w:bidi w:val="0"/>
        <w:jc w:val="both"/>
        <w:rPr>
          <w:rFonts w:ascii="Arial" w:hAnsi="Arial"/>
          <w:sz w:val="21"/>
        </w:rPr>
      </w:pPr>
      <w:r>
        <w:rPr>
          <w:rFonts w:ascii="Arial" w:hAnsi="Arial"/>
          <w:sz w:val="21"/>
        </w:rPr>
        <w:t>press@agora.io</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1"/>
        </w:rPr>
      </w:pPr>
      <w:r>
        <w:rPr>
          <w:rFonts w:ascii="Arial" w:hAnsi="Arial"/>
          <w:b/>
          <w:color w:val="000000"/>
          <w:sz w:val="21"/>
        </w:rPr>
        <w:t>Agora, Inc.</w:t>
      </w:r>
    </w:p>
    <w:p>
      <w:pPr>
        <w:pStyle w:val="TextBody"/>
        <w:bidi w:val="0"/>
        <w:jc w:val="both"/>
        <w:rPr>
          <w:rFonts w:ascii="Arial" w:hAnsi="Arial"/>
          <w:b/>
          <w:color w:val="000000"/>
          <w:sz w:val="21"/>
        </w:rPr>
      </w:pPr>
      <w:r>
        <w:rPr>
          <w:rFonts w:ascii="Arial" w:hAnsi="Arial"/>
          <w:b/>
          <w:color w:val="000000"/>
          <w:sz w:val="21"/>
        </w:rPr>
        <w:t>Consolidated Balance Sheets</w:t>
      </w:r>
    </w:p>
    <w:p>
      <w:pPr>
        <w:pStyle w:val="TextBody"/>
        <w:bidi w:val="0"/>
        <w:jc w:val="both"/>
        <w:rPr>
          <w:rFonts w:ascii="Arial" w:hAnsi="Arial"/>
          <w:b/>
          <w:color w:val="000000"/>
          <w:sz w:val="21"/>
        </w:rPr>
      </w:pPr>
      <w:r>
        <w:rPr>
          <w:rFonts w:ascii="Arial" w:hAnsi="Arial"/>
          <w:b/>
          <w:color w:val="000000"/>
          <w:sz w:val="21"/>
        </w:rPr>
        <w:t>(Unaudited, in US$ thousands)</w:t>
      </w:r>
    </w:p>
    <w:p>
      <w:pPr>
        <w:pStyle w:val="TextBody"/>
        <w:bidi w:val="0"/>
        <w:jc w:val="both"/>
        <w:rPr/>
      </w:pPr>
      <w:r>
        <w:rPr/>
        <w:t> </w:t>
      </w:r>
    </w:p>
    <w:tbl>
      <w:tblPr>
        <w:tblW w:w="8789" w:type="dxa"/>
        <w:jc w:val="left"/>
        <w:tblInd w:w="0" w:type="dxa"/>
        <w:tblLayout w:type="fixed"/>
        <w:tblCellMar>
          <w:top w:w="28" w:type="dxa"/>
          <w:left w:w="28" w:type="dxa"/>
          <w:bottom w:w="28" w:type="dxa"/>
          <w:right w:w="28" w:type="dxa"/>
        </w:tblCellMar>
      </w:tblPr>
      <w:tblGrid>
        <w:gridCol w:w="6076"/>
        <w:gridCol w:w="1066"/>
        <w:gridCol w:w="146"/>
        <w:gridCol w:w="1501"/>
      </w:tblGrid>
      <w:tr>
        <w:trPr/>
        <w:tc>
          <w:tcPr>
            <w:tcW w:w="607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As of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As of</w:t>
            </w:r>
          </w:p>
        </w:tc>
      </w:tr>
      <w:tr>
        <w:trPr/>
        <w:tc>
          <w:tcPr>
            <w:tcW w:w="60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June 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December 31,</w:t>
            </w:r>
          </w:p>
        </w:tc>
      </w:tr>
      <w:tr>
        <w:trPr/>
        <w:tc>
          <w:tcPr>
            <w:tcW w:w="60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2025</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Assets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Current assets: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Cash and cash equivalents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72,667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75,446</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Short-term bank deposits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215,988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84,460</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Short-term financial products issued by banks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52,000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55,000</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Short-term investments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3,181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4,583</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Restricted cash</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200</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Accounts receivable, net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28,251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24,867</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Prepayments and other current assets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22,371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14,590</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Contract assets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123</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Held-for-sale assets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831</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current assets</w:t>
            </w:r>
          </w:p>
        </w:tc>
        <w:tc>
          <w:tcPr>
            <w:tcW w:w="106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395,385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50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260,100</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Property and equipment, net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3,543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3,947</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Construction in progress in relation to the headquarters project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104,488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84,239</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Operating lease right-of-use assets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1,499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2,145</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Intangible assets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96</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Long-term bank deposits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160,001</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Long-term investments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29,349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29,182</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Land use right, net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164,971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161,591</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Other non-current assets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12,907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19,798</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assets</w:t>
            </w:r>
          </w:p>
        </w:tc>
        <w:tc>
          <w:tcPr>
            <w:tcW w:w="106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733,158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50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721,099</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Liabilities and shareholders’ equity</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Current liabilities: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Short-term borrowings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1,330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Accounts payable</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11,460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9,638</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Advances from customers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9,115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7,906</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Taxes payable</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798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696</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Current operating lease liabilities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947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1,521</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Payables for construction costs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17,340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16,607</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Advance in relation to the headquarters project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21,292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Accrued expenses and other current liabilities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15,144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20,417</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current liabilities</w:t>
            </w:r>
          </w:p>
        </w:tc>
        <w:tc>
          <w:tcPr>
            <w:tcW w:w="106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77,426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50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56,785</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Long-term payable</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Long-term operating lease liabilities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399</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Deferred tax liabilities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Long-term borrowings in relation to the headquarters project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98,986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80,420</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Advance in relation to the headquarters project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20,632</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liabilities</w:t>
            </w:r>
          </w:p>
        </w:tc>
        <w:tc>
          <w:tcPr>
            <w:tcW w:w="106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176,551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5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158,251</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Shareholders’ equity:</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Class A ordinary shares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39</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Class B ordinary shares</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Additional paid-in-capital</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1,146,475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1,145,126</w:t>
            </w:r>
          </w:p>
        </w:tc>
      </w:tr>
      <w:tr>
        <w:trPr/>
        <w:tc>
          <w:tcPr>
            <w:tcW w:w="60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Treasury shares, at cost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(110,727)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(95,238)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3856"/>
        <w:gridCol w:w="1036"/>
        <w:gridCol w:w="146"/>
        <w:gridCol w:w="1081"/>
      </w:tblGrid>
      <w:tr>
        <w:trPr/>
        <w:tc>
          <w:tcPr>
            <w:tcW w:w="385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Accumulated other comprehensive loss</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(5,396)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(9,987)</w:t>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Accumulated deficit</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(473,793)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(477,100)</w:t>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shareholders’ equity</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556,607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562,848</w:t>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liabilities and shareholders’ equity</w:t>
            </w:r>
          </w:p>
        </w:tc>
        <w:tc>
          <w:tcPr>
            <w:tcW w:w="10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733,158</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0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721,099</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1"/>
        </w:rPr>
      </w:pPr>
      <w:r>
        <w:rPr>
          <w:rFonts w:ascii="Arial" w:hAnsi="Arial"/>
          <w:b/>
          <w:color w:val="000000"/>
          <w:sz w:val="21"/>
        </w:rPr>
        <w:t>Agora, Inc.</w:t>
      </w:r>
    </w:p>
    <w:p>
      <w:pPr>
        <w:pStyle w:val="TextBody"/>
        <w:bidi w:val="0"/>
        <w:jc w:val="both"/>
        <w:rPr>
          <w:rFonts w:ascii="Arial" w:hAnsi="Arial"/>
          <w:b/>
          <w:color w:val="000000"/>
          <w:sz w:val="21"/>
        </w:rPr>
      </w:pPr>
      <w:r>
        <w:rPr>
          <w:rFonts w:ascii="Arial" w:hAnsi="Arial"/>
          <w:b/>
          <w:color w:val="000000"/>
          <w:sz w:val="21"/>
        </w:rPr>
        <w:t>Consolidated Statements of Comprehensive Income</w:t>
      </w:r>
    </w:p>
    <w:p>
      <w:pPr>
        <w:pStyle w:val="TextBody"/>
        <w:bidi w:val="0"/>
        <w:jc w:val="both"/>
        <w:rPr>
          <w:rFonts w:ascii="Arial" w:hAnsi="Arial"/>
          <w:b/>
          <w:color w:val="000000"/>
          <w:sz w:val="21"/>
        </w:rPr>
      </w:pPr>
      <w:r>
        <w:rPr>
          <w:rFonts w:ascii="Arial" w:hAnsi="Arial"/>
          <w:b/>
          <w:color w:val="000000"/>
          <w:sz w:val="21"/>
        </w:rPr>
        <w:t>(Unaudited, in US$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90"/>
        <w:gridCol w:w="1306"/>
        <w:gridCol w:w="1306"/>
        <w:gridCol w:w="146"/>
        <w:gridCol w:w="1306"/>
        <w:gridCol w:w="1351"/>
      </w:tblGrid>
      <w:tr>
        <w:trPr/>
        <w:tc>
          <w:tcPr>
            <w:tcW w:w="47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790"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2612"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Three Month Ended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57"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Six Month Ended</w:t>
            </w:r>
          </w:p>
        </w:tc>
      </w:tr>
      <w:tr>
        <w:trPr/>
        <w:tc>
          <w:tcPr>
            <w:tcW w:w="47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5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June 30,</w:t>
            </w:r>
          </w:p>
        </w:tc>
      </w:tr>
      <w:tr>
        <w:trPr/>
        <w:tc>
          <w:tcPr>
            <w:tcW w:w="47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2026</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2026</w:t>
            </w:r>
          </w:p>
        </w:tc>
        <w:tc>
          <w:tcPr>
            <w:tcW w:w="13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2025</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Real-time engagement service revenues</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39,452</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33,716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76,640</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66,389</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Real-time engagement on-premise solution and other revenues</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968</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1,525</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1,139</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revenues</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40,420</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34,259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78,165</w:t>
            </w:r>
          </w:p>
        </w:tc>
        <w:tc>
          <w:tcPr>
            <w:tcW w:w="135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67,528</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Cost of revenues</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14,683</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11,389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28,499</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22,024</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Gross profit</w:t>
            </w:r>
          </w:p>
        </w:tc>
        <w:tc>
          <w:tcPr>
            <w:tcW w:w="130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25,737</w:t>
            </w:r>
          </w:p>
        </w:tc>
        <w:tc>
          <w:tcPr>
            <w:tcW w:w="130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22,870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49,666</w:t>
            </w:r>
          </w:p>
        </w:tc>
        <w:tc>
          <w:tcPr>
            <w:tcW w:w="13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45,504</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Operating expenses:</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r>
      <w:tr>
        <w:trPr/>
        <w:tc>
          <w:tcPr>
            <w:tcW w:w="479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Research and development</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15,396</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13,976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29,817</w:t>
            </w:r>
          </w:p>
        </w:tc>
        <w:tc>
          <w:tcPr>
            <w:tcW w:w="1351"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27,994</w:t>
            </w:r>
          </w:p>
        </w:tc>
      </w:tr>
      <w:tr>
        <w:trPr/>
        <w:tc>
          <w:tcPr>
            <w:tcW w:w="479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Sales and marketing</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6,420</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6,521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12,358</w:t>
            </w:r>
          </w:p>
        </w:tc>
        <w:tc>
          <w:tcPr>
            <w:tcW w:w="1351"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12,756</w:t>
            </w:r>
          </w:p>
        </w:tc>
      </w:tr>
      <w:tr>
        <w:trPr/>
        <w:tc>
          <w:tcPr>
            <w:tcW w:w="479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General and administrative</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5,467</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6,039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11,490</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12,277</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operating expenses</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27,283</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26,536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53,665</w:t>
            </w:r>
          </w:p>
        </w:tc>
        <w:tc>
          <w:tcPr>
            <w:tcW w:w="135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53,027</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Other operating income</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593</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548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1,398</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702</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Loss from operations</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(953)</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(3,118)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(2,601)</w:t>
            </w:r>
          </w:p>
        </w:tc>
        <w:tc>
          <w:tcPr>
            <w:tcW w:w="135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(6,821)</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Exchange gain</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123</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378</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156</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Interest income</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3,401</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3,706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6,841</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7,341</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Interest expense</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(29)</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Investment (loss) income</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(413)</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797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(1,264)</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1,485</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Income before income taxes</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2,143</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1,469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3,325</w:t>
            </w:r>
          </w:p>
        </w:tc>
        <w:tc>
          <w:tcPr>
            <w:tcW w:w="135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2,155</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Income taxes</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(54)</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(183)</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(84)</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Income (loss) from equity in affiliates</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109</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165</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(202)</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income</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2,198</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1,462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3,307</w:t>
            </w:r>
          </w:p>
        </w:tc>
        <w:tc>
          <w:tcPr>
            <w:tcW w:w="135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1,869</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income attributable to ordinary shareholders</w:t>
            </w:r>
          </w:p>
        </w:tc>
        <w:tc>
          <w:tcPr>
            <w:tcW w:w="130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2,198</w:t>
            </w:r>
          </w:p>
        </w:tc>
        <w:tc>
          <w:tcPr>
            <w:tcW w:w="130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1,462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3,307</w:t>
            </w:r>
          </w:p>
        </w:tc>
        <w:tc>
          <w:tcPr>
            <w:tcW w:w="135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1,869</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Other comprehensive income (loss):</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r>
      <w:tr>
        <w:trPr/>
        <w:tc>
          <w:tcPr>
            <w:tcW w:w="479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Foreign currency translation adjustments</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2,272</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4,591</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(326)</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Total comprehensive income attributable to ordinary shareholders</w:t>
            </w:r>
          </w:p>
        </w:tc>
        <w:tc>
          <w:tcPr>
            <w:tcW w:w="130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4,470</w:t>
            </w:r>
          </w:p>
        </w:tc>
        <w:tc>
          <w:tcPr>
            <w:tcW w:w="130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1,805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7,898</w:t>
            </w:r>
          </w:p>
        </w:tc>
        <w:tc>
          <w:tcPr>
            <w:tcW w:w="135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1,543</w:t>
            </w:r>
          </w:p>
        </w:tc>
      </w:tr>
      <w:tr>
        <w:trPr/>
        <w:tc>
          <w:tcPr>
            <w:tcW w:w="4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income per share attributable to ordinary shareholders</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Basic</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0.006</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0.010</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0.005</w:t>
            </w:r>
          </w:p>
        </w:tc>
      </w:tr>
      <w:tr>
        <w:trPr/>
        <w:tc>
          <w:tcPr>
            <w:tcW w:w="47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1"/>
              </w:rPr>
              <w:t>Diluted</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0.006</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0.009</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0.005</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income per ADS attributable to ordinary shareholders</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Basic</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0.03</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0.04</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0.02</w:t>
            </w:r>
          </w:p>
        </w:tc>
      </w:tr>
      <w:tr>
        <w:trPr/>
        <w:tc>
          <w:tcPr>
            <w:tcW w:w="47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1"/>
              </w:rPr>
              <w:t>Diluted</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0.02</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0.04</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0.02</w:t>
            </w:r>
          </w:p>
        </w:tc>
      </w:tr>
      <w:tr>
        <w:trPr/>
        <w:tc>
          <w:tcPr>
            <w:tcW w:w="4790"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Arial" w:hAnsi="Arial"/>
                <w:color w:val="000000"/>
                <w:sz w:val="21"/>
              </w:rPr>
            </w:pPr>
            <w:r>
              <w:rPr>
                <w:rFonts w:ascii="Arial" w:hAnsi="Arial"/>
                <w:color w:val="000000"/>
                <w:sz w:val="21"/>
              </w:rPr>
              <w:t>Weighted average ordinary shares outstanding</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Basic</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339,719,445</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370,332,857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343,640,224</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373,734,048</w:t>
            </w:r>
          </w:p>
        </w:tc>
      </w:tr>
      <w:tr>
        <w:trPr/>
        <w:tc>
          <w:tcPr>
            <w:tcW w:w="47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1"/>
              </w:rPr>
              <w:t>Diluted</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369,538,625</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392,602,913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373,935,107</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400,458,176</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Weighted average ADS outstanding</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Basic</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84,929,861</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92,583,214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85,910,056</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93,433,512</w:t>
            </w:r>
          </w:p>
        </w:tc>
      </w:tr>
      <w:tr>
        <w:trPr/>
        <w:tc>
          <w:tcPr>
            <w:tcW w:w="479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1"/>
              </w:rPr>
              <w:t>Diluted</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92,384,656</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98,150,728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93,483,777</w:t>
            </w:r>
          </w:p>
        </w:tc>
        <w:tc>
          <w:tcPr>
            <w:tcW w:w="13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100,114,544</w:t>
            </w:r>
          </w:p>
        </w:tc>
      </w:tr>
      <w:tr>
        <w:trPr/>
        <w:tc>
          <w:tcPr>
            <w:tcW w:w="4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76" w:type="dxa"/>
        <w:jc w:val="left"/>
        <w:tblInd w:w="0" w:type="dxa"/>
        <w:tblLayout w:type="fixed"/>
        <w:tblCellMar>
          <w:top w:w="28" w:type="dxa"/>
          <w:left w:w="28" w:type="dxa"/>
          <w:bottom w:w="28" w:type="dxa"/>
          <w:right w:w="28" w:type="dxa"/>
        </w:tblCellMar>
      </w:tblPr>
      <w:tblGrid>
        <w:gridCol w:w="4861"/>
        <w:gridCol w:w="466"/>
        <w:gridCol w:w="466"/>
        <w:gridCol w:w="146"/>
        <w:gridCol w:w="646"/>
        <w:gridCol w:w="691"/>
      </w:tblGrid>
      <w:tr>
        <w:trPr/>
        <w:tc>
          <w:tcPr>
            <w:tcW w:w="48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Share-based compensation expenses included in:</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1"/>
              </w:rPr>
              <w:t>Cost of revenues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75</w:t>
            </w:r>
          </w:p>
        </w:tc>
      </w:tr>
      <w:tr>
        <w:trPr/>
        <w:tc>
          <w:tcPr>
            <w:tcW w:w="48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1"/>
              </w:rPr>
              <w:t>Research and development expenses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520</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978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1,112</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2,337</w:t>
            </w:r>
          </w:p>
        </w:tc>
      </w:tr>
      <w:tr>
        <w:trPr/>
        <w:tc>
          <w:tcPr>
            <w:tcW w:w="48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1"/>
              </w:rPr>
              <w:t>Sales and marketing expenses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140</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263</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424</w:t>
            </w:r>
          </w:p>
        </w:tc>
      </w:tr>
      <w:tr>
        <w:trPr/>
        <w:tc>
          <w:tcPr>
            <w:tcW w:w="48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1"/>
              </w:rPr>
              <w:t>General and administrative expenses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539</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1,125</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642</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1"/>
        </w:rPr>
      </w:pPr>
      <w:r>
        <w:rPr>
          <w:rFonts w:ascii="Arial" w:hAnsi="Arial"/>
          <w:b/>
          <w:color w:val="000000"/>
          <w:sz w:val="21"/>
        </w:rPr>
        <w:t>Agora, Inc.</w:t>
      </w:r>
    </w:p>
    <w:p>
      <w:pPr>
        <w:pStyle w:val="TextBody"/>
        <w:bidi w:val="0"/>
        <w:jc w:val="both"/>
        <w:rPr>
          <w:rFonts w:ascii="Arial" w:hAnsi="Arial"/>
          <w:b/>
          <w:color w:val="000000"/>
          <w:sz w:val="21"/>
        </w:rPr>
      </w:pPr>
      <w:r>
        <w:rPr>
          <w:rFonts w:ascii="Arial" w:hAnsi="Arial"/>
          <w:b/>
          <w:color w:val="000000"/>
          <w:sz w:val="21"/>
        </w:rPr>
        <w:t>Consolidated Statements of Cash Flows</w:t>
      </w:r>
    </w:p>
    <w:p>
      <w:pPr>
        <w:pStyle w:val="TextBody"/>
        <w:bidi w:val="0"/>
        <w:jc w:val="both"/>
        <w:rPr>
          <w:rFonts w:ascii="Arial" w:hAnsi="Arial"/>
          <w:b/>
          <w:color w:val="000000"/>
          <w:sz w:val="21"/>
        </w:rPr>
      </w:pPr>
      <w:r>
        <w:rPr>
          <w:rFonts w:ascii="Arial" w:hAnsi="Arial"/>
          <w:b/>
          <w:color w:val="000000"/>
          <w:sz w:val="21"/>
        </w:rPr>
        <w:t>(Unaudited, in US$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753"/>
        <w:gridCol w:w="964"/>
        <w:gridCol w:w="960"/>
        <w:gridCol w:w="356"/>
        <w:gridCol w:w="899"/>
        <w:gridCol w:w="1273"/>
      </w:tblGrid>
      <w:tr>
        <w:trPr/>
        <w:tc>
          <w:tcPr>
            <w:tcW w:w="57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575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Three Month Ended</w:t>
            </w:r>
          </w:p>
        </w:tc>
        <w:tc>
          <w:tcPr>
            <w:tcW w:w="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Six Month Ended</w:t>
            </w:r>
          </w:p>
        </w:tc>
      </w:tr>
      <w:tr>
        <w:trPr/>
        <w:tc>
          <w:tcPr>
            <w:tcW w:w="57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June 30,</w:t>
            </w:r>
          </w:p>
        </w:tc>
        <w:tc>
          <w:tcPr>
            <w:tcW w:w="3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7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June 30,</w:t>
            </w:r>
          </w:p>
        </w:tc>
      </w:tr>
      <w:tr>
        <w:trPr/>
        <w:tc>
          <w:tcPr>
            <w:tcW w:w="57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2026</w:t>
            </w:r>
          </w:p>
        </w:tc>
        <w:tc>
          <w:tcPr>
            <w:tcW w:w="9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2025</w:t>
            </w:r>
          </w:p>
        </w:tc>
        <w:tc>
          <w:tcPr>
            <w:tcW w:w="3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2026</w:t>
            </w:r>
          </w:p>
        </w:tc>
        <w:tc>
          <w:tcPr>
            <w:tcW w:w="12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1"/>
              </w:rPr>
            </w:pPr>
            <w:r>
              <w:rPr>
                <w:rFonts w:ascii="Arial" w:hAnsi="Arial"/>
                <w:color w:val="000000"/>
                <w:sz w:val="21"/>
              </w:rPr>
              <w:t>2025</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Cash flows from operating activities:</w:t>
            </w:r>
          </w:p>
        </w:tc>
        <w:tc>
          <w:tcPr>
            <w:tcW w:w="964"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income</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2,198</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1,462</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3,307</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1,869</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Adjustments to reconcile net income to net cash used in operating activities:</w:t>
            </w:r>
          </w:p>
        </w:tc>
        <w:tc>
          <w:tcPr>
            <w:tcW w:w="964"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Share-based compensation expenses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1,201</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1,531</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2,504</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3,478</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Allowance for current expected credit losses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762</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1,332</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1,564</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3,016</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Depreciation of property and equipment</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379</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525</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749</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1,117</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Amortization of intangible assets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80</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259</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Amortization of land use right</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891</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848</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1,768</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1,697</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Deferred tax expense</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(41)</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Amortization of right-of-use asset and interest on lease liabilities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466</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540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932</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1,078</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Investment loss (income)</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413</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(797)</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1,264</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(1,485)</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(Income) loss from equity in affiliates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(109)</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(36)</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(165)</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202</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Loss on disposal of property and equipment</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Changes in assets and liabilities, net of effect of acquisition:</w:t>
            </w:r>
          </w:p>
        </w:tc>
        <w:tc>
          <w:tcPr>
            <w:tcW w:w="964"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Accounts receivable</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(3,888)</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(572)</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(4,525)</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1,527</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Contract assets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912</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978</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Prepayments and other current assets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(1,720)</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474</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(1,094)</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15,291</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Other non-current assets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(285)</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(2,209)</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(339)</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(3,424)</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Accounts payable</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558</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710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1,664</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(810)</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Advances from customers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578</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(959)</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989</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(645)</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Taxes payable</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171</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27</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90</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(991)</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Operating lease liabilities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(572)</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(587)</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(1,119)</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(1,159)</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Deferred income</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111</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Accrued expenses and other liabilities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(3,184)</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(3,665)</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(4,107)</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(4,847)</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cash (used in) provided by operating activities</w:t>
            </w:r>
          </w:p>
        </w:tc>
        <w:tc>
          <w:tcPr>
            <w:tcW w:w="96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(2,140)</w:t>
            </w:r>
          </w:p>
        </w:tc>
        <w:tc>
          <w:tcPr>
            <w:tcW w:w="96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(352)</w:t>
            </w:r>
          </w:p>
        </w:tc>
        <w:tc>
          <w:tcPr>
            <w:tcW w:w="35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89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3,551</w:t>
            </w:r>
          </w:p>
        </w:tc>
        <w:tc>
          <w:tcPr>
            <w:tcW w:w="127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17,224</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Cash flows from investing activities:</w:t>
            </w:r>
          </w:p>
        </w:tc>
        <w:tc>
          <w:tcPr>
            <w:tcW w:w="964"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Purchase of property and equipment</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(221)</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(317)</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(276)</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(872)</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Purchase of short-term bank deposits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(42,953)</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(10,429)</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(52,952)</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(35,507)</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Purchase of short-term financial products issued by banks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(5,070)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(15,348)</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from maturity of short-term bank deposits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15,000</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20,077</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60,428</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178,404</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from maturity of short-term financial products issued by banks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122</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13,429</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3,267</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36,442</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from sales of short-term investments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Purchase of long-term bank deposits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(9,000)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(163,001)</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Purchase of construction in progress for the headquarters project</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(5,712)</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(3,472)</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(15,069)</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(13,753)</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Disposal of property and equipment</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30</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Refundable deposit received in relation to disposal of subsidiaries</w:t>
            </w:r>
          </w:p>
        </w:tc>
        <w:tc>
          <w:tcPr>
            <w:tcW w:w="9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2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4,410</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cash (used in) provided by investing activities</w:t>
            </w:r>
          </w:p>
        </w:tc>
        <w:tc>
          <w:tcPr>
            <w:tcW w:w="96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(33,751)</w:t>
            </w:r>
          </w:p>
        </w:tc>
        <w:tc>
          <w:tcPr>
            <w:tcW w:w="96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5,222</w:t>
            </w:r>
          </w:p>
        </w:tc>
        <w:tc>
          <w:tcPr>
            <w:tcW w:w="35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89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(4,587)</w:t>
            </w:r>
          </w:p>
        </w:tc>
        <w:tc>
          <w:tcPr>
            <w:tcW w:w="127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(9,195)</w:t>
            </w:r>
          </w:p>
        </w:tc>
      </w:tr>
      <w:tr>
        <w:trPr/>
        <w:tc>
          <w:tcPr>
            <w:tcW w:w="575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Cash flows from financing activities:</w:t>
            </w:r>
          </w:p>
        </w:tc>
        <w:tc>
          <w:tcPr>
            <w:tcW w:w="964"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r>
      <w:tr>
        <w:trPr/>
        <w:tc>
          <w:tcPr>
            <w:tcW w:w="5753"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from short-term borrowings</w:t>
            </w:r>
          </w:p>
        </w:tc>
        <w:tc>
          <w:tcPr>
            <w:tcW w:w="964"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1,324</w:t>
            </w:r>
          </w:p>
        </w:tc>
        <w:tc>
          <w:tcPr>
            <w:tcW w:w="960"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w:t>
            </w:r>
          </w:p>
        </w:tc>
        <w:tc>
          <w:tcPr>
            <w:tcW w:w="356"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c>
          <w:tcPr>
            <w:tcW w:w="899"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1,324</w:t>
            </w:r>
          </w:p>
        </w:tc>
        <w:tc>
          <w:tcPr>
            <w:tcW w:w="127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50"/>
        <w:gridCol w:w="905"/>
        <w:gridCol w:w="895"/>
        <w:gridCol w:w="356"/>
        <w:gridCol w:w="976"/>
        <w:gridCol w:w="1023"/>
      </w:tblGrid>
      <w:tr>
        <w:trPr/>
        <w:tc>
          <w:tcPr>
            <w:tcW w:w="605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ind w:left="0" w:right="0" w:firstLine="210"/>
              <w:jc w:val="left"/>
              <w:rPr>
                <w:sz w:val="4"/>
                <w:szCs w:val="4"/>
              </w:rPr>
            </w:pPr>
            <w:r>
              <w:rPr>
                <w:sz w:val="4"/>
                <w:szCs w:val="4"/>
              </w:rPr>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from long-term borrowings</w:t>
            </w:r>
          </w:p>
        </w:tc>
        <w:tc>
          <w:tcPr>
            <w:tcW w:w="905"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6,381</w:t>
            </w:r>
          </w:p>
        </w:tc>
        <w:tc>
          <w:tcPr>
            <w:tcW w:w="895"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3,507</w:t>
            </w:r>
          </w:p>
        </w:tc>
        <w:tc>
          <w:tcPr>
            <w:tcW w:w="356"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15,774</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14,134</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from exercise of employees’ share options</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90</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181</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103</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477</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Payment of financing cost</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(713)</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(2,252)</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Repurchase of Class A ordinary shares</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(3,731)</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(10,862)</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(17,035)</w:t>
            </w:r>
          </w:p>
        </w:tc>
        <w:tc>
          <w:tcPr>
            <w:tcW w:w="10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(12,103)</w:t>
            </w:r>
          </w:p>
        </w:tc>
      </w:tr>
      <w:tr>
        <w:trPr/>
        <w:tc>
          <w:tcPr>
            <w:tcW w:w="60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cash provided by (used in) financing activities</w:t>
            </w:r>
          </w:p>
        </w:tc>
        <w:tc>
          <w:tcPr>
            <w:tcW w:w="90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3,351</w:t>
            </w:r>
          </w:p>
        </w:tc>
        <w:tc>
          <w:tcPr>
            <w:tcW w:w="89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(7,174)</w:t>
            </w:r>
          </w:p>
        </w:tc>
        <w:tc>
          <w:tcPr>
            <w:tcW w:w="35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97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(2,086)</w:t>
            </w:r>
          </w:p>
        </w:tc>
        <w:tc>
          <w:tcPr>
            <w:tcW w:w="102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2,508</w:t>
            </w:r>
          </w:p>
        </w:tc>
      </w:tr>
      <w:tr>
        <w:trPr/>
        <w:tc>
          <w:tcPr>
            <w:tcW w:w="60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Effect of foreign exchange rate changes on cash, cash equivalents and restricted cash</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139</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(9)</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343</w:t>
            </w:r>
          </w:p>
        </w:tc>
        <w:tc>
          <w:tcPr>
            <w:tcW w:w="10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(838)</w:t>
            </w:r>
          </w:p>
        </w:tc>
      </w:tr>
      <w:tr>
        <w:trPr/>
        <w:tc>
          <w:tcPr>
            <w:tcW w:w="60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Net (decrease) increase in cash, cash equivalents and restricted cash</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(32,401)</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(2,314)</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(2,779)</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9,699</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Cash, cash equivalents and restricted cash at beginning of period *</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105,268</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42,841</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75,646</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30,828</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Cash, cash equivalents and restricted cash at end of period **</w:t>
            </w:r>
          </w:p>
        </w:tc>
        <w:tc>
          <w:tcPr>
            <w:tcW w:w="905"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72,867</w:t>
            </w:r>
          </w:p>
        </w:tc>
        <w:tc>
          <w:tcPr>
            <w:tcW w:w="895"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40,527</w:t>
            </w:r>
          </w:p>
        </w:tc>
        <w:tc>
          <w:tcPr>
            <w:tcW w:w="35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97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72,867</w:t>
            </w:r>
          </w:p>
        </w:tc>
        <w:tc>
          <w:tcPr>
            <w:tcW w:w="1023"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40,527</w:t>
            </w:r>
          </w:p>
        </w:tc>
      </w:tr>
      <w:tr>
        <w:trPr/>
        <w:tc>
          <w:tcPr>
            <w:tcW w:w="60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Supplemental disclosure of cash flow information:</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Income taxes paid</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15</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33</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39</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73</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Cash payments included in the measurement of operating lease liabilities</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572</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587</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1,119</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1,159</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Right-of-use assets obtained in exchange for operating lease obligations</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86</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0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86</w:t>
            </w:r>
          </w:p>
        </w:tc>
      </w:tr>
      <w:tr>
        <w:trPr/>
        <w:tc>
          <w:tcPr>
            <w:tcW w:w="60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Non-cash financing and investing activities:</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pPr>
            <w:r>
              <w:rPr/>
              <w:t> </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receivable from exercise of employees’ share options</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46</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16</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46</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receivable for dividend</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100</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100</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110</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Proceeds receivable for disposal</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2,909</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2,909</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Payables for financing cost</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63</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409</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Payables for property and equipment</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24</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191</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24</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191</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Payables for construction in progress in relation to the headquarters project</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4,472</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11,497</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13,460</w:t>
            </w:r>
          </w:p>
        </w:tc>
        <w:tc>
          <w:tcPr>
            <w:tcW w:w="1023" w:type="dxa"/>
            <w:tcBorders/>
            <w:tcMar>
              <w:top w:w="0" w:type="dxa"/>
              <w:left w:w="0" w:type="dxa"/>
              <w:bottom w:w="0" w:type="dxa"/>
              <w:right w:w="0" w:type="dxa"/>
            </w:tcMar>
            <w:vAlign w:val="center"/>
          </w:tcPr>
          <w:p>
            <w:pPr>
              <w:pStyle w:val="TableContents"/>
              <w:bidi w:val="0"/>
              <w:spacing w:before="0" w:after="283"/>
              <w:ind w:left="0" w:right="0" w:firstLine="210"/>
              <w:jc w:val="right"/>
              <w:rPr>
                <w:rFonts w:ascii="Arial" w:hAnsi="Arial"/>
                <w:color w:val="000000"/>
                <w:sz w:val="21"/>
              </w:rPr>
            </w:pPr>
            <w:r>
              <w:rPr>
                <w:rFonts w:ascii="Arial" w:hAnsi="Arial"/>
                <w:color w:val="000000"/>
                <w:sz w:val="21"/>
              </w:rPr>
              <w:t>12,138</w:t>
            </w:r>
          </w:p>
        </w:tc>
      </w:tr>
      <w:tr>
        <w:trPr/>
        <w:tc>
          <w:tcPr>
            <w:tcW w:w="6050" w:type="dxa"/>
            <w:tcBorders/>
            <w:tcMar>
              <w:top w:w="0" w:type="dxa"/>
              <w:left w:w="0" w:type="dxa"/>
              <w:bottom w:w="0" w:type="dxa"/>
              <w:right w:w="0" w:type="dxa"/>
            </w:tcMar>
            <w:vAlign w:val="center"/>
          </w:tcPr>
          <w:p>
            <w:pPr>
              <w:pStyle w:val="TableContents"/>
              <w:bidi w:val="0"/>
              <w:spacing w:before="0" w:after="283"/>
              <w:ind w:left="0" w:right="0" w:firstLine="210"/>
              <w:jc w:val="left"/>
              <w:rPr>
                <w:rFonts w:ascii="Arial" w:hAnsi="Arial"/>
                <w:color w:val="000000"/>
                <w:sz w:val="21"/>
              </w:rPr>
            </w:pPr>
            <w:r>
              <w:rPr>
                <w:rFonts w:ascii="Arial" w:hAnsi="Arial"/>
                <w:color w:val="000000"/>
                <w:sz w:val="21"/>
              </w:rPr>
              <w:t>Payables for treasury shares, at cost</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41</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41</w:t>
            </w:r>
          </w:p>
        </w:tc>
        <w:tc>
          <w:tcPr>
            <w:tcW w:w="10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w:t>
            </w:r>
          </w:p>
        </w:tc>
      </w:tr>
      <w:tr>
        <w:trPr/>
        <w:tc>
          <w:tcPr>
            <w:tcW w:w="6050"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Arial" w:hAnsi="Arial"/>
                <w:color w:val="000000"/>
                <w:sz w:val="21"/>
              </w:rPr>
            </w:pPr>
            <w:r>
              <w:rPr>
                <w:rFonts w:ascii="Arial" w:hAnsi="Arial"/>
                <w:color w:val="000000"/>
                <w:sz w:val="21"/>
              </w:rPr>
              <w:t>* includes restricted cash balance</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200</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230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200</w:t>
            </w:r>
          </w:p>
        </w:tc>
        <w:tc>
          <w:tcPr>
            <w:tcW w:w="10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3,745</w:t>
            </w:r>
          </w:p>
        </w:tc>
      </w:tr>
      <w:tr>
        <w:trPr/>
        <w:tc>
          <w:tcPr>
            <w:tcW w:w="60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 includes restricted cash balance</w:t>
            </w:r>
          </w:p>
        </w:tc>
        <w:tc>
          <w:tcPr>
            <w:tcW w:w="90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200</w:t>
            </w:r>
          </w:p>
        </w:tc>
        <w:tc>
          <w:tcPr>
            <w:tcW w:w="8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200</w:t>
            </w:r>
          </w:p>
        </w:tc>
        <w:tc>
          <w:tcPr>
            <w:tcW w:w="35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200</w:t>
            </w:r>
          </w:p>
        </w:tc>
        <w:tc>
          <w:tcPr>
            <w:tcW w:w="10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230</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2986</Words>
  <Characters>17038</Characters>
  <CharactersWithSpaces>19653</CharactersWithSpaces>
  <Paragraphs>1049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