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2804 MISSION COLLEGE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Agora, Inc.</w:t>
              </w:r>
            </w:hyperlink>
            <w:r>
              <w:rPr/>
              <w:t xml:space="preserve"> [ </w:t>
            </w:r>
            <w:r>
              <w:rPr>
                <w:rFonts w:ascii="Times;serif" w:hAnsi="Times;serif"/>
                <w:color w:val="0000FF"/>
                <w:sz w:val="24"/>
                <w:shd w:fill="FFFFFF" w:val="clear"/>
              </w:rPr>
              <w:t>API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7"/>
        <w:gridCol w:w="917"/>
        <w:gridCol w:w="787"/>
        <w:gridCol w:w="609"/>
        <w:gridCol w:w="338"/>
        <w:gridCol w:w="805"/>
        <w:gridCol w:w="416"/>
        <w:gridCol w:w="892"/>
        <w:gridCol w:w="1341"/>
        <w:gridCol w:w="959"/>
        <w:gridCol w:w="12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4.1117</w:t>
            </w: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2,133,928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4.2048</w:t>
            </w:r>
            <w:r>
              <w:rPr>
                <w:rFonts w:ascii="Times;serif" w:hAnsi="Times;serif"/>
                <w:color w:val="008000"/>
                <w:position w:val="7"/>
                <w:sz w:val="16"/>
                <w:sz w:val="20"/>
                <w:shd w:fill="FFFFFF" w:val="clear"/>
              </w:rPr>
              <w:t>(5)</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2,139,366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4.2953</w:t>
            </w:r>
            <w:r>
              <w:rPr>
                <w:rFonts w:ascii="Times;serif" w:hAnsi="Times;serif"/>
                <w:color w:val="008000"/>
                <w:position w:val="7"/>
                <w:sz w:val="16"/>
                <w:sz w:val="20"/>
                <w:shd w:fill="FFFFFF" w:val="clear"/>
              </w:rPr>
              <w:t>(6)</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2,149,123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 par value $0.0001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7,267,029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(4)</w:t>
            </w:r>
          </w:p>
        </w:tc>
      </w:tr>
      <w:tr>
        <w:trPr/>
        <w:tc>
          <w:tcPr>
            <w:tcW w:w="19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 par value $0.0001</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76,179,938</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Much ado Limited</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ADS represents four Class A Ordinary Shares,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on this Form 4 were effected pursuant to a Rule 10b5-1 trading plan adopted by YY TZ Limited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ADSs were purchased in multiple transactions at prices ranging from $4.0400 to $4.1300,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director of YY TZ Limited and, as such, has discretionary authority to vote and dispose of the shares held by YY TZ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ADSs were purchased in multiple transactions at prices ranging from $4.0900 to $4.3000,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ADSs were purchased in multiple transactions at prices ranging from $4.2200 to $4.3300,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is the sole director of Much ado Limited and, as such, has discretionary authority to vote and dispose of the shares held by Much ado Limited in Agora,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BIN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236" TargetMode="External"/><Relationship Id="rId5" Type="http://schemas.openxmlformats.org/officeDocument/2006/relationships/hyperlink" Target="http://www.sec.gov/cgi-bin/browse-edgar?action=getcompany&amp;CIK=0001802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4771</Characters>
  <CharactersWithSpaces>5585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