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2.png" ContentType="image/png"/>
  <Override PartName="/word/media/image3.png" ContentType="image/png"/>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UNITED STATES</w:t>
      </w:r>
    </w:p>
    <w:p>
      <w:pPr>
        <w:pStyle w:val="TextBody"/>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SECURITIES AND EXCHANGE COMMISSION</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WASHINGTON, D.C. 20549</w:t>
      </w:r>
    </w:p>
    <w:p>
      <w:pPr>
        <w:pStyle w:val="TextBody"/>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FORM 20-F</w:t>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(Mark One)</w:t>
      </w:r>
    </w:p>
    <w:p>
      <w:pPr>
        <w:pStyle w:val="TextBody"/>
        <w:spacing w:lineRule="auto" w:line="288" w:before="0" w:after="0"/>
        <w:rPr>
          <w:color w:val="000000"/>
        </w:rPr>
      </w:pPr>
      <w:r>
        <w:rPr>
          <w:color w:val="000000"/>
        </w:rPr>
        <w:t> </w:t>
      </w:r>
    </w:p>
    <w:tbl>
      <w:tblPr>
        <w:tblW w:w="10205" w:type="dxa"/>
        <w:jc w:val="left"/>
        <w:tblInd w:w="0" w:type="dxa"/>
        <w:tblCellMar>
          <w:top w:w="28" w:type="dxa"/>
          <w:left w:w="28" w:type="dxa"/>
          <w:bottom w:w="28" w:type="dxa"/>
          <w:right w:w="28" w:type="dxa"/>
        </w:tblCellMar>
      </w:tblPr>
      <w:tblGrid>
        <w:gridCol w:w="124"/>
        <w:gridCol w:w="109"/>
        <w:gridCol w:w="109"/>
        <w:gridCol w:w="1523"/>
        <w:gridCol w:w="1523"/>
        <w:gridCol w:w="1523"/>
        <w:gridCol w:w="1598"/>
        <w:gridCol w:w="1523"/>
        <w:gridCol w:w="2173"/>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23" w:type="dxa"/>
            <w:tcBorders/>
            <w:shd w:fill="auto" w:val="clear"/>
            <w:vAlign w:val="center"/>
          </w:tcPr>
          <w:p>
            <w:pPr>
              <w:pStyle w:val="TableContents"/>
              <w:spacing w:before="0" w:after="283"/>
              <w:rPr>
                <w:sz w:val="4"/>
                <w:szCs w:val="4"/>
              </w:rPr>
            </w:pPr>
            <w:r>
              <w:rPr>
                <w:sz w:val="4"/>
                <w:szCs w:val="4"/>
              </w:rPr>
            </w:r>
          </w:p>
        </w:tc>
        <w:tc>
          <w:tcPr>
            <w:tcW w:w="1523" w:type="dxa"/>
            <w:tcBorders/>
            <w:shd w:fill="auto" w:val="clear"/>
            <w:vAlign w:val="center"/>
          </w:tcPr>
          <w:p>
            <w:pPr>
              <w:pStyle w:val="TableContents"/>
              <w:spacing w:before="0" w:after="283"/>
              <w:rPr>
                <w:sz w:val="4"/>
                <w:szCs w:val="4"/>
              </w:rPr>
            </w:pPr>
            <w:r>
              <w:rPr>
                <w:sz w:val="4"/>
                <w:szCs w:val="4"/>
              </w:rPr>
            </w:r>
          </w:p>
        </w:tc>
        <w:tc>
          <w:tcPr>
            <w:tcW w:w="1523" w:type="dxa"/>
            <w:tcBorders/>
            <w:shd w:fill="auto" w:val="clear"/>
            <w:vAlign w:val="center"/>
          </w:tcPr>
          <w:p>
            <w:pPr>
              <w:pStyle w:val="TableContents"/>
              <w:spacing w:before="0" w:after="283"/>
              <w:rPr>
                <w:sz w:val="4"/>
                <w:szCs w:val="4"/>
              </w:rPr>
            </w:pPr>
            <w:r>
              <w:rPr>
                <w:sz w:val="4"/>
                <w:szCs w:val="4"/>
              </w:rPr>
            </w:r>
          </w:p>
        </w:tc>
        <w:tc>
          <w:tcPr>
            <w:tcW w:w="1598" w:type="dxa"/>
            <w:tcBorders/>
            <w:shd w:fill="auto" w:val="clear"/>
            <w:vAlign w:val="center"/>
          </w:tcPr>
          <w:p>
            <w:pPr>
              <w:pStyle w:val="TableContents"/>
              <w:spacing w:before="0" w:after="283"/>
              <w:rPr>
                <w:sz w:val="4"/>
                <w:szCs w:val="4"/>
              </w:rPr>
            </w:pPr>
            <w:r>
              <w:rPr>
                <w:sz w:val="4"/>
                <w:szCs w:val="4"/>
              </w:rPr>
            </w:r>
          </w:p>
        </w:tc>
        <w:tc>
          <w:tcPr>
            <w:tcW w:w="1523" w:type="dxa"/>
            <w:tcBorders/>
            <w:shd w:fill="auto" w:val="clear"/>
            <w:vAlign w:val="center"/>
          </w:tcPr>
          <w:p>
            <w:pPr>
              <w:pStyle w:val="TableContents"/>
              <w:spacing w:before="0" w:after="283"/>
              <w:rPr>
                <w:sz w:val="4"/>
                <w:szCs w:val="4"/>
              </w:rPr>
            </w:pPr>
            <w:r>
              <w:rPr>
                <w:sz w:val="4"/>
                <w:szCs w:val="4"/>
              </w:rPr>
            </w:r>
          </w:p>
        </w:tc>
        <w:tc>
          <w:tcPr>
            <w:tcW w:w="2173"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9863" w:type="dxa"/>
            <w:gridSpan w:val="6"/>
            <w:tcBorders/>
            <w:shd w:fill="auto" w:val="clear"/>
            <w:tcMar>
              <w:top w:w="0" w:type="dxa"/>
              <w:left w:w="0" w:type="dxa"/>
              <w:bottom w:w="0" w:type="dxa"/>
              <w:right w:w="0" w:type="dxa"/>
            </w:tcMar>
            <w:vAlign w:val="center"/>
          </w:tcPr>
          <w:p>
            <w:pPr>
              <w:pStyle w:val="TableContents"/>
              <w:spacing w:lineRule="auto" w:line="288" w:before="0" w:after="0"/>
              <w:jc w:val="both"/>
              <w:rPr>
                <w:rFonts w:ascii="Times New Roman;sans-serif" w:hAnsi="Times New Roman;sans-serif"/>
                <w:b/>
                <w:color w:val="000000"/>
                <w:sz w:val="22"/>
              </w:rPr>
            </w:pPr>
            <w:r>
              <w:rPr>
                <w:rFonts w:ascii="Times New Roman;sans-serif" w:hAnsi="Times New Roman;sans-serif"/>
                <w:b/>
                <w:color w:val="000000"/>
                <w:sz w:val="22"/>
              </w:rPr>
              <w:t>REGISTRATION STATEMENT PURSUANT TO SECTION 12(b) OR (g) OF THE SECURITIES EXCHANGE ACT OF 1934</w:t>
            </w:r>
          </w:p>
        </w:tc>
      </w:tr>
      <w:tr>
        <w:trPr/>
        <w:tc>
          <w:tcPr>
            <w:tcW w:w="1020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2"/>
              </w:rPr>
            </w:pPr>
            <w:r>
              <w:rPr>
                <w:rFonts w:ascii="Times New Roman;sans-serif" w:hAnsi="Times New Roman;sans-serif"/>
                <w:b/>
                <w:color w:val="000000"/>
                <w:sz w:val="22"/>
              </w:rPr>
              <w:t>OR</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9863"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ANNUAL REPORT PURSUANT TO SECTION 13 OR 15(d) OF THE SECURITIES EXCHANGE ACT OF 1934</w:t>
            </w:r>
          </w:p>
        </w:tc>
      </w:tr>
      <w:tr>
        <w:trPr/>
        <w:tc>
          <w:tcPr>
            <w:tcW w:w="4911" w:type="dxa"/>
            <w:gridSpan w:val="6"/>
            <w:tcBorders/>
            <w:shd w:fill="auto" w:val="clear"/>
            <w:tcMar>
              <w:top w:w="0" w:type="dxa"/>
              <w:left w:w="0" w:type="dxa"/>
              <w:bottom w:w="0" w:type="dxa"/>
              <w:right w:w="0" w:type="dxa"/>
            </w:tcMar>
            <w:vAlign w:val="center"/>
          </w:tcPr>
          <w:p>
            <w:pPr>
              <w:pStyle w:val="TableContents"/>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 xml:space="preserve">For the fiscal year ended </w:t>
            </w:r>
          </w:p>
        </w:tc>
        <w:tc>
          <w:tcPr>
            <w:tcW w:w="529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December 31, 2020</w:t>
            </w:r>
          </w:p>
        </w:tc>
      </w:tr>
      <w:tr>
        <w:trPr/>
        <w:tc>
          <w:tcPr>
            <w:tcW w:w="10205" w:type="dxa"/>
            <w:gridSpan w:val="9"/>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OR</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9863" w:type="dxa"/>
            <w:gridSpan w:val="6"/>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TRANSITION REPORT PURSUANT TO SECTION 13 OR 15(d) OF THE SECURITIES EXCHANGE ACT OF 1934</w:t>
            </w:r>
          </w:p>
        </w:tc>
      </w:tr>
      <w:tr>
        <w:trPr/>
        <w:tc>
          <w:tcPr>
            <w:tcW w:w="10205" w:type="dxa"/>
            <w:gridSpan w:val="9"/>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OR</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9863" w:type="dxa"/>
            <w:gridSpan w:val="6"/>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SHELL COMPANY REPORT PURSUANT TO SECTION 13 OR 15(d) OF THE SECURITIES EXCHANGE ACT OF 1934</w:t>
            </w:r>
          </w:p>
        </w:tc>
      </w:tr>
    </w:tbl>
    <w:p>
      <w:pPr>
        <w:pStyle w:val="TextBody"/>
        <w:spacing w:before="0" w:after="0"/>
        <w:jc w:val="center"/>
        <w:rPr/>
      </w:pPr>
      <w:r>
        <w:rPr/>
      </w:r>
    </w:p>
    <w:p>
      <w:pPr>
        <w:pStyle w:val="TextBody"/>
        <w:spacing w:lineRule="auto" w:line="288" w:before="0" w:after="0"/>
        <w:ind w:left="0" w:right="0" w:firstLine="1440"/>
        <w:rPr>
          <w:rFonts w:ascii="Times New Roman;sans-serif" w:hAnsi="Times New Roman;sans-serif"/>
          <w:b w:val="false"/>
          <w:color w:val="000000"/>
          <w:sz w:val="20"/>
        </w:rPr>
      </w:pPr>
      <w:r>
        <w:rPr>
          <w:rFonts w:ascii="Times New Roman;sans-serif" w:hAnsi="Times New Roman;sans-serif"/>
          <w:b w:val="false"/>
          <w:color w:val="000000"/>
          <w:sz w:val="20"/>
        </w:rPr>
        <w:t>Date of event requiring this shell company report:</w:t>
      </w:r>
    </w:p>
    <w:p>
      <w:pPr>
        <w:pStyle w:val="TextBody"/>
        <w:spacing w:before="0" w:after="0"/>
        <w:ind w:left="0" w:right="0" w:firstLine="144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transition period from        to    </w:t>
      </w:r>
    </w:p>
    <w:p>
      <w:pPr>
        <w:pStyle w:val="TextBody"/>
        <w:spacing w:before="0" w:after="0"/>
        <w:jc w:val="center"/>
        <w:rPr/>
      </w:pPr>
      <w:r>
        <w:rPr/>
      </w:r>
    </w:p>
    <w:p>
      <w:pPr>
        <w:pStyle w:val="TextBody"/>
        <w:spacing w:lineRule="auto" w:line="288" w:before="0" w:after="0"/>
        <w:jc w:val="center"/>
        <w:rPr/>
      </w:pPr>
      <w:r>
        <w:rPr>
          <w:rFonts w:ascii="Times New Roman;sans-serif" w:hAnsi="Times New Roman;sans-serif"/>
          <w:b w:val="false"/>
          <w:color w:val="000000"/>
          <w:sz w:val="20"/>
        </w:rPr>
        <w:t>Commission file number:</w:t>
      </w:r>
      <w:r>
        <w:rPr>
          <w:color w:val="000000"/>
        </w:rPr>
        <w:t xml:space="preserve"> </w:t>
      </w:r>
      <w:r>
        <w:rPr>
          <w:rFonts w:ascii="Times New Roman;sans-serif" w:hAnsi="Times New Roman;sans-serif"/>
          <w:b/>
          <w:color w:val="000000"/>
          <w:sz w:val="20"/>
        </w:rPr>
        <w:t>001-39340</w:t>
      </w:r>
    </w:p>
    <w:p>
      <w:pPr>
        <w:pStyle w:val="TextBody"/>
        <w:spacing w:before="0" w:after="0"/>
        <w:jc w:val="center"/>
        <w:rPr/>
      </w:pPr>
      <w:r>
        <w:rPr/>
      </w:r>
    </w:p>
    <w:tbl>
      <w:tblPr>
        <w:tblW w:w="4290" w:type="dxa"/>
        <w:jc w:val="center"/>
        <w:tblInd w:w="0" w:type="dxa"/>
        <w:tblCellMar>
          <w:top w:w="28" w:type="dxa"/>
          <w:left w:w="28" w:type="dxa"/>
          <w:bottom w:w="28" w:type="dxa"/>
          <w:right w:w="28" w:type="dxa"/>
        </w:tblCellMar>
      </w:tblPr>
      <w:tblGrid>
        <w:gridCol w:w="1374"/>
        <w:gridCol w:w="1205"/>
        <w:gridCol w:w="1711"/>
      </w:tblGrid>
      <w:tr>
        <w:trPr/>
        <w:tc>
          <w:tcPr>
            <w:tcW w:w="1374" w:type="dxa"/>
            <w:tcBorders/>
            <w:shd w:fill="auto" w:val="clear"/>
            <w:vAlign w:val="center"/>
          </w:tcPr>
          <w:p>
            <w:pPr>
              <w:pStyle w:val="TableContents"/>
              <w:spacing w:before="0" w:after="283"/>
              <w:rPr>
                <w:sz w:val="4"/>
                <w:szCs w:val="4"/>
              </w:rPr>
            </w:pPr>
            <w:r>
              <w:rPr>
                <w:sz w:val="4"/>
                <w:szCs w:val="4"/>
              </w:rPr>
            </w:r>
          </w:p>
        </w:tc>
        <w:tc>
          <w:tcPr>
            <w:tcW w:w="1205" w:type="dxa"/>
            <w:tcBorders/>
            <w:shd w:fill="auto" w:val="clear"/>
            <w:vAlign w:val="center"/>
          </w:tcPr>
          <w:p>
            <w:pPr>
              <w:pStyle w:val="TableContents"/>
              <w:spacing w:before="0" w:after="283"/>
              <w:rPr>
                <w:sz w:val="4"/>
                <w:szCs w:val="4"/>
              </w:rPr>
            </w:pPr>
            <w:r>
              <w:rPr>
                <w:sz w:val="4"/>
                <w:szCs w:val="4"/>
              </w:rPr>
            </w:r>
          </w:p>
        </w:tc>
        <w:tc>
          <w:tcPr>
            <w:tcW w:w="1711" w:type="dxa"/>
            <w:tcBorders/>
            <w:shd w:fill="auto" w:val="clear"/>
            <w:vAlign w:val="center"/>
          </w:tcPr>
          <w:p>
            <w:pPr>
              <w:pStyle w:val="TableContents"/>
              <w:spacing w:before="0" w:after="283"/>
              <w:rPr>
                <w:sz w:val="4"/>
                <w:szCs w:val="4"/>
              </w:rPr>
            </w:pPr>
            <w:r>
              <w:rPr>
                <w:sz w:val="4"/>
                <w:szCs w:val="4"/>
              </w:rPr>
            </w:r>
          </w:p>
        </w:tc>
      </w:tr>
      <w:tr>
        <w:trPr/>
        <w:tc>
          <w:tcPr>
            <w:tcW w:w="4290"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Agora, Inc.</w:t>
            </w:r>
          </w:p>
        </w:tc>
      </w:tr>
      <w:tr>
        <w:trPr/>
        <w:tc>
          <w:tcPr>
            <w:tcW w:w="429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(Exact name of registrant as specified in its charter)</w:t>
            </w:r>
          </w:p>
        </w:tc>
      </w:tr>
    </w:tbl>
    <w:tbl>
      <w:tblPr>
        <w:tblW w:w="3974" w:type="dxa"/>
        <w:jc w:val="center"/>
        <w:tblInd w:w="0" w:type="dxa"/>
        <w:tblCellMar>
          <w:top w:w="28" w:type="dxa"/>
          <w:left w:w="28" w:type="dxa"/>
          <w:bottom w:w="28" w:type="dxa"/>
          <w:right w:w="28" w:type="dxa"/>
        </w:tblCellMar>
      </w:tblPr>
      <w:tblGrid>
        <w:gridCol w:w="1272"/>
        <w:gridCol w:w="1117"/>
        <w:gridCol w:w="1585"/>
      </w:tblGrid>
      <w:tr>
        <w:trPr/>
        <w:tc>
          <w:tcPr>
            <w:tcW w:w="1272" w:type="dxa"/>
            <w:tcBorders/>
            <w:shd w:fill="auto" w:val="clear"/>
            <w:vAlign w:val="center"/>
          </w:tcPr>
          <w:p>
            <w:pPr>
              <w:pStyle w:val="TableContents"/>
              <w:spacing w:before="0" w:after="283"/>
              <w:rPr>
                <w:sz w:val="4"/>
                <w:szCs w:val="4"/>
              </w:rPr>
            </w:pPr>
            <w:r>
              <w:rPr>
                <w:sz w:val="4"/>
                <w:szCs w:val="4"/>
              </w:rPr>
            </w:r>
          </w:p>
        </w:tc>
        <w:tc>
          <w:tcPr>
            <w:tcW w:w="1117" w:type="dxa"/>
            <w:tcBorders/>
            <w:shd w:fill="auto" w:val="clear"/>
            <w:vAlign w:val="center"/>
          </w:tcPr>
          <w:p>
            <w:pPr>
              <w:pStyle w:val="TableContents"/>
              <w:spacing w:before="0" w:after="283"/>
              <w:rPr>
                <w:sz w:val="4"/>
                <w:szCs w:val="4"/>
              </w:rPr>
            </w:pPr>
            <w:r>
              <w:rPr>
                <w:sz w:val="4"/>
                <w:szCs w:val="4"/>
              </w:rPr>
            </w:r>
          </w:p>
        </w:tc>
        <w:tc>
          <w:tcPr>
            <w:tcW w:w="1585" w:type="dxa"/>
            <w:tcBorders/>
            <w:shd w:fill="auto" w:val="clear"/>
            <w:vAlign w:val="center"/>
          </w:tcPr>
          <w:p>
            <w:pPr>
              <w:pStyle w:val="TableContents"/>
              <w:spacing w:before="0" w:after="283"/>
              <w:rPr>
                <w:sz w:val="4"/>
                <w:szCs w:val="4"/>
              </w:rPr>
            </w:pPr>
            <w:r>
              <w:rPr>
                <w:sz w:val="4"/>
                <w:szCs w:val="4"/>
              </w:rPr>
            </w:r>
          </w:p>
        </w:tc>
      </w:tr>
      <w:tr>
        <w:trPr/>
        <w:tc>
          <w:tcPr>
            <w:tcW w:w="3974"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N/A</w:t>
            </w:r>
          </w:p>
        </w:tc>
      </w:tr>
      <w:tr>
        <w:trPr/>
        <w:tc>
          <w:tcPr>
            <w:tcW w:w="397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(Translation of Registrant’s name into English)</w:t>
            </w:r>
          </w:p>
        </w:tc>
      </w:tr>
    </w:tbl>
    <w:tbl>
      <w:tblPr>
        <w:tblW w:w="3899" w:type="dxa"/>
        <w:jc w:val="center"/>
        <w:tblInd w:w="0" w:type="dxa"/>
        <w:tblCellMar>
          <w:top w:w="28" w:type="dxa"/>
          <w:left w:w="28" w:type="dxa"/>
          <w:bottom w:w="28" w:type="dxa"/>
          <w:right w:w="28" w:type="dxa"/>
        </w:tblCellMar>
      </w:tblPr>
      <w:tblGrid>
        <w:gridCol w:w="1246"/>
        <w:gridCol w:w="1096"/>
        <w:gridCol w:w="1557"/>
      </w:tblGrid>
      <w:tr>
        <w:trPr/>
        <w:tc>
          <w:tcPr>
            <w:tcW w:w="1246" w:type="dxa"/>
            <w:tcBorders/>
            <w:shd w:fill="auto" w:val="clear"/>
            <w:vAlign w:val="center"/>
          </w:tcPr>
          <w:p>
            <w:pPr>
              <w:pStyle w:val="TableContents"/>
              <w:spacing w:before="0" w:after="283"/>
              <w:rPr>
                <w:sz w:val="4"/>
                <w:szCs w:val="4"/>
              </w:rPr>
            </w:pPr>
            <w:r>
              <w:rPr>
                <w:sz w:val="4"/>
                <w:szCs w:val="4"/>
              </w:rPr>
            </w:r>
          </w:p>
        </w:tc>
        <w:tc>
          <w:tcPr>
            <w:tcW w:w="1096" w:type="dxa"/>
            <w:tcBorders/>
            <w:shd w:fill="auto" w:val="clear"/>
            <w:vAlign w:val="center"/>
          </w:tcPr>
          <w:p>
            <w:pPr>
              <w:pStyle w:val="TableContents"/>
              <w:spacing w:before="0" w:after="283"/>
              <w:rPr>
                <w:sz w:val="4"/>
                <w:szCs w:val="4"/>
              </w:rPr>
            </w:pPr>
            <w:r>
              <w:rPr>
                <w:sz w:val="4"/>
                <w:szCs w:val="4"/>
              </w:rPr>
            </w:r>
          </w:p>
        </w:tc>
        <w:tc>
          <w:tcPr>
            <w:tcW w:w="1557" w:type="dxa"/>
            <w:tcBorders/>
            <w:shd w:fill="auto" w:val="clear"/>
            <w:vAlign w:val="center"/>
          </w:tcPr>
          <w:p>
            <w:pPr>
              <w:pStyle w:val="TableContents"/>
              <w:spacing w:before="0" w:after="283"/>
              <w:rPr>
                <w:sz w:val="4"/>
                <w:szCs w:val="4"/>
              </w:rPr>
            </w:pPr>
            <w:r>
              <w:rPr>
                <w:sz w:val="4"/>
                <w:szCs w:val="4"/>
              </w:rPr>
            </w:r>
          </w:p>
        </w:tc>
      </w:tr>
      <w:tr>
        <w:trPr/>
        <w:tc>
          <w:tcPr>
            <w:tcW w:w="3899"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Cayman Islands</w:t>
            </w:r>
          </w:p>
        </w:tc>
      </w:tr>
      <w:tr>
        <w:trPr/>
        <w:tc>
          <w:tcPr>
            <w:tcW w:w="389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(Jurisdiction of incorporation or organization)</w:t>
            </w:r>
          </w:p>
        </w:tc>
      </w:tr>
    </w:tbl>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Floor 8, Building 12</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Phase III of ChuangZhiTianDi</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333 Songhu Road</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Yangpu District, Shanghai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People’s Republic of China</w:t>
      </w:r>
    </w:p>
    <w:tbl>
      <w:tblPr>
        <w:tblW w:w="3345" w:type="dxa"/>
        <w:jc w:val="center"/>
        <w:tblInd w:w="0" w:type="dxa"/>
        <w:tblCellMar>
          <w:top w:w="28" w:type="dxa"/>
          <w:left w:w="28" w:type="dxa"/>
          <w:bottom w:w="28" w:type="dxa"/>
          <w:right w:w="28" w:type="dxa"/>
        </w:tblCellMar>
      </w:tblPr>
      <w:tblGrid>
        <w:gridCol w:w="1068"/>
        <w:gridCol w:w="940"/>
        <w:gridCol w:w="1337"/>
      </w:tblGrid>
      <w:tr>
        <w:trPr/>
        <w:tc>
          <w:tcPr>
            <w:tcW w:w="1068" w:type="dxa"/>
            <w:tcBorders/>
            <w:shd w:fill="auto" w:val="clear"/>
            <w:vAlign w:val="center"/>
          </w:tcPr>
          <w:p>
            <w:pPr>
              <w:pStyle w:val="TableContents"/>
              <w:spacing w:before="0" w:after="283"/>
              <w:rPr>
                <w:sz w:val="4"/>
                <w:szCs w:val="4"/>
              </w:rPr>
            </w:pPr>
            <w:r>
              <w:rPr>
                <w:sz w:val="4"/>
                <w:szCs w:val="4"/>
              </w:rPr>
            </w:r>
          </w:p>
        </w:tc>
        <w:tc>
          <w:tcPr>
            <w:tcW w:w="940" w:type="dxa"/>
            <w:tcBorders/>
            <w:shd w:fill="auto" w:val="clear"/>
            <w:vAlign w:val="center"/>
          </w:tcPr>
          <w:p>
            <w:pPr>
              <w:pStyle w:val="TableContents"/>
              <w:spacing w:before="0" w:after="283"/>
              <w:rPr>
                <w:sz w:val="4"/>
                <w:szCs w:val="4"/>
              </w:rPr>
            </w:pPr>
            <w:r>
              <w:rPr>
                <w:sz w:val="4"/>
                <w:szCs w:val="4"/>
              </w:rPr>
            </w:r>
          </w:p>
        </w:tc>
        <w:tc>
          <w:tcPr>
            <w:tcW w:w="1337" w:type="dxa"/>
            <w:tcBorders/>
            <w:shd w:fill="auto" w:val="clear"/>
            <w:vAlign w:val="center"/>
          </w:tcPr>
          <w:p>
            <w:pPr>
              <w:pStyle w:val="TableContents"/>
              <w:spacing w:before="0" w:after="283"/>
              <w:rPr>
                <w:sz w:val="4"/>
                <w:szCs w:val="4"/>
              </w:rPr>
            </w:pPr>
            <w:r>
              <w:rPr>
                <w:sz w:val="4"/>
                <w:szCs w:val="4"/>
              </w:rPr>
            </w:r>
          </w:p>
        </w:tc>
      </w:tr>
      <w:tr>
        <w:trPr/>
        <w:tc>
          <w:tcPr>
            <w:tcW w:w="334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w:t>
            </w:r>
          </w:p>
        </w:tc>
      </w:tr>
    </w:tbl>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Jingbo Wang, Chief Financial Officer</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Telephone: +86-400-632-6626</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Email: investor@agora.io</w:t>
      </w:r>
    </w:p>
    <w:p>
      <w:pPr>
        <w:pStyle w:val="HorizontalLine"/>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Floor 8, Building 12, Phase III of ChuangZhiTianDi, 333 Songhu Road</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Yangpu District, Shanghai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People’s Republic of China</w:t>
      </w:r>
    </w:p>
    <w:tbl>
      <w:tblPr>
        <w:tblW w:w="7755" w:type="dxa"/>
        <w:jc w:val="center"/>
        <w:tblInd w:w="0" w:type="dxa"/>
        <w:tblCellMar>
          <w:top w:w="28" w:type="dxa"/>
          <w:left w:w="28" w:type="dxa"/>
          <w:bottom w:w="28" w:type="dxa"/>
          <w:right w:w="28" w:type="dxa"/>
        </w:tblCellMar>
      </w:tblPr>
      <w:tblGrid>
        <w:gridCol w:w="2477"/>
        <w:gridCol w:w="2179"/>
        <w:gridCol w:w="3099"/>
      </w:tblGrid>
      <w:tr>
        <w:trPr/>
        <w:tc>
          <w:tcPr>
            <w:tcW w:w="2477" w:type="dxa"/>
            <w:tcBorders/>
            <w:shd w:fill="auto" w:val="clear"/>
            <w:vAlign w:val="center"/>
          </w:tcPr>
          <w:p>
            <w:pPr>
              <w:pStyle w:val="TableContents"/>
              <w:spacing w:before="0" w:after="283"/>
              <w:rPr>
                <w:sz w:val="4"/>
                <w:szCs w:val="4"/>
              </w:rPr>
            </w:pPr>
            <w:r>
              <w:rPr>
                <w:sz w:val="4"/>
                <w:szCs w:val="4"/>
              </w:rPr>
            </w:r>
          </w:p>
        </w:tc>
        <w:tc>
          <w:tcPr>
            <w:tcW w:w="2179" w:type="dxa"/>
            <w:tcBorders/>
            <w:shd w:fill="auto" w:val="clear"/>
            <w:vAlign w:val="center"/>
          </w:tcPr>
          <w:p>
            <w:pPr>
              <w:pStyle w:val="TableContents"/>
              <w:spacing w:before="0" w:after="283"/>
              <w:rPr>
                <w:sz w:val="4"/>
                <w:szCs w:val="4"/>
              </w:rPr>
            </w:pPr>
            <w:r>
              <w:rPr>
                <w:sz w:val="4"/>
                <w:szCs w:val="4"/>
              </w:rPr>
            </w:r>
          </w:p>
        </w:tc>
        <w:tc>
          <w:tcPr>
            <w:tcW w:w="3099" w:type="dxa"/>
            <w:tcBorders/>
            <w:shd w:fill="auto" w:val="clear"/>
            <w:vAlign w:val="center"/>
          </w:tcPr>
          <w:p>
            <w:pPr>
              <w:pStyle w:val="TableContents"/>
              <w:spacing w:before="0" w:after="283"/>
              <w:rPr>
                <w:sz w:val="4"/>
                <w:szCs w:val="4"/>
              </w:rPr>
            </w:pPr>
            <w:r>
              <w:rPr>
                <w:sz w:val="4"/>
                <w:szCs w:val="4"/>
              </w:rPr>
            </w:r>
          </w:p>
        </w:tc>
      </w:tr>
      <w:tr>
        <w:trPr/>
        <w:tc>
          <w:tcPr>
            <w:tcW w:w="775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(Name, Telephone, E-mail and/or Facsimile number and Address of Company Contact Person)</w:t>
            </w:r>
          </w:p>
        </w:tc>
      </w:tr>
    </w:tbl>
    <w:p>
      <w:pPr>
        <w:pStyle w:val="TextBody"/>
        <w:spacing w:before="0" w:after="0"/>
        <w:jc w:val="center"/>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Securities registered or to be registered pursuant to Section 12(b) of the Act</w:t>
      </w:r>
    </w:p>
    <w:p>
      <w:pPr>
        <w:pStyle w:val="TextBody"/>
        <w:spacing w:lineRule="auto" w:line="288" w:before="0" w:after="0"/>
        <w:rPr>
          <w:color w:val="000000"/>
        </w:rPr>
      </w:pPr>
      <w:r>
        <w:rPr>
          <w:color w:val="000000"/>
        </w:rPr>
        <w:t> </w:t>
      </w:r>
    </w:p>
    <w:tbl>
      <w:tblPr>
        <w:tblW w:w="10205" w:type="dxa"/>
        <w:jc w:val="left"/>
        <w:tblInd w:w="0" w:type="dxa"/>
        <w:tblCellMar>
          <w:top w:w="28" w:type="dxa"/>
          <w:left w:w="28" w:type="dxa"/>
          <w:bottom w:w="28" w:type="dxa"/>
          <w:right w:w="28" w:type="dxa"/>
        </w:tblCellMar>
      </w:tblPr>
      <w:tblGrid>
        <w:gridCol w:w="1797"/>
        <w:gridCol w:w="1577"/>
        <w:gridCol w:w="1584"/>
        <w:gridCol w:w="109"/>
        <w:gridCol w:w="109"/>
        <w:gridCol w:w="109"/>
        <w:gridCol w:w="425"/>
        <w:gridCol w:w="425"/>
        <w:gridCol w:w="426"/>
        <w:gridCol w:w="109"/>
        <w:gridCol w:w="109"/>
        <w:gridCol w:w="109"/>
        <w:gridCol w:w="971"/>
        <w:gridCol w:w="971"/>
        <w:gridCol w:w="1375"/>
      </w:tblGrid>
      <w:tr>
        <w:trPr/>
        <w:tc>
          <w:tcPr>
            <w:tcW w:w="1797" w:type="dxa"/>
            <w:tcBorders/>
            <w:shd w:fill="auto" w:val="clear"/>
            <w:vAlign w:val="center"/>
          </w:tcPr>
          <w:p>
            <w:pPr>
              <w:pStyle w:val="TableContents"/>
              <w:spacing w:before="0" w:after="283"/>
              <w:rPr>
                <w:sz w:val="4"/>
                <w:szCs w:val="4"/>
              </w:rPr>
            </w:pPr>
            <w:r>
              <w:rPr>
                <w:sz w:val="4"/>
                <w:szCs w:val="4"/>
              </w:rPr>
            </w:r>
          </w:p>
        </w:tc>
        <w:tc>
          <w:tcPr>
            <w:tcW w:w="1577" w:type="dxa"/>
            <w:tcBorders/>
            <w:shd w:fill="auto" w:val="clear"/>
            <w:vAlign w:val="center"/>
          </w:tcPr>
          <w:p>
            <w:pPr>
              <w:pStyle w:val="TableContents"/>
              <w:spacing w:before="0" w:after="283"/>
              <w:rPr>
                <w:sz w:val="4"/>
                <w:szCs w:val="4"/>
              </w:rPr>
            </w:pPr>
            <w:r>
              <w:rPr>
                <w:sz w:val="4"/>
                <w:szCs w:val="4"/>
              </w:rPr>
            </w:r>
          </w:p>
        </w:tc>
        <w:tc>
          <w:tcPr>
            <w:tcW w:w="158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5" w:type="dxa"/>
            <w:tcBorders/>
            <w:shd w:fill="auto" w:val="clear"/>
            <w:vAlign w:val="center"/>
          </w:tcPr>
          <w:p>
            <w:pPr>
              <w:pStyle w:val="TableContents"/>
              <w:spacing w:before="0" w:after="283"/>
              <w:rPr>
                <w:sz w:val="4"/>
                <w:szCs w:val="4"/>
              </w:rPr>
            </w:pPr>
            <w:r>
              <w:rPr>
                <w:sz w:val="4"/>
                <w:szCs w:val="4"/>
              </w:rPr>
            </w:r>
          </w:p>
        </w:tc>
        <w:tc>
          <w:tcPr>
            <w:tcW w:w="425" w:type="dxa"/>
            <w:tcBorders/>
            <w:shd w:fill="auto" w:val="clear"/>
            <w:vAlign w:val="center"/>
          </w:tcPr>
          <w:p>
            <w:pPr>
              <w:pStyle w:val="TableContents"/>
              <w:spacing w:before="0" w:after="283"/>
              <w:rPr>
                <w:sz w:val="4"/>
                <w:szCs w:val="4"/>
              </w:rPr>
            </w:pPr>
            <w:r>
              <w:rPr>
                <w:sz w:val="4"/>
                <w:szCs w:val="4"/>
              </w:rPr>
            </w:r>
          </w:p>
        </w:tc>
        <w:tc>
          <w:tcPr>
            <w:tcW w:w="4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71" w:type="dxa"/>
            <w:tcBorders/>
            <w:shd w:fill="auto" w:val="clear"/>
            <w:vAlign w:val="center"/>
          </w:tcPr>
          <w:p>
            <w:pPr>
              <w:pStyle w:val="TableContents"/>
              <w:spacing w:before="0" w:after="283"/>
              <w:rPr>
                <w:sz w:val="4"/>
                <w:szCs w:val="4"/>
              </w:rPr>
            </w:pPr>
            <w:r>
              <w:rPr>
                <w:sz w:val="4"/>
                <w:szCs w:val="4"/>
              </w:rPr>
            </w:r>
          </w:p>
        </w:tc>
        <w:tc>
          <w:tcPr>
            <w:tcW w:w="971" w:type="dxa"/>
            <w:tcBorders/>
            <w:shd w:fill="auto" w:val="clear"/>
            <w:vAlign w:val="center"/>
          </w:tcPr>
          <w:p>
            <w:pPr>
              <w:pStyle w:val="TableContents"/>
              <w:spacing w:before="0" w:after="283"/>
              <w:rPr>
                <w:sz w:val="4"/>
                <w:szCs w:val="4"/>
              </w:rPr>
            </w:pPr>
            <w:r>
              <w:rPr>
                <w:sz w:val="4"/>
                <w:szCs w:val="4"/>
              </w:rPr>
            </w:r>
          </w:p>
        </w:tc>
        <w:tc>
          <w:tcPr>
            <w:tcW w:w="1375" w:type="dxa"/>
            <w:tcBorders/>
            <w:shd w:fill="auto" w:val="clear"/>
            <w:vAlign w:val="center"/>
          </w:tcPr>
          <w:p>
            <w:pPr>
              <w:pStyle w:val="TableContents"/>
              <w:spacing w:before="0" w:after="283"/>
              <w:rPr>
                <w:sz w:val="4"/>
                <w:szCs w:val="4"/>
              </w:rPr>
            </w:pPr>
            <w:r>
              <w:rPr>
                <w:sz w:val="4"/>
                <w:szCs w:val="4"/>
              </w:rPr>
            </w:r>
          </w:p>
        </w:tc>
      </w:tr>
      <w:tr>
        <w:trPr/>
        <w:tc>
          <w:tcPr>
            <w:tcW w:w="495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Title of each class</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127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Trading Symbol</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331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Name of each exchange on which registered</w:t>
            </w:r>
          </w:p>
        </w:tc>
      </w:tr>
      <w:tr>
        <w:trPr/>
        <w:tc>
          <w:tcPr>
            <w:tcW w:w="495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American depositary shares (each American depositary shares representing four Class A ordinary share, par value US$0.0001 each)</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27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API</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31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The Nasdaq Global Select Market</w:t>
            </w:r>
          </w:p>
        </w:tc>
      </w:tr>
      <w:tr>
        <w:trPr/>
        <w:tc>
          <w:tcPr>
            <w:tcW w:w="495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Class A ordinary shares, with a par value of US$0.0001 each*</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27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31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The Nasdaq Global Select Market</w:t>
            </w:r>
          </w:p>
        </w:tc>
      </w:tr>
    </w:tbl>
    <w:p>
      <w:pPr>
        <w:pStyle w:val="TextBody"/>
        <w:spacing w:lineRule="auto" w:line="288" w:before="0" w:after="0"/>
        <w:rPr>
          <w:rFonts w:ascii="Times New Roman;sans-serif" w:hAnsi="Times New Roman;sans-serif"/>
          <w:b w:val="false"/>
          <w:color w:val="000000"/>
          <w:sz w:val="18"/>
        </w:rPr>
      </w:pPr>
      <w:r>
        <w:rPr>
          <w:rFonts w:ascii="Times New Roman;sans-serif" w:hAnsi="Times New Roman;sans-serif"/>
          <w:b w:val="false"/>
          <w:color w:val="000000"/>
          <w:sz w:val="18"/>
        </w:rPr>
        <w:t>_____________________________</w:t>
      </w:r>
    </w:p>
    <w:p>
      <w:pPr>
        <w:pStyle w:val="TextBody"/>
        <w:spacing w:lineRule="auto" w:line="288" w:before="144" w:after="283"/>
        <w:jc w:val="both"/>
        <w:rPr>
          <w:rFonts w:ascii="Times New Roman;sans-serif" w:hAnsi="Times New Roman;sans-serif"/>
          <w:b w:val="false"/>
          <w:color w:val="000000"/>
          <w:sz w:val="18"/>
        </w:rPr>
      </w:pPr>
      <w:r>
        <w:rPr>
          <w:rFonts w:ascii="Times New Roman;sans-serif" w:hAnsi="Times New Roman;sans-serif"/>
          <w:b w:val="false"/>
          <w:color w:val="000000"/>
          <w:sz w:val="18"/>
        </w:rPr>
        <w:t>* Not for trading, but only in connection with the listing on the Nasdaq Global Select Market of American depositary shares</w:t>
      </w:r>
    </w:p>
    <w:p>
      <w:pPr>
        <w:pStyle w:val="TextBody"/>
        <w:spacing w:lineRule="auto" w:line="288" w:before="144" w:after="283"/>
        <w:jc w:val="both"/>
        <w:rPr>
          <w:rFonts w:ascii="Times New Roman;sans-serif" w:hAnsi="Times New Roman;sans-serif"/>
          <w:b w:val="false"/>
          <w:color w:val="000000"/>
          <w:sz w:val="18"/>
        </w:rPr>
      </w:pPr>
      <w:r>
        <w:rPr>
          <w:rFonts w:ascii="Times New Roman;sans-serif" w:hAnsi="Times New Roman;sans-serif"/>
          <w:b w:val="false"/>
          <w:color w:val="000000"/>
          <w:sz w:val="18"/>
        </w:rPr>
        <w:t>Securities registered or to be registered pursuant to Section 12(g) of the Act</w:t>
      </w:r>
    </w:p>
    <w:tbl>
      <w:tblPr>
        <w:tblW w:w="1883" w:type="dxa"/>
        <w:jc w:val="left"/>
        <w:tblInd w:w="0" w:type="dxa"/>
        <w:tblCellMar>
          <w:top w:w="28" w:type="dxa"/>
          <w:left w:w="28" w:type="dxa"/>
          <w:bottom w:w="28" w:type="dxa"/>
          <w:right w:w="28" w:type="dxa"/>
        </w:tblCellMar>
      </w:tblPr>
      <w:tblGrid>
        <w:gridCol w:w="124"/>
        <w:gridCol w:w="109"/>
        <w:gridCol w:w="109"/>
        <w:gridCol w:w="389"/>
        <w:gridCol w:w="389"/>
        <w:gridCol w:w="391"/>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89" w:type="dxa"/>
            <w:tcBorders/>
            <w:shd w:fill="auto" w:val="clear"/>
            <w:vAlign w:val="center"/>
          </w:tcPr>
          <w:p>
            <w:pPr>
              <w:pStyle w:val="TableContents"/>
              <w:spacing w:before="0" w:after="283"/>
              <w:rPr>
                <w:sz w:val="4"/>
                <w:szCs w:val="4"/>
              </w:rPr>
            </w:pPr>
            <w:r>
              <w:rPr>
                <w:sz w:val="4"/>
                <w:szCs w:val="4"/>
              </w:rPr>
            </w:r>
          </w:p>
        </w:tc>
        <w:tc>
          <w:tcPr>
            <w:tcW w:w="389"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16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None</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16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(Title of Class)</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bl>
    <w:p>
      <w:pPr>
        <w:pStyle w:val="TextBody"/>
        <w:spacing w:lineRule="auto" w:line="288" w:before="0" w:after="0"/>
        <w:rPr>
          <w:rFonts w:ascii="Times New Roman;sans-serif" w:hAnsi="Times New Roman;sans-serif"/>
          <w:b w:val="false"/>
          <w:color w:val="000000"/>
          <w:sz w:val="18"/>
        </w:rPr>
      </w:pPr>
      <w:r>
        <w:rPr>
          <w:rFonts w:ascii="Times New Roman;sans-serif" w:hAnsi="Times New Roman;sans-serif"/>
          <w:b w:val="false"/>
          <w:color w:val="000000"/>
          <w:sz w:val="18"/>
        </w:rPr>
        <w:t>Securities for which there is a reporting obligation pursuant to Section 15(d) of the Act</w:t>
      </w:r>
    </w:p>
    <w:tbl>
      <w:tblPr>
        <w:tblW w:w="1883" w:type="dxa"/>
        <w:jc w:val="left"/>
        <w:tblInd w:w="0" w:type="dxa"/>
        <w:tblCellMar>
          <w:top w:w="28" w:type="dxa"/>
          <w:left w:w="28" w:type="dxa"/>
          <w:bottom w:w="28" w:type="dxa"/>
          <w:right w:w="28" w:type="dxa"/>
        </w:tblCellMar>
      </w:tblPr>
      <w:tblGrid>
        <w:gridCol w:w="124"/>
        <w:gridCol w:w="109"/>
        <w:gridCol w:w="109"/>
        <w:gridCol w:w="389"/>
        <w:gridCol w:w="389"/>
        <w:gridCol w:w="391"/>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89" w:type="dxa"/>
            <w:tcBorders/>
            <w:shd w:fill="auto" w:val="clear"/>
            <w:vAlign w:val="center"/>
          </w:tcPr>
          <w:p>
            <w:pPr>
              <w:pStyle w:val="TableContents"/>
              <w:spacing w:before="0" w:after="283"/>
              <w:rPr>
                <w:sz w:val="4"/>
                <w:szCs w:val="4"/>
              </w:rPr>
            </w:pPr>
            <w:r>
              <w:rPr>
                <w:sz w:val="4"/>
                <w:szCs w:val="4"/>
              </w:rPr>
            </w:r>
          </w:p>
        </w:tc>
        <w:tc>
          <w:tcPr>
            <w:tcW w:w="389"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16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None</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16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(Title of Class)</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bl>
    <w:p>
      <w:pPr>
        <w:pStyle w:val="TextBody"/>
        <w:spacing w:lineRule="auto" w:line="288" w:before="144" w:after="144"/>
        <w:jc w:val="both"/>
        <w:rPr>
          <w:rFonts w:ascii="Times New Roman;sans-serif" w:hAnsi="Times New Roman;sans-serif"/>
          <w:b w:val="false"/>
          <w:color w:val="000000"/>
          <w:sz w:val="18"/>
        </w:rPr>
      </w:pPr>
      <w:r>
        <w:rPr>
          <w:rFonts w:ascii="Times New Roman;sans-serif" w:hAnsi="Times New Roman;sans-serif"/>
          <w:b w:val="false"/>
          <w:color w:val="000000"/>
          <w:sz w:val="18"/>
        </w:rPr>
        <w:t>Indicate the number of outstanding shares of each of the issuer’s classes of capital or common stock as of the close of the period covered by the annual report:</w:t>
      </w:r>
    </w:p>
    <w:tbl>
      <w:tblPr>
        <w:tblW w:w="8261" w:type="dxa"/>
        <w:jc w:val="left"/>
        <w:tblInd w:w="0" w:type="dxa"/>
        <w:tblCellMar>
          <w:top w:w="28" w:type="dxa"/>
          <w:left w:w="28" w:type="dxa"/>
          <w:bottom w:w="28" w:type="dxa"/>
          <w:right w:w="28" w:type="dxa"/>
        </w:tblCellMar>
      </w:tblPr>
      <w:tblGrid>
        <w:gridCol w:w="1374"/>
        <w:gridCol w:w="1205"/>
        <w:gridCol w:w="1216"/>
        <w:gridCol w:w="109"/>
        <w:gridCol w:w="109"/>
        <w:gridCol w:w="109"/>
        <w:gridCol w:w="1209"/>
        <w:gridCol w:w="1209"/>
        <w:gridCol w:w="1721"/>
      </w:tblGrid>
      <w:tr>
        <w:trPr/>
        <w:tc>
          <w:tcPr>
            <w:tcW w:w="1374" w:type="dxa"/>
            <w:tcBorders/>
            <w:shd w:fill="auto" w:val="clear"/>
            <w:vAlign w:val="center"/>
          </w:tcPr>
          <w:p>
            <w:pPr>
              <w:pStyle w:val="TableContents"/>
              <w:spacing w:before="0" w:after="283"/>
              <w:rPr>
                <w:sz w:val="4"/>
                <w:szCs w:val="4"/>
              </w:rPr>
            </w:pPr>
            <w:r>
              <w:rPr>
                <w:sz w:val="4"/>
                <w:szCs w:val="4"/>
              </w:rPr>
            </w:r>
          </w:p>
        </w:tc>
        <w:tc>
          <w:tcPr>
            <w:tcW w:w="1205" w:type="dxa"/>
            <w:tcBorders/>
            <w:shd w:fill="auto" w:val="clear"/>
            <w:vAlign w:val="center"/>
          </w:tcPr>
          <w:p>
            <w:pPr>
              <w:pStyle w:val="TableContents"/>
              <w:spacing w:before="0" w:after="283"/>
              <w:rPr>
                <w:sz w:val="4"/>
                <w:szCs w:val="4"/>
              </w:rPr>
            </w:pPr>
            <w:r>
              <w:rPr>
                <w:sz w:val="4"/>
                <w:szCs w:val="4"/>
              </w:rPr>
            </w:r>
          </w:p>
        </w:tc>
        <w:tc>
          <w:tcPr>
            <w:tcW w:w="12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09" w:type="dxa"/>
            <w:tcBorders/>
            <w:shd w:fill="auto" w:val="clear"/>
            <w:vAlign w:val="center"/>
          </w:tcPr>
          <w:p>
            <w:pPr>
              <w:pStyle w:val="TableContents"/>
              <w:spacing w:before="0" w:after="283"/>
              <w:rPr>
                <w:sz w:val="4"/>
                <w:szCs w:val="4"/>
              </w:rPr>
            </w:pPr>
            <w:r>
              <w:rPr>
                <w:sz w:val="4"/>
                <w:szCs w:val="4"/>
              </w:rPr>
            </w:r>
          </w:p>
        </w:tc>
        <w:tc>
          <w:tcPr>
            <w:tcW w:w="1209" w:type="dxa"/>
            <w:tcBorders/>
            <w:shd w:fill="auto" w:val="clear"/>
            <w:vAlign w:val="center"/>
          </w:tcPr>
          <w:p>
            <w:pPr>
              <w:pStyle w:val="TableContents"/>
              <w:spacing w:before="0" w:after="283"/>
              <w:rPr>
                <w:sz w:val="4"/>
                <w:szCs w:val="4"/>
              </w:rPr>
            </w:pPr>
            <w:r>
              <w:rPr>
                <w:sz w:val="4"/>
                <w:szCs w:val="4"/>
              </w:rPr>
            </w:r>
          </w:p>
        </w:tc>
        <w:tc>
          <w:tcPr>
            <w:tcW w:w="1721" w:type="dxa"/>
            <w:tcBorders/>
            <w:shd w:fill="auto" w:val="clear"/>
            <w:vAlign w:val="center"/>
          </w:tcPr>
          <w:p>
            <w:pPr>
              <w:pStyle w:val="TableContents"/>
              <w:spacing w:before="0" w:after="283"/>
              <w:rPr>
                <w:sz w:val="4"/>
                <w:szCs w:val="4"/>
              </w:rPr>
            </w:pPr>
            <w:r>
              <w:rPr>
                <w:sz w:val="4"/>
                <w:szCs w:val="4"/>
              </w:rPr>
            </w:r>
          </w:p>
        </w:tc>
      </w:tr>
      <w:tr>
        <w:trPr/>
        <w:tc>
          <w:tcPr>
            <w:tcW w:w="379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Class A ordinary shares, par value US$0.0001 each</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4139" w:type="dxa"/>
            <w:gridSpan w:val="3"/>
            <w:tcBorders/>
            <w:shd w:fill="auto" w:val="clear"/>
            <w:tcMar>
              <w:top w:w="0" w:type="dxa"/>
              <w:left w:w="0" w:type="dxa"/>
              <w:bottom w:w="0" w:type="dxa"/>
              <w:right w:w="0" w:type="dxa"/>
            </w:tcMar>
            <w:vAlign w:val="center"/>
          </w:tcPr>
          <w:p>
            <w:pPr>
              <w:pStyle w:val="TableContents"/>
              <w:spacing w:lineRule="auto" w:line="276"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347,302,624 were outstanding as of December 31, 2020</w:t>
            </w:r>
          </w:p>
        </w:tc>
      </w:tr>
      <w:tr>
        <w:trPr/>
        <w:tc>
          <w:tcPr>
            <w:tcW w:w="379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Class B ordinary shares, par value US$0.0001 each</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4139" w:type="dxa"/>
            <w:gridSpan w:val="3"/>
            <w:tcBorders/>
            <w:shd w:fill="auto" w:val="clear"/>
            <w:tcMar>
              <w:top w:w="0" w:type="dxa"/>
              <w:left w:w="0" w:type="dxa"/>
              <w:bottom w:w="0" w:type="dxa"/>
              <w:right w:w="0" w:type="dxa"/>
            </w:tcMar>
            <w:vAlign w:val="center"/>
          </w:tcPr>
          <w:p>
            <w:pPr>
              <w:pStyle w:val="TableContents"/>
              <w:spacing w:lineRule="auto" w:line="276"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76,179,938 were outstanding as of December 31, 2020</w:t>
            </w:r>
          </w:p>
        </w:tc>
      </w:tr>
    </w:tbl>
    <w:p>
      <w:pPr>
        <w:pStyle w:val="TextBody"/>
        <w:spacing w:lineRule="auto" w:line="288" w:before="144" w:after="144"/>
        <w:jc w:val="both"/>
        <w:rPr/>
      </w:pPr>
      <w:r>
        <w:rPr>
          <w:rFonts w:ascii="Times New Roman;sans-serif" w:hAnsi="Times New Roman;sans-serif"/>
          <w:b w:val="false"/>
          <w:color w:val="000000"/>
          <w:sz w:val="18"/>
        </w:rPr>
        <w:t xml:space="preserve">Indicate by check mark if the registrant is a well-known seasoned issuer, as defined in Rule 405 of the Securities Act.   Yes </w:t>
      </w:r>
      <w:r>
        <w:rPr>
          <w:rFonts w:ascii="Wingdings;sans-serif" w:hAnsi="Wingdings;sans-serif"/>
          <w:b w:val="false"/>
          <w:color w:val="000000"/>
          <w:sz w:val="20"/>
        </w:rPr>
        <w:t>o</w:t>
      </w:r>
      <w:r>
        <w:rPr>
          <w:color w:val="000000"/>
        </w:rPr>
        <w:t xml:space="preserve"> </w:t>
      </w:r>
      <w:r>
        <w:rPr>
          <w:rFonts w:ascii="Times New Roman;sans-serif" w:hAnsi="Times New Roman;sans-serif"/>
          <w:b w:val="false"/>
          <w:color w:val="000000"/>
          <w:sz w:val="18"/>
        </w:rPr>
        <w:t>No</w:t>
      </w:r>
      <w:r>
        <w:rPr>
          <w:rFonts w:ascii="Wingdings;sans-serif" w:hAnsi="Wingdings;sans-serif"/>
          <w:b w:val="false"/>
          <w:color w:val="000000"/>
          <w:sz w:val="20"/>
        </w:rPr>
        <w:t>x</w:t>
      </w:r>
    </w:p>
    <w:p>
      <w:pPr>
        <w:pStyle w:val="TextBody"/>
        <w:spacing w:lineRule="auto" w:line="288" w:before="144" w:after="144"/>
        <w:jc w:val="both"/>
        <w:rPr/>
      </w:pPr>
      <w:r>
        <w:rPr>
          <w:rFonts w:ascii="Times New Roman;sans-serif" w:hAnsi="Times New Roman;sans-serif"/>
          <w:b w:val="false"/>
          <w:color w:val="000000"/>
          <w:sz w:val="18"/>
        </w:rPr>
        <w:t xml:space="preserve">If this report is an annual or transition report, indicate by check mark if the registrant is not required to file reports pursuant to Section 13 or 15(d) of the Securities Exchange Act of 1934.   Yes </w:t>
      </w:r>
      <w:r>
        <w:rPr>
          <w:rFonts w:ascii="Wingdings;sans-serif" w:hAnsi="Wingdings;sans-serif"/>
          <w:b w:val="false"/>
          <w:color w:val="000000"/>
          <w:sz w:val="20"/>
        </w:rPr>
        <w:t>o</w:t>
      </w:r>
      <w:r>
        <w:rPr>
          <w:color w:val="000000"/>
        </w:rPr>
        <w:t xml:space="preserve"> </w:t>
      </w:r>
      <w:r>
        <w:rPr>
          <w:rFonts w:ascii="Times New Roman;sans-serif" w:hAnsi="Times New Roman;sans-serif"/>
          <w:b w:val="false"/>
          <w:color w:val="000000"/>
          <w:sz w:val="18"/>
        </w:rPr>
        <w:t>No</w:t>
      </w:r>
      <w:r>
        <w:rPr>
          <w:rFonts w:ascii="Wingdings;sans-serif" w:hAnsi="Wingdings;sans-serif"/>
          <w:b w:val="false"/>
          <w:color w:val="000000"/>
          <w:sz w:val="20"/>
        </w:rPr>
        <w:t>x</w:t>
      </w:r>
      <w:r>
        <w:rPr>
          <w:color w:val="000000"/>
        </w:rPr>
        <w:t xml:space="preserve"> </w:t>
      </w:r>
    </w:p>
    <w:p>
      <w:pPr>
        <w:pStyle w:val="TextBody"/>
        <w:spacing w:lineRule="auto" w:line="288" w:before="144" w:after="144"/>
        <w:jc w:val="both"/>
        <w:rPr/>
      </w:pPr>
      <w:r>
        <w:rPr>
          <w:rFonts w:ascii="Times New Roman;sans-serif" w:hAnsi="Times New Roman;sans-serif"/>
          <w:b w:val="false"/>
          <w:color w:val="000000"/>
          <w:sz w:val="18"/>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color w:val="000000"/>
        </w:rPr>
        <w:t> </w:t>
      </w:r>
      <w:r>
        <w:rPr>
          <w:rFonts w:ascii="Times New Roman;sans-serif" w:hAnsi="Times New Roman;sans-serif"/>
          <w:b w:val="false"/>
          <w:color w:val="000000"/>
          <w:sz w:val="20"/>
        </w:rPr>
        <w:t>Yes </w:t>
      </w:r>
      <w:r>
        <w:rPr>
          <w:rFonts w:ascii="Wingdings;sans-serif" w:hAnsi="Wingdings;sans-serif"/>
          <w:b w:val="false"/>
          <w:color w:val="000000"/>
          <w:sz w:val="20"/>
        </w:rPr>
        <w:t>x</w:t>
      </w:r>
      <w:r>
        <w:rPr>
          <w:color w:val="000000"/>
        </w:rPr>
        <w:t xml:space="preserve">  </w:t>
      </w:r>
      <w:r>
        <w:rPr>
          <w:rFonts w:ascii="Times New Roman;sans-serif" w:hAnsi="Times New Roman;sans-serif"/>
          <w:b w:val="false"/>
          <w:color w:val="000000"/>
          <w:sz w:val="20"/>
        </w:rPr>
        <w:t>No </w:t>
      </w:r>
      <w:r>
        <w:rPr>
          <w:rFonts w:ascii="Wingdings;sans-serif" w:hAnsi="Wingdings;sans-serif"/>
          <w:b w:val="false"/>
          <w:color w:val="000000"/>
          <w:sz w:val="20"/>
        </w:rPr>
        <w:t>o</w:t>
      </w:r>
      <w:r>
        <w:rPr>
          <w:color w:val="000000"/>
        </w:rPr>
        <w:t xml:space="preserve"> </w:t>
      </w:r>
    </w:p>
    <w:p>
      <w:pPr>
        <w:pStyle w:val="TextBody"/>
        <w:spacing w:lineRule="auto" w:line="288" w:before="144" w:after="144"/>
        <w:jc w:val="both"/>
        <w:rPr/>
      </w:pPr>
      <w:r>
        <w:rPr>
          <w:rFonts w:ascii="Times New Roman;sans-serif" w:hAnsi="Times New Roman;sans-serif"/>
          <w:b w:val="false"/>
          <w:color w:val="000000"/>
          <w:sz w:val="18"/>
        </w:rPr>
        <w:t xml:space="preserve">Indicate by check mark whether the registrant has submitted electronically every Interactive Data File required to be submitted pursuant to Rule 405 of Regulation S-T (§ 229.405 of this chapter) during the preceding 12 months (or for such shorter period that the registrant was required to submit such files).   </w:t>
      </w:r>
      <w:r>
        <w:rPr>
          <w:color w:val="000000"/>
        </w:rPr>
        <w:t> </w:t>
      </w:r>
      <w:r>
        <w:rPr>
          <w:rFonts w:ascii="Times New Roman;sans-serif" w:hAnsi="Times New Roman;sans-serif"/>
          <w:b w:val="false"/>
          <w:color w:val="000000"/>
          <w:sz w:val="20"/>
        </w:rPr>
        <w:t>Yes </w:t>
      </w:r>
      <w:r>
        <w:rPr>
          <w:rFonts w:ascii="Wingdings;sans-serif" w:hAnsi="Wingdings;sans-serif"/>
          <w:b w:val="false"/>
          <w:color w:val="000000"/>
          <w:sz w:val="20"/>
        </w:rPr>
        <w:t>x</w:t>
      </w:r>
      <w:r>
        <w:rPr>
          <w:color w:val="000000"/>
        </w:rPr>
        <w:t xml:space="preserve">  </w:t>
      </w:r>
      <w:r>
        <w:rPr>
          <w:rFonts w:ascii="Times New Roman;sans-serif" w:hAnsi="Times New Roman;sans-serif"/>
          <w:b w:val="false"/>
          <w:color w:val="000000"/>
          <w:sz w:val="20"/>
        </w:rPr>
        <w:t>No </w:t>
      </w:r>
      <w:r>
        <w:rPr>
          <w:rFonts w:ascii="Wingdings;sans-serif" w:hAnsi="Wingdings;sans-serif"/>
          <w:b w:val="false"/>
          <w:color w:val="000000"/>
          <w:sz w:val="20"/>
        </w:rPr>
        <w:t>o</w:t>
      </w:r>
      <w:r>
        <w:rPr>
          <w:color w:val="000000"/>
        </w:rPr>
        <w:t xml:space="preserve"> </w:t>
      </w:r>
    </w:p>
    <w:p>
      <w:pPr>
        <w:pStyle w:val="TextBody"/>
        <w:spacing w:lineRule="auto" w:line="288" w:before="144" w:after="144"/>
        <w:jc w:val="both"/>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is a large accelerated filer, an accelerated filer, a non-accelerated filer, or an emerging growth company. See definition of “large accelerated filer,” “accelerated filer” and “emerging growth company” in Rule 12b-2 of the Exchange Act.</w:t>
      </w:r>
    </w:p>
    <w:tbl>
      <w:tblPr>
        <w:tblW w:w="5990" w:type="dxa"/>
        <w:jc w:val="left"/>
        <w:tblInd w:w="0" w:type="dxa"/>
        <w:tblCellMar>
          <w:top w:w="28" w:type="dxa"/>
          <w:left w:w="28" w:type="dxa"/>
          <w:bottom w:w="28" w:type="dxa"/>
          <w:right w:w="28" w:type="dxa"/>
        </w:tblCellMar>
      </w:tblPr>
      <w:tblGrid>
        <w:gridCol w:w="603"/>
        <w:gridCol w:w="530"/>
        <w:gridCol w:w="532"/>
        <w:gridCol w:w="109"/>
        <w:gridCol w:w="109"/>
        <w:gridCol w:w="109"/>
        <w:gridCol w:w="419"/>
        <w:gridCol w:w="419"/>
        <w:gridCol w:w="421"/>
        <w:gridCol w:w="109"/>
        <w:gridCol w:w="109"/>
        <w:gridCol w:w="109"/>
        <w:gridCol w:w="679"/>
        <w:gridCol w:w="679"/>
        <w:gridCol w:w="682"/>
        <w:gridCol w:w="109"/>
        <w:gridCol w:w="109"/>
        <w:gridCol w:w="154"/>
      </w:tblGrid>
      <w:tr>
        <w:trPr/>
        <w:tc>
          <w:tcPr>
            <w:tcW w:w="603" w:type="dxa"/>
            <w:tcBorders/>
            <w:shd w:fill="auto" w:val="clear"/>
            <w:vAlign w:val="center"/>
          </w:tcPr>
          <w:p>
            <w:pPr>
              <w:pStyle w:val="TableContents"/>
              <w:spacing w:before="0" w:after="283"/>
              <w:rPr>
                <w:sz w:val="4"/>
                <w:szCs w:val="4"/>
              </w:rPr>
            </w:pPr>
            <w:r>
              <w:rPr>
                <w:sz w:val="4"/>
                <w:szCs w:val="4"/>
              </w:rPr>
            </w:r>
          </w:p>
        </w:tc>
        <w:tc>
          <w:tcPr>
            <w:tcW w:w="530" w:type="dxa"/>
            <w:tcBorders/>
            <w:shd w:fill="auto" w:val="clear"/>
            <w:vAlign w:val="center"/>
          </w:tcPr>
          <w:p>
            <w:pPr>
              <w:pStyle w:val="TableContents"/>
              <w:spacing w:before="0" w:after="283"/>
              <w:rPr>
                <w:sz w:val="4"/>
                <w:szCs w:val="4"/>
              </w:rPr>
            </w:pPr>
            <w:r>
              <w:rPr>
                <w:sz w:val="4"/>
                <w:szCs w:val="4"/>
              </w:rPr>
            </w:r>
          </w:p>
        </w:tc>
        <w:tc>
          <w:tcPr>
            <w:tcW w:w="53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19" w:type="dxa"/>
            <w:tcBorders/>
            <w:shd w:fill="auto" w:val="clear"/>
            <w:vAlign w:val="center"/>
          </w:tcPr>
          <w:p>
            <w:pPr>
              <w:pStyle w:val="TableContents"/>
              <w:spacing w:before="0" w:after="283"/>
              <w:rPr>
                <w:sz w:val="4"/>
                <w:szCs w:val="4"/>
              </w:rPr>
            </w:pPr>
            <w:r>
              <w:rPr>
                <w:sz w:val="4"/>
                <w:szCs w:val="4"/>
              </w:rPr>
            </w:r>
          </w:p>
        </w:tc>
        <w:tc>
          <w:tcPr>
            <w:tcW w:w="419"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79" w:type="dxa"/>
            <w:tcBorders/>
            <w:shd w:fill="auto" w:val="clear"/>
            <w:vAlign w:val="center"/>
          </w:tcPr>
          <w:p>
            <w:pPr>
              <w:pStyle w:val="TableContents"/>
              <w:spacing w:before="0" w:after="283"/>
              <w:rPr>
                <w:sz w:val="4"/>
                <w:szCs w:val="4"/>
              </w:rPr>
            </w:pPr>
            <w:r>
              <w:rPr>
                <w:sz w:val="4"/>
                <w:szCs w:val="4"/>
              </w:rPr>
            </w:r>
          </w:p>
        </w:tc>
        <w:tc>
          <w:tcPr>
            <w:tcW w:w="679" w:type="dxa"/>
            <w:tcBorders/>
            <w:shd w:fill="auto" w:val="clear"/>
            <w:vAlign w:val="center"/>
          </w:tcPr>
          <w:p>
            <w:pPr>
              <w:pStyle w:val="TableContents"/>
              <w:spacing w:before="0" w:after="283"/>
              <w:rPr>
                <w:sz w:val="4"/>
                <w:szCs w:val="4"/>
              </w:rPr>
            </w:pPr>
            <w:r>
              <w:rPr>
                <w:sz w:val="4"/>
                <w:szCs w:val="4"/>
              </w:rPr>
            </w:r>
          </w:p>
        </w:tc>
        <w:tc>
          <w:tcPr>
            <w:tcW w:w="68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665"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Large 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1259"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2040"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Non-accelerated filer</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r>
      <w:tr>
        <w:trPr/>
        <w:tc>
          <w:tcPr>
            <w:tcW w:w="16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40"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Emerging growth company</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r>
    </w:tbl>
    <w:p>
      <w:pPr>
        <w:pStyle w:val="TextBody"/>
        <w:spacing w:lineRule="auto" w:line="288" w:before="144" w:after="144"/>
        <w:jc w:val="both"/>
        <w:rPr/>
      </w:pPr>
      <w:r>
        <w:rPr>
          <w:rFonts w:ascii="Times New Roman;sans-serif" w:hAnsi="Times New Roman;sans-serif"/>
          <w:b w:val="false"/>
          <w:color w:val="000000"/>
          <w:sz w:val="18"/>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   </w:t>
      </w:r>
      <w:r>
        <w:rPr>
          <w:color w:val="000000"/>
        </w:rPr>
        <w:t xml:space="preserve">☐ </w:t>
      </w:r>
    </w:p>
    <w:p>
      <w:pPr>
        <w:pStyle w:val="HorizontalLine"/>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rPr/>
      </w:pPr>
      <w:r>
        <w:rPr/>
      </w:r>
    </w:p>
    <w:p>
      <w:pPr>
        <w:pStyle w:val="TextBody"/>
        <w:spacing w:lineRule="auto" w:line="288" w:before="144" w:after="144"/>
        <w:jc w:val="both"/>
        <w:rPr>
          <w:color w:val="000000"/>
        </w:rPr>
      </w:pPr>
      <w:r>
        <w:rPr>
          <w:color w:val="000000"/>
        </w:rPr>
        <w:t>†</w:t>
      </w:r>
      <w:r>
        <w:rPr>
          <w:rFonts w:ascii="Times New Roman;sans-serif" w:hAnsi="Times New Roman;sans-serif"/>
          <w:b w:val="false"/>
          <w:color w:val="000000"/>
          <w:sz w:val="18"/>
        </w:rPr>
        <w:t>The term “new or revised financial accounting standard” refers to any update issued by the Financial Accounting Standards Board to its Accounting Standards Codification after April 5, 2012.</w:t>
      </w:r>
    </w:p>
    <w:p>
      <w:pPr>
        <w:pStyle w:val="TextBody"/>
        <w:spacing w:lineRule="auto" w:line="288" w:before="144" w:after="144"/>
        <w:jc w:val="both"/>
        <w:rPr/>
      </w:pPr>
      <w:r>
        <w:rPr>
          <w:rFonts w:ascii="Times New Roman;sans-serif" w:hAnsi="Times New Roman;sans-serif"/>
          <w:b w:val="false"/>
          <w:color w:val="000000"/>
          <w:sz w:val="18"/>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color w:val="000000"/>
        </w:rPr>
        <w:t xml:space="preserve">☐ </w:t>
      </w:r>
    </w:p>
    <w:p>
      <w:pPr>
        <w:pStyle w:val="TextBody"/>
        <w:spacing w:lineRule="auto" w:line="288" w:before="144" w:after="144"/>
        <w:jc w:val="both"/>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which basis of accounting the registrant has used to prepare the financial statements included in this filing:</w:t>
      </w:r>
    </w:p>
    <w:tbl>
      <w:tblPr>
        <w:tblW w:w="9970" w:type="dxa"/>
        <w:jc w:val="left"/>
        <w:tblInd w:w="0" w:type="dxa"/>
        <w:tblCellMar>
          <w:top w:w="28" w:type="dxa"/>
          <w:left w:w="28" w:type="dxa"/>
          <w:bottom w:w="28" w:type="dxa"/>
          <w:right w:w="28" w:type="dxa"/>
        </w:tblCellMar>
      </w:tblPr>
      <w:tblGrid>
        <w:gridCol w:w="363"/>
        <w:gridCol w:w="320"/>
        <w:gridCol w:w="322"/>
        <w:gridCol w:w="125"/>
        <w:gridCol w:w="125"/>
        <w:gridCol w:w="126"/>
        <w:gridCol w:w="2457"/>
        <w:gridCol w:w="2457"/>
        <w:gridCol w:w="2465"/>
        <w:gridCol w:w="109"/>
        <w:gridCol w:w="109"/>
        <w:gridCol w:w="109"/>
        <w:gridCol w:w="170"/>
        <w:gridCol w:w="170"/>
        <w:gridCol w:w="171"/>
        <w:gridCol w:w="109"/>
        <w:gridCol w:w="109"/>
        <w:gridCol w:w="154"/>
      </w:tblGrid>
      <w:tr>
        <w:trPr/>
        <w:tc>
          <w:tcPr>
            <w:tcW w:w="363"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83"/>
              <w:rPr>
                <w:sz w:val="4"/>
                <w:szCs w:val="4"/>
              </w:rPr>
            </w:pPr>
            <w:r>
              <w:rPr>
                <w:sz w:val="4"/>
                <w:szCs w:val="4"/>
              </w:rPr>
            </w:r>
          </w:p>
        </w:tc>
        <w:tc>
          <w:tcPr>
            <w:tcW w:w="322"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2457" w:type="dxa"/>
            <w:tcBorders/>
            <w:shd w:fill="auto" w:val="clear"/>
            <w:vAlign w:val="center"/>
          </w:tcPr>
          <w:p>
            <w:pPr>
              <w:pStyle w:val="TableContents"/>
              <w:spacing w:before="0" w:after="283"/>
              <w:rPr>
                <w:sz w:val="4"/>
                <w:szCs w:val="4"/>
              </w:rPr>
            </w:pPr>
            <w:r>
              <w:rPr>
                <w:sz w:val="4"/>
                <w:szCs w:val="4"/>
              </w:rPr>
            </w:r>
          </w:p>
        </w:tc>
        <w:tc>
          <w:tcPr>
            <w:tcW w:w="2457" w:type="dxa"/>
            <w:tcBorders/>
            <w:shd w:fill="auto" w:val="clear"/>
            <w:vAlign w:val="center"/>
          </w:tcPr>
          <w:p>
            <w:pPr>
              <w:pStyle w:val="TableContents"/>
              <w:spacing w:before="0" w:after="283"/>
              <w:rPr>
                <w:sz w:val="4"/>
                <w:szCs w:val="4"/>
              </w:rPr>
            </w:pPr>
            <w:r>
              <w:rPr>
                <w:sz w:val="4"/>
                <w:szCs w:val="4"/>
              </w:rPr>
            </w:r>
          </w:p>
        </w:tc>
        <w:tc>
          <w:tcPr>
            <w:tcW w:w="246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005"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U.S. GAAP</w:t>
            </w:r>
          </w:p>
        </w:tc>
        <w:tc>
          <w:tcPr>
            <w:tcW w:w="37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7379"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International Financial Reporting Standards as issued by the International Accounting Standards Board</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51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r>
    </w:tbl>
    <w:p>
      <w:pPr>
        <w:pStyle w:val="TextBody"/>
        <w:spacing w:lineRule="auto" w:line="288" w:before="144" w:after="144"/>
        <w:jc w:val="both"/>
        <w:rPr/>
      </w:pPr>
      <w:r>
        <w:rPr>
          <w:rFonts w:ascii="Times New Roman;sans-serif" w:hAnsi="Times New Roman;sans-serif"/>
          <w:b w:val="false"/>
          <w:color w:val="000000"/>
          <w:sz w:val="18"/>
        </w:rPr>
        <w:t xml:space="preserve">If “Other” has been checked in response to the previous question, indicate by check mark which financial statement item the registrant has elected to follow.   Item 17 </w:t>
      </w:r>
      <w:r>
        <w:rPr>
          <w:rFonts w:ascii="Wingdings;sans-serif" w:hAnsi="Wingdings;sans-serif"/>
          <w:b w:val="false"/>
          <w:color w:val="000000"/>
          <w:sz w:val="20"/>
        </w:rPr>
        <w:t>o</w:t>
      </w:r>
      <w:r>
        <w:rPr>
          <w:color w:val="000000"/>
        </w:rPr>
        <w:t xml:space="preserve">     </w:t>
      </w:r>
      <w:r>
        <w:rPr>
          <w:rFonts w:ascii="Times New Roman;sans-serif" w:hAnsi="Times New Roman;sans-serif"/>
          <w:b w:val="false"/>
          <w:color w:val="000000"/>
          <w:sz w:val="18"/>
        </w:rPr>
        <w:t xml:space="preserve">Item 18 </w:t>
      </w:r>
      <w:r>
        <w:rPr>
          <w:rFonts w:ascii="Wingdings;sans-serif" w:hAnsi="Wingdings;sans-serif"/>
          <w:b w:val="false"/>
          <w:color w:val="000000"/>
          <w:sz w:val="20"/>
        </w:rPr>
        <w:t>o</w:t>
      </w:r>
      <w:r>
        <w:rPr>
          <w:color w:val="000000"/>
        </w:rPr>
        <w:t xml:space="preserve"> </w:t>
      </w:r>
    </w:p>
    <w:p>
      <w:pPr>
        <w:pStyle w:val="TextBody"/>
        <w:spacing w:lineRule="auto" w:line="288" w:before="144" w:after="144"/>
        <w:jc w:val="both"/>
        <w:rPr/>
      </w:pPr>
      <w:r>
        <w:rPr>
          <w:rFonts w:ascii="Times New Roman;sans-serif" w:hAnsi="Times New Roman;sans-serif"/>
          <w:b w:val="false"/>
          <w:color w:val="000000"/>
          <w:sz w:val="18"/>
        </w:rPr>
        <w:t xml:space="preserve">If this is an annual report, indicate by check mark whether the registrant is a shell company (as defined in Rule 12b-2 of the Exchange Act).   Yes </w:t>
      </w:r>
      <w:r>
        <w:rPr>
          <w:color w:val="000000"/>
        </w:rPr>
        <w:t xml:space="preserve">☐    </w:t>
      </w:r>
      <w:r>
        <w:rPr>
          <w:rFonts w:ascii="Times New Roman;sans-serif" w:hAnsi="Times New Roman;sans-serif"/>
          <w:b w:val="false"/>
          <w:color w:val="000000"/>
          <w:sz w:val="18"/>
        </w:rPr>
        <w:t xml:space="preserve">No </w:t>
      </w:r>
      <w:r>
        <w:rPr>
          <w:rFonts w:ascii="Wingdings;sans-serif" w:hAnsi="Wingdings;sans-serif"/>
          <w:b w:val="false"/>
          <w:color w:val="000000"/>
          <w:sz w:val="20"/>
        </w:rPr>
        <w:t>x</w:t>
      </w:r>
    </w:p>
    <w:p>
      <w:pPr>
        <w:pStyle w:val="TextBody"/>
        <w:spacing w:lineRule="auto" w:line="288" w:before="144" w:after="144"/>
        <w:jc w:val="both"/>
        <w:rPr>
          <w:rFonts w:ascii="Times New Roman;sans-serif" w:hAnsi="Times New Roman;sans-serif"/>
          <w:b w:val="false"/>
          <w:color w:val="000000"/>
          <w:sz w:val="18"/>
        </w:rPr>
      </w:pPr>
      <w:r>
        <w:rPr>
          <w:rFonts w:ascii="Times New Roman;sans-serif" w:hAnsi="Times New Roman;sans-serif"/>
          <w:b w:val="false"/>
          <w:color w:val="000000"/>
          <w:sz w:val="18"/>
        </w:rPr>
        <w:t>(APPLICABLE ONLY TO ISSUERS INVOLVED IN BANKRUPTCY PROCEEDINGS DURING THE PAST FIVE YEARS)</w:t>
      </w:r>
    </w:p>
    <w:p>
      <w:pPr>
        <w:pStyle w:val="TextBody"/>
        <w:spacing w:lineRule="auto" w:line="288" w:before="144" w:after="144"/>
        <w:jc w:val="both"/>
        <w:rPr/>
      </w:pPr>
      <w:r>
        <w:rPr>
          <w:rFonts w:ascii="Times New Roman;sans-serif" w:hAnsi="Times New Roman;sans-serif"/>
          <w:b w:val="false"/>
          <w:color w:val="000000"/>
          <w:sz w:val="18"/>
        </w:rPr>
        <w:t xml:space="preserve">Indicate by check mark whether the registrant has filed all documents and reports required to be filed by Sections 12, 13 or 15(d) of the Securities Exchange Act of 1934 subsequent to the distribution of securities under a plan confirmed by a court.   Yes </w:t>
      </w:r>
      <w:r>
        <w:rPr>
          <w:rFonts w:ascii="Wingdings;sans-serif" w:hAnsi="Wingdings;sans-serif"/>
          <w:b w:val="false"/>
          <w:color w:val="000000"/>
          <w:sz w:val="20"/>
        </w:rPr>
        <w:t>o</w:t>
      </w:r>
      <w:r>
        <w:rPr>
          <w:color w:val="000000"/>
        </w:rPr>
        <w:t xml:space="preserve"> </w:t>
      </w:r>
      <w:r>
        <w:rPr>
          <w:rFonts w:ascii="Times New Roman;sans-serif" w:hAnsi="Times New Roman;sans-serif"/>
          <w:b w:val="false"/>
          <w:color w:val="000000"/>
          <w:sz w:val="18"/>
        </w:rPr>
        <w:t xml:space="preserve">No </w:t>
      </w:r>
      <w:r>
        <w:rPr>
          <w:rFonts w:ascii="Wingdings;sans-serif" w:hAnsi="Wingdings;sans-serif"/>
          <w:b w:val="false"/>
          <w:color w:val="000000"/>
          <w:sz w:val="20"/>
        </w:rPr>
        <w:t>o</w:t>
      </w:r>
      <w:r>
        <w:rPr>
          <w:color w:val="000000"/>
        </w:rPr>
        <w:t xml:space="preserve">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TABLE OF CONTENTS</w:t>
      </w:r>
    </w:p>
    <w:p>
      <w:pPr>
        <w:pStyle w:val="TextBody"/>
        <w:spacing w:before="0" w:after="0"/>
        <w:jc w:val="center"/>
        <w:rPr/>
      </w:pPr>
      <w:r>
        <w:rPr/>
      </w:r>
    </w:p>
    <w:tbl>
      <w:tblPr>
        <w:tblW w:w="9796" w:type="dxa"/>
        <w:jc w:val="left"/>
        <w:tblInd w:w="0" w:type="dxa"/>
        <w:tblCellMar>
          <w:top w:w="28" w:type="dxa"/>
          <w:left w:w="28" w:type="dxa"/>
          <w:bottom w:w="28" w:type="dxa"/>
          <w:right w:w="28" w:type="dxa"/>
        </w:tblCellMar>
      </w:tblPr>
      <w:tblGrid>
        <w:gridCol w:w="3376"/>
        <w:gridCol w:w="2969"/>
        <w:gridCol w:w="2985"/>
        <w:gridCol w:w="136"/>
        <w:gridCol w:w="136"/>
        <w:gridCol w:w="194"/>
      </w:tblGrid>
      <w:tr>
        <w:trPr/>
        <w:tc>
          <w:tcPr>
            <w:tcW w:w="3376" w:type="dxa"/>
            <w:tcBorders/>
            <w:shd w:fill="auto" w:val="clear"/>
            <w:vAlign w:val="center"/>
          </w:tcPr>
          <w:p>
            <w:pPr>
              <w:pStyle w:val="TableContents"/>
              <w:spacing w:before="0" w:after="283"/>
              <w:rPr>
                <w:sz w:val="4"/>
                <w:szCs w:val="4"/>
              </w:rPr>
            </w:pPr>
            <w:r>
              <w:rPr>
                <w:sz w:val="4"/>
                <w:szCs w:val="4"/>
              </w:rPr>
            </w:r>
          </w:p>
        </w:tc>
        <w:tc>
          <w:tcPr>
            <w:tcW w:w="2969" w:type="dxa"/>
            <w:tcBorders/>
            <w:shd w:fill="auto" w:val="clear"/>
            <w:vAlign w:val="center"/>
          </w:tcPr>
          <w:p>
            <w:pPr>
              <w:pStyle w:val="TableContents"/>
              <w:spacing w:before="0" w:after="283"/>
              <w:rPr>
                <w:sz w:val="4"/>
                <w:szCs w:val="4"/>
              </w:rPr>
            </w:pPr>
            <w:r>
              <w:rPr>
                <w:sz w:val="4"/>
                <w:szCs w:val="4"/>
              </w:rPr>
            </w:r>
          </w:p>
        </w:tc>
        <w:tc>
          <w:tcPr>
            <w:tcW w:w="2985"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center"/>
          </w:tcPr>
          <w:p>
            <w:pPr>
              <w:pStyle w:val="TableContents"/>
              <w:spacing w:before="0" w:after="283"/>
              <w:rPr>
                <w:sz w:val="4"/>
                <w:szCs w:val="4"/>
              </w:rPr>
            </w:pPr>
            <w:r>
              <w:rPr>
                <w:sz w:val="4"/>
                <w:szCs w:val="4"/>
              </w:rPr>
            </w:r>
          </w:p>
        </w:tc>
      </w:tr>
      <w:tr>
        <w:trPr/>
        <w:tc>
          <w:tcPr>
            <w:tcW w:w="9330"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beb44053da9f4835bd7389b4e7209b35_996">
              <w:r>
                <w:rPr>
                  <w:rStyle w:val="InternetLink"/>
                  <w:rFonts w:ascii="Times New Roman;sans-serif" w:hAnsi="Times New Roman;sans-serif"/>
                  <w:b w:val="false"/>
                  <w:strike w:val="false"/>
                  <w:dstrike w:val="false"/>
                  <w:color w:val="000000"/>
                  <w:sz w:val="20"/>
                  <w:u w:val="none"/>
                  <w:effect w:val="none"/>
                </w:rPr>
                <w:t>INTRODUCTION</w:t>
              </w:r>
            </w:hyperlink>
          </w:p>
        </w:tc>
        <w:tc>
          <w:tcPr>
            <w:tcW w:w="466"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pPr>
            <w:hyperlink w:anchor="ibeb44053da9f4835bd7389b4e7209b35_996">
              <w:r>
                <w:rPr>
                  <w:rStyle w:val="InternetLink"/>
                  <w:rFonts w:ascii="Times New Roman;sans-serif" w:hAnsi="Times New Roman;sans-serif"/>
                  <w:b w:val="false"/>
                  <w:strike w:val="false"/>
                  <w:dstrike w:val="false"/>
                  <w:color w:val="000000"/>
                  <w:sz w:val="20"/>
                  <w:u w:val="none"/>
                  <w:effect w:val="none"/>
                </w:rPr>
                <w:t>1</w:t>
              </w:r>
            </w:hyperlink>
          </w:p>
        </w:tc>
      </w:tr>
      <w:tr>
        <w:trPr/>
        <w:tc>
          <w:tcPr>
            <w:tcW w:w="9330"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beb44053da9f4835bd7389b4e7209b35_10">
              <w:r>
                <w:rPr>
                  <w:rStyle w:val="InternetLink"/>
                  <w:rFonts w:ascii="Times New Roman;sans-serif" w:hAnsi="Times New Roman;sans-serif"/>
                  <w:b w:val="false"/>
                  <w:strike w:val="false"/>
                  <w:dstrike w:val="false"/>
                  <w:color w:val="000000"/>
                  <w:sz w:val="20"/>
                  <w:u w:val="none"/>
                  <w:effect w:val="none"/>
                </w:rPr>
                <w:t>FORWARD-LOOKING STATEMENTS</w:t>
              </w:r>
            </w:hyperlink>
          </w:p>
        </w:tc>
        <w:tc>
          <w:tcPr>
            <w:tcW w:w="466"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pPr>
            <w:hyperlink w:anchor="ibeb44053da9f4835bd7389b4e7209b35_10">
              <w:r>
                <w:rPr>
                  <w:rStyle w:val="InternetLink"/>
                  <w:rFonts w:ascii="Times New Roman;sans-serif" w:hAnsi="Times New Roman;sans-serif"/>
                  <w:b w:val="false"/>
                  <w:strike w:val="false"/>
                  <w:dstrike w:val="false"/>
                  <w:color w:val="000000"/>
                  <w:sz w:val="20"/>
                  <w:u w:val="none"/>
                  <w:effect w:val="none"/>
                </w:rPr>
                <w:t>2</w:t>
              </w:r>
            </w:hyperlink>
          </w:p>
        </w:tc>
      </w:tr>
      <w:tr>
        <w:trPr/>
        <w:tc>
          <w:tcPr>
            <w:tcW w:w="9330"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beb44053da9f4835bd7389b4e7209b35_16">
              <w:r>
                <w:rPr>
                  <w:rStyle w:val="InternetLink"/>
                  <w:rFonts w:ascii="Times New Roman;sans-serif" w:hAnsi="Times New Roman;sans-serif"/>
                  <w:b w:val="false"/>
                  <w:strike w:val="false"/>
                  <w:dstrike w:val="false"/>
                  <w:color w:val="000000"/>
                  <w:sz w:val="20"/>
                  <w:u w:val="none"/>
                  <w:effect w:val="none"/>
                </w:rPr>
                <w:t>PART I</w:t>
              </w:r>
            </w:hyperlink>
          </w:p>
        </w:tc>
        <w:tc>
          <w:tcPr>
            <w:tcW w:w="466"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pPr>
            <w:hyperlink w:anchor="ibeb44053da9f4835bd7389b4e7209b35_16">
              <w:r>
                <w:rPr>
                  <w:rStyle w:val="InternetLink"/>
                  <w:rFonts w:ascii="Times New Roman;sans-serif" w:hAnsi="Times New Roman;sans-serif"/>
                  <w:b w:val="false"/>
                  <w:strike w:val="false"/>
                  <w:dstrike w:val="false"/>
                  <w:color w:val="000000"/>
                  <w:sz w:val="20"/>
                  <w:u w:val="none"/>
                  <w:effect w:val="none"/>
                </w:rPr>
                <w:t>4</w:t>
              </w:r>
            </w:hyperlink>
          </w:p>
        </w:tc>
      </w:tr>
      <w:tr>
        <w:trPr/>
        <w:tc>
          <w:tcPr>
            <w:tcW w:w="9330"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beb44053da9f4835bd7389b4e7209b35_19">
              <w:r>
                <w:rPr>
                  <w:rStyle w:val="InternetLink"/>
                  <w:rFonts w:ascii="Times New Roman;sans-serif" w:hAnsi="Times New Roman;sans-serif"/>
                  <w:b w:val="false"/>
                  <w:strike w:val="false"/>
                  <w:dstrike w:val="false"/>
                  <w:color w:val="000000"/>
                  <w:sz w:val="20"/>
                  <w:u w:val="none"/>
                  <w:effect w:val="none"/>
                </w:rPr>
                <w:t>ITEM 1. IDENTITY OF DIRECTORS, SENIOR MANAGEMENT AND ADVISERS</w:t>
              </w:r>
            </w:hyperlink>
          </w:p>
        </w:tc>
        <w:tc>
          <w:tcPr>
            <w:tcW w:w="466"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pPr>
            <w:hyperlink w:anchor="ibeb44053da9f4835bd7389b4e7209b35_19">
              <w:r>
                <w:rPr>
                  <w:rStyle w:val="InternetLink"/>
                  <w:rFonts w:ascii="Times New Roman;sans-serif" w:hAnsi="Times New Roman;sans-serif"/>
                  <w:b w:val="false"/>
                  <w:strike w:val="false"/>
                  <w:dstrike w:val="false"/>
                  <w:color w:val="000000"/>
                  <w:sz w:val="20"/>
                  <w:u w:val="none"/>
                  <w:effect w:val="none"/>
                </w:rPr>
                <w:t>4</w:t>
              </w:r>
            </w:hyperlink>
          </w:p>
        </w:tc>
      </w:tr>
      <w:tr>
        <w:trPr/>
        <w:tc>
          <w:tcPr>
            <w:tcW w:w="9330"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beb44053da9f4835bd7389b4e7209b35_22">
              <w:r>
                <w:rPr>
                  <w:rStyle w:val="InternetLink"/>
                  <w:rFonts w:ascii="Times New Roman;sans-serif" w:hAnsi="Times New Roman;sans-serif"/>
                  <w:b w:val="false"/>
                  <w:strike w:val="false"/>
                  <w:dstrike w:val="false"/>
                  <w:color w:val="000000"/>
                  <w:sz w:val="20"/>
                  <w:u w:val="none"/>
                  <w:effect w:val="none"/>
                </w:rPr>
                <w:t>ITEM 2. OFFER STATISTICS AND EXPECTED TIMETABLE</w:t>
              </w:r>
            </w:hyperlink>
          </w:p>
        </w:tc>
        <w:tc>
          <w:tcPr>
            <w:tcW w:w="466"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pPr>
            <w:hyperlink w:anchor="ibeb44053da9f4835bd7389b4e7209b35_22">
              <w:r>
                <w:rPr>
                  <w:rStyle w:val="InternetLink"/>
                  <w:rFonts w:ascii="Times New Roman;sans-serif" w:hAnsi="Times New Roman;sans-serif"/>
                  <w:b w:val="false"/>
                  <w:strike w:val="false"/>
                  <w:dstrike w:val="false"/>
                  <w:color w:val="000000"/>
                  <w:sz w:val="20"/>
                  <w:u w:val="none"/>
                  <w:effect w:val="none"/>
                </w:rPr>
                <w:t>4</w:t>
              </w:r>
            </w:hyperlink>
          </w:p>
        </w:tc>
      </w:tr>
      <w:tr>
        <w:trPr/>
        <w:tc>
          <w:tcPr>
            <w:tcW w:w="9330"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beb44053da9f4835bd7389b4e7209b35_25">
              <w:r>
                <w:rPr>
                  <w:rStyle w:val="InternetLink"/>
                  <w:rFonts w:ascii="Times New Roman;sans-serif" w:hAnsi="Times New Roman;sans-serif"/>
                  <w:b w:val="false"/>
                  <w:strike w:val="false"/>
                  <w:dstrike w:val="false"/>
                  <w:color w:val="000000"/>
                  <w:sz w:val="20"/>
                  <w:u w:val="none"/>
                  <w:effect w:val="none"/>
                </w:rPr>
                <w:t>ITEM 3. KEY INFORMATION</w:t>
              </w:r>
            </w:hyperlink>
          </w:p>
        </w:tc>
        <w:tc>
          <w:tcPr>
            <w:tcW w:w="466"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pPr>
            <w:hyperlink w:anchor="ibeb44053da9f4835bd7389b4e7209b35_25">
              <w:r>
                <w:rPr>
                  <w:rStyle w:val="InternetLink"/>
                  <w:rFonts w:ascii="Times New Roman;sans-serif" w:hAnsi="Times New Roman;sans-serif"/>
                  <w:b w:val="false"/>
                  <w:strike w:val="false"/>
                  <w:dstrike w:val="false"/>
                  <w:color w:val="000000"/>
                  <w:sz w:val="20"/>
                  <w:u w:val="none"/>
                  <w:effect w:val="none"/>
                </w:rPr>
                <w:t>4</w:t>
              </w:r>
            </w:hyperlink>
          </w:p>
        </w:tc>
      </w:tr>
      <w:tr>
        <w:trPr/>
        <w:tc>
          <w:tcPr>
            <w:tcW w:w="9330"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beb44053da9f4835bd7389b4e7209b35_28">
              <w:r>
                <w:rPr>
                  <w:rStyle w:val="InternetLink"/>
                </w:rPr>
                <w:t xml:space="preserve">ITEM 4. INFORMATION ON </w:t>
              </w:r>
            </w:hyperlink>
            <w:hyperlink w:anchor="ibeb44053da9f4835bd7389b4e7209b35_28">
              <w:r>
                <w:rPr>
                  <w:rStyle w:val="InternetLink"/>
                </w:rPr>
                <w:t>THE</w:t>
              </w:r>
            </w:hyperlink>
            <w:hyperlink w:anchor="ibeb44053da9f4835bd7389b4e7209b35_28">
              <w:r>
                <w:rPr>
                  <w:rStyle w:val="InternetLink"/>
                </w:rPr>
                <w:t xml:space="preserve"> COMPANY</w:t>
              </w:r>
            </w:hyperlink>
          </w:p>
        </w:tc>
        <w:tc>
          <w:tcPr>
            <w:tcW w:w="466"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pPr>
            <w:hyperlink w:anchor="ibeb44053da9f4835bd7389b4e7209b35_28">
              <w:r>
                <w:rPr>
                  <w:rStyle w:val="InternetLink"/>
                  <w:rFonts w:ascii="Times New Roman;sans-serif" w:hAnsi="Times New Roman;sans-serif"/>
                  <w:b w:val="false"/>
                  <w:strike w:val="false"/>
                  <w:dstrike w:val="false"/>
                  <w:color w:val="000000"/>
                  <w:sz w:val="20"/>
                  <w:u w:val="none"/>
                  <w:effect w:val="none"/>
                </w:rPr>
                <w:t>66</w:t>
              </w:r>
            </w:hyperlink>
          </w:p>
        </w:tc>
      </w:tr>
      <w:tr>
        <w:trPr/>
        <w:tc>
          <w:tcPr>
            <w:tcW w:w="9330"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beb44053da9f4835bd7389b4e7209b35_31">
              <w:r>
                <w:rPr>
                  <w:rStyle w:val="InternetLink"/>
                </w:rPr>
                <w:t>ITEM 4</w:t>
              </w:r>
            </w:hyperlink>
            <w:hyperlink w:anchor="ibeb44053da9f4835bd7389b4e7209b35_31">
              <w:r>
                <w:rPr>
                  <w:rStyle w:val="InternetLink"/>
                </w:rPr>
                <w:t>A</w:t>
              </w:r>
            </w:hyperlink>
            <w:hyperlink w:anchor="ibeb44053da9f4835bd7389b4e7209b35_31">
              <w:r>
                <w:rPr>
                  <w:rStyle w:val="InternetLink"/>
                </w:rPr>
                <w:t xml:space="preserve">. </w:t>
              </w:r>
            </w:hyperlink>
            <w:hyperlink w:anchor="ibeb44053da9f4835bd7389b4e7209b35_31">
              <w:r>
                <w:rPr>
                  <w:rStyle w:val="InternetLink"/>
                </w:rPr>
                <w:t>U</w:t>
              </w:r>
            </w:hyperlink>
            <w:r>
              <w:rPr>
                <w:rFonts w:ascii="Times New Roman;sans-serif" w:hAnsi="Times New Roman;sans-serif"/>
                <w:b w:val="false"/>
                <w:color w:val="000000"/>
                <w:sz w:val="20"/>
              </w:rPr>
              <w:t>NRESOLVED STAFF COMMENTS</w:t>
            </w:r>
          </w:p>
        </w:tc>
        <w:tc>
          <w:tcPr>
            <w:tcW w:w="466"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pPr>
            <w:hyperlink w:anchor="ibeb44053da9f4835bd7389b4e7209b35_31">
              <w:r>
                <w:rPr>
                  <w:rStyle w:val="InternetLink"/>
                  <w:rFonts w:ascii="Times New Roman;sans-serif" w:hAnsi="Times New Roman;sans-serif"/>
                  <w:b w:val="false"/>
                  <w:strike w:val="false"/>
                  <w:dstrike w:val="false"/>
                  <w:color w:val="000000"/>
                  <w:sz w:val="20"/>
                  <w:u w:val="none"/>
                  <w:effect w:val="none"/>
                </w:rPr>
                <w:t>89</w:t>
              </w:r>
            </w:hyperlink>
          </w:p>
        </w:tc>
      </w:tr>
      <w:tr>
        <w:trPr/>
        <w:tc>
          <w:tcPr>
            <w:tcW w:w="9330"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beb44053da9f4835bd7389b4e7209b35_34">
              <w:r>
                <w:rPr>
                  <w:rStyle w:val="InternetLink"/>
                  <w:rFonts w:ascii="Times New Roman;sans-serif" w:hAnsi="Times New Roman;sans-serif"/>
                  <w:b w:val="false"/>
                  <w:strike w:val="false"/>
                  <w:dstrike w:val="false"/>
                  <w:color w:val="000000"/>
                  <w:sz w:val="20"/>
                  <w:u w:val="none"/>
                  <w:effect w:val="none"/>
                </w:rPr>
                <w:t>ITEM 5. OPERATING AND FINANCIAL REVIEW AND PROSPECTS</w:t>
              </w:r>
            </w:hyperlink>
          </w:p>
        </w:tc>
        <w:tc>
          <w:tcPr>
            <w:tcW w:w="466"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pPr>
            <w:hyperlink w:anchor="ibeb44053da9f4835bd7389b4e7209b35_34">
              <w:r>
                <w:rPr>
                  <w:rStyle w:val="InternetLink"/>
                  <w:rFonts w:ascii="Times New Roman;sans-serif" w:hAnsi="Times New Roman;sans-serif"/>
                  <w:b w:val="false"/>
                  <w:strike w:val="false"/>
                  <w:dstrike w:val="false"/>
                  <w:color w:val="000000"/>
                  <w:sz w:val="20"/>
                  <w:u w:val="none"/>
                  <w:effect w:val="none"/>
                </w:rPr>
                <w:t>90</w:t>
              </w:r>
            </w:hyperlink>
          </w:p>
        </w:tc>
      </w:tr>
      <w:tr>
        <w:trPr/>
        <w:tc>
          <w:tcPr>
            <w:tcW w:w="9330"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beb44053da9f4835bd7389b4e7209b35_37">
              <w:r>
                <w:rPr>
                  <w:rStyle w:val="InternetLink"/>
                  <w:rFonts w:ascii="Times New Roman;sans-serif" w:hAnsi="Times New Roman;sans-serif"/>
                  <w:b w:val="false"/>
                  <w:strike w:val="false"/>
                  <w:dstrike w:val="false"/>
                  <w:color w:val="000000"/>
                  <w:sz w:val="20"/>
                  <w:u w:val="none"/>
                  <w:effect w:val="none"/>
                </w:rPr>
                <w:t>ITEM 6. DIRECTORS, SENIOR MANAGEMENT AND EMPLOYEES</w:t>
              </w:r>
            </w:hyperlink>
          </w:p>
        </w:tc>
        <w:tc>
          <w:tcPr>
            <w:tcW w:w="466"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beb44053da9f4835bd7389b4e7209b35_37">
              <w:r>
                <w:rPr>
                  <w:rStyle w:val="InternetLink"/>
                  <w:rFonts w:ascii="Times New Roman;sans-serif" w:hAnsi="Times New Roman;sans-serif"/>
                  <w:b w:val="false"/>
                  <w:strike w:val="false"/>
                  <w:dstrike w:val="false"/>
                  <w:color w:val="000000"/>
                  <w:sz w:val="20"/>
                  <w:u w:val="none"/>
                  <w:effect w:val="none"/>
                </w:rPr>
                <w:t>112</w:t>
              </w:r>
            </w:hyperlink>
          </w:p>
        </w:tc>
      </w:tr>
      <w:tr>
        <w:trPr/>
        <w:tc>
          <w:tcPr>
            <w:tcW w:w="9330"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beb44053da9f4835bd7389b4e7209b35_40">
              <w:r>
                <w:rPr>
                  <w:rStyle w:val="InternetLink"/>
                  <w:rFonts w:ascii="Times New Roman;sans-serif" w:hAnsi="Times New Roman;sans-serif"/>
                  <w:b w:val="false"/>
                  <w:strike w:val="false"/>
                  <w:dstrike w:val="false"/>
                  <w:color w:val="000000"/>
                  <w:sz w:val="20"/>
                  <w:u w:val="none"/>
                  <w:effect w:val="none"/>
                </w:rPr>
                <w:t>ITEM 7. MAJOR SHAREHOLDERS AND RELATED PARTY TRANSACTIONS</w:t>
              </w:r>
            </w:hyperlink>
          </w:p>
        </w:tc>
        <w:tc>
          <w:tcPr>
            <w:tcW w:w="466"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beb44053da9f4835bd7389b4e7209b35_40">
              <w:r>
                <w:rPr>
                  <w:rStyle w:val="InternetLink"/>
                  <w:rFonts w:ascii="Times New Roman;sans-serif" w:hAnsi="Times New Roman;sans-serif"/>
                  <w:b w:val="false"/>
                  <w:strike w:val="false"/>
                  <w:dstrike w:val="false"/>
                  <w:color w:val="000000"/>
                  <w:sz w:val="20"/>
                  <w:u w:val="none"/>
                  <w:effect w:val="none"/>
                </w:rPr>
                <w:t>132</w:t>
              </w:r>
            </w:hyperlink>
          </w:p>
        </w:tc>
      </w:tr>
      <w:tr>
        <w:trPr/>
        <w:tc>
          <w:tcPr>
            <w:tcW w:w="9330"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beb44053da9f4835bd7389b4e7209b35_43">
              <w:r>
                <w:rPr>
                  <w:rStyle w:val="InternetLink"/>
                  <w:rFonts w:ascii="Times New Roman;sans-serif" w:hAnsi="Times New Roman;sans-serif"/>
                  <w:b w:val="false"/>
                  <w:strike w:val="false"/>
                  <w:dstrike w:val="false"/>
                  <w:color w:val="000000"/>
                  <w:sz w:val="20"/>
                  <w:u w:val="none"/>
                  <w:effect w:val="none"/>
                </w:rPr>
                <w:t>ITEM 8. FINANCIAL INFORMATION</w:t>
              </w:r>
            </w:hyperlink>
          </w:p>
        </w:tc>
        <w:tc>
          <w:tcPr>
            <w:tcW w:w="466"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pPr>
            <w:hyperlink w:anchor="ibeb44053da9f4835bd7389b4e7209b35_43">
              <w:r>
                <w:rPr>
                  <w:rStyle w:val="InternetLink"/>
                  <w:rFonts w:ascii="Times New Roman;sans-serif" w:hAnsi="Times New Roman;sans-serif"/>
                  <w:b w:val="false"/>
                  <w:strike w:val="false"/>
                  <w:dstrike w:val="false"/>
                  <w:color w:val="000000"/>
                  <w:sz w:val="20"/>
                  <w:u w:val="none"/>
                  <w:effect w:val="none"/>
                </w:rPr>
                <w:t>135</w:t>
              </w:r>
            </w:hyperlink>
          </w:p>
        </w:tc>
      </w:tr>
      <w:tr>
        <w:trPr/>
        <w:tc>
          <w:tcPr>
            <w:tcW w:w="9330"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beb44053da9f4835bd7389b4e7209b35_46">
              <w:r>
                <w:rPr>
                  <w:rStyle w:val="InternetLink"/>
                  <w:rFonts w:ascii="Times New Roman;sans-serif" w:hAnsi="Times New Roman;sans-serif"/>
                  <w:b w:val="false"/>
                  <w:strike w:val="false"/>
                  <w:dstrike w:val="false"/>
                  <w:color w:val="000000"/>
                  <w:sz w:val="20"/>
                  <w:u w:val="none"/>
                  <w:effect w:val="none"/>
                </w:rPr>
                <w:t>ITEM 9. THE OFFER AND LISTING</w:t>
              </w:r>
            </w:hyperlink>
          </w:p>
        </w:tc>
        <w:tc>
          <w:tcPr>
            <w:tcW w:w="466"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beb44053da9f4835bd7389b4e7209b35_46">
              <w:r>
                <w:rPr>
                  <w:rStyle w:val="InternetLink"/>
                  <w:rFonts w:ascii="Times New Roman;sans-serif" w:hAnsi="Times New Roman;sans-serif"/>
                  <w:b w:val="false"/>
                  <w:strike w:val="false"/>
                  <w:dstrike w:val="false"/>
                  <w:color w:val="000000"/>
                  <w:sz w:val="20"/>
                  <w:u w:val="none"/>
                  <w:effect w:val="none"/>
                </w:rPr>
                <w:t>136</w:t>
              </w:r>
            </w:hyperlink>
          </w:p>
        </w:tc>
      </w:tr>
      <w:tr>
        <w:trPr/>
        <w:tc>
          <w:tcPr>
            <w:tcW w:w="9330"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beb44053da9f4835bd7389b4e7209b35_49">
              <w:r>
                <w:rPr>
                  <w:rStyle w:val="InternetLink"/>
                  <w:rFonts w:ascii="Times New Roman;sans-serif" w:hAnsi="Times New Roman;sans-serif"/>
                  <w:b w:val="false"/>
                  <w:strike w:val="false"/>
                  <w:dstrike w:val="false"/>
                  <w:color w:val="000000"/>
                  <w:sz w:val="20"/>
                  <w:u w:val="none"/>
                  <w:effect w:val="none"/>
                </w:rPr>
                <w:t>ITEM 10. ADDITIONAL INFORMATION</w:t>
              </w:r>
            </w:hyperlink>
          </w:p>
        </w:tc>
        <w:tc>
          <w:tcPr>
            <w:tcW w:w="466"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beb44053da9f4835bd7389b4e7209b35_49">
              <w:r>
                <w:rPr>
                  <w:rStyle w:val="InternetLink"/>
                  <w:rFonts w:ascii="Times New Roman;sans-serif" w:hAnsi="Times New Roman;sans-serif"/>
                  <w:b w:val="false"/>
                  <w:strike w:val="false"/>
                  <w:dstrike w:val="false"/>
                  <w:color w:val="000000"/>
                  <w:sz w:val="20"/>
                  <w:u w:val="none"/>
                  <w:effect w:val="none"/>
                </w:rPr>
                <w:t>136</w:t>
              </w:r>
            </w:hyperlink>
          </w:p>
        </w:tc>
      </w:tr>
      <w:tr>
        <w:trPr/>
        <w:tc>
          <w:tcPr>
            <w:tcW w:w="9330"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beb44053da9f4835bd7389b4e7209b35_52">
              <w:r>
                <w:rPr>
                  <w:rStyle w:val="InternetLink"/>
                  <w:rFonts w:ascii="Times New Roman;sans-serif" w:hAnsi="Times New Roman;sans-serif"/>
                  <w:b w:val="false"/>
                  <w:strike w:val="false"/>
                  <w:dstrike w:val="false"/>
                  <w:color w:val="000000"/>
                  <w:sz w:val="20"/>
                  <w:u w:val="none"/>
                  <w:effect w:val="none"/>
                </w:rPr>
                <w:t>ITEM 11. QUANTITATIVE AND QUALITATIVE DISCLOSURES ABOUT MARKET RISK</w:t>
              </w:r>
            </w:hyperlink>
          </w:p>
        </w:tc>
        <w:tc>
          <w:tcPr>
            <w:tcW w:w="466"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beb44053da9f4835bd7389b4e7209b35_52">
              <w:r>
                <w:rPr>
                  <w:rStyle w:val="InternetLink"/>
                  <w:rFonts w:ascii="Times New Roman;sans-serif" w:hAnsi="Times New Roman;sans-serif"/>
                  <w:b w:val="false"/>
                  <w:strike w:val="false"/>
                  <w:dstrike w:val="false"/>
                  <w:color w:val="000000"/>
                  <w:sz w:val="20"/>
                  <w:u w:val="none"/>
                  <w:effect w:val="none"/>
                </w:rPr>
                <w:t>145</w:t>
              </w:r>
            </w:hyperlink>
          </w:p>
        </w:tc>
      </w:tr>
      <w:tr>
        <w:trPr/>
        <w:tc>
          <w:tcPr>
            <w:tcW w:w="9330"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beb44053da9f4835bd7389b4e7209b35_55">
              <w:r>
                <w:rPr>
                  <w:rStyle w:val="InternetLink"/>
                  <w:rFonts w:ascii="Times New Roman;sans-serif" w:hAnsi="Times New Roman;sans-serif"/>
                  <w:b w:val="false"/>
                  <w:strike w:val="false"/>
                  <w:dstrike w:val="false"/>
                  <w:color w:val="000000"/>
                  <w:sz w:val="20"/>
                  <w:u w:val="none"/>
                  <w:effect w:val="none"/>
                </w:rPr>
                <w:t>ITEM 12. DESCRIPTION OF SECURITIES OTHER THAN EQUITY SECURITIES</w:t>
              </w:r>
            </w:hyperlink>
          </w:p>
        </w:tc>
        <w:tc>
          <w:tcPr>
            <w:tcW w:w="466"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beb44053da9f4835bd7389b4e7209b35_55">
              <w:r>
                <w:rPr>
                  <w:rStyle w:val="InternetLink"/>
                  <w:rFonts w:ascii="Times New Roman;sans-serif" w:hAnsi="Times New Roman;sans-serif"/>
                  <w:b w:val="false"/>
                  <w:strike w:val="false"/>
                  <w:dstrike w:val="false"/>
                  <w:color w:val="000000"/>
                  <w:sz w:val="20"/>
                  <w:u w:val="none"/>
                  <w:effect w:val="none"/>
                </w:rPr>
                <w:t>146</w:t>
              </w:r>
            </w:hyperlink>
          </w:p>
        </w:tc>
      </w:tr>
      <w:tr>
        <w:trPr/>
        <w:tc>
          <w:tcPr>
            <w:tcW w:w="933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beb44053da9f4835bd7389b4e7209b35_58">
              <w:r>
                <w:rPr>
                  <w:rStyle w:val="InternetLink"/>
                  <w:rFonts w:ascii="Times New Roman;sans-serif" w:hAnsi="Times New Roman;sans-serif"/>
                  <w:b w:val="false"/>
                  <w:strike w:val="false"/>
                  <w:dstrike w:val="false"/>
                  <w:color w:val="000000"/>
                  <w:sz w:val="20"/>
                  <w:u w:val="none"/>
                  <w:effect w:val="none"/>
                </w:rPr>
                <w:t>PART II</w:t>
              </w:r>
            </w:hyperlink>
          </w:p>
        </w:tc>
        <w:tc>
          <w:tcPr>
            <w:tcW w:w="466"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beb44053da9f4835bd7389b4e7209b35_58">
              <w:r>
                <w:rPr>
                  <w:rStyle w:val="InternetLink"/>
                  <w:rFonts w:ascii="Times New Roman;sans-serif" w:hAnsi="Times New Roman;sans-serif"/>
                  <w:b w:val="false"/>
                  <w:strike w:val="false"/>
                  <w:dstrike w:val="false"/>
                  <w:color w:val="000000"/>
                  <w:sz w:val="20"/>
                  <w:u w:val="none"/>
                  <w:effect w:val="none"/>
                </w:rPr>
                <w:t>148</w:t>
              </w:r>
            </w:hyperlink>
          </w:p>
        </w:tc>
      </w:tr>
      <w:tr>
        <w:trPr/>
        <w:tc>
          <w:tcPr>
            <w:tcW w:w="9330"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beb44053da9f4835bd7389b4e7209b35_61">
              <w:r>
                <w:rPr>
                  <w:rStyle w:val="InternetLink"/>
                  <w:rFonts w:ascii="Times New Roman;sans-serif" w:hAnsi="Times New Roman;sans-serif"/>
                  <w:b w:val="false"/>
                  <w:strike w:val="false"/>
                  <w:dstrike w:val="false"/>
                  <w:color w:val="000000"/>
                  <w:sz w:val="20"/>
                  <w:u w:val="none"/>
                  <w:effect w:val="none"/>
                </w:rPr>
                <w:t>ITEM 13. DEFAULTS, DIVIDEND ARREARAGES AND DELINQUENCIES</w:t>
              </w:r>
            </w:hyperlink>
          </w:p>
        </w:tc>
        <w:tc>
          <w:tcPr>
            <w:tcW w:w="466"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beb44053da9f4835bd7389b4e7209b35_61">
              <w:r>
                <w:rPr>
                  <w:rStyle w:val="InternetLink"/>
                  <w:rFonts w:ascii="Times New Roman;sans-serif" w:hAnsi="Times New Roman;sans-serif"/>
                  <w:b w:val="false"/>
                  <w:strike w:val="false"/>
                  <w:dstrike w:val="false"/>
                  <w:color w:val="000000"/>
                  <w:sz w:val="20"/>
                  <w:u w:val="none"/>
                  <w:effect w:val="none"/>
                </w:rPr>
                <w:t>148</w:t>
              </w:r>
            </w:hyperlink>
          </w:p>
        </w:tc>
      </w:tr>
      <w:tr>
        <w:trPr/>
        <w:tc>
          <w:tcPr>
            <w:tcW w:w="9330"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beb44053da9f4835bd7389b4e7209b35_64">
              <w:r>
                <w:rPr>
                  <w:rStyle w:val="InternetLink"/>
                  <w:rFonts w:ascii="Times New Roman;sans-serif" w:hAnsi="Times New Roman;sans-serif"/>
                  <w:b w:val="false"/>
                  <w:strike w:val="false"/>
                  <w:dstrike w:val="false"/>
                  <w:color w:val="000000"/>
                  <w:sz w:val="20"/>
                  <w:u w:val="none"/>
                  <w:effect w:val="none"/>
                </w:rPr>
                <w:t>ITEM 14. MATERIAL MODIFICATIONS TO THE RIGHTS OF SECURITY HOLDERS AND USE OF PROCEEDS</w:t>
              </w:r>
            </w:hyperlink>
          </w:p>
        </w:tc>
        <w:tc>
          <w:tcPr>
            <w:tcW w:w="466"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beb44053da9f4835bd7389b4e7209b35_64">
              <w:r>
                <w:rPr>
                  <w:rStyle w:val="InternetLink"/>
                  <w:rFonts w:ascii="Times New Roman;sans-serif" w:hAnsi="Times New Roman;sans-serif"/>
                  <w:b w:val="false"/>
                  <w:strike w:val="false"/>
                  <w:dstrike w:val="false"/>
                  <w:color w:val="000000"/>
                  <w:sz w:val="20"/>
                  <w:u w:val="none"/>
                  <w:effect w:val="none"/>
                </w:rPr>
                <w:t>148</w:t>
              </w:r>
            </w:hyperlink>
          </w:p>
        </w:tc>
      </w:tr>
      <w:tr>
        <w:trPr/>
        <w:tc>
          <w:tcPr>
            <w:tcW w:w="9330"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beb44053da9f4835bd7389b4e7209b35_67">
              <w:r>
                <w:rPr>
                  <w:rStyle w:val="InternetLink"/>
                  <w:rFonts w:ascii="Times New Roman;sans-serif" w:hAnsi="Times New Roman;sans-serif"/>
                  <w:b w:val="false"/>
                  <w:strike w:val="false"/>
                  <w:dstrike w:val="false"/>
                  <w:color w:val="000000"/>
                  <w:sz w:val="20"/>
                  <w:u w:val="none"/>
                  <w:effect w:val="none"/>
                </w:rPr>
                <w:t>ITEM 15. CONTROLS AND PROCEDURES</w:t>
              </w:r>
            </w:hyperlink>
          </w:p>
        </w:tc>
        <w:tc>
          <w:tcPr>
            <w:tcW w:w="466"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beb44053da9f4835bd7389b4e7209b35_67">
              <w:r>
                <w:rPr>
                  <w:rStyle w:val="InternetLink"/>
                  <w:rFonts w:ascii="Times New Roman;sans-serif" w:hAnsi="Times New Roman;sans-serif"/>
                  <w:b w:val="false"/>
                  <w:strike w:val="false"/>
                  <w:dstrike w:val="false"/>
                  <w:color w:val="000000"/>
                  <w:sz w:val="20"/>
                  <w:u w:val="none"/>
                  <w:effect w:val="none"/>
                </w:rPr>
                <w:t>149</w:t>
              </w:r>
            </w:hyperlink>
          </w:p>
        </w:tc>
      </w:tr>
      <w:tr>
        <w:trPr/>
        <w:tc>
          <w:tcPr>
            <w:tcW w:w="9330"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beb44053da9f4835bd7389b4e7209b35_70">
              <w:r>
                <w:rPr>
                  <w:rStyle w:val="InternetLink"/>
                  <w:rFonts w:ascii="Times New Roman;sans-serif" w:hAnsi="Times New Roman;sans-serif"/>
                  <w:b w:val="false"/>
                  <w:strike w:val="false"/>
                  <w:dstrike w:val="false"/>
                  <w:color w:val="000000"/>
                  <w:sz w:val="20"/>
                  <w:u w:val="none"/>
                  <w:effect w:val="none"/>
                </w:rPr>
                <w:t>ITEM 16A. AUDIT COMMITTEE FINANCIAL EXPERT</w:t>
              </w:r>
            </w:hyperlink>
          </w:p>
        </w:tc>
        <w:tc>
          <w:tcPr>
            <w:tcW w:w="466"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beb44053da9f4835bd7389b4e7209b35_70">
              <w:r>
                <w:rPr>
                  <w:rStyle w:val="InternetLink"/>
                  <w:rFonts w:ascii="Times New Roman;sans-serif" w:hAnsi="Times New Roman;sans-serif"/>
                  <w:b w:val="false"/>
                  <w:strike w:val="false"/>
                  <w:dstrike w:val="false"/>
                  <w:color w:val="000000"/>
                  <w:sz w:val="20"/>
                  <w:u w:val="none"/>
                  <w:effect w:val="none"/>
                </w:rPr>
                <w:t>150</w:t>
              </w:r>
            </w:hyperlink>
          </w:p>
        </w:tc>
      </w:tr>
      <w:tr>
        <w:trPr/>
        <w:tc>
          <w:tcPr>
            <w:tcW w:w="9330"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beb44053da9f4835bd7389b4e7209b35_73">
              <w:r>
                <w:rPr>
                  <w:rStyle w:val="InternetLink"/>
                  <w:rFonts w:ascii="Times New Roman;sans-serif" w:hAnsi="Times New Roman;sans-serif"/>
                  <w:b w:val="false"/>
                  <w:strike w:val="false"/>
                  <w:dstrike w:val="false"/>
                  <w:color w:val="000000"/>
                  <w:sz w:val="20"/>
                  <w:u w:val="none"/>
                  <w:effect w:val="none"/>
                </w:rPr>
                <w:t>ITEM 16B. CODE OF ETHICS</w:t>
              </w:r>
            </w:hyperlink>
          </w:p>
        </w:tc>
        <w:tc>
          <w:tcPr>
            <w:tcW w:w="466"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beb44053da9f4835bd7389b4e7209b35_73">
              <w:r>
                <w:rPr>
                  <w:rStyle w:val="InternetLink"/>
                  <w:rFonts w:ascii="Times New Roman;sans-serif" w:hAnsi="Times New Roman;sans-serif"/>
                  <w:b w:val="false"/>
                  <w:strike w:val="false"/>
                  <w:dstrike w:val="false"/>
                  <w:color w:val="000000"/>
                  <w:sz w:val="20"/>
                  <w:u w:val="none"/>
                  <w:effect w:val="none"/>
                </w:rPr>
                <w:t>150</w:t>
              </w:r>
            </w:hyperlink>
          </w:p>
        </w:tc>
      </w:tr>
      <w:tr>
        <w:trPr/>
        <w:tc>
          <w:tcPr>
            <w:tcW w:w="9330"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beb44053da9f4835bd7389b4e7209b35_76">
              <w:r>
                <w:rPr>
                  <w:rStyle w:val="InternetLink"/>
                  <w:rFonts w:ascii="Times New Roman;sans-serif" w:hAnsi="Times New Roman;sans-serif"/>
                  <w:b w:val="false"/>
                  <w:strike w:val="false"/>
                  <w:dstrike w:val="false"/>
                  <w:color w:val="000000"/>
                  <w:sz w:val="20"/>
                  <w:u w:val="none"/>
                  <w:effect w:val="none"/>
                </w:rPr>
                <w:t>ITEM 16C. PRINCIPAL ACCOUNTANT FEES AND SERVICES</w:t>
              </w:r>
            </w:hyperlink>
          </w:p>
        </w:tc>
        <w:tc>
          <w:tcPr>
            <w:tcW w:w="466"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beb44053da9f4835bd7389b4e7209b35_76">
              <w:r>
                <w:rPr>
                  <w:rStyle w:val="InternetLink"/>
                  <w:rFonts w:ascii="Times New Roman;sans-serif" w:hAnsi="Times New Roman;sans-serif"/>
                  <w:b w:val="false"/>
                  <w:strike w:val="false"/>
                  <w:dstrike w:val="false"/>
                  <w:color w:val="000000"/>
                  <w:sz w:val="20"/>
                  <w:u w:val="none"/>
                  <w:effect w:val="none"/>
                </w:rPr>
                <w:t>151</w:t>
              </w:r>
            </w:hyperlink>
          </w:p>
        </w:tc>
      </w:tr>
      <w:tr>
        <w:trPr/>
        <w:tc>
          <w:tcPr>
            <w:tcW w:w="9330"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beb44053da9f4835bd7389b4e7209b35_79">
              <w:r>
                <w:rPr>
                  <w:rStyle w:val="InternetLink"/>
                  <w:rFonts w:ascii="Times New Roman;sans-serif" w:hAnsi="Times New Roman;sans-serif"/>
                  <w:b w:val="false"/>
                  <w:strike w:val="false"/>
                  <w:dstrike w:val="false"/>
                  <w:color w:val="000000"/>
                  <w:sz w:val="20"/>
                  <w:u w:val="none"/>
                  <w:effect w:val="none"/>
                </w:rPr>
                <w:t>ITEM 16D. EXEMPTIONS FROM THE LISTING STANDARDS FOR AUDIT COMMITTEES</w:t>
              </w:r>
            </w:hyperlink>
          </w:p>
        </w:tc>
        <w:tc>
          <w:tcPr>
            <w:tcW w:w="466"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beb44053da9f4835bd7389b4e7209b35_79">
              <w:r>
                <w:rPr>
                  <w:rStyle w:val="InternetLink"/>
                  <w:rFonts w:ascii="Times New Roman;sans-serif" w:hAnsi="Times New Roman;sans-serif"/>
                  <w:b w:val="false"/>
                  <w:strike w:val="false"/>
                  <w:dstrike w:val="false"/>
                  <w:color w:val="000000"/>
                  <w:sz w:val="20"/>
                  <w:u w:val="none"/>
                  <w:effect w:val="none"/>
                </w:rPr>
                <w:t>151</w:t>
              </w:r>
            </w:hyperlink>
          </w:p>
        </w:tc>
      </w:tr>
      <w:tr>
        <w:trPr/>
        <w:tc>
          <w:tcPr>
            <w:tcW w:w="9330"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beb44053da9f4835bd7389b4e7209b35_82">
              <w:r>
                <w:rPr>
                  <w:rStyle w:val="InternetLink"/>
                  <w:rFonts w:ascii="Times New Roman;sans-serif" w:hAnsi="Times New Roman;sans-serif"/>
                  <w:b w:val="false"/>
                  <w:strike w:val="false"/>
                  <w:dstrike w:val="false"/>
                  <w:color w:val="000000"/>
                  <w:sz w:val="20"/>
                  <w:u w:val="none"/>
                  <w:effect w:val="none"/>
                </w:rPr>
                <w:t>ITEM 16E. PURCHASES OF EQUITY SECURITIES BY THE ISSUER AND AFFILIATED PURCHASERS</w:t>
              </w:r>
            </w:hyperlink>
          </w:p>
        </w:tc>
        <w:tc>
          <w:tcPr>
            <w:tcW w:w="466"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beb44053da9f4835bd7389b4e7209b35_82">
              <w:r>
                <w:rPr>
                  <w:rStyle w:val="InternetLink"/>
                  <w:rFonts w:ascii="Times New Roman;sans-serif" w:hAnsi="Times New Roman;sans-serif"/>
                  <w:b w:val="false"/>
                  <w:strike w:val="false"/>
                  <w:dstrike w:val="false"/>
                  <w:color w:val="000000"/>
                  <w:sz w:val="20"/>
                  <w:u w:val="none"/>
                  <w:effect w:val="none"/>
                </w:rPr>
                <w:t>151</w:t>
              </w:r>
            </w:hyperlink>
          </w:p>
        </w:tc>
      </w:tr>
      <w:tr>
        <w:trPr/>
        <w:tc>
          <w:tcPr>
            <w:tcW w:w="9330"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beb44053da9f4835bd7389b4e7209b35_85">
              <w:r>
                <w:rPr>
                  <w:rStyle w:val="InternetLink"/>
                  <w:rFonts w:ascii="Times New Roman;sans-serif" w:hAnsi="Times New Roman;sans-serif"/>
                  <w:b w:val="false"/>
                  <w:strike w:val="false"/>
                  <w:dstrike w:val="false"/>
                  <w:color w:val="000000"/>
                  <w:sz w:val="20"/>
                  <w:u w:val="none"/>
                  <w:effect w:val="none"/>
                </w:rPr>
                <w:t>ITEM 16F. CHANGE IN REGISTRANT’S CERTIFYING ACCOUNTANT</w:t>
              </w:r>
            </w:hyperlink>
          </w:p>
        </w:tc>
        <w:tc>
          <w:tcPr>
            <w:tcW w:w="466"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beb44053da9f4835bd7389b4e7209b35_85">
              <w:r>
                <w:rPr>
                  <w:rStyle w:val="InternetLink"/>
                  <w:rFonts w:ascii="Times New Roman;sans-serif" w:hAnsi="Times New Roman;sans-serif"/>
                  <w:b w:val="false"/>
                  <w:strike w:val="false"/>
                  <w:dstrike w:val="false"/>
                  <w:color w:val="000000"/>
                  <w:sz w:val="20"/>
                  <w:u w:val="none"/>
                  <w:effect w:val="none"/>
                </w:rPr>
                <w:t>151</w:t>
              </w:r>
            </w:hyperlink>
          </w:p>
        </w:tc>
      </w:tr>
      <w:tr>
        <w:trPr/>
        <w:tc>
          <w:tcPr>
            <w:tcW w:w="9330"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beb44053da9f4835bd7389b4e7209b35_88">
              <w:r>
                <w:rPr>
                  <w:rStyle w:val="InternetLink"/>
                  <w:rFonts w:ascii="Times New Roman;sans-serif" w:hAnsi="Times New Roman;sans-serif"/>
                  <w:b w:val="false"/>
                  <w:strike w:val="false"/>
                  <w:dstrike w:val="false"/>
                  <w:color w:val="000000"/>
                  <w:sz w:val="20"/>
                  <w:u w:val="none"/>
                  <w:effect w:val="none"/>
                </w:rPr>
                <w:t>ITEM 16G. CORPORATE GOVERNANCE</w:t>
              </w:r>
            </w:hyperlink>
          </w:p>
        </w:tc>
        <w:tc>
          <w:tcPr>
            <w:tcW w:w="466"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beb44053da9f4835bd7389b4e7209b35_88">
              <w:r>
                <w:rPr>
                  <w:rStyle w:val="InternetLink"/>
                  <w:rFonts w:ascii="Times New Roman;sans-serif" w:hAnsi="Times New Roman;sans-serif"/>
                  <w:b w:val="false"/>
                  <w:strike w:val="false"/>
                  <w:dstrike w:val="false"/>
                  <w:color w:val="000000"/>
                  <w:sz w:val="20"/>
                  <w:u w:val="none"/>
                  <w:effect w:val="none"/>
                </w:rPr>
                <w:t>151</w:t>
              </w:r>
            </w:hyperlink>
          </w:p>
        </w:tc>
      </w:tr>
      <w:tr>
        <w:trPr/>
        <w:tc>
          <w:tcPr>
            <w:tcW w:w="9330"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beb44053da9f4835bd7389b4e7209b35_91">
              <w:r>
                <w:rPr>
                  <w:rStyle w:val="InternetLink"/>
                  <w:rFonts w:ascii="Times New Roman;sans-serif" w:hAnsi="Times New Roman;sans-serif"/>
                  <w:b w:val="false"/>
                  <w:strike w:val="false"/>
                  <w:dstrike w:val="false"/>
                  <w:color w:val="000000"/>
                  <w:sz w:val="20"/>
                  <w:u w:val="none"/>
                  <w:effect w:val="none"/>
                </w:rPr>
                <w:t>ITEM 16H. MINE SAFETY DISCLOSURE</w:t>
              </w:r>
            </w:hyperlink>
          </w:p>
        </w:tc>
        <w:tc>
          <w:tcPr>
            <w:tcW w:w="466"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beb44053da9f4835bd7389b4e7209b35_91">
              <w:r>
                <w:rPr>
                  <w:rStyle w:val="InternetLink"/>
                  <w:rFonts w:ascii="Times New Roman;sans-serif" w:hAnsi="Times New Roman;sans-serif"/>
                  <w:b w:val="false"/>
                  <w:strike w:val="false"/>
                  <w:dstrike w:val="false"/>
                  <w:color w:val="000000"/>
                  <w:sz w:val="20"/>
                  <w:u w:val="none"/>
                  <w:effect w:val="none"/>
                </w:rPr>
                <w:t>152</w:t>
              </w:r>
            </w:hyperlink>
          </w:p>
        </w:tc>
      </w:tr>
      <w:tr>
        <w:trPr/>
        <w:tc>
          <w:tcPr>
            <w:tcW w:w="9330"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beb44053da9f4835bd7389b4e7209b35_94">
              <w:r>
                <w:rPr>
                  <w:rStyle w:val="InternetLink"/>
                  <w:rFonts w:ascii="Times New Roman;sans-serif" w:hAnsi="Times New Roman;sans-serif"/>
                  <w:b w:val="false"/>
                  <w:strike w:val="false"/>
                  <w:dstrike w:val="false"/>
                  <w:color w:val="000000"/>
                  <w:sz w:val="20"/>
                  <w:u w:val="none"/>
                  <w:effect w:val="none"/>
                </w:rPr>
                <w:t>PART III</w:t>
              </w:r>
            </w:hyperlink>
          </w:p>
        </w:tc>
        <w:tc>
          <w:tcPr>
            <w:tcW w:w="466"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beb44053da9f4835bd7389b4e7209b35_94">
              <w:r>
                <w:rPr>
                  <w:rStyle w:val="InternetLink"/>
                  <w:rFonts w:ascii="Times New Roman;sans-serif" w:hAnsi="Times New Roman;sans-serif"/>
                  <w:b w:val="false"/>
                  <w:strike w:val="false"/>
                  <w:dstrike w:val="false"/>
                  <w:color w:val="000000"/>
                  <w:sz w:val="20"/>
                  <w:u w:val="none"/>
                  <w:effect w:val="none"/>
                </w:rPr>
                <w:t>153</w:t>
              </w:r>
            </w:hyperlink>
          </w:p>
        </w:tc>
      </w:tr>
      <w:tr>
        <w:trPr/>
        <w:tc>
          <w:tcPr>
            <w:tcW w:w="9330"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beb44053da9f4835bd7389b4e7209b35_97">
              <w:r>
                <w:rPr>
                  <w:rStyle w:val="InternetLink"/>
                  <w:rFonts w:ascii="Times New Roman;sans-serif" w:hAnsi="Times New Roman;sans-serif"/>
                  <w:b w:val="false"/>
                  <w:strike w:val="false"/>
                  <w:dstrike w:val="false"/>
                  <w:color w:val="000000"/>
                  <w:sz w:val="20"/>
                  <w:u w:val="none"/>
                  <w:effect w:val="none"/>
                </w:rPr>
                <w:t>ITEM 17. FINANCIAL STATEMENTS</w:t>
              </w:r>
            </w:hyperlink>
          </w:p>
        </w:tc>
        <w:tc>
          <w:tcPr>
            <w:tcW w:w="466"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beb44053da9f4835bd7389b4e7209b35_97">
              <w:r>
                <w:rPr>
                  <w:rStyle w:val="InternetLink"/>
                  <w:rFonts w:ascii="Times New Roman;sans-serif" w:hAnsi="Times New Roman;sans-serif"/>
                  <w:b w:val="false"/>
                  <w:strike w:val="false"/>
                  <w:dstrike w:val="false"/>
                  <w:color w:val="000000"/>
                  <w:sz w:val="20"/>
                  <w:u w:val="none"/>
                  <w:effect w:val="none"/>
                </w:rPr>
                <w:t>153</w:t>
              </w:r>
            </w:hyperlink>
          </w:p>
        </w:tc>
      </w:tr>
      <w:tr>
        <w:trPr/>
        <w:tc>
          <w:tcPr>
            <w:tcW w:w="9330"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beb44053da9f4835bd7389b4e7209b35_100">
              <w:r>
                <w:rPr>
                  <w:rStyle w:val="InternetLink"/>
                  <w:rFonts w:ascii="Times New Roman;sans-serif" w:hAnsi="Times New Roman;sans-serif"/>
                  <w:b w:val="false"/>
                  <w:strike w:val="false"/>
                  <w:dstrike w:val="false"/>
                  <w:color w:val="000000"/>
                  <w:sz w:val="20"/>
                  <w:u w:val="none"/>
                  <w:effect w:val="none"/>
                </w:rPr>
                <w:t>ITEM 18. FINANCIAL</w:t>
              </w:r>
            </w:hyperlink>
            <w:r>
              <w:rPr>
                <w:rFonts w:ascii="Times New Roman;sans-serif" w:hAnsi="Times New Roman;sans-serif"/>
                <w:b w:val="false"/>
                <w:color w:val="000000"/>
                <w:sz w:val="20"/>
              </w:rPr>
              <w:t xml:space="preserve"> </w:t>
            </w:r>
            <w:hyperlink w:anchor="ibeb44053da9f4835bd7389b4e7209b35_97">
              <w:r>
                <w:rPr>
                  <w:rStyle w:val="InternetLink"/>
                  <w:rFonts w:ascii="Times New Roman;sans-serif" w:hAnsi="Times New Roman;sans-serif"/>
                  <w:b w:val="false"/>
                  <w:strike w:val="false"/>
                  <w:dstrike w:val="false"/>
                  <w:color w:val="000000"/>
                  <w:sz w:val="20"/>
                  <w:u w:val="none"/>
                  <w:effect w:val="none"/>
                </w:rPr>
                <w:t>STATEMENTS</w:t>
              </w:r>
            </w:hyperlink>
          </w:p>
        </w:tc>
        <w:tc>
          <w:tcPr>
            <w:tcW w:w="466"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beb44053da9f4835bd7389b4e7209b35_100">
              <w:r>
                <w:rPr>
                  <w:rStyle w:val="InternetLink"/>
                  <w:rFonts w:ascii="Times New Roman;sans-serif" w:hAnsi="Times New Roman;sans-serif"/>
                  <w:b w:val="false"/>
                  <w:strike w:val="false"/>
                  <w:dstrike w:val="false"/>
                  <w:color w:val="000000"/>
                  <w:sz w:val="20"/>
                  <w:u w:val="none"/>
                  <w:effect w:val="none"/>
                </w:rPr>
                <w:t>153</w:t>
              </w:r>
            </w:hyperlink>
          </w:p>
        </w:tc>
      </w:tr>
      <w:tr>
        <w:trPr/>
        <w:tc>
          <w:tcPr>
            <w:tcW w:w="9330"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beb44053da9f4835bd7389b4e7209b35_103">
              <w:r>
                <w:rPr>
                  <w:rStyle w:val="InternetLink"/>
                  <w:rFonts w:ascii="Times New Roman;sans-serif" w:hAnsi="Times New Roman;sans-serif"/>
                  <w:b w:val="false"/>
                  <w:strike w:val="false"/>
                  <w:dstrike w:val="false"/>
                  <w:color w:val="000000"/>
                  <w:sz w:val="20"/>
                  <w:u w:val="none"/>
                  <w:effect w:val="none"/>
                </w:rPr>
                <w:t>ITEM 19. EXHIBITS</w:t>
              </w:r>
            </w:hyperlink>
          </w:p>
        </w:tc>
        <w:tc>
          <w:tcPr>
            <w:tcW w:w="466"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beb44053da9f4835bd7389b4e7209b35_103">
              <w:r>
                <w:rPr>
                  <w:rStyle w:val="InternetLink"/>
                  <w:rFonts w:ascii="Times New Roman;sans-serif" w:hAnsi="Times New Roman;sans-serif"/>
                  <w:b w:val="false"/>
                  <w:strike w:val="false"/>
                  <w:dstrike w:val="false"/>
                  <w:color w:val="000000"/>
                  <w:sz w:val="20"/>
                  <w:u w:val="none"/>
                  <w:effect w:val="none"/>
                </w:rPr>
                <w:t>153</w:t>
              </w:r>
            </w:hyperlink>
          </w:p>
        </w:tc>
      </w:tr>
    </w:tbl>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rPr/>
      </w:pPr>
      <w:r>
        <w:rPr/>
      </w:r>
    </w:p>
    <w:p>
      <w:pPr>
        <w:pStyle w:val="TextBody"/>
        <w:spacing w:lineRule="auto" w:line="319" w:before="0" w:after="0"/>
        <w:jc w:val="center"/>
        <w:rPr>
          <w:rFonts w:ascii="Times New Roman;sans-serif" w:hAnsi="Times New Roman;sans-serif"/>
          <w:b/>
          <w:color w:val="000000"/>
          <w:sz w:val="20"/>
        </w:rPr>
      </w:pPr>
      <w:r>
        <w:rPr>
          <w:rFonts w:ascii="Times New Roman;sans-serif" w:hAnsi="Times New Roman;sans-serif"/>
          <w:b/>
          <w:color w:val="000000"/>
          <w:sz w:val="20"/>
        </w:rPr>
        <w:t>INTRODUCTION</w:t>
      </w:r>
    </w:p>
    <w:p>
      <w:pPr>
        <w:pStyle w:val="TextBody"/>
        <w:spacing w:before="0" w:after="0"/>
        <w:jc w:val="center"/>
        <w:rPr/>
      </w:pPr>
      <w:r>
        <w:rPr/>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Except where the context otherwise requires and for purposes of this annual report on Form 20-F only:</w:t>
      </w:r>
    </w:p>
    <w:p>
      <w:pPr>
        <w:pStyle w:val="TextBody"/>
        <w:spacing w:lineRule="auto" w:line="319" w:before="0" w:after="240"/>
        <w:ind w:left="0" w:right="0" w:hanging="360"/>
        <w:jc w:val="both"/>
        <w:rPr/>
      </w:pPr>
      <w:r>
        <w:rPr>
          <w:color w:val="000000"/>
        </w:rPr>
        <w:t>•“</w:t>
      </w:r>
      <w:r>
        <w:rPr>
          <w:rFonts w:ascii="Times New Roman;sans-serif" w:hAnsi="Times New Roman;sans-serif"/>
          <w:b w:val="false"/>
          <w:color w:val="000000"/>
          <w:sz w:val="20"/>
        </w:rPr>
        <w:t xml:space="preserve">ADSs” refer to American depositary shares, each of which represents four of our Class A ordinary shares; </w:t>
      </w:r>
    </w:p>
    <w:p>
      <w:pPr>
        <w:pStyle w:val="TextBody"/>
        <w:spacing w:lineRule="auto" w:line="319" w:before="0" w:after="240"/>
        <w:ind w:left="0" w:right="0" w:hanging="360"/>
        <w:jc w:val="both"/>
        <w:rPr/>
      </w:pPr>
      <w:r>
        <w:rPr>
          <w:color w:val="000000"/>
        </w:rPr>
        <w:t>•“</w:t>
      </w:r>
      <w:r>
        <w:rPr>
          <w:rFonts w:ascii="Times New Roman;sans-serif" w:hAnsi="Times New Roman;sans-serif"/>
          <w:b w:val="false"/>
          <w:color w:val="000000"/>
          <w:sz w:val="20"/>
        </w:rPr>
        <w:t>ADRs” refer to the American depositary receipts that evidence our ADSs;</w:t>
      </w:r>
    </w:p>
    <w:p>
      <w:pPr>
        <w:pStyle w:val="TextBody"/>
        <w:spacing w:lineRule="auto" w:line="319" w:before="0" w:after="240"/>
        <w:ind w:left="0" w:right="0" w:hanging="360"/>
        <w:jc w:val="both"/>
        <w:rPr/>
      </w:pPr>
      <w:r>
        <w:rPr>
          <w:color w:val="000000"/>
        </w:rPr>
        <w:t>•“</w:t>
      </w:r>
      <w:r>
        <w:rPr>
          <w:rFonts w:ascii="Times New Roman;sans-serif" w:hAnsi="Times New Roman;sans-serif"/>
          <w:b w:val="false"/>
          <w:color w:val="000000"/>
          <w:sz w:val="20"/>
        </w:rPr>
        <w:t xml:space="preserve">Agora,” “we,” “us,” “our company” and “our” refer to Agora, Inc., a Cayman Islands exempted company and its subsidiaries and, in the context of describing our operations and consolidated financial information, also include our VIEs. </w:t>
      </w:r>
    </w:p>
    <w:p>
      <w:pPr>
        <w:pStyle w:val="TextBody"/>
        <w:spacing w:lineRule="auto" w:line="319" w:before="0" w:after="240"/>
        <w:ind w:left="0" w:right="0" w:hanging="360"/>
        <w:jc w:val="both"/>
        <w:rPr/>
      </w:pPr>
      <w:r>
        <w:rPr>
          <w:color w:val="000000"/>
        </w:rPr>
        <w:t>•“</w:t>
      </w:r>
      <w:r>
        <w:rPr>
          <w:rFonts w:ascii="Times New Roman;sans-serif" w:hAnsi="Times New Roman;sans-serif"/>
          <w:b w:val="false"/>
          <w:color w:val="000000"/>
          <w:sz w:val="20"/>
        </w:rPr>
        <w:t>China” or “PRC” refer to the People’s Republic of China, excluding, for the purposes of this annual report only, Taiwan, Hong Kong and Macau;</w:t>
      </w:r>
    </w:p>
    <w:p>
      <w:pPr>
        <w:pStyle w:val="TextBody"/>
        <w:spacing w:lineRule="auto" w:line="319" w:before="0" w:after="240"/>
        <w:ind w:left="0" w:right="0" w:hanging="360"/>
        <w:jc w:val="both"/>
        <w:rPr/>
      </w:pPr>
      <w:r>
        <w:rPr>
          <w:color w:val="000000"/>
        </w:rPr>
        <w:t>•“</w:t>
      </w:r>
      <w:r>
        <w:rPr>
          <w:rFonts w:ascii="Times New Roman;sans-serif" w:hAnsi="Times New Roman;sans-serif"/>
          <w:b w:val="false"/>
          <w:color w:val="000000"/>
          <w:sz w:val="20"/>
        </w:rPr>
        <w:t>Class A ordinary shares” refer to our Class A ordinary shares, par value US$0.0001 per share;</w:t>
      </w:r>
    </w:p>
    <w:p>
      <w:pPr>
        <w:pStyle w:val="TextBody"/>
        <w:spacing w:lineRule="auto" w:line="319" w:before="0" w:after="240"/>
        <w:ind w:left="0" w:right="0" w:hanging="360"/>
        <w:jc w:val="both"/>
        <w:rPr/>
      </w:pPr>
      <w:r>
        <w:rPr>
          <w:color w:val="000000"/>
        </w:rPr>
        <w:t>•“</w:t>
      </w:r>
      <w:r>
        <w:rPr>
          <w:rFonts w:ascii="Times New Roman;sans-serif" w:hAnsi="Times New Roman;sans-serif"/>
          <w:b w:val="false"/>
          <w:color w:val="000000"/>
          <w:sz w:val="20"/>
        </w:rPr>
        <w:t>Class B ordinary shares” refer to our Class B ordinary shares, par value US$0.0001 per share;</w:t>
      </w:r>
    </w:p>
    <w:p>
      <w:pPr>
        <w:pStyle w:val="TextBody"/>
        <w:spacing w:lineRule="auto" w:line="276" w:before="0" w:after="0"/>
        <w:ind w:left="0" w:right="0" w:hanging="360"/>
        <w:rPr/>
      </w:pPr>
      <w:r>
        <w:rPr>
          <w:color w:val="000000"/>
        </w:rPr>
        <w:t>•“</w:t>
      </w:r>
      <w:r>
        <w:rPr>
          <w:rFonts w:ascii="Times New Roman;sans-serif" w:hAnsi="Times New Roman;sans-serif"/>
          <w:b w:val="false"/>
          <w:color w:val="000000"/>
          <w:sz w:val="20"/>
        </w:rPr>
        <w:t>Dayin” refers to Dayin Network Technology Co., Ltd.;</w:t>
      </w:r>
    </w:p>
    <w:p>
      <w:pPr>
        <w:pStyle w:val="TextBody"/>
        <w:spacing w:before="0" w:after="0"/>
        <w:rPr/>
      </w:pPr>
      <w:r>
        <w:rPr/>
      </w:r>
    </w:p>
    <w:p>
      <w:pPr>
        <w:pStyle w:val="TextBody"/>
        <w:spacing w:lineRule="auto" w:line="319" w:before="0" w:after="240"/>
        <w:ind w:left="0" w:right="0" w:hanging="360"/>
        <w:jc w:val="both"/>
        <w:rPr/>
      </w:pPr>
      <w:r>
        <w:rPr>
          <w:color w:val="000000"/>
        </w:rPr>
        <w:t>•“</w:t>
      </w:r>
      <w:r>
        <w:rPr>
          <w:rFonts w:ascii="Times New Roman;sans-serif" w:hAnsi="Times New Roman;sans-serif"/>
          <w:b w:val="false"/>
          <w:color w:val="000000"/>
          <w:sz w:val="20"/>
        </w:rPr>
        <w:t xml:space="preserve">RMB” and “Renminbi” refer to the legal currency of China; </w:t>
      </w:r>
    </w:p>
    <w:p>
      <w:pPr>
        <w:pStyle w:val="TextBody"/>
        <w:spacing w:lineRule="auto" w:line="319" w:before="0" w:after="240"/>
        <w:ind w:left="0" w:right="0" w:hanging="360"/>
        <w:jc w:val="both"/>
        <w:rPr/>
      </w:pPr>
      <w:r>
        <w:rPr>
          <w:color w:val="000000"/>
        </w:rPr>
        <w:t>•“</w:t>
      </w:r>
      <w:r>
        <w:rPr>
          <w:rFonts w:ascii="Times New Roman;sans-serif" w:hAnsi="Times New Roman;sans-serif"/>
          <w:b w:val="false"/>
          <w:color w:val="000000"/>
          <w:sz w:val="20"/>
        </w:rPr>
        <w:t xml:space="preserve">US$,” “U.S. dollars,” or “dollars” refer to the legal currency of the United States; </w:t>
      </w:r>
    </w:p>
    <w:p>
      <w:pPr>
        <w:pStyle w:val="TextBody"/>
        <w:spacing w:lineRule="auto" w:line="276" w:before="0" w:after="0"/>
        <w:ind w:left="0" w:right="0" w:hanging="360"/>
        <w:rPr/>
      </w:pPr>
      <w:r>
        <w:rPr>
          <w:color w:val="000000"/>
        </w:rPr>
        <w:t>•“</w:t>
      </w:r>
      <w:r>
        <w:rPr>
          <w:rFonts w:ascii="Times New Roman;sans-serif" w:hAnsi="Times New Roman;sans-serif"/>
          <w:b w:val="false"/>
          <w:color w:val="000000"/>
          <w:sz w:val="20"/>
        </w:rPr>
        <w:t xml:space="preserve">VIEs” collectively refer to Shanghai Zhaoyan Network Technology Co., Ltd. and our variable interest entity affiliated with Beijing Yizhang Yunfeng Technology Co., Ltd.; </w:t>
      </w:r>
    </w:p>
    <w:p>
      <w:pPr>
        <w:pStyle w:val="TextBody"/>
        <w:spacing w:before="0" w:after="0"/>
        <w:jc w:val="both"/>
        <w:rPr/>
      </w:pPr>
      <w:r>
        <w:rPr/>
      </w:r>
    </w:p>
    <w:p>
      <w:pPr>
        <w:pStyle w:val="TextBody"/>
        <w:spacing w:lineRule="auto" w:line="316" w:before="0" w:after="0"/>
        <w:ind w:left="0" w:right="0" w:hanging="360"/>
        <w:jc w:val="both"/>
        <w:rPr/>
      </w:pPr>
      <w:r>
        <w:rPr>
          <w:color w:val="000000"/>
        </w:rPr>
        <w:t>•“</w:t>
      </w:r>
      <w:r>
        <w:rPr>
          <w:rFonts w:ascii="Times New Roman;sans-serif" w:hAnsi="Times New Roman;sans-serif"/>
          <w:b w:val="false"/>
          <w:color w:val="000000"/>
          <w:sz w:val="20"/>
        </w:rPr>
        <w:t xml:space="preserve">WFOEs” collectively refer to Dayin and Beijing Yizhang Yunfeng Technology Co., Ltd.; and </w:t>
      </w:r>
    </w:p>
    <w:p>
      <w:pPr>
        <w:pStyle w:val="TextBody"/>
        <w:spacing w:before="0" w:after="0"/>
        <w:jc w:val="both"/>
        <w:rPr/>
      </w:pPr>
      <w:r>
        <w:rPr/>
      </w:r>
    </w:p>
    <w:p>
      <w:pPr>
        <w:pStyle w:val="TextBody"/>
        <w:spacing w:lineRule="auto" w:line="276" w:before="0" w:after="0"/>
        <w:ind w:left="0" w:right="0" w:hanging="360"/>
        <w:rPr/>
      </w:pPr>
      <w:r>
        <w:rPr>
          <w:color w:val="000000"/>
        </w:rPr>
        <w:t>• “</w:t>
      </w:r>
      <w:r>
        <w:rPr>
          <w:rFonts w:ascii="Times New Roman;sans-serif" w:hAnsi="Times New Roman;sans-serif"/>
          <w:b w:val="false"/>
          <w:color w:val="000000"/>
          <w:sz w:val="20"/>
        </w:rPr>
        <w:t>Zhaoyan” refers to Shanghai Zhaoyan Network Technology Co., Ltd.</w:t>
      </w:r>
    </w:p>
    <w:p>
      <w:pPr>
        <w:pStyle w:val="TextBody"/>
        <w:spacing w:before="0" w:after="0"/>
        <w:jc w:val="both"/>
        <w:rPr/>
      </w:pPr>
      <w:r>
        <w:rPr/>
      </w:r>
    </w:p>
    <w:p>
      <w:pPr>
        <w:pStyle w:val="TextBody"/>
        <w:spacing w:lineRule="auto" w:line="319" w:before="0" w:after="240"/>
        <w:ind w:left="0" w:right="0" w:firstLine="720"/>
        <w:jc w:val="both"/>
        <w:rPr/>
      </w:pPr>
      <w:r>
        <w:rPr>
          <w:rFonts w:ascii="Times New Roman;sans-serif" w:hAnsi="Times New Roman;sans-serif"/>
          <w:b w:val="false"/>
          <w:color w:val="000000"/>
          <w:sz w:val="20"/>
          <w:highlight w:val="white"/>
        </w:rPr>
        <w:t>Our reporting and functional currency is the U.S. dollar. Other than the functional currency of our subsidiaries and VIEs in China is the Renminbi, the</w:t>
      </w:r>
      <w:r>
        <w:rPr>
          <w:color w:val="000000"/>
        </w:rPr>
        <w:t xml:space="preserve"> </w:t>
      </w:r>
      <w:r>
        <w:rPr>
          <w:rFonts w:ascii="Times New Roman;sans-serif" w:hAnsi="Times New Roman;sans-serif"/>
          <w:b w:val="false"/>
          <w:color w:val="000000"/>
          <w:sz w:val="20"/>
        </w:rPr>
        <w:t>functional currencies of our non-PRC subsidiaries are the U.S. dollar. This annual report contains translations between Renminbi and U.S. dollars solely for the convenience of the reader. The translations from Renminbi to U.S. dollars and from U.S. dollars to Renminbi in this annual report were made at a rate of RMB6.5250 to US$1.00, the exchange rate set forth in the H.10 statistical release of the Federal Reserve Board on December 31, 2020. We make no representation that the Renminbi or U.S. dollar amounts referred to in this annual report could have been or could be converted into U.S. dollars or Renminbi, as the case may be, at any particular rate or at all.</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385445"/>
                <wp:effectExtent l="0" t="0" r="0" b="0"/>
                <wp:wrapNone/>
                <wp:docPr id="5" name="Frame5"/>
                <a:graphic xmlns:a="http://schemas.openxmlformats.org/drawingml/2006/main">
                  <a:graphicData uri="http://schemas.microsoft.com/office/word/2010/wordprocessingShape">
                    <wps:wsp>
                      <wps:cNvSpPr txBox="1"/>
                      <wps:spPr>
                        <a:xfrm>
                          <a:off x="0" y="0"/>
                          <a:ext cx="6480175" cy="385445"/>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w:t>
                      </w:r>
                    </w:p>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lineRule="auto" w:line="319" w:before="0" w:after="240"/>
        <w:jc w:val="center"/>
        <w:rPr>
          <w:rFonts w:ascii="Times New Roman;sans-serif" w:hAnsi="Times New Roman;sans-serif"/>
          <w:b/>
          <w:color w:val="000000"/>
          <w:sz w:val="20"/>
        </w:rPr>
      </w:pPr>
      <w:r>
        <w:rPr>
          <w:rFonts w:ascii="Times New Roman;sans-serif" w:hAnsi="Times New Roman;sans-serif"/>
          <w:b/>
          <w:color w:val="000000"/>
          <w:sz w:val="20"/>
        </w:rPr>
        <w:t>FORWARD-LOOKING STATEMENTS</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This annual report contains forward-looking statements, including our future operating results and conditions, our prospects and our future financial performance and condition. These forward-looking statements are made under the “safe harbor” provision under Section 27A of the Securities Act of 1933, as amended, or the Securities Act, and Section 21E of the Securities Exchange Act of 1934, as amended, or the Exchange Act, and as defined in the Private Securities Litigation Reform Act of 1995. These statements involve known and unknown risks, uncertainties and other factors which may cause our actual results, performance or achievements to be materially different from any future results, performance or achievements expressed or implied by the forward-looking statements. All statements other than statements of historical fact in this annual report constitute forward-looking statements. We have used words or phrases such as “may,” “would,” “will,” “expect,” “anticipate,” “intend,” “seek,” “estimate,” “plan,” “believe,” “is/are likely to” or other similar expressions in this annual report to identify some of these forward-looking statements. These forward-looking statements, including, among others, those relating to our future business prospects, product development, revenues, profits, costs, capital expenditures, cash flows and working capital, are necessarily estimates reflecting the best judgment of directors and management and involve a number of risks and uncertainties that could cause actual results to differ materially from those suggested by the forward-looking statements. As a consequence, these forward-looking statements should be considered in light of various important factors, including those set forth in this annual report.</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These statements involve risks, uncertainties and other factors that may cause our actual results, levels of activity, performance or achievements to be materially different from the information expressed or implied by these forward-looking statements. Although we believe that we have a reasonable basis for each forward-looking statement contained in this annual report, we caution you that these statements are based on a combination of facts and factors currently known by us and our projections of the future, about which we cannot be certain. Forward-looking statements in this annual report include, but are not limited to, statements about:</w:t>
      </w:r>
    </w:p>
    <w:p>
      <w:pPr>
        <w:pStyle w:val="TextBody"/>
        <w:spacing w:lineRule="auto" w:line="319" w:before="0" w:after="240"/>
        <w:ind w:left="0" w:right="0" w:hanging="360"/>
        <w:jc w:val="both"/>
        <w:rPr/>
      </w:pPr>
      <w:r>
        <w:rPr>
          <w:color w:val="000000"/>
        </w:rPr>
        <w:t>•</w:t>
      </w:r>
      <w:r>
        <w:rPr>
          <w:rFonts w:ascii="Times New Roman;sans-serif" w:hAnsi="Times New Roman;sans-serif"/>
          <w:b w:val="false"/>
          <w:color w:val="000000"/>
          <w:sz w:val="20"/>
        </w:rPr>
        <w:t>our ability to effectively manage our growth and expand our operations;</w:t>
      </w:r>
    </w:p>
    <w:p>
      <w:pPr>
        <w:pStyle w:val="TextBody"/>
        <w:spacing w:lineRule="auto" w:line="319" w:before="0" w:after="240"/>
        <w:ind w:left="0" w:right="0" w:hanging="360"/>
        <w:jc w:val="both"/>
        <w:rPr/>
      </w:pPr>
      <w:r>
        <w:rPr>
          <w:color w:val="000000"/>
        </w:rPr>
        <w:t>•</w:t>
      </w:r>
      <w:r>
        <w:rPr>
          <w:rFonts w:ascii="Times New Roman;sans-serif" w:hAnsi="Times New Roman;sans-serif"/>
          <w:b w:val="false"/>
          <w:color w:val="000000"/>
          <w:sz w:val="20"/>
        </w:rPr>
        <w:t>our ability to attract new developers to our platform and convert them into customers;</w:t>
      </w:r>
    </w:p>
    <w:p>
      <w:pPr>
        <w:pStyle w:val="TextBody"/>
        <w:spacing w:lineRule="auto" w:line="319" w:before="0" w:after="240"/>
        <w:ind w:left="0" w:right="0" w:hanging="360"/>
        <w:jc w:val="both"/>
        <w:rPr/>
      </w:pPr>
      <w:r>
        <w:rPr>
          <w:color w:val="000000"/>
        </w:rPr>
        <w:t>•</w:t>
      </w:r>
      <w:r>
        <w:rPr>
          <w:rFonts w:ascii="Times New Roman;sans-serif" w:hAnsi="Times New Roman;sans-serif"/>
          <w:b w:val="false"/>
          <w:color w:val="000000"/>
          <w:sz w:val="20"/>
        </w:rPr>
        <w:t>our ability to retain existing customers and expand their usage of our platform and products;</w:t>
      </w:r>
    </w:p>
    <w:p>
      <w:pPr>
        <w:pStyle w:val="TextBody"/>
        <w:spacing w:lineRule="auto" w:line="319" w:before="0" w:after="240"/>
        <w:ind w:left="0" w:right="0" w:hanging="360"/>
        <w:jc w:val="both"/>
        <w:rPr/>
      </w:pPr>
      <w:r>
        <w:rPr>
          <w:color w:val="000000"/>
        </w:rPr>
        <w:t>•</w:t>
      </w:r>
      <w:r>
        <w:rPr>
          <w:rFonts w:ascii="Times New Roman;sans-serif" w:hAnsi="Times New Roman;sans-serif"/>
          <w:b w:val="false"/>
          <w:color w:val="000000"/>
          <w:sz w:val="20"/>
        </w:rPr>
        <w:t>our ability to drive popularity and usage of existing use cases and enable new ones, particularly centered on real-time video engagement</w:t>
      </w:r>
    </w:p>
    <w:p>
      <w:pPr>
        <w:pStyle w:val="TextBody"/>
        <w:spacing w:lineRule="auto" w:line="319" w:before="0" w:after="240"/>
        <w:ind w:left="0" w:right="0" w:hanging="360"/>
        <w:jc w:val="both"/>
        <w:rPr/>
      </w:pPr>
      <w:r>
        <w:rPr>
          <w:color w:val="000000"/>
        </w:rPr>
        <w:t>•</w:t>
      </w:r>
      <w:r>
        <w:rPr>
          <w:rFonts w:ascii="Times New Roman;sans-serif" w:hAnsi="Times New Roman;sans-serif"/>
          <w:b w:val="false"/>
          <w:color w:val="000000"/>
          <w:sz w:val="20"/>
        </w:rPr>
        <w:t>the impact of the COVID-19 pandemic on global markets and our business, operations and customers;</w:t>
      </w:r>
    </w:p>
    <w:p>
      <w:pPr>
        <w:pStyle w:val="TextBody"/>
        <w:spacing w:lineRule="auto" w:line="319" w:before="0" w:after="240"/>
        <w:ind w:left="0" w:right="0" w:hanging="360"/>
        <w:jc w:val="both"/>
        <w:rPr/>
      </w:pPr>
      <w:r>
        <w:rPr>
          <w:color w:val="000000"/>
        </w:rPr>
        <w:t>•</w:t>
      </w:r>
      <w:r>
        <w:rPr>
          <w:rFonts w:ascii="Times New Roman;sans-serif" w:hAnsi="Times New Roman;sans-serif"/>
          <w:b w:val="false"/>
          <w:color w:val="000000"/>
          <w:sz w:val="20"/>
        </w:rPr>
        <w:t>our ability to continue to introduce new products, features and functionalities;</w:t>
      </w:r>
    </w:p>
    <w:p>
      <w:pPr>
        <w:pStyle w:val="TextBody"/>
        <w:spacing w:lineRule="auto" w:line="319" w:before="0" w:after="240"/>
        <w:ind w:left="0" w:right="0" w:hanging="360"/>
        <w:jc w:val="both"/>
        <w:rPr/>
      </w:pPr>
      <w:r>
        <w:rPr>
          <w:color w:val="000000"/>
        </w:rPr>
        <w:t>•</w:t>
      </w:r>
      <w:r>
        <w:rPr>
          <w:rFonts w:ascii="Times New Roman;sans-serif" w:hAnsi="Times New Roman;sans-serif"/>
          <w:b w:val="false"/>
          <w:color w:val="000000"/>
          <w:sz w:val="20"/>
        </w:rPr>
        <w:t>our ability to continue to enhance the quality of the end-user experience and drive demand for RTE through our research and development efforts;</w:t>
      </w:r>
    </w:p>
    <w:p>
      <w:pPr>
        <w:pStyle w:val="TextBody"/>
        <w:spacing w:lineRule="auto" w:line="319" w:before="0" w:after="240"/>
        <w:ind w:left="0" w:right="0" w:hanging="360"/>
        <w:jc w:val="both"/>
        <w:rPr/>
      </w:pPr>
      <w:r>
        <w:rPr>
          <w:color w:val="000000"/>
        </w:rPr>
        <w:t>•</w:t>
      </w:r>
      <w:r>
        <w:rPr>
          <w:rFonts w:ascii="Times New Roman;sans-serif" w:hAnsi="Times New Roman;sans-serif"/>
          <w:b w:val="false"/>
          <w:color w:val="000000"/>
          <w:sz w:val="20"/>
        </w:rPr>
        <w:t>our ability to maintain and enhance our brand;</w:t>
      </w:r>
    </w:p>
    <w:p>
      <w:pPr>
        <w:pStyle w:val="TextBody"/>
        <w:spacing w:lineRule="auto" w:line="319" w:before="0" w:after="240"/>
        <w:ind w:left="0" w:right="0" w:hanging="360"/>
        <w:jc w:val="both"/>
        <w:rPr/>
      </w:pPr>
      <w:r>
        <w:rPr>
          <w:color w:val="000000"/>
        </w:rPr>
        <w:t>•</w:t>
      </w:r>
      <w:r>
        <w:rPr>
          <w:rFonts w:ascii="Times New Roman;sans-serif" w:hAnsi="Times New Roman;sans-serif"/>
          <w:b w:val="false"/>
          <w:color w:val="000000"/>
          <w:sz w:val="20"/>
        </w:rPr>
        <w:t>the growth of the RTE-PaaS market;</w:t>
      </w:r>
    </w:p>
    <w:p>
      <w:pPr>
        <w:pStyle w:val="TextBody"/>
        <w:spacing w:lineRule="auto" w:line="319" w:before="0" w:after="240"/>
        <w:ind w:left="0" w:right="0" w:hanging="360"/>
        <w:jc w:val="both"/>
        <w:rPr/>
      </w:pPr>
      <w:r>
        <w:rPr>
          <w:color w:val="000000"/>
        </w:rPr>
        <w:t>•</w:t>
      </w:r>
      <w:r>
        <w:rPr>
          <w:rFonts w:ascii="Times New Roman;sans-serif" w:hAnsi="Times New Roman;sans-serif"/>
          <w:b w:val="false"/>
          <w:color w:val="000000"/>
          <w:sz w:val="20"/>
        </w:rPr>
        <w:t>the effect of broader technological and market trends, such as the deployment of 5G networks and proliferation of IoT devices, on our business and prospects;</w:t>
      </w:r>
    </w:p>
    <w:p>
      <w:pPr>
        <w:pStyle w:val="TextBody"/>
        <w:spacing w:lineRule="auto" w:line="319" w:before="0" w:after="240"/>
        <w:ind w:left="0" w:right="0" w:hanging="360"/>
        <w:jc w:val="both"/>
        <w:rPr/>
      </w:pPr>
      <w:r>
        <w:rPr>
          <w:color w:val="000000"/>
        </w:rPr>
        <w:t>•</w:t>
      </w:r>
      <w:r>
        <w:rPr>
          <w:rFonts w:ascii="Times New Roman;sans-serif" w:hAnsi="Times New Roman;sans-serif"/>
          <w:b w:val="false"/>
          <w:color w:val="000000"/>
          <w:sz w:val="20"/>
        </w:rPr>
        <w:t>our ability to hire and retain experienced and talented employees as we grow our business;</w:t>
      </w:r>
    </w:p>
    <w:p>
      <w:pPr>
        <w:pStyle w:val="HorizontalLine"/>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385445"/>
                <wp:effectExtent l="0" t="0" r="0" b="0"/>
                <wp:wrapNone/>
                <wp:docPr id="6" name="Frame6"/>
                <a:graphic xmlns:a="http://schemas.openxmlformats.org/drawingml/2006/main">
                  <a:graphicData uri="http://schemas.microsoft.com/office/word/2010/wordprocessingShape">
                    <wps:wsp>
                      <wps:cNvSpPr txBox="1"/>
                      <wps:spPr>
                        <a:xfrm>
                          <a:off x="0" y="0"/>
                          <a:ext cx="6480175" cy="385445"/>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lineRule="auto" w:line="319" w:before="0" w:after="240"/>
        <w:ind w:left="0" w:right="0" w:hanging="360"/>
        <w:jc w:val="both"/>
        <w:rPr/>
      </w:pPr>
      <w:r>
        <w:rPr>
          <w:color w:val="000000"/>
        </w:rPr>
        <w:t>•</w:t>
      </w:r>
      <w:r>
        <w:rPr>
          <w:rFonts w:ascii="Times New Roman;sans-serif" w:hAnsi="Times New Roman;sans-serif"/>
          <w:b w:val="false"/>
          <w:color w:val="000000"/>
          <w:sz w:val="20"/>
        </w:rPr>
        <w:t>our ability to remain competitive as we continue to scale our business; and</w:t>
      </w:r>
    </w:p>
    <w:p>
      <w:pPr>
        <w:pStyle w:val="TextBody"/>
        <w:spacing w:lineRule="auto" w:line="319" w:before="0" w:after="240"/>
        <w:ind w:left="0" w:right="0" w:hanging="360"/>
        <w:jc w:val="both"/>
        <w:rPr/>
      </w:pPr>
      <w:r>
        <w:rPr>
          <w:color w:val="000000"/>
        </w:rPr>
        <w:t>•</w:t>
      </w:r>
      <w:r>
        <w:rPr>
          <w:rFonts w:ascii="Times New Roman;sans-serif" w:hAnsi="Times New Roman;sans-serif"/>
          <w:b w:val="false"/>
          <w:color w:val="000000"/>
          <w:sz w:val="20"/>
        </w:rPr>
        <w:t>general economic conditions and their impact on customer and end-user demand.</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You should read this annual report and the documents that we refer to in this annual report thoroughly and with the understanding that our actual future results may be materially different from and worse than what we expect. Moreover, we operate in an evolving environment. New risk factors and uncertainties emerge from time to time and it is not possible for our management to predict all risk factors and uncertainties, nor can we assess the impact of all factors on our business or the extent to which any factor, or combination of factors, may cause actual results to differ materially from those contained in any forward-looking statements. We qualify all of our forward-looking statements by these cautionary statements.</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You should not rely upon forward-looking statements as predictions of future events. The forward-looking statements made in this annual report relate only to events or information as of the date on which the statements are made in this annual report. We undertake no obligation to update or revise any forward-looking statements, whether as a result of new information, future events or otherwise, after the date on which the statements are made or to reflect the occurrence of unanticipated events.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385445"/>
                <wp:effectExtent l="0" t="0" r="0" b="0"/>
                <wp:wrapNone/>
                <wp:docPr id="7" name="Frame7"/>
                <a:graphic xmlns:a="http://schemas.openxmlformats.org/drawingml/2006/main">
                  <a:graphicData uri="http://schemas.microsoft.com/office/word/2010/wordprocessingShape">
                    <wps:wsp>
                      <wps:cNvSpPr txBox="1"/>
                      <wps:spPr>
                        <a:xfrm>
                          <a:off x="0" y="0"/>
                          <a:ext cx="6480175" cy="385445"/>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lineRule="auto" w:line="319" w:before="0" w:after="240"/>
        <w:jc w:val="center"/>
        <w:rPr>
          <w:rFonts w:ascii="Times New Roman;sans-serif" w:hAnsi="Times New Roman;sans-serif"/>
          <w:b/>
          <w:color w:val="000000"/>
          <w:sz w:val="20"/>
        </w:rPr>
      </w:pPr>
      <w:r>
        <w:rPr>
          <w:rFonts w:ascii="Times New Roman;sans-serif" w:hAnsi="Times New Roman;sans-serif"/>
          <w:b/>
          <w:color w:val="000000"/>
          <w:sz w:val="20"/>
        </w:rPr>
        <w:t>PART I</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19" w:before="0" w:after="240"/>
        <w:jc w:val="both"/>
        <w:rPr>
          <w:rFonts w:ascii="Times New Roman;sans-serif" w:hAnsi="Times New Roman;sans-serif"/>
          <w:b/>
          <w:color w:val="000000"/>
          <w:sz w:val="20"/>
        </w:rPr>
      </w:pPr>
      <w:r>
        <w:rPr>
          <w:rFonts w:ascii="Times New Roman;sans-serif" w:hAnsi="Times New Roman;sans-serif"/>
          <w:b/>
          <w:color w:val="000000"/>
          <w:sz w:val="20"/>
        </w:rPr>
        <w:t>ITEM 1. IDENTITY OF DIRECTORS, SENIOR MANAGEMENT AND ADVISERS</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19" w:before="0" w:after="240"/>
        <w:jc w:val="both"/>
        <w:rPr>
          <w:rFonts w:ascii="Times New Roman;sans-serif" w:hAnsi="Times New Roman;sans-serif"/>
          <w:b/>
          <w:color w:val="000000"/>
          <w:sz w:val="20"/>
        </w:rPr>
      </w:pPr>
      <w:r>
        <w:rPr>
          <w:rFonts w:ascii="Times New Roman;sans-serif" w:hAnsi="Times New Roman;sans-serif"/>
          <w:b/>
          <w:color w:val="000000"/>
          <w:sz w:val="20"/>
        </w:rPr>
        <w:t>ITEM 2. OFFER STATISTICS AND EXPECTED TIMETABLE</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19" w:before="0" w:after="240"/>
        <w:jc w:val="both"/>
        <w:rPr>
          <w:rFonts w:ascii="Times New Roman;sans-serif" w:hAnsi="Times New Roman;sans-serif"/>
          <w:b/>
          <w:color w:val="000000"/>
          <w:sz w:val="20"/>
        </w:rPr>
      </w:pPr>
      <w:r>
        <w:rPr>
          <w:rFonts w:ascii="Times New Roman;sans-serif" w:hAnsi="Times New Roman;sans-serif"/>
          <w:b/>
          <w:color w:val="000000"/>
          <w:sz w:val="20"/>
        </w:rPr>
        <w:t>ITEM 3. KEY INFORMATION</w:t>
      </w:r>
    </w:p>
    <w:p>
      <w:pPr>
        <w:pStyle w:val="TextBody"/>
        <w:spacing w:lineRule="auto" w:line="319" w:before="0" w:after="240"/>
        <w:jc w:val="both"/>
        <w:rPr>
          <w:rFonts w:ascii="Times New Roman;sans-serif" w:hAnsi="Times New Roman;sans-serif"/>
          <w:b/>
          <w:i/>
          <w:color w:val="000000"/>
          <w:sz w:val="20"/>
        </w:rPr>
      </w:pPr>
      <w:r>
        <w:rPr>
          <w:rFonts w:ascii="Times New Roman;sans-serif" w:hAnsi="Times New Roman;sans-serif"/>
          <w:b/>
          <w:i/>
          <w:color w:val="000000"/>
          <w:sz w:val="20"/>
        </w:rPr>
        <w:t>A. Selected Financial Data</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selected consolidated statements of comprehensive loss data and selected consolidated statements of cash flows data for the years ended December 31, 2018, 2019 and 2020, and selected consolidated balance sheet data as of December 31, 2019 and 2020, have been derived from our audited consolidated financial statements included elsewhere in this annual report. The selected consolidated balance sheet data as of December 31, 2018 has been derived from our audited consolidated financial statements not included in this annual report. Our consolidated financial statements are prepared and presented in accordance with U.S. GAAP. </w:t>
      </w:r>
    </w:p>
    <w:p>
      <w:pPr>
        <w:pStyle w:val="TextBody"/>
        <w:spacing w:lineRule="auto" w:line="319"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You should read the following information in conjunction with our audited consolidated financial statements and related notes and “Item 5. Operating and Financial Review and Prospects” in this annual report. Our historical operating results presented below are not necessarily indicative of the results to be expected for any future fiscal period.</w:t>
      </w:r>
    </w:p>
    <w:tbl>
      <w:tblPr>
        <w:tblW w:w="10205" w:type="dxa"/>
        <w:jc w:val="left"/>
        <w:tblInd w:w="0" w:type="dxa"/>
        <w:tblCellMar>
          <w:top w:w="28" w:type="dxa"/>
          <w:left w:w="28" w:type="dxa"/>
          <w:bottom w:w="28" w:type="dxa"/>
          <w:right w:w="28" w:type="dxa"/>
        </w:tblCellMar>
      </w:tblPr>
      <w:tblGrid>
        <w:gridCol w:w="1984"/>
        <w:gridCol w:w="1745"/>
        <w:gridCol w:w="1748"/>
        <w:gridCol w:w="253"/>
        <w:gridCol w:w="868"/>
        <w:gridCol w:w="130"/>
        <w:gridCol w:w="130"/>
        <w:gridCol w:w="130"/>
        <w:gridCol w:w="130"/>
        <w:gridCol w:w="253"/>
        <w:gridCol w:w="868"/>
        <w:gridCol w:w="130"/>
        <w:gridCol w:w="130"/>
        <w:gridCol w:w="130"/>
        <w:gridCol w:w="130"/>
        <w:gridCol w:w="253"/>
        <w:gridCol w:w="994"/>
        <w:gridCol w:w="199"/>
      </w:tblGrid>
      <w:tr>
        <w:trPr/>
        <w:tc>
          <w:tcPr>
            <w:tcW w:w="1984" w:type="dxa"/>
            <w:tcBorders/>
            <w:shd w:fill="auto" w:val="clear"/>
            <w:vAlign w:val="center"/>
          </w:tcPr>
          <w:p>
            <w:pPr>
              <w:pStyle w:val="TableContents"/>
              <w:spacing w:before="0" w:after="283"/>
              <w:rPr>
                <w:sz w:val="4"/>
                <w:szCs w:val="4"/>
              </w:rPr>
            </w:pPr>
            <w:r>
              <w:rPr>
                <w:sz w:val="4"/>
                <w:szCs w:val="4"/>
              </w:rPr>
            </w:r>
          </w:p>
        </w:tc>
        <w:tc>
          <w:tcPr>
            <w:tcW w:w="1745" w:type="dxa"/>
            <w:tcBorders/>
            <w:shd w:fill="auto" w:val="clear"/>
            <w:vAlign w:val="center"/>
          </w:tcPr>
          <w:p>
            <w:pPr>
              <w:pStyle w:val="TableContents"/>
              <w:spacing w:before="0" w:after="283"/>
              <w:rPr>
                <w:sz w:val="4"/>
                <w:szCs w:val="4"/>
              </w:rPr>
            </w:pPr>
            <w:r>
              <w:rPr>
                <w:sz w:val="4"/>
                <w:szCs w:val="4"/>
              </w:rPr>
            </w:r>
          </w:p>
        </w:tc>
        <w:tc>
          <w:tcPr>
            <w:tcW w:w="1748" w:type="dxa"/>
            <w:tcBorders/>
            <w:shd w:fill="auto" w:val="clear"/>
            <w:vAlign w:val="center"/>
          </w:tcPr>
          <w:p>
            <w:pPr>
              <w:pStyle w:val="TableContents"/>
              <w:spacing w:before="0" w:after="283"/>
              <w:rPr>
                <w:sz w:val="4"/>
                <w:szCs w:val="4"/>
              </w:rPr>
            </w:pPr>
            <w:r>
              <w:rPr>
                <w:sz w:val="4"/>
                <w:szCs w:val="4"/>
              </w:rPr>
            </w:r>
          </w:p>
        </w:tc>
        <w:tc>
          <w:tcPr>
            <w:tcW w:w="253" w:type="dxa"/>
            <w:tcBorders/>
            <w:shd w:fill="auto" w:val="clear"/>
            <w:vAlign w:val="center"/>
          </w:tcPr>
          <w:p>
            <w:pPr>
              <w:pStyle w:val="TableContents"/>
              <w:spacing w:before="0" w:after="283"/>
              <w:rPr>
                <w:sz w:val="4"/>
                <w:szCs w:val="4"/>
              </w:rPr>
            </w:pPr>
            <w:r>
              <w:rPr>
                <w:sz w:val="4"/>
                <w:szCs w:val="4"/>
              </w:rPr>
            </w:r>
          </w:p>
        </w:tc>
        <w:tc>
          <w:tcPr>
            <w:tcW w:w="868"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253" w:type="dxa"/>
            <w:tcBorders/>
            <w:shd w:fill="auto" w:val="clear"/>
            <w:vAlign w:val="center"/>
          </w:tcPr>
          <w:p>
            <w:pPr>
              <w:pStyle w:val="TableContents"/>
              <w:spacing w:before="0" w:after="283"/>
              <w:rPr>
                <w:sz w:val="4"/>
                <w:szCs w:val="4"/>
              </w:rPr>
            </w:pPr>
            <w:r>
              <w:rPr>
                <w:sz w:val="4"/>
                <w:szCs w:val="4"/>
              </w:rPr>
            </w:r>
          </w:p>
        </w:tc>
        <w:tc>
          <w:tcPr>
            <w:tcW w:w="868"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253" w:type="dxa"/>
            <w:tcBorders/>
            <w:shd w:fill="auto" w:val="clear"/>
            <w:vAlign w:val="center"/>
          </w:tcPr>
          <w:p>
            <w:pPr>
              <w:pStyle w:val="TableContents"/>
              <w:spacing w:before="0" w:after="283"/>
              <w:rPr>
                <w:sz w:val="4"/>
                <w:szCs w:val="4"/>
              </w:rPr>
            </w:pPr>
            <w:r>
              <w:rPr>
                <w:sz w:val="4"/>
                <w:szCs w:val="4"/>
              </w:rPr>
            </w:r>
          </w:p>
        </w:tc>
        <w:tc>
          <w:tcPr>
            <w:tcW w:w="994"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r>
      <w:tr>
        <w:trPr/>
        <w:tc>
          <w:tcPr>
            <w:tcW w:w="54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28"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54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2018</w:t>
            </w:r>
          </w:p>
        </w:tc>
        <w:tc>
          <w:tcPr>
            <w:tcW w:w="39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5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2019</w:t>
            </w:r>
          </w:p>
        </w:tc>
        <w:tc>
          <w:tcPr>
            <w:tcW w:w="39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4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2020</w:t>
            </w:r>
          </w:p>
        </w:tc>
      </w:tr>
      <w:tr>
        <w:trPr/>
        <w:tc>
          <w:tcPr>
            <w:tcW w:w="54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28"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ind w:left="0" w:right="0" w:hanging="180"/>
              <w:jc w:val="center"/>
              <w:rPr>
                <w:rFonts w:ascii="Times New Roman;sans-serif" w:hAnsi="Times New Roman;sans-serif"/>
                <w:b/>
                <w:color w:val="000000"/>
                <w:sz w:val="20"/>
              </w:rPr>
            </w:pPr>
            <w:r>
              <w:rPr>
                <w:rFonts w:ascii="Times New Roman;sans-serif" w:hAnsi="Times New Roman;sans-serif"/>
                <w:b/>
                <w:color w:val="000000"/>
                <w:sz w:val="20"/>
              </w:rPr>
              <w:t>(US$ in thousands, except for share and per share data)</w:t>
            </w:r>
          </w:p>
        </w:tc>
      </w:tr>
      <w:tr>
        <w:trPr/>
        <w:tc>
          <w:tcPr>
            <w:tcW w:w="547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Condensed Consolidated Statements of Comprehensive Loss Data:</w:t>
            </w:r>
          </w:p>
        </w:tc>
        <w:tc>
          <w:tcPr>
            <w:tcW w:w="12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6" w:type="dxa"/>
            <w:gridSpan w:val="3"/>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547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Real-time engagement service revenues</w:t>
            </w:r>
          </w:p>
        </w:tc>
        <w:tc>
          <w:tcPr>
            <w:tcW w:w="25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43,199 </w:t>
            </w:r>
          </w:p>
        </w:tc>
        <w:tc>
          <w:tcPr>
            <w:tcW w:w="1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63,925 </w:t>
            </w:r>
          </w:p>
        </w:tc>
        <w:tc>
          <w:tcPr>
            <w:tcW w:w="1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4" w:type="dxa"/>
            <w:tcBorders/>
            <w:shd w:fill="FFFFFF" w:val="clear"/>
            <w:tcMar>
              <w:top w:w="0" w:type="dxa"/>
              <w:left w:w="0" w:type="dxa"/>
              <w:bottom w:w="0" w:type="dxa"/>
              <w:right w:w="0" w:type="dxa"/>
            </w:tcMar>
            <w:vAlign w:val="center"/>
          </w:tcPr>
          <w:p>
            <w:pPr>
              <w:pStyle w:val="TableContents"/>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131,149 </w:t>
            </w:r>
          </w:p>
        </w:tc>
        <w:tc>
          <w:tcPr>
            <w:tcW w:w="199"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547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revenues</w:t>
            </w:r>
          </w:p>
        </w:tc>
        <w:tc>
          <w:tcPr>
            <w:tcW w:w="11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458 </w:t>
            </w:r>
          </w:p>
        </w:tc>
        <w:tc>
          <w:tcPr>
            <w:tcW w:w="1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503 </w:t>
            </w:r>
          </w:p>
        </w:tc>
        <w:tc>
          <w:tcPr>
            <w:tcW w:w="1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2,415 </w:t>
            </w:r>
          </w:p>
        </w:tc>
        <w:tc>
          <w:tcPr>
            <w:tcW w:w="199"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547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112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43,657 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64,429 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133,564 </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77" w:type="dxa"/>
            <w:gridSpan w:val="3"/>
            <w:tcBorders/>
            <w:shd w:fill="CCEEFF" w:val="clear"/>
            <w:tcMar>
              <w:top w:w="0" w:type="dxa"/>
              <w:left w:w="0" w:type="dxa"/>
              <w:bottom w:w="0" w:type="dxa"/>
              <w:right w:w="0" w:type="dxa"/>
            </w:tcMar>
            <w:vAlign w:val="center"/>
          </w:tcPr>
          <w:p>
            <w:pPr>
              <w:pStyle w:val="TableContents"/>
              <w:spacing w:lineRule="auto" w:line="288" w:before="0" w:after="0"/>
              <w:ind w:left="0" w:right="0" w:hanging="180"/>
              <w:jc w:val="left"/>
              <w:rPr/>
            </w:pPr>
            <w:r>
              <w:rPr>
                <w:rFonts w:ascii="Times New Roman;sans-serif" w:hAnsi="Times New Roman;sans-serif"/>
                <w:b w:val="false"/>
                <w:color w:val="000000"/>
                <w:sz w:val="20"/>
              </w:rPr>
              <w:t>Cost of revenues</w:t>
            </w:r>
            <w:r>
              <w:rPr>
                <w:rFonts w:ascii="Times New Roman;sans-serif" w:hAnsi="Times New Roman;sans-serif"/>
                <w:b w:val="false"/>
                <w:color w:val="000000"/>
                <w:sz w:val="13"/>
              </w:rPr>
              <w:t>(1)</w:t>
            </w:r>
          </w:p>
        </w:tc>
        <w:tc>
          <w:tcPr>
            <w:tcW w:w="11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(12,635)</w:t>
            </w:r>
          </w:p>
        </w:tc>
        <w:tc>
          <w:tcPr>
            <w:tcW w:w="1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(20,417)</w:t>
            </w:r>
          </w:p>
        </w:tc>
        <w:tc>
          <w:tcPr>
            <w:tcW w:w="1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(47,199)</w:t>
            </w:r>
          </w:p>
        </w:tc>
        <w:tc>
          <w:tcPr>
            <w:tcW w:w="19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7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12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31,022 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44,012 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86,365 </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547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w:t>
            </w:r>
          </w:p>
        </w:tc>
        <w:tc>
          <w:tcPr>
            <w:tcW w:w="12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77"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color w:val="000000"/>
                <w:sz w:val="20"/>
              </w:rPr>
              <w:t>Research and development expenses</w:t>
            </w:r>
            <w:r>
              <w:rPr>
                <w:rFonts w:ascii="Times New Roman;sans-serif" w:hAnsi="Times New Roman;sans-serif"/>
                <w:b w:val="false"/>
                <w:color w:val="000000"/>
                <w:sz w:val="13"/>
              </w:rPr>
              <w:t>(1)</w:t>
            </w:r>
          </w:p>
        </w:tc>
        <w:tc>
          <w:tcPr>
            <w:tcW w:w="11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(14,426)</w:t>
            </w:r>
          </w:p>
        </w:tc>
        <w:tc>
          <w:tcPr>
            <w:tcW w:w="1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(23,623)</w:t>
            </w:r>
          </w:p>
        </w:tc>
        <w:tc>
          <w:tcPr>
            <w:tcW w:w="1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(49,494)</w:t>
            </w:r>
          </w:p>
        </w:tc>
        <w:tc>
          <w:tcPr>
            <w:tcW w:w="19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77"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color w:val="000000"/>
                <w:sz w:val="20"/>
              </w:rPr>
              <w:t>Sales and marketing expenses</w:t>
            </w:r>
            <w:r>
              <w:rPr>
                <w:rFonts w:ascii="Times New Roman;sans-serif" w:hAnsi="Times New Roman;sans-serif"/>
                <w:b w:val="false"/>
                <w:color w:val="000000"/>
                <w:sz w:val="13"/>
              </w:rPr>
              <w:t>(1)</w:t>
            </w:r>
          </w:p>
        </w:tc>
        <w:tc>
          <w:tcPr>
            <w:tcW w:w="11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(11,986)</w:t>
            </w:r>
          </w:p>
        </w:tc>
        <w:tc>
          <w:tcPr>
            <w:tcW w:w="1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(19,408)</w:t>
            </w:r>
          </w:p>
        </w:tc>
        <w:tc>
          <w:tcPr>
            <w:tcW w:w="1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(25,724)</w:t>
            </w:r>
          </w:p>
        </w:tc>
        <w:tc>
          <w:tcPr>
            <w:tcW w:w="19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77"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color w:val="000000"/>
                <w:sz w:val="20"/>
              </w:rPr>
              <w:t>General and administrative expenses</w:t>
            </w:r>
            <w:r>
              <w:rPr>
                <w:rFonts w:ascii="Times New Roman;sans-serif" w:hAnsi="Times New Roman;sans-serif"/>
                <w:b w:val="false"/>
                <w:color w:val="000000"/>
                <w:sz w:val="13"/>
              </w:rPr>
              <w:t>(1)</w:t>
            </w:r>
          </w:p>
        </w:tc>
        <w:tc>
          <w:tcPr>
            <w:tcW w:w="11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(5,373)</w:t>
            </w:r>
          </w:p>
        </w:tc>
        <w:tc>
          <w:tcPr>
            <w:tcW w:w="1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(7,177)</w:t>
            </w:r>
          </w:p>
        </w:tc>
        <w:tc>
          <w:tcPr>
            <w:tcW w:w="1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(18,010)</w:t>
            </w:r>
          </w:p>
        </w:tc>
        <w:tc>
          <w:tcPr>
            <w:tcW w:w="199"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547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w:t>
            </w:r>
          </w:p>
        </w:tc>
        <w:tc>
          <w:tcPr>
            <w:tcW w:w="112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(31,785)</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(50,208)</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(93,228)</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547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operating income</w:t>
            </w:r>
          </w:p>
        </w:tc>
        <w:tc>
          <w:tcPr>
            <w:tcW w:w="11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1,025 </w:t>
            </w:r>
          </w:p>
        </w:tc>
        <w:tc>
          <w:tcPr>
            <w:tcW w:w="1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1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1,672 </w:t>
            </w:r>
          </w:p>
        </w:tc>
        <w:tc>
          <w:tcPr>
            <w:tcW w:w="199"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547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from operations</w:t>
            </w:r>
          </w:p>
        </w:tc>
        <w:tc>
          <w:tcPr>
            <w:tcW w:w="112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(6,089)</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(5,191)</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547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Exchange gain (loss)</w:t>
            </w:r>
          </w:p>
        </w:tc>
        <w:tc>
          <w:tcPr>
            <w:tcW w:w="11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1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87 </w:t>
            </w:r>
          </w:p>
        </w:tc>
        <w:tc>
          <w:tcPr>
            <w:tcW w:w="1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w:t>
            </w:r>
          </w:p>
        </w:tc>
        <w:tc>
          <w:tcPr>
            <w:tcW w:w="199"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547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1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239 </w:t>
            </w:r>
          </w:p>
        </w:tc>
        <w:tc>
          <w:tcPr>
            <w:tcW w:w="1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626 </w:t>
            </w:r>
          </w:p>
        </w:tc>
        <w:tc>
          <w:tcPr>
            <w:tcW w:w="1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2,704 </w:t>
            </w:r>
          </w:p>
        </w:tc>
        <w:tc>
          <w:tcPr>
            <w:tcW w:w="199"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547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before income taxes</w:t>
            </w:r>
          </w:p>
        </w:tc>
        <w:tc>
          <w:tcPr>
            <w:tcW w:w="112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(5,376)</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(2,552)</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547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taxes</w:t>
            </w:r>
          </w:p>
        </w:tc>
        <w:tc>
          <w:tcPr>
            <w:tcW w:w="11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1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(801)</w:t>
            </w:r>
          </w:p>
        </w:tc>
        <w:tc>
          <w:tcPr>
            <w:tcW w:w="1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w:t>
            </w:r>
          </w:p>
        </w:tc>
        <w:tc>
          <w:tcPr>
            <w:tcW w:w="199"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547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112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(6,177)</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(3,114)</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385445"/>
                <wp:effectExtent l="0" t="0" r="0" b="0"/>
                <wp:wrapNone/>
                <wp:docPr id="8" name="Frame8"/>
                <a:graphic xmlns:a="http://schemas.openxmlformats.org/drawingml/2006/main">
                  <a:graphicData uri="http://schemas.microsoft.com/office/word/2010/wordprocessingShape">
                    <wps:wsp>
                      <wps:cNvSpPr txBox="1"/>
                      <wps:spPr>
                        <a:xfrm>
                          <a:off x="0" y="0"/>
                          <a:ext cx="6480175" cy="385445"/>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p>
                      <w:pPr>
                        <w:pStyle w:val="TextBody"/>
                        <w:spacing w:before="0" w:after="0"/>
                        <w:jc w:val="center"/>
                        <w:rPr/>
                      </w:pPr>
                      <w:r>
                        <w:rPr/>
                      </w:r>
                    </w:p>
                  </w:txbxContent>
                </v:textbox>
              </v:rect>
            </w:pict>
          </mc:Fallback>
        </mc:AlternateContent>
      </w:r>
    </w:p>
    <w:p>
      <w:pPr>
        <w:pStyle w:val="TextBody"/>
        <w:spacing w:before="0" w:after="0"/>
        <w:rPr/>
      </w:pPr>
      <w:r>
        <w:rPr/>
      </w:r>
    </w:p>
    <w:tbl>
      <w:tblPr>
        <w:tblW w:w="10205" w:type="dxa"/>
        <w:jc w:val="left"/>
        <w:tblInd w:w="0" w:type="dxa"/>
        <w:tblCellMar>
          <w:top w:w="28" w:type="dxa"/>
          <w:left w:w="28" w:type="dxa"/>
          <w:bottom w:w="28" w:type="dxa"/>
          <w:right w:w="28" w:type="dxa"/>
        </w:tblCellMar>
      </w:tblPr>
      <w:tblGrid>
        <w:gridCol w:w="2148"/>
        <w:gridCol w:w="1731"/>
        <w:gridCol w:w="1741"/>
        <w:gridCol w:w="264"/>
        <w:gridCol w:w="922"/>
        <w:gridCol w:w="109"/>
        <w:gridCol w:w="109"/>
        <w:gridCol w:w="109"/>
        <w:gridCol w:w="109"/>
        <w:gridCol w:w="264"/>
        <w:gridCol w:w="922"/>
        <w:gridCol w:w="109"/>
        <w:gridCol w:w="109"/>
        <w:gridCol w:w="109"/>
        <w:gridCol w:w="109"/>
        <w:gridCol w:w="237"/>
        <w:gridCol w:w="949"/>
        <w:gridCol w:w="155"/>
      </w:tblGrid>
      <w:tr>
        <w:trPr/>
        <w:tc>
          <w:tcPr>
            <w:tcW w:w="2148" w:type="dxa"/>
            <w:tcBorders/>
            <w:shd w:fill="auto" w:val="clear"/>
            <w:vAlign w:val="center"/>
          </w:tcPr>
          <w:p>
            <w:pPr>
              <w:pStyle w:val="TableContents"/>
              <w:spacing w:before="0" w:after="283"/>
              <w:rPr>
                <w:sz w:val="4"/>
                <w:szCs w:val="4"/>
              </w:rPr>
            </w:pPr>
            <w:r>
              <w:rPr>
                <w:sz w:val="4"/>
                <w:szCs w:val="4"/>
              </w:rPr>
            </w:r>
          </w:p>
        </w:tc>
        <w:tc>
          <w:tcPr>
            <w:tcW w:w="1731" w:type="dxa"/>
            <w:tcBorders/>
            <w:shd w:fill="auto" w:val="clear"/>
            <w:vAlign w:val="center"/>
          </w:tcPr>
          <w:p>
            <w:pPr>
              <w:pStyle w:val="TableContents"/>
              <w:spacing w:before="0" w:after="283"/>
              <w:rPr>
                <w:sz w:val="4"/>
                <w:szCs w:val="4"/>
              </w:rPr>
            </w:pPr>
            <w:r>
              <w:rPr>
                <w:sz w:val="4"/>
                <w:szCs w:val="4"/>
              </w:rPr>
            </w:r>
          </w:p>
        </w:tc>
        <w:tc>
          <w:tcPr>
            <w:tcW w:w="1741"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c>
          <w:tcPr>
            <w:tcW w:w="92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c>
          <w:tcPr>
            <w:tcW w:w="92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94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ind w:left="0" w:right="0" w:hanging="180"/>
              <w:rPr>
                <w:sz w:val="4"/>
                <w:szCs w:val="4"/>
              </w:rPr>
            </w:pPr>
            <w:r>
              <w:rPr>
                <w:sz w:val="4"/>
                <w:szCs w:val="4"/>
              </w:rPr>
            </w:r>
          </w:p>
        </w:tc>
      </w:tr>
      <w:tr>
        <w:trPr/>
        <w:tc>
          <w:tcPr>
            <w:tcW w:w="56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cumulative undeclared dividends on convertible redeemable preferred shares</w:t>
            </w:r>
          </w:p>
        </w:tc>
        <w:tc>
          <w:tcPr>
            <w:tcW w:w="11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(9,961)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(9,961)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(6,715)</w:t>
            </w:r>
          </w:p>
        </w:tc>
        <w:tc>
          <w:tcPr>
            <w:tcW w:w="155"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56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accretion on convertible redeemable preferred shares to redemption value</w:t>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(33,235)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(50,715)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(193,466)</w:t>
            </w:r>
          </w:p>
        </w:tc>
        <w:tc>
          <w:tcPr>
            <w:tcW w:w="155"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56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ordinary shareholders</w:t>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(42,820)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(66,853)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(203,295)</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56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w:t>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56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adjustments</w:t>
            </w:r>
          </w:p>
        </w:tc>
        <w:tc>
          <w:tcPr>
            <w:tcW w:w="11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2,930 </w:t>
            </w:r>
          </w:p>
        </w:tc>
        <w:tc>
          <w:tcPr>
            <w:tcW w:w="155"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56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comprehensive loss attributable to Agora, Inc.’s ordinary shareholders</w:t>
            </w:r>
          </w:p>
        </w:tc>
        <w:tc>
          <w:tcPr>
            <w:tcW w:w="26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(43,569)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(67,211)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(200,365)</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20" w:type="dxa"/>
            <w:gridSpan w:val="3"/>
            <w:tcBorders/>
            <w:shd w:fill="CCEEFF" w:val="clear"/>
            <w:tcMar>
              <w:top w:w="0" w:type="dxa"/>
              <w:left w:w="0" w:type="dxa"/>
              <w:bottom w:w="0" w:type="dxa"/>
              <w:right w:w="0" w:type="dxa"/>
            </w:tcMar>
            <w:vAlign w:val="center"/>
          </w:tcPr>
          <w:p>
            <w:pPr>
              <w:pStyle w:val="TableContents"/>
              <w:spacing w:lineRule="auto" w:line="276"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Net loss per ADS attributable to Agora, Inc.’s ordinary shareholders—basic and diluted (each ADS representing four Class A ordinary shares)</w:t>
            </w:r>
          </w:p>
        </w:tc>
        <w:tc>
          <w:tcPr>
            <w:tcW w:w="1186"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w:t>
            </w:r>
          </w:p>
        </w:tc>
        <w:tc>
          <w:tcPr>
            <w:tcW w:w="155"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56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number of ordinary shares—basic and diluted</w:t>
            </w:r>
          </w:p>
        </w:tc>
        <w:tc>
          <w:tcPr>
            <w:tcW w:w="118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109,141,311 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115,716,392 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268,849,967 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319" w:before="0" w:after="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(1)Share-based compensation expense was allocated to cost of revenue and operating expenses as follows:</w:t>
      </w:r>
    </w:p>
    <w:tbl>
      <w:tblPr>
        <w:tblW w:w="6372" w:type="dxa"/>
        <w:jc w:val="left"/>
        <w:tblInd w:w="0" w:type="dxa"/>
        <w:tblCellMar>
          <w:top w:w="28" w:type="dxa"/>
          <w:left w:w="28" w:type="dxa"/>
          <w:bottom w:w="28" w:type="dxa"/>
          <w:right w:w="28" w:type="dxa"/>
        </w:tblCellMar>
      </w:tblPr>
      <w:tblGrid>
        <w:gridCol w:w="1087"/>
        <w:gridCol w:w="954"/>
        <w:gridCol w:w="959"/>
        <w:gridCol w:w="196"/>
        <w:gridCol w:w="556"/>
        <w:gridCol w:w="109"/>
        <w:gridCol w:w="109"/>
        <w:gridCol w:w="109"/>
        <w:gridCol w:w="109"/>
        <w:gridCol w:w="196"/>
        <w:gridCol w:w="556"/>
        <w:gridCol w:w="109"/>
        <w:gridCol w:w="109"/>
        <w:gridCol w:w="109"/>
        <w:gridCol w:w="109"/>
        <w:gridCol w:w="196"/>
        <w:gridCol w:w="646"/>
        <w:gridCol w:w="154"/>
      </w:tblGrid>
      <w:tr>
        <w:trPr/>
        <w:tc>
          <w:tcPr>
            <w:tcW w:w="1087" w:type="dxa"/>
            <w:tcBorders/>
            <w:shd w:fill="auto" w:val="clear"/>
            <w:vAlign w:val="center"/>
          </w:tcPr>
          <w:p>
            <w:pPr>
              <w:pStyle w:val="TableContents"/>
              <w:spacing w:before="0" w:after="283"/>
              <w:rPr>
                <w:sz w:val="4"/>
                <w:szCs w:val="4"/>
              </w:rPr>
            </w:pPr>
            <w:r>
              <w:rPr>
                <w:sz w:val="4"/>
                <w:szCs w:val="4"/>
              </w:rPr>
            </w:r>
          </w:p>
        </w:tc>
        <w:tc>
          <w:tcPr>
            <w:tcW w:w="954" w:type="dxa"/>
            <w:tcBorders/>
            <w:shd w:fill="auto" w:val="clear"/>
            <w:vAlign w:val="center"/>
          </w:tcPr>
          <w:p>
            <w:pPr>
              <w:pStyle w:val="TableContents"/>
              <w:spacing w:before="0" w:after="283"/>
              <w:rPr>
                <w:sz w:val="4"/>
                <w:szCs w:val="4"/>
              </w:rPr>
            </w:pPr>
            <w:r>
              <w:rPr>
                <w:sz w:val="4"/>
                <w:szCs w:val="4"/>
              </w:rPr>
            </w:r>
          </w:p>
        </w:tc>
        <w:tc>
          <w:tcPr>
            <w:tcW w:w="95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72"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30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2018</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2019</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2020</w:t>
            </w:r>
          </w:p>
        </w:tc>
      </w:tr>
      <w:tr>
        <w:trPr/>
        <w:tc>
          <w:tcPr>
            <w:tcW w:w="30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72"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(US$ in thousands)</w:t>
            </w:r>
          </w:p>
        </w:tc>
      </w:tr>
      <w:tr>
        <w:trPr/>
        <w:tc>
          <w:tcPr>
            <w:tcW w:w="30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revenues</w:t>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Research and development expenses</w:t>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5,312 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Sales and marketing expenses</w:t>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General and administrative expenses</w:t>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4,244 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share-based compensation expense</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2,850 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4,253 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11,974 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tbl>
      <w:tblPr>
        <w:tblW w:w="10205" w:type="dxa"/>
        <w:jc w:val="left"/>
        <w:tblInd w:w="0" w:type="dxa"/>
        <w:tblCellMar>
          <w:top w:w="28" w:type="dxa"/>
          <w:left w:w="28" w:type="dxa"/>
          <w:bottom w:w="28" w:type="dxa"/>
          <w:right w:w="28" w:type="dxa"/>
        </w:tblCellMar>
      </w:tblPr>
      <w:tblGrid>
        <w:gridCol w:w="2201"/>
        <w:gridCol w:w="1927"/>
        <w:gridCol w:w="1938"/>
        <w:gridCol w:w="211"/>
        <w:gridCol w:w="826"/>
        <w:gridCol w:w="109"/>
        <w:gridCol w:w="109"/>
        <w:gridCol w:w="109"/>
        <w:gridCol w:w="109"/>
        <w:gridCol w:w="211"/>
        <w:gridCol w:w="826"/>
        <w:gridCol w:w="109"/>
        <w:gridCol w:w="109"/>
        <w:gridCol w:w="109"/>
        <w:gridCol w:w="109"/>
        <w:gridCol w:w="211"/>
        <w:gridCol w:w="826"/>
        <w:gridCol w:w="156"/>
      </w:tblGrid>
      <w:tr>
        <w:trPr/>
        <w:tc>
          <w:tcPr>
            <w:tcW w:w="2201" w:type="dxa"/>
            <w:tcBorders/>
            <w:shd w:fill="auto" w:val="clear"/>
            <w:vAlign w:val="center"/>
          </w:tcPr>
          <w:p>
            <w:pPr>
              <w:pStyle w:val="TableContents"/>
              <w:spacing w:before="0" w:after="283"/>
              <w:rPr>
                <w:sz w:val="4"/>
                <w:szCs w:val="4"/>
              </w:rPr>
            </w:pPr>
            <w:r>
              <w:rPr>
                <w:sz w:val="4"/>
                <w:szCs w:val="4"/>
              </w:rPr>
            </w:r>
          </w:p>
        </w:tc>
        <w:tc>
          <w:tcPr>
            <w:tcW w:w="1927" w:type="dxa"/>
            <w:tcBorders/>
            <w:shd w:fill="auto" w:val="clear"/>
            <w:vAlign w:val="center"/>
          </w:tcPr>
          <w:p>
            <w:pPr>
              <w:pStyle w:val="TableContents"/>
              <w:spacing w:before="0" w:after="283"/>
              <w:rPr>
                <w:sz w:val="4"/>
                <w:szCs w:val="4"/>
              </w:rPr>
            </w:pPr>
            <w:r>
              <w:rPr>
                <w:sz w:val="4"/>
                <w:szCs w:val="4"/>
              </w:rPr>
            </w:r>
          </w:p>
        </w:tc>
        <w:tc>
          <w:tcPr>
            <w:tcW w:w="193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0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39"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60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2018</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2019</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3"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2020</w:t>
            </w:r>
          </w:p>
        </w:tc>
      </w:tr>
      <w:tr>
        <w:trPr/>
        <w:tc>
          <w:tcPr>
            <w:tcW w:w="60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39"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(US$ in thousands)</w:t>
            </w:r>
          </w:p>
        </w:tc>
      </w:tr>
      <w:tr>
        <w:trPr/>
        <w:tc>
          <w:tcPr>
            <w:tcW w:w="6066" w:type="dxa"/>
            <w:gridSpan w:val="3"/>
            <w:tcBorders/>
            <w:shd w:fill="CCEEFF" w:val="clear"/>
            <w:tcMar>
              <w:top w:w="0" w:type="dxa"/>
              <w:left w:w="0" w:type="dxa"/>
              <w:bottom w:w="0" w:type="dxa"/>
              <w:right w:w="0" w:type="dxa"/>
            </w:tcMar>
            <w:vAlign w:val="center"/>
          </w:tcPr>
          <w:p>
            <w:pPr>
              <w:pStyle w:val="TableContents"/>
              <w:spacing w:lineRule="auto" w:line="288" w:before="0" w:after="0"/>
              <w:ind w:left="0" w:right="0" w:hanging="180"/>
              <w:jc w:val="left"/>
              <w:rPr>
                <w:rFonts w:ascii="Times New Roman;sans-serif" w:hAnsi="Times New Roman;sans-serif"/>
                <w:b/>
                <w:color w:val="000000"/>
                <w:sz w:val="20"/>
              </w:rPr>
            </w:pPr>
            <w:r>
              <w:rPr>
                <w:rFonts w:ascii="Times New Roman;sans-serif" w:hAnsi="Times New Roman;sans-serif"/>
                <w:b/>
                <w:color w:val="000000"/>
                <w:sz w:val="20"/>
              </w:rPr>
              <w:t>Selected Consolidated Cash Flow Data:</w:t>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60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generated from operating activities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6,564 </w:t>
            </w:r>
          </w:p>
        </w:tc>
        <w:tc>
          <w:tcPr>
            <w:tcW w:w="156"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60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(535,052)</w:t>
            </w:r>
          </w:p>
        </w:tc>
        <w:tc>
          <w:tcPr>
            <w:tcW w:w="156"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60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65,772 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533,638 </w:t>
            </w:r>
          </w:p>
        </w:tc>
        <w:tc>
          <w:tcPr>
            <w:tcW w:w="156"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60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foreign exchange rate changes on cash, cash equivalents and restricted cash</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465 </w:t>
            </w:r>
          </w:p>
        </w:tc>
        <w:tc>
          <w:tcPr>
            <w:tcW w:w="156"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60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increase (decrease) in cash, cash equivalents and restricted cash</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5,615 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60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at beginning of year</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108,598 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105,683 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60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at end of year</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108,598 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105,683 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111,298 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385445"/>
                <wp:effectExtent l="0" t="0" r="0" b="0"/>
                <wp:wrapNone/>
                <wp:docPr id="9" name="Frame9"/>
                <a:graphic xmlns:a="http://schemas.openxmlformats.org/drawingml/2006/main">
                  <a:graphicData uri="http://schemas.microsoft.com/office/word/2010/wordprocessingShape">
                    <wps:wsp>
                      <wps:cNvSpPr txBox="1"/>
                      <wps:spPr>
                        <a:xfrm>
                          <a:off x="0" y="0"/>
                          <a:ext cx="6480175" cy="385445"/>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p>
                    <w:p>
                      <w:pPr>
                        <w:pStyle w:val="TextBody"/>
                        <w:spacing w:before="0" w:after="0"/>
                        <w:jc w:val="center"/>
                        <w:rPr/>
                      </w:pPr>
                      <w:r>
                        <w:rPr/>
                      </w:r>
                    </w:p>
                  </w:txbxContent>
                </v:textbox>
              </v:rect>
            </w:pict>
          </mc:Fallback>
        </mc:AlternateContent>
      </w:r>
    </w:p>
    <w:p>
      <w:pPr>
        <w:pStyle w:val="TextBody"/>
        <w:spacing w:before="0" w:after="0"/>
        <w:rPr/>
      </w:pPr>
      <w:r>
        <w:rPr/>
      </w:r>
    </w:p>
    <w:tbl>
      <w:tblPr>
        <w:tblW w:w="7842" w:type="dxa"/>
        <w:jc w:val="left"/>
        <w:tblInd w:w="0" w:type="dxa"/>
        <w:tblCellMar>
          <w:top w:w="28" w:type="dxa"/>
          <w:left w:w="28" w:type="dxa"/>
          <w:bottom w:w="28" w:type="dxa"/>
          <w:right w:w="28" w:type="dxa"/>
        </w:tblCellMar>
      </w:tblPr>
      <w:tblGrid>
        <w:gridCol w:w="1342"/>
        <w:gridCol w:w="1180"/>
        <w:gridCol w:w="1183"/>
        <w:gridCol w:w="211"/>
        <w:gridCol w:w="826"/>
        <w:gridCol w:w="109"/>
        <w:gridCol w:w="109"/>
        <w:gridCol w:w="109"/>
        <w:gridCol w:w="109"/>
        <w:gridCol w:w="211"/>
        <w:gridCol w:w="826"/>
        <w:gridCol w:w="109"/>
        <w:gridCol w:w="109"/>
        <w:gridCol w:w="109"/>
        <w:gridCol w:w="109"/>
        <w:gridCol w:w="211"/>
        <w:gridCol w:w="826"/>
        <w:gridCol w:w="154"/>
      </w:tblGrid>
      <w:tr>
        <w:trPr/>
        <w:tc>
          <w:tcPr>
            <w:tcW w:w="1342" w:type="dxa"/>
            <w:tcBorders/>
            <w:shd w:fill="auto" w:val="clear"/>
            <w:vAlign w:val="center"/>
          </w:tcPr>
          <w:p>
            <w:pPr>
              <w:pStyle w:val="TableContents"/>
              <w:spacing w:before="0" w:after="283"/>
              <w:rPr>
                <w:sz w:val="4"/>
                <w:szCs w:val="4"/>
              </w:rPr>
            </w:pPr>
            <w:r>
              <w:rPr>
                <w:sz w:val="4"/>
                <w:szCs w:val="4"/>
              </w:rPr>
            </w:r>
          </w:p>
        </w:tc>
        <w:tc>
          <w:tcPr>
            <w:tcW w:w="1180" w:type="dxa"/>
            <w:tcBorders/>
            <w:shd w:fill="auto" w:val="clear"/>
            <w:vAlign w:val="center"/>
          </w:tcPr>
          <w:p>
            <w:pPr>
              <w:pStyle w:val="TableContents"/>
              <w:spacing w:before="0" w:after="283"/>
              <w:rPr>
                <w:sz w:val="4"/>
                <w:szCs w:val="4"/>
              </w:rPr>
            </w:pPr>
            <w:r>
              <w:rPr>
                <w:sz w:val="4"/>
                <w:szCs w:val="4"/>
              </w:rPr>
            </w:r>
          </w:p>
        </w:tc>
        <w:tc>
          <w:tcPr>
            <w:tcW w:w="118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37"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of December 31,</w:t>
            </w:r>
          </w:p>
        </w:tc>
      </w:tr>
      <w:tr>
        <w:trPr/>
        <w:tc>
          <w:tcPr>
            <w:tcW w:w="37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2018</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2019</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2020</w:t>
            </w:r>
          </w:p>
        </w:tc>
      </w:tr>
      <w:tr>
        <w:trPr/>
        <w:tc>
          <w:tcPr>
            <w:tcW w:w="37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37"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(US$ in thousands)</w:t>
            </w:r>
          </w:p>
        </w:tc>
      </w:tr>
      <w:tr>
        <w:trPr/>
        <w:tc>
          <w:tcPr>
            <w:tcW w:w="37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Selected Consolidated Balance Sheet Data:</w:t>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108,518 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105,603 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111,218 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524,220 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Working capital</w:t>
            </w:r>
            <w:r>
              <w:rPr>
                <w:rFonts w:ascii="Times New Roman;sans-serif" w:hAnsi="Times New Roman;sans-serif"/>
                <w:b w:val="false"/>
                <w:color w:val="000000"/>
                <w:sz w:val="13"/>
              </w:rPr>
              <w:t>(1)</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111,948 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104,750 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634,430 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127,308 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131,159 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692,904 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11,295 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18,481 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36,441 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Mezzanine equity</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189,255 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239,970 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shareholders’ equity (deficit)</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(73,242)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(127,293)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656,463 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319" w:before="0" w:after="240"/>
        <w:jc w:val="both"/>
        <w:rPr>
          <w:rFonts w:ascii="Times New Roman;sans-serif" w:hAnsi="Times New Roman;sans-serif"/>
          <w:b w:val="false"/>
          <w:color w:val="000000"/>
          <w:sz w:val="18"/>
        </w:rPr>
      </w:pPr>
      <w:r>
        <w:rPr>
          <w:rFonts w:ascii="Times New Roman;sans-serif" w:hAnsi="Times New Roman;sans-serif"/>
          <w:b w:val="false"/>
          <w:color w:val="000000"/>
          <w:sz w:val="18"/>
        </w:rPr>
        <w:t>(1) Working capital is defined as current assets less current liabilities.</w:t>
      </w:r>
    </w:p>
    <w:tbl>
      <w:tblPr>
        <w:tblW w:w="8837" w:type="dxa"/>
        <w:jc w:val="left"/>
        <w:tblInd w:w="0" w:type="dxa"/>
        <w:tblCellMar>
          <w:top w:w="28" w:type="dxa"/>
          <w:left w:w="28" w:type="dxa"/>
          <w:bottom w:w="28" w:type="dxa"/>
          <w:right w:w="28" w:type="dxa"/>
        </w:tblCellMar>
      </w:tblPr>
      <w:tblGrid>
        <w:gridCol w:w="1663"/>
        <w:gridCol w:w="1458"/>
        <w:gridCol w:w="1468"/>
        <w:gridCol w:w="211"/>
        <w:gridCol w:w="691"/>
        <w:gridCol w:w="271"/>
        <w:gridCol w:w="109"/>
        <w:gridCol w:w="109"/>
        <w:gridCol w:w="109"/>
        <w:gridCol w:w="211"/>
        <w:gridCol w:w="691"/>
        <w:gridCol w:w="271"/>
        <w:gridCol w:w="109"/>
        <w:gridCol w:w="109"/>
        <w:gridCol w:w="109"/>
        <w:gridCol w:w="211"/>
        <w:gridCol w:w="721"/>
        <w:gridCol w:w="316"/>
      </w:tblGrid>
      <w:tr>
        <w:trPr/>
        <w:tc>
          <w:tcPr>
            <w:tcW w:w="1663" w:type="dxa"/>
            <w:tcBorders/>
            <w:shd w:fill="auto" w:val="clear"/>
            <w:vAlign w:val="center"/>
          </w:tcPr>
          <w:p>
            <w:pPr>
              <w:pStyle w:val="TableContents"/>
              <w:spacing w:before="0" w:after="283"/>
              <w:rPr>
                <w:sz w:val="4"/>
                <w:szCs w:val="4"/>
              </w:rPr>
            </w:pPr>
            <w:r>
              <w:rPr>
                <w:sz w:val="4"/>
                <w:szCs w:val="4"/>
              </w:rPr>
            </w:r>
          </w:p>
        </w:tc>
        <w:tc>
          <w:tcPr>
            <w:tcW w:w="1458" w:type="dxa"/>
            <w:tcBorders/>
            <w:shd w:fill="auto" w:val="clear"/>
            <w:vAlign w:val="center"/>
          </w:tcPr>
          <w:p>
            <w:pPr>
              <w:pStyle w:val="TableContents"/>
              <w:spacing w:before="0" w:after="283"/>
              <w:rPr>
                <w:sz w:val="4"/>
                <w:szCs w:val="4"/>
              </w:rPr>
            </w:pPr>
            <w:r>
              <w:rPr>
                <w:sz w:val="4"/>
                <w:szCs w:val="4"/>
              </w:rPr>
            </w:r>
          </w:p>
        </w:tc>
        <w:tc>
          <w:tcPr>
            <w:tcW w:w="146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45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48"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45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2018</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73"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2019</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48"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2020</w:t>
            </w:r>
          </w:p>
        </w:tc>
      </w:tr>
      <w:tr>
        <w:trPr/>
        <w:tc>
          <w:tcPr>
            <w:tcW w:w="45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48"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ind w:left="0" w:right="0" w:hanging="180"/>
              <w:jc w:val="center"/>
              <w:rPr>
                <w:rFonts w:ascii="Times New Roman;sans-serif" w:hAnsi="Times New Roman;sans-serif"/>
                <w:b/>
                <w:color w:val="000000"/>
                <w:sz w:val="20"/>
              </w:rPr>
            </w:pPr>
            <w:r>
              <w:rPr>
                <w:rFonts w:ascii="Times New Roman;sans-serif" w:hAnsi="Times New Roman;sans-serif"/>
                <w:b/>
                <w:color w:val="000000"/>
                <w:sz w:val="20"/>
              </w:rPr>
              <w:t>(US$ in thousands)</w:t>
            </w:r>
          </w:p>
        </w:tc>
      </w:tr>
      <w:tr>
        <w:trPr/>
        <w:tc>
          <w:tcPr>
            <w:tcW w:w="45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Key Operating and Financial Metrics:</w:t>
            </w:r>
          </w:p>
        </w:tc>
        <w:tc>
          <w:tcPr>
            <w:tcW w:w="117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spacing w:lineRule="auto" w:line="288" w:before="0" w:after="0"/>
              <w:ind w:left="0" w:right="0" w:hanging="180"/>
              <w:jc w:val="left"/>
              <w:rPr/>
            </w:pPr>
            <w:r>
              <w:rPr>
                <w:rFonts w:ascii="Times New Roman;sans-serif" w:hAnsi="Times New Roman;sans-serif"/>
                <w:b w:val="false"/>
                <w:color w:val="000000"/>
                <w:sz w:val="20"/>
              </w:rPr>
              <w:t>Dollar-Based Net Expansion Rate</w:t>
            </w:r>
            <w:r>
              <w:rPr>
                <w:rFonts w:ascii="Times New Roman;sans-serif" w:hAnsi="Times New Roman;sans-serif"/>
                <w:b w:val="false"/>
                <w:color w:val="000000"/>
                <w:sz w:val="13"/>
              </w:rPr>
              <w:t>(1)</w:t>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179 </w:t>
            </w:r>
          </w:p>
        </w:tc>
        <w:tc>
          <w:tcPr>
            <w:tcW w:w="31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589" w:type="dxa"/>
            <w:gridSpan w:val="3"/>
            <w:tcBorders/>
            <w:shd w:fill="CCEEFF" w:val="clear"/>
            <w:tcMar>
              <w:top w:w="0" w:type="dxa"/>
              <w:left w:w="0" w:type="dxa"/>
              <w:bottom w:w="0" w:type="dxa"/>
              <w:right w:w="0" w:type="dxa"/>
            </w:tcMar>
            <w:vAlign w:val="center"/>
          </w:tcPr>
          <w:p>
            <w:pPr>
              <w:pStyle w:val="TableContents"/>
              <w:spacing w:lineRule="auto" w:line="288" w:before="0" w:after="0"/>
              <w:ind w:left="0" w:right="0" w:hanging="180"/>
              <w:jc w:val="left"/>
              <w:rPr/>
            </w:pPr>
            <w:r>
              <w:rPr>
                <w:rFonts w:ascii="Times New Roman;sans-serif" w:hAnsi="Times New Roman;sans-serif"/>
                <w:b w:val="false"/>
                <w:color w:val="000000"/>
                <w:sz w:val="20"/>
              </w:rPr>
              <w:t>Constant Currency Dollar-Based Net Expansion Rate</w:t>
            </w:r>
            <w:r>
              <w:rPr>
                <w:rFonts w:ascii="Times New Roman;sans-serif" w:hAnsi="Times New Roman;sans-serif"/>
                <w:b w:val="false"/>
                <w:color w:val="000000"/>
                <w:sz w:val="13"/>
              </w:rPr>
              <w:t>(1)</w:t>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179 </w:t>
            </w:r>
          </w:p>
        </w:tc>
        <w:tc>
          <w:tcPr>
            <w:tcW w:w="31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589" w:type="dxa"/>
            <w:gridSpan w:val="3"/>
            <w:tcBorders/>
            <w:shd w:fill="FFFFFF" w:val="clear"/>
            <w:tcMar>
              <w:top w:w="0" w:type="dxa"/>
              <w:left w:w="0" w:type="dxa"/>
              <w:bottom w:w="0" w:type="dxa"/>
              <w:right w:w="0" w:type="dxa"/>
            </w:tcMar>
            <w:vAlign w:val="center"/>
          </w:tcPr>
          <w:p>
            <w:pPr>
              <w:pStyle w:val="TableContents"/>
              <w:spacing w:lineRule="auto" w:line="288" w:before="0" w:after="0"/>
              <w:ind w:left="0" w:right="0" w:hanging="202"/>
              <w:jc w:val="left"/>
              <w:rPr/>
            </w:pPr>
            <w:r>
              <w:rPr>
                <w:rFonts w:ascii="Times New Roman;sans-serif" w:hAnsi="Times New Roman;sans-serif"/>
                <w:b w:val="false"/>
                <w:color w:val="000000"/>
                <w:sz w:val="20"/>
              </w:rPr>
              <w:t>Active customers</w:t>
            </w:r>
            <w:r>
              <w:rPr>
                <w:rFonts w:ascii="Times New Roman;sans-serif" w:hAnsi="Times New Roman;sans-serif"/>
                <w:b w:val="false"/>
                <w:color w:val="000000"/>
                <w:sz w:val="13"/>
              </w:rPr>
              <w:t>(1)</w:t>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1,041 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2,095 </w:t>
            </w:r>
          </w:p>
        </w:tc>
        <w:tc>
          <w:tcPr>
            <w:tcW w:w="3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spacing w:lineRule="auto" w:line="288" w:before="0" w:after="0"/>
              <w:ind w:left="0" w:right="0" w:hanging="202"/>
              <w:jc w:val="left"/>
              <w:rPr/>
            </w:pPr>
            <w:r>
              <w:rPr>
                <w:rFonts w:ascii="Times New Roman;sans-serif" w:hAnsi="Times New Roman;sans-serif"/>
                <w:b w:val="false"/>
                <w:color w:val="000000"/>
                <w:sz w:val="20"/>
              </w:rPr>
              <w:t>Adjusted EBITDA</w:t>
            </w:r>
            <w:r>
              <w:rPr>
                <w:rFonts w:ascii="Times New Roman;sans-serif" w:hAnsi="Times New Roman;sans-serif"/>
                <w:b w:val="false"/>
                <w:color w:val="000000"/>
                <w:sz w:val="13"/>
              </w:rPr>
              <w:t>(1)(2)</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4,035 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11,243 </w:t>
            </w:r>
          </w:p>
        </w:tc>
        <w:tc>
          <w:tcPr>
            <w:tcW w:w="3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spacing w:lineRule="auto" w:line="288" w:before="0" w:after="0"/>
              <w:ind w:left="0" w:right="0" w:hanging="202"/>
              <w:jc w:val="left"/>
              <w:rPr/>
            </w:pPr>
            <w:r>
              <w:rPr>
                <w:rFonts w:ascii="Times New Roman;sans-serif" w:hAnsi="Times New Roman;sans-serif"/>
                <w:b w:val="false"/>
                <w:color w:val="000000"/>
                <w:sz w:val="20"/>
              </w:rPr>
              <w:t>Free cash flow</w:t>
            </w:r>
            <w:r>
              <w:rPr>
                <w:rFonts w:ascii="Times New Roman;sans-serif" w:hAnsi="Times New Roman;sans-serif"/>
                <w:b w:val="false"/>
                <w:color w:val="000000"/>
                <w:sz w:val="13"/>
              </w:rPr>
              <w:t>(1)(3)</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(1,725)</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(4,096)</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(6,314)</w:t>
            </w:r>
          </w:p>
        </w:tc>
        <w:tc>
          <w:tcPr>
            <w:tcW w:w="3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319" w:before="0" w:after="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(1)See the section of this annual report captioned “Item 5. Operating and Financial Review and Prospects—A. Operating Results—Key Operating and Financial Metrics” for information on how we define and calculate these measures.</w:t>
      </w:r>
    </w:p>
    <w:p>
      <w:pPr>
        <w:pStyle w:val="TextBody"/>
        <w:spacing w:lineRule="auto" w:line="319" w:before="100" w:after="283"/>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(2)See the section of this annual report captioned “Item 5. Operating and Financial Review and Prospects—A. Operating Results —Non-GAAP Financial Measure” for information on how we define and calculate these non-GAAP measures. A reconciliation of non-GAAP Adjusted EBITDA to net income (loss) is as follows:</w:t>
      </w:r>
    </w:p>
    <w:tbl>
      <w:tblPr>
        <w:tblW w:w="6229" w:type="dxa"/>
        <w:jc w:val="left"/>
        <w:tblInd w:w="0" w:type="dxa"/>
        <w:tblCellMar>
          <w:top w:w="28" w:type="dxa"/>
          <w:left w:w="28" w:type="dxa"/>
          <w:bottom w:w="28" w:type="dxa"/>
          <w:right w:w="28" w:type="dxa"/>
        </w:tblCellMar>
      </w:tblPr>
      <w:tblGrid>
        <w:gridCol w:w="948"/>
        <w:gridCol w:w="836"/>
        <w:gridCol w:w="841"/>
        <w:gridCol w:w="196"/>
        <w:gridCol w:w="556"/>
        <w:gridCol w:w="109"/>
        <w:gridCol w:w="109"/>
        <w:gridCol w:w="109"/>
        <w:gridCol w:w="109"/>
        <w:gridCol w:w="196"/>
        <w:gridCol w:w="631"/>
        <w:gridCol w:w="109"/>
        <w:gridCol w:w="109"/>
        <w:gridCol w:w="109"/>
        <w:gridCol w:w="109"/>
        <w:gridCol w:w="196"/>
        <w:gridCol w:w="646"/>
        <w:gridCol w:w="311"/>
      </w:tblGrid>
      <w:tr>
        <w:trPr/>
        <w:tc>
          <w:tcPr>
            <w:tcW w:w="948" w:type="dxa"/>
            <w:tcBorders/>
            <w:shd w:fill="auto" w:val="clear"/>
            <w:vAlign w:val="center"/>
          </w:tcPr>
          <w:p>
            <w:pPr>
              <w:pStyle w:val="TableContents"/>
              <w:spacing w:before="0" w:after="283"/>
              <w:rPr>
                <w:sz w:val="4"/>
                <w:szCs w:val="4"/>
              </w:rPr>
            </w:pPr>
            <w:r>
              <w:rPr>
                <w:sz w:val="4"/>
                <w:szCs w:val="4"/>
              </w:rPr>
            </w:r>
          </w:p>
        </w:tc>
        <w:tc>
          <w:tcPr>
            <w:tcW w:w="836"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rPr>
                <w:sz w:val="4"/>
                <w:szCs w:val="4"/>
              </w:rPr>
            </w:pPr>
            <w:r>
              <w:rPr>
                <w:sz w:val="4"/>
                <w:szCs w:val="4"/>
              </w:rPr>
            </w:r>
          </w:p>
        </w:tc>
      </w:tr>
      <w:tr>
        <w:trPr/>
        <w:tc>
          <w:tcPr>
            <w:tcW w:w="26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4"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26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2018</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2019</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53"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2020</w:t>
            </w:r>
          </w:p>
        </w:tc>
      </w:tr>
      <w:tr>
        <w:trPr/>
        <w:tc>
          <w:tcPr>
            <w:tcW w:w="26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4"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(US$ in thousands)</w:t>
            </w:r>
          </w:p>
        </w:tc>
      </w:tr>
      <w:tr>
        <w:trPr/>
        <w:tc>
          <w:tcPr>
            <w:tcW w:w="26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w:t>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(6,177)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spacing w:lineRule="auto" w:line="276"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(3,114)</w:t>
            </w:r>
          </w:p>
        </w:tc>
        <w:tc>
          <w:tcPr>
            <w:tcW w:w="3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Excluding:</w:t>
            </w:r>
          </w:p>
        </w:tc>
        <w:tc>
          <w:tcPr>
            <w:tcW w:w="8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3" w:type="dxa"/>
            <w:gridSpan w:val="3"/>
            <w:tcBorders/>
            <w:shd w:fill="FFFFFF" w:val="clear"/>
            <w:tcMar>
              <w:top w:w="0" w:type="dxa"/>
              <w:left w:w="0" w:type="dxa"/>
              <w:bottom w:w="0" w:type="dxa"/>
              <w:right w:w="0" w:type="dxa"/>
            </w:tcMar>
            <w:vAlign w:val="center"/>
          </w:tcPr>
          <w:p>
            <w:pPr>
              <w:pStyle w:val="TableContents"/>
              <w:spacing w:before="0" w:after="283"/>
              <w:ind w:left="0" w:right="0" w:firstLine="180"/>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Exchange gain (loss)</w:t>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w:t>
            </w:r>
          </w:p>
        </w:tc>
        <w:tc>
          <w:tcPr>
            <w:tcW w:w="311" w:type="dxa"/>
            <w:tcBorders/>
            <w:shd w:fill="CCEEFF" w:val="clear"/>
            <w:tcMar>
              <w:top w:w="0" w:type="dxa"/>
              <w:left w:w="0" w:type="dxa"/>
              <w:bottom w:w="0" w:type="dxa"/>
              <w:right w:w="0" w:type="dxa"/>
            </w:tcMar>
            <w:vAlign w:val="center"/>
          </w:tcPr>
          <w:p>
            <w:pPr>
              <w:pStyle w:val="TableContents"/>
              <w:spacing w:before="0" w:after="283"/>
              <w:ind w:left="0" w:right="0" w:firstLine="180"/>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income</w:t>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2,704 </w:t>
            </w:r>
          </w:p>
        </w:tc>
        <w:tc>
          <w:tcPr>
            <w:tcW w:w="311" w:type="dxa"/>
            <w:tcBorders/>
            <w:shd w:fill="FFFFFF" w:val="clear"/>
            <w:tcMar>
              <w:top w:w="0" w:type="dxa"/>
              <w:left w:w="0" w:type="dxa"/>
              <w:bottom w:w="0" w:type="dxa"/>
              <w:right w:w="0" w:type="dxa"/>
            </w:tcMar>
            <w:vAlign w:val="center"/>
          </w:tcPr>
          <w:p>
            <w:pPr>
              <w:pStyle w:val="TableContents"/>
              <w:spacing w:before="0" w:after="283"/>
              <w:ind w:left="0" w:right="0" w:firstLine="180"/>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taxes</w:t>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(562)</w:t>
            </w:r>
          </w:p>
        </w:tc>
        <w:tc>
          <w:tcPr>
            <w:tcW w:w="311" w:type="dxa"/>
            <w:tcBorders/>
            <w:shd w:fill="CCEEFF" w:val="clear"/>
            <w:tcMar>
              <w:top w:w="0" w:type="dxa"/>
              <w:left w:w="0" w:type="dxa"/>
              <w:bottom w:w="0" w:type="dxa"/>
              <w:right w:w="0" w:type="dxa"/>
            </w:tcMar>
            <w:vAlign w:val="center"/>
          </w:tcPr>
          <w:p>
            <w:pPr>
              <w:pStyle w:val="TableContents"/>
              <w:spacing w:before="0" w:after="283"/>
              <w:ind w:left="0" w:right="0" w:firstLine="180"/>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4,460 </w:t>
            </w:r>
          </w:p>
        </w:tc>
        <w:tc>
          <w:tcPr>
            <w:tcW w:w="311" w:type="dxa"/>
            <w:tcBorders/>
            <w:shd w:fill="FFFFFF" w:val="clear"/>
            <w:tcMar>
              <w:top w:w="0" w:type="dxa"/>
              <w:left w:w="0" w:type="dxa"/>
              <w:bottom w:w="0" w:type="dxa"/>
              <w:right w:w="0" w:type="dxa"/>
            </w:tcMar>
            <w:vAlign w:val="center"/>
          </w:tcPr>
          <w:p>
            <w:pPr>
              <w:pStyle w:val="TableContents"/>
              <w:spacing w:before="0" w:after="283"/>
              <w:ind w:left="0" w:right="0" w:firstLine="180"/>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Share-based compensation expense</w:t>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2,850 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4,253 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11,974 </w:t>
            </w:r>
          </w:p>
        </w:tc>
        <w:tc>
          <w:tcPr>
            <w:tcW w:w="3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EBITDA</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4,035 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11,243 </w:t>
            </w:r>
          </w:p>
        </w:tc>
        <w:tc>
          <w:tcPr>
            <w:tcW w:w="3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385445"/>
                <wp:effectExtent l="0" t="0" r="0" b="0"/>
                <wp:wrapNone/>
                <wp:docPr id="10" name="Frame10"/>
                <a:graphic xmlns:a="http://schemas.openxmlformats.org/drawingml/2006/main">
                  <a:graphicData uri="http://schemas.microsoft.com/office/word/2010/wordprocessingShape">
                    <wps:wsp>
                      <wps:cNvSpPr txBox="1"/>
                      <wps:spPr>
                        <a:xfrm>
                          <a:off x="0" y="0"/>
                          <a:ext cx="6480175" cy="385445"/>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p>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lineRule="auto" w:line="288" w:before="100" w:after="283"/>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(3)See the section of this annual report captioned “Item 5. Operating and Financial Review and Prospects—A. Operating Results—Non-GAAP Financial Measure” for information on how we define and calculate these non-GAAP measures. A reconciliation of free cash flow to net cash generated from operating activities, as well as information regarding net cash used in investing activities and net cash provided by financing activities, for each of the periods indicated, is as follows:</w:t>
      </w:r>
    </w:p>
    <w:tbl>
      <w:tblPr>
        <w:tblW w:w="6321" w:type="dxa"/>
        <w:jc w:val="left"/>
        <w:tblInd w:w="0" w:type="dxa"/>
        <w:tblCellMar>
          <w:top w:w="28" w:type="dxa"/>
          <w:left w:w="28" w:type="dxa"/>
          <w:bottom w:w="28" w:type="dxa"/>
          <w:right w:w="28" w:type="dxa"/>
        </w:tblCellMar>
      </w:tblPr>
      <w:tblGrid>
        <w:gridCol w:w="1161"/>
        <w:gridCol w:w="1020"/>
        <w:gridCol w:w="1028"/>
        <w:gridCol w:w="205"/>
        <w:gridCol w:w="441"/>
        <w:gridCol w:w="109"/>
        <w:gridCol w:w="109"/>
        <w:gridCol w:w="109"/>
        <w:gridCol w:w="109"/>
        <w:gridCol w:w="200"/>
        <w:gridCol w:w="430"/>
        <w:gridCol w:w="109"/>
        <w:gridCol w:w="109"/>
        <w:gridCol w:w="109"/>
        <w:gridCol w:w="109"/>
        <w:gridCol w:w="211"/>
        <w:gridCol w:w="599"/>
        <w:gridCol w:w="154"/>
      </w:tblGrid>
      <w:tr>
        <w:trPr/>
        <w:tc>
          <w:tcPr>
            <w:tcW w:w="1161" w:type="dxa"/>
            <w:tcBorders/>
            <w:shd w:fill="auto" w:val="clear"/>
            <w:vAlign w:val="center"/>
          </w:tcPr>
          <w:p>
            <w:pPr>
              <w:pStyle w:val="TableContents"/>
              <w:spacing w:before="0" w:after="283"/>
              <w:rPr>
                <w:sz w:val="4"/>
                <w:szCs w:val="4"/>
              </w:rPr>
            </w:pPr>
            <w:r>
              <w:rPr>
                <w:sz w:val="4"/>
                <w:szCs w:val="4"/>
              </w:rPr>
            </w:r>
          </w:p>
        </w:tc>
        <w:tc>
          <w:tcPr>
            <w:tcW w:w="1020" w:type="dxa"/>
            <w:tcBorders/>
            <w:shd w:fill="auto" w:val="clear"/>
            <w:vAlign w:val="center"/>
          </w:tcPr>
          <w:p>
            <w:pPr>
              <w:pStyle w:val="TableContents"/>
              <w:spacing w:before="0" w:after="283"/>
              <w:rPr>
                <w:sz w:val="4"/>
                <w:szCs w:val="4"/>
              </w:rPr>
            </w:pPr>
            <w:r>
              <w:rPr>
                <w:sz w:val="4"/>
                <w:szCs w:val="4"/>
              </w:rPr>
            </w:r>
          </w:p>
        </w:tc>
        <w:tc>
          <w:tcPr>
            <w:tcW w:w="1028"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4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43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9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12"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32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2018</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39"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2019</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64"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2020</w:t>
            </w:r>
          </w:p>
        </w:tc>
      </w:tr>
      <w:tr>
        <w:trPr/>
        <w:tc>
          <w:tcPr>
            <w:tcW w:w="32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12"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(US$ in thousands)</w:t>
            </w:r>
          </w:p>
        </w:tc>
      </w:tr>
      <w:tr>
        <w:trPr/>
        <w:tc>
          <w:tcPr>
            <w:tcW w:w="32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generated from operating activities</w:t>
            </w:r>
          </w:p>
        </w:tc>
        <w:tc>
          <w:tcPr>
            <w:tcW w:w="20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4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3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9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6,564 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Purchases of property and equipment</w:t>
            </w:r>
          </w:p>
        </w:tc>
        <w:tc>
          <w:tcPr>
            <w:tcW w:w="6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(2,261)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(4,802)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(12,878)</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Free cash flow</w:t>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(4,096)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(6,314)</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investing activities*</w:t>
            </w:r>
          </w:p>
        </w:tc>
        <w:tc>
          <w:tcPr>
            <w:tcW w:w="6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(3,773)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(3,353)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(535,052)</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financing activities</w:t>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65,772 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533,638 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00" w:after="283"/>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*Net cash used in investing activities includes payments for purchases of property and equipment, which is also included in our calculation of free cash flow.</w:t>
      </w:r>
    </w:p>
    <w:p>
      <w:pPr>
        <w:pStyle w:val="TextBody"/>
        <w:spacing w:before="100" w:after="283"/>
        <w:ind w:left="0" w:right="0" w:hanging="360"/>
        <w:jc w:val="both"/>
        <w:rPr/>
      </w:pPr>
      <w:r>
        <w:rPr/>
      </w:r>
    </w:p>
    <w:p>
      <w:pPr>
        <w:pStyle w:val="TextBody"/>
        <w:spacing w:lineRule="auto" w:line="319" w:before="0" w:after="240"/>
        <w:jc w:val="both"/>
        <w:rPr>
          <w:rFonts w:ascii="Times New Roman;sans-serif" w:hAnsi="Times New Roman;sans-serif"/>
          <w:b/>
          <w:i/>
          <w:color w:val="000000"/>
          <w:sz w:val="20"/>
        </w:rPr>
      </w:pPr>
      <w:r>
        <w:rPr>
          <w:rFonts w:ascii="Times New Roman;sans-serif" w:hAnsi="Times New Roman;sans-serif"/>
          <w:b/>
          <w:i/>
          <w:color w:val="000000"/>
          <w:sz w:val="20"/>
        </w:rPr>
        <w:t>B. Capitalization and Indebtedness</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pStyle w:val="TextBody"/>
        <w:spacing w:lineRule="auto" w:line="319" w:before="0" w:after="240"/>
        <w:jc w:val="both"/>
        <w:rPr>
          <w:rFonts w:ascii="Times New Roman;sans-serif" w:hAnsi="Times New Roman;sans-serif"/>
          <w:b/>
          <w:i/>
          <w:color w:val="000000"/>
          <w:sz w:val="20"/>
        </w:rPr>
      </w:pPr>
      <w:r>
        <w:rPr>
          <w:rFonts w:ascii="Times New Roman;sans-serif" w:hAnsi="Times New Roman;sans-serif"/>
          <w:b/>
          <w:i/>
          <w:color w:val="000000"/>
          <w:sz w:val="20"/>
        </w:rPr>
        <w:t>C. Reasons for the Offer and Use of Proceeds</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pStyle w:val="TextBody"/>
        <w:spacing w:lineRule="auto" w:line="319" w:before="0" w:after="240"/>
        <w:jc w:val="both"/>
        <w:rPr>
          <w:rFonts w:ascii="Times New Roman;sans-serif" w:hAnsi="Times New Roman;sans-serif"/>
          <w:b/>
          <w:i/>
          <w:color w:val="000000"/>
          <w:sz w:val="20"/>
        </w:rPr>
      </w:pPr>
      <w:r>
        <w:rPr>
          <w:rFonts w:ascii="Times New Roman;sans-serif" w:hAnsi="Times New Roman;sans-serif"/>
          <w:b/>
          <w:i/>
          <w:color w:val="000000"/>
          <w:sz w:val="20"/>
        </w:rPr>
        <w:t>D. Risk Factors</w:t>
      </w:r>
    </w:p>
    <w:p>
      <w:pPr>
        <w:pStyle w:val="TextBody"/>
        <w:spacing w:lineRule="auto" w:line="319" w:before="0" w:after="240"/>
        <w:jc w:val="both"/>
        <w:rPr>
          <w:rFonts w:ascii="Times New Roman;sans-serif" w:hAnsi="Times New Roman;sans-serif"/>
          <w:b/>
          <w:color w:val="000000"/>
          <w:sz w:val="20"/>
        </w:rPr>
      </w:pPr>
      <w:r>
        <w:rPr>
          <w:rFonts w:ascii="Times New Roman;sans-serif" w:hAnsi="Times New Roman;sans-serif"/>
          <w:b/>
          <w:color w:val="000000"/>
          <w:sz w:val="20"/>
        </w:rPr>
        <w:t xml:space="preserve">Summary Risk Factors </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business is subject to numerous risks and uncertainties, including risks that may prevent us from achieving our business objectives or may adversely affect our business, financial condition, results of operations, cash flows, and prospects. These risks are discussed more fully below and include, but are not limited to, risks related to:</w:t>
      </w:r>
    </w:p>
    <w:p>
      <w:pPr>
        <w:pStyle w:val="TextBody"/>
        <w:spacing w:lineRule="auto" w:line="319" w:before="0" w:after="240"/>
        <w:jc w:val="both"/>
        <w:rPr>
          <w:rFonts w:ascii="Times New Roman;sans-serif" w:hAnsi="Times New Roman;sans-serif"/>
          <w:b/>
          <w:i/>
          <w:color w:val="000000"/>
          <w:sz w:val="20"/>
        </w:rPr>
      </w:pPr>
      <w:r>
        <w:rPr>
          <w:rFonts w:ascii="Times New Roman;sans-serif" w:hAnsi="Times New Roman;sans-serif"/>
          <w:b/>
          <w:i/>
          <w:color w:val="000000"/>
          <w:sz w:val="20"/>
        </w:rPr>
        <w:t>Risks Related to Our Business and Industry</w:t>
      </w:r>
    </w:p>
    <w:p>
      <w:pPr>
        <w:pStyle w:val="TextBody"/>
        <w:spacing w:lineRule="auto" w:line="319" w:before="0" w:after="240"/>
        <w:ind w:left="0" w:right="0" w:hanging="360"/>
        <w:jc w:val="both"/>
        <w:rPr/>
      </w:pPr>
      <w:r>
        <w:rPr>
          <w:color w:val="000000"/>
        </w:rPr>
        <w:t>•</w:t>
      </w:r>
      <w:r>
        <w:rPr>
          <w:rFonts w:ascii="Times New Roman;sans-serif" w:hAnsi="Times New Roman;sans-serif"/>
          <w:b w:val="false"/>
          <w:color w:val="000000"/>
          <w:sz w:val="20"/>
        </w:rPr>
        <w:t>We operate in an emerging and evolving market, which may develop more slowly or differently than we expect. If our market does not grow as we expect, or if we cannot expand our services to meet the demands of this market, our revenue may decline, or fail to grow, and we may incur operating losses.</w:t>
      </w:r>
    </w:p>
    <w:p>
      <w:pPr>
        <w:pStyle w:val="TextBody"/>
        <w:spacing w:lineRule="auto" w:line="319" w:before="0" w:after="240"/>
        <w:ind w:left="0" w:right="0" w:hanging="360"/>
        <w:jc w:val="both"/>
        <w:rPr/>
      </w:pPr>
      <w:r>
        <w:rPr>
          <w:color w:val="000000"/>
        </w:rPr>
        <w:t>•</w:t>
      </w:r>
      <w:r>
        <w:rPr>
          <w:rFonts w:ascii="Times New Roman;sans-serif" w:hAnsi="Times New Roman;sans-serif"/>
          <w:b w:val="false"/>
          <w:color w:val="000000"/>
          <w:sz w:val="20"/>
        </w:rPr>
        <w:t>Our operating results and growth prospects depend on acquiring and retaining customers and increasing usage of customers’ applications that integrate our products.</w:t>
      </w:r>
    </w:p>
    <w:p>
      <w:pPr>
        <w:pStyle w:val="TextBody"/>
        <w:spacing w:lineRule="auto" w:line="319" w:before="0" w:after="240"/>
        <w:ind w:left="0" w:right="0" w:hanging="360"/>
        <w:jc w:val="both"/>
        <w:rPr/>
      </w:pPr>
      <w:r>
        <w:rPr>
          <w:color w:val="000000"/>
        </w:rPr>
        <w:t>•</w:t>
      </w:r>
      <w:r>
        <w:rPr>
          <w:rFonts w:ascii="Times New Roman;sans-serif" w:hAnsi="Times New Roman;sans-serif"/>
          <w:b w:val="false"/>
          <w:color w:val="000000"/>
          <w:sz w:val="20"/>
        </w:rPr>
        <w:t>The COVID-19 pandemic severely disrupted our business and operations and it, or any future health epidemic or other adverse public health developments, may continue to do so.</w:t>
      </w:r>
    </w:p>
    <w:p>
      <w:pPr>
        <w:pStyle w:val="TextBody"/>
        <w:spacing w:lineRule="auto" w:line="319" w:before="0" w:after="240"/>
        <w:ind w:left="0" w:right="0" w:hanging="360"/>
        <w:jc w:val="both"/>
        <w:rPr/>
      </w:pPr>
      <w:r>
        <w:rPr>
          <w:color w:val="000000"/>
        </w:rPr>
        <w:t>•</w:t>
      </w:r>
      <w:r>
        <w:rPr>
          <w:rFonts w:ascii="Times New Roman;sans-serif" w:hAnsi="Times New Roman;sans-serif"/>
          <w:b w:val="false"/>
          <w:color w:val="000000"/>
          <w:sz w:val="20"/>
        </w:rPr>
        <w:t>The market in which we participate is competitive, and if we do not compete effectively, our business, operating results and financial condition could be harmed.</w:t>
      </w:r>
    </w:p>
    <w:p>
      <w:pPr>
        <w:pStyle w:val="TextBody"/>
        <w:spacing w:lineRule="auto" w:line="319" w:before="0" w:after="240"/>
        <w:ind w:left="0" w:right="0" w:hanging="360"/>
        <w:jc w:val="both"/>
        <w:rPr/>
      </w:pPr>
      <w:r>
        <w:rPr>
          <w:color w:val="000000"/>
        </w:rPr>
        <w:t>•</w:t>
      </w:r>
      <w:r>
        <w:rPr>
          <w:rFonts w:ascii="Times New Roman;sans-serif" w:hAnsi="Times New Roman;sans-serif"/>
          <w:b w:val="false"/>
          <w:color w:val="000000"/>
          <w:sz w:val="20"/>
        </w:rPr>
        <w:t>Defects, errors or security vulnerabilities that we may not be able to catch in our products or that may come up as we upgrade our products or launch new products could diminish demand for our products, harm our business and operating results and subject us to liability.</w:t>
      </w:r>
    </w:p>
    <w:p>
      <w:pPr>
        <w:pStyle w:val="HorizontalLine"/>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385445"/>
                <wp:effectExtent l="0" t="0" r="0" b="0"/>
                <wp:wrapNone/>
                <wp:docPr id="11" name="Frame11"/>
                <a:graphic xmlns:a="http://schemas.openxmlformats.org/drawingml/2006/main">
                  <a:graphicData uri="http://schemas.microsoft.com/office/word/2010/wordprocessingShape">
                    <wps:wsp>
                      <wps:cNvSpPr txBox="1"/>
                      <wps:spPr>
                        <a:xfrm>
                          <a:off x="0" y="0"/>
                          <a:ext cx="6480175" cy="385445"/>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p>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lineRule="auto" w:line="319" w:before="0" w:after="240"/>
        <w:ind w:left="0" w:right="0" w:hanging="360"/>
        <w:jc w:val="both"/>
        <w:rPr/>
      </w:pPr>
      <w:r>
        <w:rPr>
          <w:color w:val="000000"/>
        </w:rPr>
        <w:t>•</w:t>
      </w:r>
      <w:r>
        <w:rPr>
          <w:rFonts w:ascii="Times New Roman;sans-serif" w:hAnsi="Times New Roman;sans-serif"/>
          <w:b w:val="false"/>
          <w:color w:val="000000"/>
          <w:sz w:val="20"/>
        </w:rPr>
        <w:t>Our ADSs may be delisted under the Holding Foreign Companies Accountable Act if the Public Company Accounting Oversight Board, or the PCAOB, is unable to inspect auditors who are located in China. The delisting of our ADSs, or the threat of their being delisted, may materially and adversely affect the value of your investment. Additionally, the inability of the PCAOB to conduct inspections deprives our investors of the benefits of such inspections.</w:t>
      </w:r>
    </w:p>
    <w:p>
      <w:pPr>
        <w:pStyle w:val="TextBody"/>
        <w:spacing w:lineRule="auto" w:line="276" w:before="0" w:after="0"/>
        <w:ind w:left="0" w:right="0" w:hanging="360"/>
        <w:jc w:val="both"/>
        <w:rPr/>
      </w:pPr>
      <w:r>
        <w:rPr>
          <w:color w:val="000000"/>
        </w:rPr>
        <w:t>•</w:t>
      </w:r>
      <w:r>
        <w:rPr>
          <w:rFonts w:ascii="Times New Roman;sans-serif" w:hAnsi="Times New Roman;sans-serif"/>
          <w:b w:val="false"/>
          <w:color w:val="000000"/>
          <w:sz w:val="20"/>
        </w:rPr>
        <w:t>We may acquire or invest in business, technologies, services, products and other assets, which may divert our management’s attention and result in the incurrence of debt or dilution to our shareholders. We may be unable to integrate acquired businesses and technologies successfully or achieve the expected benefits of such acquisitions.</w:t>
      </w:r>
    </w:p>
    <w:p>
      <w:pPr>
        <w:pStyle w:val="TextBody"/>
        <w:spacing w:before="0" w:after="0"/>
        <w:jc w:val="both"/>
        <w:rPr/>
      </w:pPr>
      <w:r>
        <w:rPr/>
      </w:r>
    </w:p>
    <w:p>
      <w:pPr>
        <w:pStyle w:val="TextBody"/>
        <w:spacing w:lineRule="auto" w:line="319" w:before="0" w:after="240"/>
        <w:jc w:val="both"/>
        <w:rPr>
          <w:rFonts w:ascii="Times New Roman;sans-serif" w:hAnsi="Times New Roman;sans-serif"/>
          <w:b/>
          <w:i/>
          <w:color w:val="000000"/>
          <w:sz w:val="20"/>
        </w:rPr>
      </w:pPr>
      <w:r>
        <w:rPr>
          <w:rFonts w:ascii="Times New Roman;sans-serif" w:hAnsi="Times New Roman;sans-serif"/>
          <w:b/>
          <w:i/>
          <w:color w:val="000000"/>
          <w:sz w:val="20"/>
        </w:rPr>
        <w:t>Risks Related to Our Corporate Structure</w:t>
      </w:r>
    </w:p>
    <w:p>
      <w:pPr>
        <w:pStyle w:val="TextBody"/>
        <w:spacing w:lineRule="auto" w:line="319" w:before="0" w:after="240"/>
        <w:ind w:left="0" w:right="0" w:hanging="360"/>
        <w:jc w:val="both"/>
        <w:rPr/>
      </w:pPr>
      <w:r>
        <w:rPr>
          <w:color w:val="000000"/>
        </w:rPr>
        <w:t>•</w:t>
      </w:r>
      <w:r>
        <w:rPr>
          <w:rFonts w:ascii="Times New Roman;sans-serif" w:hAnsi="Times New Roman;sans-serif"/>
          <w:b w:val="false"/>
          <w:color w:val="000000"/>
          <w:sz w:val="20"/>
        </w:rPr>
        <w:t>If the PRC government deems that the contractual arrangements in relation to our VIEs do not comply with PRC regulatory restrictions on foreign investment in the relevant industries, or if these regulations or the interpretation of existing regulations change in the future, we could be subject to severe penalties or be forced to relinquish our interests in those operations.</w:t>
      </w:r>
    </w:p>
    <w:p>
      <w:pPr>
        <w:pStyle w:val="TextBody"/>
        <w:spacing w:lineRule="auto" w:line="319" w:before="0" w:after="240"/>
        <w:ind w:left="0" w:right="0" w:hanging="360"/>
        <w:jc w:val="both"/>
        <w:rPr/>
      </w:pPr>
      <w:r>
        <w:rPr>
          <w:color w:val="000000"/>
        </w:rPr>
        <w:t>•</w:t>
      </w:r>
      <w:r>
        <w:rPr>
          <w:rFonts w:ascii="Times New Roman;sans-serif" w:hAnsi="Times New Roman;sans-serif"/>
          <w:b w:val="false"/>
          <w:color w:val="000000"/>
          <w:sz w:val="20"/>
        </w:rPr>
        <w:t>We rely on contractual arrangements with our VIEs and their respective shareholders to operate our business, which may not be as effective as direct ownership in providing operational control and could adversely affect our business, operating results and financial condition.</w:t>
      </w:r>
    </w:p>
    <w:p>
      <w:pPr>
        <w:pStyle w:val="TextBody"/>
        <w:spacing w:lineRule="auto" w:line="319" w:before="0" w:after="240"/>
        <w:ind w:left="0" w:right="0" w:hanging="360"/>
        <w:jc w:val="both"/>
        <w:rPr/>
      </w:pPr>
      <w:r>
        <w:rPr>
          <w:color w:val="000000"/>
          <w:highlight w:val="white"/>
        </w:rPr>
        <w:t>•</w:t>
      </w:r>
      <w:r>
        <w:rPr>
          <w:rFonts w:ascii="Times New Roman;sans-serif" w:hAnsi="Times New Roman;sans-serif"/>
          <w:b w:val="false"/>
          <w:color w:val="000000"/>
          <w:sz w:val="20"/>
          <w:highlight w:val="white"/>
        </w:rPr>
        <w:t>The shareholders of our VIEs may have potential conflicts of interest with us, which could adversely affect our business, operating results and financial condition.</w:t>
      </w:r>
    </w:p>
    <w:p>
      <w:pPr>
        <w:pStyle w:val="TextBody"/>
        <w:spacing w:lineRule="auto" w:line="319" w:before="0" w:after="240"/>
        <w:ind w:left="0" w:right="0" w:hanging="360"/>
        <w:jc w:val="both"/>
        <w:rPr/>
      </w:pPr>
      <w:r>
        <w:rPr>
          <w:color w:val="000000"/>
          <w:highlight w:val="white"/>
        </w:rPr>
        <w:t>•</w:t>
      </w:r>
      <w:r>
        <w:rPr>
          <w:rFonts w:ascii="Times New Roman;sans-serif" w:hAnsi="Times New Roman;sans-serif"/>
          <w:b w:val="false"/>
          <w:color w:val="000000"/>
          <w:sz w:val="20"/>
          <w:highlight w:val="white"/>
        </w:rPr>
        <w:t>If the custodians or authorized users of our controlling non-tangible assets, including chops and seals, fail to fulfill their responsibilities, or misappropriate or misuse these assets, our business and operations may be materially and adversely affected.</w:t>
      </w:r>
    </w:p>
    <w:p>
      <w:pPr>
        <w:pStyle w:val="TextBody"/>
        <w:spacing w:lineRule="auto" w:line="319" w:before="0" w:after="240"/>
        <w:jc w:val="both"/>
        <w:rPr>
          <w:rFonts w:ascii="Times New Roman;sans-serif" w:hAnsi="Times New Roman;sans-serif"/>
          <w:b/>
          <w:i/>
          <w:color w:val="000000"/>
          <w:sz w:val="20"/>
        </w:rPr>
      </w:pPr>
      <w:r>
        <w:rPr>
          <w:rFonts w:ascii="Times New Roman;sans-serif" w:hAnsi="Times New Roman;sans-serif"/>
          <w:b/>
          <w:i/>
          <w:color w:val="000000"/>
          <w:sz w:val="20"/>
        </w:rPr>
        <w:t>Risks Related to Doing Business in China</w:t>
      </w:r>
    </w:p>
    <w:p>
      <w:pPr>
        <w:pStyle w:val="TextBody"/>
        <w:spacing w:lineRule="auto" w:line="319" w:before="0" w:after="240"/>
        <w:ind w:left="0" w:right="0" w:hanging="360"/>
        <w:jc w:val="both"/>
        <w:rPr/>
      </w:pPr>
      <w:r>
        <w:rPr>
          <w:color w:val="000000"/>
        </w:rPr>
        <w:t>•</w:t>
      </w:r>
      <w:r>
        <w:rPr>
          <w:rFonts w:ascii="Times New Roman;sans-serif" w:hAnsi="Times New Roman;sans-serif"/>
          <w:b w:val="false"/>
          <w:color w:val="000000"/>
          <w:sz w:val="20"/>
        </w:rPr>
        <w:t>Changes in the political and economic policies of the PRC government could adversely affect our business, operating results and financial condition, and may result in our inability to sustain our growth and expansion strategies.</w:t>
      </w:r>
    </w:p>
    <w:p>
      <w:pPr>
        <w:pStyle w:val="TextBody"/>
        <w:spacing w:lineRule="auto" w:line="319" w:before="0" w:after="240"/>
        <w:ind w:left="0" w:right="0" w:hanging="360"/>
        <w:jc w:val="both"/>
        <w:rPr/>
      </w:pPr>
      <w:r>
        <w:rPr>
          <w:color w:val="000000"/>
        </w:rPr>
        <w:t>•</w:t>
      </w:r>
      <w:r>
        <w:rPr>
          <w:rFonts w:ascii="Times New Roman;sans-serif" w:hAnsi="Times New Roman;sans-serif"/>
          <w:b w:val="false"/>
          <w:color w:val="000000"/>
          <w:sz w:val="20"/>
        </w:rPr>
        <w:t>We may be adversely affected by the complexity, uncertainties and changes in PRC laws, rules and regulations, particularly of internet businesses.</w:t>
      </w:r>
    </w:p>
    <w:p>
      <w:pPr>
        <w:pStyle w:val="TextBody"/>
        <w:spacing w:lineRule="auto" w:line="319" w:before="0" w:after="240"/>
        <w:ind w:left="0" w:right="0" w:hanging="360"/>
        <w:jc w:val="both"/>
        <w:rPr/>
      </w:pPr>
      <w:r>
        <w:rPr>
          <w:color w:val="000000"/>
        </w:rPr>
        <w:t>•</w:t>
      </w:r>
      <w:r>
        <w:rPr>
          <w:rFonts w:ascii="Times New Roman;sans-serif" w:hAnsi="Times New Roman;sans-serif"/>
          <w:b w:val="false"/>
          <w:color w:val="000000"/>
          <w:sz w:val="20"/>
        </w:rPr>
        <w:t>We may be required to obtain and maintain permits and licenses to operate our business in China.</w:t>
      </w:r>
    </w:p>
    <w:p>
      <w:pPr>
        <w:pStyle w:val="TextBody"/>
        <w:spacing w:lineRule="auto" w:line="319" w:before="0" w:after="240"/>
        <w:ind w:left="0" w:right="0" w:hanging="360"/>
        <w:jc w:val="both"/>
        <w:rPr/>
      </w:pPr>
      <w:r>
        <w:rPr>
          <w:color w:val="000000"/>
        </w:rPr>
        <w:t>•</w:t>
      </w:r>
      <w:r>
        <w:rPr>
          <w:rFonts w:ascii="Times New Roman;sans-serif" w:hAnsi="Times New Roman;sans-serif"/>
          <w:b w:val="false"/>
          <w:color w:val="000000"/>
          <w:sz w:val="20"/>
        </w:rPr>
        <w:t>It may be difficult for overseas regulators to conduct investigations or collect evidence within China.</w:t>
      </w:r>
    </w:p>
    <w:p>
      <w:pPr>
        <w:pStyle w:val="TextBody"/>
        <w:spacing w:lineRule="auto" w:line="276" w:before="0" w:after="240"/>
        <w:jc w:val="both"/>
        <w:rPr>
          <w:rFonts w:ascii="Times New Roman;sans-serif" w:hAnsi="Times New Roman;sans-serif"/>
          <w:b/>
          <w:i/>
          <w:color w:val="000000"/>
          <w:sz w:val="20"/>
        </w:rPr>
      </w:pPr>
      <w:r>
        <w:rPr>
          <w:rFonts w:ascii="Times New Roman;sans-serif" w:hAnsi="Times New Roman;sans-serif"/>
          <w:b/>
          <w:i/>
          <w:color w:val="000000"/>
          <w:sz w:val="20"/>
        </w:rPr>
        <w:t xml:space="preserve">Risks Related to the ADSs </w:t>
      </w:r>
    </w:p>
    <w:p>
      <w:pPr>
        <w:pStyle w:val="TextBody"/>
        <w:spacing w:lineRule="auto" w:line="319" w:before="0" w:after="240"/>
        <w:ind w:left="0" w:right="0" w:hanging="360"/>
        <w:jc w:val="both"/>
        <w:rPr/>
      </w:pPr>
      <w:r>
        <w:rPr>
          <w:color w:val="000000"/>
        </w:rPr>
        <w:t>•</w:t>
      </w:r>
      <w:r>
        <w:rPr>
          <w:rFonts w:ascii="Times New Roman;sans-serif" w:hAnsi="Times New Roman;sans-serif"/>
          <w:b w:val="false"/>
          <w:color w:val="000000"/>
          <w:sz w:val="20"/>
        </w:rPr>
        <w:t>The trading price of our ADSs is likely to be volatile, which could result in substantial losses to investors.</w:t>
      </w:r>
    </w:p>
    <w:p>
      <w:pPr>
        <w:pStyle w:val="TextBody"/>
        <w:spacing w:lineRule="auto" w:line="319" w:before="0" w:after="240"/>
        <w:ind w:left="0" w:right="0" w:hanging="360"/>
        <w:jc w:val="both"/>
        <w:rPr/>
      </w:pPr>
      <w:r>
        <w:rPr>
          <w:color w:val="000000"/>
        </w:rPr>
        <w:t>•</w:t>
      </w:r>
      <w:r>
        <w:rPr>
          <w:rFonts w:ascii="Times New Roman;sans-serif" w:hAnsi="Times New Roman;sans-serif"/>
          <w:b w:val="false"/>
          <w:color w:val="000000"/>
          <w:sz w:val="20"/>
        </w:rPr>
        <w:t>Our dual-class share structure with different voting rights will limit your ability to influence corporate matters and could discourage others from pursuing any change of control transactions that holders of our Class A ordinary shares and ADSs may view as beneficial.</w:t>
      </w:r>
    </w:p>
    <w:p>
      <w:pPr>
        <w:pStyle w:val="HorizontalLine"/>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385445"/>
                <wp:effectExtent l="0" t="0" r="0" b="0"/>
                <wp:wrapNone/>
                <wp:docPr id="12" name="Frame12"/>
                <a:graphic xmlns:a="http://schemas.openxmlformats.org/drawingml/2006/main">
                  <a:graphicData uri="http://schemas.microsoft.com/office/word/2010/wordprocessingShape">
                    <wps:wsp>
                      <wps:cNvSpPr txBox="1"/>
                      <wps:spPr>
                        <a:xfrm>
                          <a:off x="0" y="0"/>
                          <a:ext cx="6480175" cy="385445"/>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w:t>
                      </w:r>
                    </w:p>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lineRule="auto" w:line="276" w:before="0" w:after="240"/>
        <w:ind w:left="0" w:right="0" w:hanging="360"/>
        <w:jc w:val="both"/>
        <w:rPr/>
      </w:pPr>
      <w:r>
        <w:rPr>
          <w:color w:val="000000"/>
        </w:rPr>
        <w:t>•</w:t>
      </w:r>
      <w:r>
        <w:rPr>
          <w:rFonts w:ascii="Times New Roman;sans-serif" w:hAnsi="Times New Roman;sans-serif"/>
          <w:b w:val="false"/>
          <w:color w:val="000000"/>
          <w:sz w:val="20"/>
        </w:rPr>
        <w:t>We are a “controlled company” as defined under the Nasdaq Stock Market corporate governance rules. As a result, we are qualified for, and rely on, exemptions from certain corporate governance requirements that would otherwise provide protection to shareholders of other companies.</w:t>
      </w:r>
    </w:p>
    <w:p>
      <w:pPr>
        <w:pStyle w:val="TextBody"/>
        <w:spacing w:lineRule="auto" w:line="276" w:before="0" w:after="240"/>
        <w:ind w:left="0" w:right="0" w:hanging="360"/>
        <w:jc w:val="both"/>
        <w:rPr/>
      </w:pPr>
      <w:r>
        <w:rPr>
          <w:color w:val="000000"/>
        </w:rPr>
        <w:t>•</w:t>
      </w:r>
      <w:r>
        <w:rPr>
          <w:rFonts w:ascii="Times New Roman;sans-serif" w:hAnsi="Times New Roman;sans-serif"/>
          <w:b w:val="false"/>
          <w:color w:val="000000"/>
          <w:sz w:val="20"/>
        </w:rPr>
        <w:t>You may face difficulties in protecting your interests, and your ability to protect your rights through U.S. courts may be limited, because we are incorporated under Cayman Islands law and conduct a significant portion of our business operations in emerging markets.</w:t>
      </w:r>
    </w:p>
    <w:p>
      <w:pPr>
        <w:pStyle w:val="TextBody"/>
        <w:spacing w:lineRule="auto" w:line="288" w:before="0" w:after="240"/>
        <w:jc w:val="both"/>
        <w:rPr>
          <w:rFonts w:ascii="Times New Roman;sans-serif" w:hAnsi="Times New Roman;sans-serif"/>
          <w:b/>
          <w:color w:val="000000"/>
          <w:sz w:val="20"/>
        </w:rPr>
      </w:pPr>
      <w:r>
        <w:rPr>
          <w:rFonts w:ascii="Times New Roman;sans-serif" w:hAnsi="Times New Roman;sans-serif"/>
          <w:b/>
          <w:color w:val="000000"/>
          <w:sz w:val="20"/>
        </w:rPr>
        <w:t>Risks Related to Our Business and Industry</w:t>
      </w:r>
    </w:p>
    <w:p>
      <w:pPr>
        <w:pStyle w:val="TextBody"/>
        <w:spacing w:lineRule="auto" w:line="319" w:before="0" w:after="240"/>
        <w:jc w:val="both"/>
        <w:rPr>
          <w:rFonts w:ascii="Times New Roman;sans-serif" w:hAnsi="Times New Roman;sans-serif"/>
          <w:b/>
          <w:i/>
          <w:color w:val="000000"/>
          <w:sz w:val="20"/>
        </w:rPr>
      </w:pPr>
      <w:r>
        <w:rPr>
          <w:rFonts w:ascii="Times New Roman;sans-serif" w:hAnsi="Times New Roman;sans-serif"/>
          <w:b/>
          <w:i/>
          <w:color w:val="000000"/>
          <w:sz w:val="20"/>
        </w:rPr>
        <w:t>We operate in an emerging and evolving market, which may develop more slowly or differently than we expect. If our market does not grow as we expect, or if we cannot expand our services to meet the demands of this market, our revenue may decline, or fail to grow, and we may incur operating losses.</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RTE-PaaS market is in an early stage of development. There is considerable uncertainty over the size and rate at which this market will grow, as well as whether our platform will be widely adopted. Some organizations may be reluctant or unwilling to use our platform for a number of reasons, including concerns about costs, uncertainty regarding the reliability and security of cloud-based offerings or lack of awareness of the benefits of our platform. Moreover, some organizations have invested substantial personnel and financial resources to develop internal solutions, and therefore may be reluctant or unwilling to adopt our platform. Our ability to expand sales depends on several factors, including market awareness and acceptance, competition, end-user demand for the applications of our customers, technological challenges and developments, and other causes, many of which are outside of our control. If the RTE-PaaS market or demand for our products does not grow or decreases, then our business, operating results and financial condition would be adversely affected.</w:t>
      </w:r>
    </w:p>
    <w:p>
      <w:pPr>
        <w:pStyle w:val="TextBody"/>
        <w:spacing w:lineRule="auto" w:line="319" w:before="0" w:after="240"/>
        <w:jc w:val="both"/>
        <w:rPr>
          <w:rFonts w:ascii="Times New Roman;sans-serif" w:hAnsi="Times New Roman;sans-serif"/>
          <w:b/>
          <w:i/>
          <w:color w:val="000000"/>
          <w:sz w:val="20"/>
        </w:rPr>
      </w:pPr>
      <w:r>
        <w:rPr>
          <w:rFonts w:ascii="Times New Roman;sans-serif" w:hAnsi="Times New Roman;sans-serif"/>
          <w:b/>
          <w:i/>
          <w:color w:val="000000"/>
          <w:sz w:val="20"/>
        </w:rPr>
        <w:t>Our operating results and growth prospects depend on acquiring and retaining customers and increasing usage of customers’ applications that integrate our products.</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To successfully grow our business, we must continue to attract new customers in a cost-effective manner. We use a variety of marketing channels to promote our products and platform, such as developer conferences and events and public relations initiatives. If the costs of the marketing channels we use increase dramatically, then we may choose to use alternative and less expensive channels, which may not be as effective as current channels. Alternatively, we may adopt or expand usage of more expensive channels, which could adversely affect margins, profitability and our financial condition. We invest in marketing before being able to assess whether they improve brand awareness, customer acquisition or increase revenue in a cost-effective manner or at all. If our marketing programs are ineffective or inefficient, then our business, operating results and growth prospects would be adversely affected.</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success also depends on retaining customers and increasing their usage of our products and platform over time. We generate revenue from customers’ usage of our products integrated into their applications. Increasing usage of our products and platform over time will require customers to develop new use cases and those use cases to mature. The majority of our customers do not have long-term contractual commitments to us and may terminate or reduce their use of our products at any time without penalty or termination charges. End users’ demand for our customers’ applications that integrate our products are driven by many factors outside our or our customers’ control, making customers’ usage of our products and platform difficult to predict. Furthermore, if a significant number of customers cease using, or reduce their usage of our products, then we may incur greater than expected sales and marketing expenses to maintain or increase revenue from other customers, which may impact our margins. If usage levels fail to meet expectations, our business, operating results, including Constant Currency Dollar-Based Net Expansion Rate, and growth prospects would be adversely affected.</w:t>
      </w:r>
    </w:p>
    <w:p>
      <w:pPr>
        <w:pStyle w:val="HorizontalLine"/>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385445"/>
                <wp:effectExtent l="0" t="0" r="0" b="0"/>
                <wp:wrapNone/>
                <wp:docPr id="13" name="Frame13"/>
                <a:graphic xmlns:a="http://schemas.openxmlformats.org/drawingml/2006/main">
                  <a:graphicData uri="http://schemas.microsoft.com/office/word/2010/wordprocessingShape">
                    <wps:wsp>
                      <wps:cNvSpPr txBox="1"/>
                      <wps:spPr>
                        <a:xfrm>
                          <a:off x="0" y="0"/>
                          <a:ext cx="6480175" cy="385445"/>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w:t>
                      </w:r>
                    </w:p>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lineRule="auto" w:line="319" w:before="0" w:after="240"/>
        <w:jc w:val="both"/>
        <w:rPr>
          <w:rFonts w:ascii="Times New Roman;sans-serif" w:hAnsi="Times New Roman;sans-serif"/>
          <w:b/>
          <w:i/>
          <w:color w:val="000000"/>
          <w:sz w:val="20"/>
        </w:rPr>
      </w:pPr>
      <w:r>
        <w:rPr>
          <w:rFonts w:ascii="Times New Roman;sans-serif" w:hAnsi="Times New Roman;sans-serif"/>
          <w:b/>
          <w:i/>
          <w:color w:val="000000"/>
          <w:sz w:val="20"/>
        </w:rPr>
        <w:t xml:space="preserve">The COVID-19 pandemic severely disrupted our business and operations and it, or any future health epidemic or other adverse public health developments, may continue to do so. </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January 30, 2020, the International Health Regulations Emergency Committee of the World Health Organization declared the novel coronavirus disease 2019, or COVID-19 pandemic, a public health emergency of international concern, and on March 11, 2020 the World Health Organization declared the global COVID-19 outbreak a pandemic. The COVID-19 virus continues to spread rapidly worldwide, including where our customers are located and where we have business operations. During the COVID-19 pandemic, government authorities around the world have ordered businesses to close and people to remain at home while imposing significant restrictions on traveling and social gatherings. There continues to be significant uncertainties associated with the COVID-19 pandemic, including with respect to the ultimate spread of the virus, the severity of the disease, the duration of the pandemic, the possibility of successive waves of outbreaks, further actions that may be taken by governmental authorities around the world to contain the virus or to treat its impact, and the scope and length of the resulting economic downturn. </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COVID-19 pandemic has made it more challenging for us to purchase bandwidth, co-location space, servers and equipment on equally cost-efficient terms due to various government-imposed restrictions and other logistical hurdles. In addition, our business operations could be disrupted if any of our employees or contracted workers became infected or suspected to be infected with the virus that causes COVID-19 or another contagious disease or condition, as exposure to the virus could require that our employees and contracted workers be quarantined or require that our offices be disinfected. The economic downturn due to COVID-19 may adversely affect our customers’ ability to pay and customer demand and end-user usage, which would adversely affect our operating results and financial condition. We have experienced delayed services delivery, extended payment cycles and delayed collection of accounts receivables due to the pandemic. Failure to contain the further spread of COVID-19 will prolong and exacerbate the general economic downturn. In addition, the continuing pandemic may further impact our ability to maintain and expand our network infrastructure, which could severely disrupt our and our customers’ business and operations and adversely affect our operating results and financial condition. Any future health epidemic or other adverse public health developments may have similar negative effects. To the extent the COVID-19 pandemic adversely affects our business and financial results, it may also heighten other risks described in this section, such as our ability to raise additional capital as needed on acceptable terms. In addition, people in impacted regions, including in our largest markets, have generally spent more time online compared to before the COVID-19 pandemic began, and various offline activities such as education and social interactions have moved online, resulting in an increase in revenue-generating usage of our products. China and other countries have begun to lift stay-at-home and other similar restrictions. As such restrictions are lifted, such increased usage may decline, which would adversely affect our operating results.</w:t>
      </w:r>
    </w:p>
    <w:p>
      <w:pPr>
        <w:pStyle w:val="TextBody"/>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The market in which we participate is competitive, and if we do not compete effectively, our business, operating results and financial condition could be harmed.</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global market for RTE-PaaS is relatively new and rapidly evolving. Currently, our competitors mainly include:</w:t>
      </w:r>
    </w:p>
    <w:p>
      <w:pPr>
        <w:pStyle w:val="TextBody"/>
        <w:spacing w:lineRule="auto" w:line="319" w:before="0" w:after="240"/>
        <w:ind w:left="0" w:right="0" w:hanging="360"/>
        <w:jc w:val="both"/>
        <w:rPr/>
      </w:pPr>
      <w:r>
        <w:rPr>
          <w:color w:val="000000"/>
        </w:rPr>
        <w:t>•</w:t>
      </w:r>
      <w:r>
        <w:rPr>
          <w:rFonts w:ascii="Times New Roman;sans-serif" w:hAnsi="Times New Roman;sans-serif"/>
          <w:b w:val="false"/>
          <w:color w:val="000000"/>
          <w:sz w:val="20"/>
        </w:rPr>
        <w:t>PaaS providers in China and the United States, as well as various smaller software companies, which compete with all or portions of our platform and products;</w:t>
      </w:r>
    </w:p>
    <w:p>
      <w:pPr>
        <w:pStyle w:val="TextBody"/>
        <w:spacing w:lineRule="auto" w:line="319" w:before="0" w:after="240"/>
        <w:ind w:left="0" w:right="0" w:hanging="360"/>
        <w:jc w:val="both"/>
        <w:rPr/>
      </w:pPr>
      <w:r>
        <w:rPr>
          <w:color w:val="000000"/>
        </w:rPr>
        <w:t>•</w:t>
      </w:r>
      <w:r>
        <w:rPr>
          <w:rFonts w:ascii="Times New Roman;sans-serif" w:hAnsi="Times New Roman;sans-serif"/>
          <w:b w:val="false"/>
          <w:color w:val="000000"/>
          <w:sz w:val="20"/>
        </w:rPr>
        <w:t>open-source projects, such as WebRTC, which offer capabilities that compete with some of the functionalities in our SDK; and</w:t>
      </w:r>
    </w:p>
    <w:p>
      <w:pPr>
        <w:pStyle w:val="HorizontalLine"/>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385445"/>
                <wp:effectExtent l="0" t="0" r="0" b="0"/>
                <wp:wrapNone/>
                <wp:docPr id="14" name="Frame14"/>
                <a:graphic xmlns:a="http://schemas.openxmlformats.org/drawingml/2006/main">
                  <a:graphicData uri="http://schemas.microsoft.com/office/word/2010/wordprocessingShape">
                    <wps:wsp>
                      <wps:cNvSpPr txBox="1"/>
                      <wps:spPr>
                        <a:xfrm>
                          <a:off x="0" y="0"/>
                          <a:ext cx="6480175" cy="385445"/>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w:t>
                      </w:r>
                    </w:p>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lineRule="auto" w:line="319" w:before="0" w:after="240"/>
        <w:ind w:left="0" w:right="0" w:hanging="360"/>
        <w:jc w:val="both"/>
        <w:rPr/>
      </w:pPr>
      <w:r>
        <w:rPr>
          <w:color w:val="000000"/>
        </w:rPr>
        <w:t>•</w:t>
      </w:r>
      <w:r>
        <w:rPr>
          <w:rFonts w:ascii="Times New Roman;sans-serif" w:hAnsi="Times New Roman;sans-serif"/>
          <w:b w:val="false"/>
          <w:color w:val="000000"/>
          <w:sz w:val="20"/>
        </w:rPr>
        <w:t>network operators or cloud providers that offer private lines on which similar functionalities to ours can be built.</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many cases, we encounter either custom software developed in-house or by consultants, or legacy solutions repurposed by in-house developers of our potential customers to meet specific use cases. As we look to sell our products to potential customers with existing internal solutions, we must convince internal stakeholders that our real-time engagement products are superior to the legacy solutions that the organization has previously adopted. If we are unable to effectively convince internal stakeholders at our prospective customers to abandon their legacy solutions, our business, results of operations and financial condition could be adversely affected.</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expect competition to intensify in the future. It is possible that the large software vendors or cloud providers who currently do not have an offering in the RTE-PaaS category, some of which operate in adjacent product categories today, may in the future bring such a solution to market through product development, acquisitions or other means. In addition, several of our competitors have greater name recognition, longer operating histories, more and better-established customer relationships, larger sales forces, larger marketing and software development budgets and significantly greater resources than we do. As a result, certain of our competitors may be able to respond more quickly and effectively than we can to new or changing opportunities, technologies, standards or customer requirements. In extreme cases, these large vendors may be willing to provide competing software for free as part of enterprise-wide agreements that include other products or services. These combinations may make it more difficult for us to compete effectively. We expect these trends to continue as competitors attempt to strengthen or maintain their market positions.</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Some competitors may offer products or services that address one or a limited number of functions at lower prices, with greater depth than our products or geographies where we do not operate or are less established. Furthermore, some of our customers may choose to use our products and our competitors’ products at the same time. Pricing pressures and increased competition generally could result in reduced revenue, reduced margins, increased losses or the failure of our products to achieve or maintain widespread market acceptance, any of which could harm our business, operating results and financial condition.</w:t>
      </w:r>
    </w:p>
    <w:p>
      <w:pPr>
        <w:pStyle w:val="TextBody"/>
        <w:spacing w:lineRule="auto" w:line="319" w:before="0" w:after="240"/>
        <w:jc w:val="both"/>
        <w:rPr>
          <w:rFonts w:ascii="Times New Roman;sans-serif" w:hAnsi="Times New Roman;sans-serif"/>
          <w:b/>
          <w:i/>
          <w:color w:val="000000"/>
          <w:sz w:val="20"/>
        </w:rPr>
      </w:pPr>
      <w:r>
        <w:rPr>
          <w:rFonts w:ascii="Times New Roman;sans-serif" w:hAnsi="Times New Roman;sans-serif"/>
          <w:b/>
          <w:i/>
          <w:color w:val="000000"/>
          <w:sz w:val="20"/>
        </w:rPr>
        <w:t>If our platform does not achieve sufficient market acceptance, our financial results and competitive position will suffer.</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To meet our customers’ rapidly evolving demands, we invest substantial resources in research and development of enhanced products to incorporate additional functionality, improve our SD-RTN or expand the use cases that our platform enables. Maintaining adequate research and development resources, such as the appropriate personnel and development technology to meet the demands of the market is essential. If we are unable to develop products internally due to inadequate research and development resources, we may not be able to address our customers’ needs on a timely basis or at all. In addition, if we seek to supplement our research and development capabilities or the breadth of our products through acquisitions, such acquisitions could be expensive and we may not successfully integrate acquired technologies or businesses into our business. When we develop or acquire new or enhanced products, we typically incur expenses and expend resources upfront to develop, market, promote and sell the new offering. Therefore, when we develop or acquire and introduce new or enhanced products, they must achieve high levels of market acceptance in order to justify the amount of our investment in developing or acquiring and bringing them to market. Our new products or enhancements and changes to our existing products could fail to attain sufficient market acceptance for many reasons, including:</w:t>
      </w:r>
    </w:p>
    <w:p>
      <w:pPr>
        <w:pStyle w:val="TextBody"/>
        <w:spacing w:lineRule="auto" w:line="319" w:before="0" w:after="240"/>
        <w:ind w:left="0" w:right="0" w:hanging="360"/>
        <w:jc w:val="both"/>
        <w:rPr/>
      </w:pPr>
      <w:r>
        <w:rPr>
          <w:color w:val="000000"/>
        </w:rPr>
        <w:t>•</w:t>
      </w:r>
      <w:r>
        <w:rPr>
          <w:rFonts w:ascii="Times New Roman;sans-serif" w:hAnsi="Times New Roman;sans-serif"/>
          <w:b w:val="false"/>
          <w:color w:val="000000"/>
          <w:sz w:val="20"/>
        </w:rPr>
        <w:t>failure to predict market demand accurately in terms of functionality and a failure to supply products that meet this demand in a timely fashion;</w:t>
      </w:r>
    </w:p>
    <w:p>
      <w:pPr>
        <w:pStyle w:val="HorizontalLine"/>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385445"/>
                <wp:effectExtent l="0" t="0" r="0" b="0"/>
                <wp:wrapNone/>
                <wp:docPr id="15" name="Frame15"/>
                <a:graphic xmlns:a="http://schemas.openxmlformats.org/drawingml/2006/main">
                  <a:graphicData uri="http://schemas.microsoft.com/office/word/2010/wordprocessingShape">
                    <wps:wsp>
                      <wps:cNvSpPr txBox="1"/>
                      <wps:spPr>
                        <a:xfrm>
                          <a:off x="0" y="0"/>
                          <a:ext cx="6480175" cy="385445"/>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w:t>
                      </w:r>
                    </w:p>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lineRule="auto" w:line="319" w:before="0" w:after="240"/>
        <w:ind w:left="0" w:right="0" w:hanging="360"/>
        <w:jc w:val="both"/>
        <w:rPr/>
      </w:pPr>
      <w:r>
        <w:rPr>
          <w:color w:val="000000"/>
        </w:rPr>
        <w:t>•</w:t>
      </w:r>
      <w:r>
        <w:rPr>
          <w:rFonts w:ascii="Times New Roman;sans-serif" w:hAnsi="Times New Roman;sans-serif"/>
          <w:b w:val="false"/>
          <w:color w:val="000000"/>
          <w:sz w:val="20"/>
        </w:rPr>
        <w:t>defects, errors, or failures;</w:t>
      </w:r>
    </w:p>
    <w:p>
      <w:pPr>
        <w:pStyle w:val="TextBody"/>
        <w:spacing w:lineRule="auto" w:line="319" w:before="0" w:after="240"/>
        <w:ind w:left="0" w:right="0" w:hanging="360"/>
        <w:jc w:val="both"/>
        <w:rPr/>
      </w:pPr>
      <w:r>
        <w:rPr>
          <w:color w:val="000000"/>
        </w:rPr>
        <w:t>•</w:t>
      </w:r>
      <w:r>
        <w:rPr>
          <w:rFonts w:ascii="Times New Roman;sans-serif" w:hAnsi="Times New Roman;sans-serif"/>
          <w:b w:val="false"/>
          <w:color w:val="000000"/>
          <w:sz w:val="20"/>
        </w:rPr>
        <w:t>negative publicity about our platform’s performance or effectiveness;</w:t>
      </w:r>
    </w:p>
    <w:p>
      <w:pPr>
        <w:pStyle w:val="TextBody"/>
        <w:spacing w:lineRule="auto" w:line="319" w:before="0" w:after="240"/>
        <w:ind w:left="0" w:right="0" w:hanging="360"/>
        <w:jc w:val="both"/>
        <w:rPr/>
      </w:pPr>
      <w:r>
        <w:rPr>
          <w:color w:val="000000"/>
        </w:rPr>
        <w:t>•</w:t>
      </w:r>
      <w:r>
        <w:rPr>
          <w:rFonts w:ascii="Times New Roman;sans-serif" w:hAnsi="Times New Roman;sans-serif"/>
          <w:b w:val="false"/>
          <w:color w:val="000000"/>
          <w:sz w:val="20"/>
        </w:rPr>
        <w:t>changes in the legal or regulatory requirements, or increased legal or regulatory scrutiny, adversely affecting our platform;</w:t>
      </w:r>
    </w:p>
    <w:p>
      <w:pPr>
        <w:pStyle w:val="TextBody"/>
        <w:spacing w:lineRule="auto" w:line="319" w:before="0" w:after="240"/>
        <w:ind w:left="0" w:right="0" w:hanging="360"/>
        <w:jc w:val="both"/>
        <w:rPr/>
      </w:pPr>
      <w:r>
        <w:rPr>
          <w:color w:val="000000"/>
        </w:rPr>
        <w:t>•</w:t>
      </w:r>
      <w:r>
        <w:rPr>
          <w:rFonts w:ascii="Times New Roman;sans-serif" w:hAnsi="Times New Roman;sans-serif"/>
          <w:b w:val="false"/>
          <w:color w:val="000000"/>
          <w:sz w:val="20"/>
        </w:rPr>
        <w:t>emergence of a competitor that achieves market acceptance before we do;</w:t>
      </w:r>
    </w:p>
    <w:p>
      <w:pPr>
        <w:pStyle w:val="TextBody"/>
        <w:spacing w:lineRule="auto" w:line="319" w:before="0" w:after="240"/>
        <w:ind w:left="0" w:right="0" w:hanging="360"/>
        <w:jc w:val="both"/>
        <w:rPr/>
      </w:pPr>
      <w:r>
        <w:rPr>
          <w:color w:val="000000"/>
        </w:rPr>
        <w:t>•</w:t>
      </w:r>
      <w:r>
        <w:rPr>
          <w:rFonts w:ascii="Times New Roman;sans-serif" w:hAnsi="Times New Roman;sans-serif"/>
          <w:b w:val="false"/>
          <w:color w:val="000000"/>
          <w:sz w:val="20"/>
        </w:rPr>
        <w:t>delays in releasing enhancements to our platform to the market; and</w:t>
      </w:r>
    </w:p>
    <w:p>
      <w:pPr>
        <w:pStyle w:val="TextBody"/>
        <w:spacing w:lineRule="auto" w:line="319" w:before="0" w:after="240"/>
        <w:ind w:left="0" w:right="0" w:hanging="360"/>
        <w:jc w:val="both"/>
        <w:rPr/>
      </w:pPr>
      <w:r>
        <w:rPr>
          <w:color w:val="000000"/>
        </w:rPr>
        <w:t>•</w:t>
      </w:r>
      <w:r>
        <w:rPr>
          <w:rFonts w:ascii="Times New Roman;sans-serif" w:hAnsi="Times New Roman;sans-serif"/>
          <w:b w:val="false"/>
          <w:color w:val="000000"/>
          <w:sz w:val="20"/>
        </w:rPr>
        <w:t>introduction or anticipated introduction of competing products by our competitors.</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If our platform and any future enhancements do not achieve adequate acceptance in the market, or if products and technologies developed by others achieve greater acceptance in the market, our business could be harmed.</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Beyond overall acceptance of our platform by our customers, it is important that we maintain and grow acceptance of our platform among the developers that work for our customers. We rely on developers to choose our platform over other options they may have, and to continue to use and promote our platform as they move between companies. These developers often make design decisions and influence the product and vendor processes within our customers. If we fail to gain or maintain their acceptance of our platform, our business would be harmed.</w:t>
      </w:r>
    </w:p>
    <w:p>
      <w:pPr>
        <w:pStyle w:val="TextBody"/>
        <w:spacing w:lineRule="auto" w:line="319" w:before="0" w:after="240"/>
        <w:jc w:val="both"/>
        <w:rPr>
          <w:rFonts w:ascii="Times New Roman;sans-serif" w:hAnsi="Times New Roman;sans-serif"/>
          <w:b/>
          <w:i/>
          <w:color w:val="000000"/>
          <w:sz w:val="20"/>
        </w:rPr>
      </w:pPr>
      <w:r>
        <w:rPr>
          <w:rFonts w:ascii="Times New Roman;sans-serif" w:hAnsi="Times New Roman;sans-serif"/>
          <w:b/>
          <w:i/>
          <w:color w:val="000000"/>
          <w:sz w:val="20"/>
        </w:rPr>
        <w:t>We may not successfully manage growth.</w:t>
      </w:r>
    </w:p>
    <w:p>
      <w:pPr>
        <w:pStyle w:val="TextBody"/>
        <w:spacing w:lineRule="auto" w:line="319" w:before="0" w:after="240"/>
        <w:ind w:left="0" w:right="0" w:firstLine="720"/>
        <w:jc w:val="both"/>
        <w:rPr/>
      </w:pPr>
      <w:r>
        <w:rPr>
          <w:rFonts w:ascii="Times New Roman;sans-serif" w:hAnsi="Times New Roman;sans-serif"/>
          <w:b w:val="false"/>
          <w:color w:val="000000"/>
          <w:sz w:val="20"/>
        </w:rPr>
        <w:t>We have experienced rapid growth. Our headcount has grown from 167 full-time employees as of December 31, 2017 to 842</w:t>
      </w:r>
      <w:r>
        <w:rPr>
          <w:color w:val="000000"/>
        </w:rPr>
        <w:t xml:space="preserve"> </w:t>
      </w:r>
      <w:r>
        <w:rPr>
          <w:rFonts w:ascii="Times New Roman;sans-serif" w:hAnsi="Times New Roman;sans-serif"/>
          <w:b w:val="false"/>
          <w:color w:val="000000"/>
          <w:sz w:val="20"/>
        </w:rPr>
        <w:t>as of December 31, 2020. We intend to continue to grow our business and make investments to support operational scale, including increasing numbers of customers and third-party relationships, and to refine information technology systems and internal controls and procedures. Although our business has experienced significant growth in the past, we cannot provide any assurance that our business will continue to grow at any particular rate, or at all. For example, while we may continue to observe increases in usage and developer adoption of our products to meet end user demand for real-time engagement spurred by COVID-19, we do not anticipate that we will continue to experience the same revenue growth we did in the first half of 2020. As a result of our limited operating history, our ability to forecast our future operating results is limited and subject to a number of uncertainties, including our ability to plan for future growth. In particular, we cannot accurately predict customers’ usage of our products given the diversity of our customer base and our customers’ end users across industries, geographies, use cases and other factors. In future periods, our profitability may be lower than it would be if our strategy were to maximize short-term profitability and we may operate at a loss. Significant expenditures on sales and marketing efforts, and expenditures on growing our platform and expanding our research and development and portfolio of products, each of which we intend to continue to invest in, may not ultimately grow our business or cause long-term profitability. If we are unable to maintain or improve profitability at a level or during a time frame anticipated by industry or securities analysts and holders of our ADSs, the trading price of our ADSs may decline.</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we will increasingly face challenges in integrating, developing and motivating a rapidly growing employee base in various countries around the world. This challenge has been, and likely will continue to be, heightened due to the COVID-19 pandemic and the related stay-at-home, travel and other restrictions. Certain members of our management have not previously worked together for an extended period of time, and some do not have experience managing a public company, which may affect how they manage our growth. This growth will make it difficult to evaluate our prospects and place a continuous, significant strain on our management, operational and financial resources.</w:t>
      </w:r>
    </w:p>
    <w:p>
      <w:pPr>
        <w:pStyle w:val="HorizontalLine"/>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385445"/>
                <wp:effectExtent l="0" t="0" r="0" b="0"/>
                <wp:wrapNone/>
                <wp:docPr id="16" name="Frame16"/>
                <a:graphic xmlns:a="http://schemas.openxmlformats.org/drawingml/2006/main">
                  <a:graphicData uri="http://schemas.microsoft.com/office/word/2010/wordprocessingShape">
                    <wps:wsp>
                      <wps:cNvSpPr txBox="1"/>
                      <wps:spPr>
                        <a:xfrm>
                          <a:off x="0" y="0"/>
                          <a:ext cx="6480175" cy="385445"/>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w:t>
                      </w:r>
                    </w:p>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lineRule="auto" w:line="319" w:before="0" w:after="240"/>
        <w:jc w:val="both"/>
        <w:rPr>
          <w:rFonts w:ascii="Times New Roman;sans-serif" w:hAnsi="Times New Roman;sans-serif"/>
          <w:b/>
          <w:i/>
          <w:color w:val="000000"/>
          <w:sz w:val="20"/>
        </w:rPr>
      </w:pPr>
      <w:r>
        <w:rPr>
          <w:rFonts w:ascii="Times New Roman;sans-serif" w:hAnsi="Times New Roman;sans-serif"/>
          <w:b/>
          <w:i/>
          <w:color w:val="000000"/>
          <w:sz w:val="20"/>
        </w:rPr>
        <w:t>Our limited operating history and our history of operating and net losses make it difficult to evaluate our current business and prospects and may increase the risks associated with your investment.</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were founded in 2013 and our limited operating history makes it difficult to evaluate our current business and our future prospects, including our ability to plan for and model future growth. We have encountered and will continue to encounter risks and difficulties frequently experienced by rapidly growing companies in constantly evolving industries, including the risks described in this annual report. If we do not address these risks successfully, our business may be harmed.</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generated an operating loss of US$5.2 million and a net loss of US$3.1 million in 2020. We will need to generate and sustain increased revenue levels and manage costs in future periods in order to be profitable. Even if we achieve profitability as we did in the first half of 2020, we may not be able to maintain or increase our level of profitability. We intend to continue to expend significant funds to support further growth and further develop our platform, including expanding the functionality of our platform, expanding our technology infrastructure and business systems to meet the needs of our customers, expanding our sales force and developer and partner ecosystems, increasing our marketing activities, and growing our international operations. We will also face increased compliance costs associated with growth, expansion of our customer base and the costs of being a public company. Our efforts to grow our business may be costlier than we expect, and we may not be able to increase our revenue enough to offset our increased operating expenses. We may incur significant losses in the future for a number of reasons, including the other risks described in this annual report, and unforeseen expenses, difficulties, complications and delays, and other unknown events. If we are unable to achieve and sustain profitability, our business may be harmed.</w:t>
      </w:r>
    </w:p>
    <w:p>
      <w:pPr>
        <w:pStyle w:val="TextBody"/>
        <w:spacing w:lineRule="auto" w:line="319" w:before="0" w:after="240"/>
        <w:jc w:val="both"/>
        <w:rPr>
          <w:rFonts w:ascii="Times New Roman;sans-serif" w:hAnsi="Times New Roman;sans-serif"/>
          <w:b/>
          <w:i/>
          <w:color w:val="000000"/>
          <w:sz w:val="20"/>
        </w:rPr>
      </w:pPr>
      <w:r>
        <w:rPr>
          <w:rFonts w:ascii="Times New Roman;sans-serif" w:hAnsi="Times New Roman;sans-serif"/>
          <w:b/>
          <w:i/>
          <w:color w:val="000000"/>
          <w:sz w:val="20"/>
        </w:rPr>
        <w:t>If we fail to adapt and respond effectively to rapidly changing technology, evolving industry standards, changing regulations, and changing customer needs, requirements or preferences, our products may become less competitive.</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market for RTE-PaaS is subject to rapid technological change, evolving industry standards, regulations and customer needs, requirements and preferences. For example, the rollout of 5G networks could significantly impact the RTE-PaaS market. Although 5G networks are designed to provide higher data transmission quality and user experience which may increase demand for real-time engagement, it may also reduce the technical challenge of delivering real-time engagement and the value proposition of RTE-PaaS. The success of our business will depend, in part, on our ability to adapt and respond to these changes on an effective and timely basis. If we fail to develop new products that satisfy customers and end users and provide enhancements and new features for existing products that keep pace with rapid technological and industry change, our business, operating results and financial condition could be adversely affected. If new technologies emerge that are able to deliver competitive products and services at lower prices, more efficiently, more conveniently or more securely, such technologies could adversely impact our ability to compete effectively.</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platform must integrate with a variety of network, hardware, mobile and software platforms and technologies, and we need to continuously modify and enhance our products and platform to adapt to changes and innovation in these technologies. If customers or their end users adopt new software platforms or infrastructure, we may be required to develop new versions of our products to work with those new platforms or infrastructure. This development effort may require significant resources, which would adversely affect our business, operating results and financial condition. Any failure of our products and platform to operate effectively with evolving or new platforms and technologies could reduce the demand for our products. If we are unable to respond to these changes in a cost-effective manner, our products may become less marketable and less competitive or obsolete, and our business, operating results and financial condition could be adversely affected.</w:t>
      </w:r>
    </w:p>
    <w:p>
      <w:pPr>
        <w:pStyle w:val="HorizontalLine"/>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385445"/>
                <wp:effectExtent l="0" t="0" r="0" b="0"/>
                <wp:wrapNone/>
                <wp:docPr id="17" name="Frame17"/>
                <a:graphic xmlns:a="http://schemas.openxmlformats.org/drawingml/2006/main">
                  <a:graphicData uri="http://schemas.microsoft.com/office/word/2010/wordprocessingShape">
                    <wps:wsp>
                      <wps:cNvSpPr txBox="1"/>
                      <wps:spPr>
                        <a:xfrm>
                          <a:off x="0" y="0"/>
                          <a:ext cx="6480175" cy="385445"/>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13</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13</w:t>
                      </w:r>
                    </w:p>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lineRule="auto" w:line="319" w:before="0" w:after="240"/>
        <w:jc w:val="both"/>
        <w:rPr>
          <w:rFonts w:ascii="Times New Roman;sans-serif" w:hAnsi="Times New Roman;sans-serif"/>
          <w:b/>
          <w:i/>
          <w:color w:val="000000"/>
          <w:sz w:val="20"/>
        </w:rPr>
      </w:pPr>
      <w:r>
        <w:rPr>
          <w:rFonts w:ascii="Times New Roman;sans-serif" w:hAnsi="Times New Roman;sans-serif"/>
          <w:b/>
          <w:i/>
          <w:color w:val="000000"/>
          <w:sz w:val="20"/>
        </w:rPr>
        <w:t>Our results will fluctuate from period to period, and if we fail to meet securities analysts’ and investors’ expectations, then the trading price of our ADSs and the value of your investment could decline substantially.</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operating results have fluctuated from period to period and will continue to vary in the future as a result of a variety of factors, many of which are outside of our control and are unpredictable. For example, our revenue model is based in large part on end user adoption and usage of our customers’ applications, which can constrain our ability to forecast revenue. If operating results for any particular period fall below securities analysts’ and investors’ expectations, then the trading price of our ADSs could decline substantially. Some factors that may cause our operating results to fluctuate from period to period include:</w:t>
      </w:r>
    </w:p>
    <w:p>
      <w:pPr>
        <w:pStyle w:val="TextBody"/>
        <w:spacing w:lineRule="auto" w:line="319" w:before="0" w:after="240"/>
        <w:ind w:left="0" w:right="0" w:hanging="360"/>
        <w:jc w:val="both"/>
        <w:rPr/>
      </w:pPr>
      <w:r>
        <w:rPr>
          <w:color w:val="000000"/>
        </w:rPr>
        <w:t>•</w:t>
      </w:r>
      <w:r>
        <w:rPr>
          <w:rFonts w:ascii="Times New Roman;sans-serif" w:hAnsi="Times New Roman;sans-serif"/>
          <w:b w:val="false"/>
          <w:color w:val="000000"/>
          <w:sz w:val="20"/>
        </w:rPr>
        <w:t>our ability to attract, retain and increase revenue from customers;</w:t>
      </w:r>
    </w:p>
    <w:p>
      <w:pPr>
        <w:pStyle w:val="TextBody"/>
        <w:spacing w:lineRule="auto" w:line="319" w:before="0" w:after="240"/>
        <w:ind w:left="0" w:right="0" w:hanging="360"/>
        <w:jc w:val="both"/>
        <w:rPr/>
      </w:pPr>
      <w:r>
        <w:rPr>
          <w:color w:val="000000"/>
        </w:rPr>
        <w:t>•</w:t>
      </w:r>
      <w:r>
        <w:rPr>
          <w:rFonts w:ascii="Times New Roman;sans-serif" w:hAnsi="Times New Roman;sans-serif"/>
          <w:b w:val="false"/>
          <w:color w:val="000000"/>
          <w:sz w:val="20"/>
        </w:rPr>
        <w:t>fluctuations in the amount of revenue from our customers;</w:t>
      </w:r>
    </w:p>
    <w:p>
      <w:pPr>
        <w:pStyle w:val="TextBody"/>
        <w:spacing w:lineRule="auto" w:line="319" w:before="0" w:after="240"/>
        <w:ind w:left="0" w:right="0" w:hanging="360"/>
        <w:jc w:val="both"/>
        <w:rPr/>
      </w:pPr>
      <w:r>
        <w:rPr>
          <w:color w:val="000000"/>
        </w:rPr>
        <w:t>•</w:t>
      </w:r>
      <w:r>
        <w:rPr>
          <w:rFonts w:ascii="Times New Roman;sans-serif" w:hAnsi="Times New Roman;sans-serif"/>
          <w:b w:val="false"/>
          <w:color w:val="000000"/>
          <w:sz w:val="20"/>
        </w:rPr>
        <w:t>market acceptance of our products and our ability to introduce new products and enhance existing products;</w:t>
      </w:r>
    </w:p>
    <w:p>
      <w:pPr>
        <w:pStyle w:val="TextBody"/>
        <w:spacing w:lineRule="auto" w:line="319" w:before="0" w:after="240"/>
        <w:ind w:left="0" w:right="0" w:hanging="360"/>
        <w:jc w:val="both"/>
        <w:rPr/>
      </w:pPr>
      <w:r>
        <w:rPr>
          <w:color w:val="000000"/>
        </w:rPr>
        <w:t>•</w:t>
      </w:r>
      <w:r>
        <w:rPr>
          <w:rFonts w:ascii="Times New Roman;sans-serif" w:hAnsi="Times New Roman;sans-serif"/>
          <w:b w:val="false"/>
          <w:color w:val="000000"/>
          <w:sz w:val="20"/>
        </w:rPr>
        <w:t>end-user demand for applications with real-time engagement features;</w:t>
      </w:r>
    </w:p>
    <w:p>
      <w:pPr>
        <w:pStyle w:val="TextBody"/>
        <w:spacing w:lineRule="auto" w:line="319" w:before="0" w:after="240"/>
        <w:ind w:left="0" w:right="0" w:hanging="360"/>
        <w:jc w:val="both"/>
        <w:rPr/>
      </w:pPr>
      <w:r>
        <w:rPr>
          <w:color w:val="000000"/>
        </w:rPr>
        <w:t>•</w:t>
      </w:r>
      <w:r>
        <w:rPr>
          <w:rFonts w:ascii="Times New Roman;sans-serif" w:hAnsi="Times New Roman;sans-serif"/>
          <w:b w:val="false"/>
          <w:color w:val="000000"/>
          <w:sz w:val="20"/>
        </w:rPr>
        <w:t>competition and the actions of our competitors, including pricing changes and the introduction of new products, services and geographies;</w:t>
      </w:r>
    </w:p>
    <w:p>
      <w:pPr>
        <w:pStyle w:val="TextBody"/>
        <w:spacing w:lineRule="auto" w:line="319" w:before="0" w:after="240"/>
        <w:ind w:left="0" w:right="0" w:hanging="360"/>
        <w:jc w:val="both"/>
        <w:rPr/>
      </w:pPr>
      <w:r>
        <w:rPr>
          <w:color w:val="000000"/>
        </w:rPr>
        <w:t>•</w:t>
      </w:r>
      <w:r>
        <w:rPr>
          <w:rFonts w:ascii="Times New Roman;sans-serif" w:hAnsi="Times New Roman;sans-serif"/>
          <w:b w:val="false"/>
          <w:color w:val="000000"/>
          <w:sz w:val="20"/>
        </w:rPr>
        <w:t>our ability to control costs and operating expenses, including the fees that we pay network- and cloud-service providers for data delivery;</w:t>
      </w:r>
    </w:p>
    <w:p>
      <w:pPr>
        <w:pStyle w:val="TextBody"/>
        <w:spacing w:lineRule="auto" w:line="319" w:before="0" w:after="240"/>
        <w:ind w:left="0" w:right="0" w:hanging="360"/>
        <w:jc w:val="both"/>
        <w:rPr/>
      </w:pPr>
      <w:r>
        <w:rPr>
          <w:color w:val="000000"/>
        </w:rPr>
        <w:t>•</w:t>
      </w:r>
      <w:r>
        <w:rPr>
          <w:rFonts w:ascii="Times New Roman;sans-serif" w:hAnsi="Times New Roman;sans-serif"/>
          <w:b w:val="false"/>
          <w:color w:val="000000"/>
          <w:sz w:val="20"/>
        </w:rPr>
        <w:t>changes in our pricing as a result of our optimization efforts or otherwise;</w:t>
      </w:r>
    </w:p>
    <w:p>
      <w:pPr>
        <w:pStyle w:val="TextBody"/>
        <w:spacing w:lineRule="auto" w:line="319" w:before="0" w:after="240"/>
        <w:ind w:left="0" w:right="0" w:hanging="360"/>
        <w:jc w:val="both"/>
        <w:rPr/>
      </w:pPr>
      <w:r>
        <w:rPr>
          <w:color w:val="000000"/>
        </w:rPr>
        <w:t>•</w:t>
      </w:r>
      <w:r>
        <w:rPr>
          <w:rFonts w:ascii="Times New Roman;sans-serif" w:hAnsi="Times New Roman;sans-serif"/>
          <w:b w:val="false"/>
          <w:color w:val="000000"/>
          <w:sz w:val="20"/>
        </w:rPr>
        <w:t>reductions in pricing as a result of negotiations with our larger customers;</w:t>
      </w:r>
    </w:p>
    <w:p>
      <w:pPr>
        <w:pStyle w:val="TextBody"/>
        <w:spacing w:lineRule="auto" w:line="319" w:before="0" w:after="240"/>
        <w:ind w:left="0" w:right="0" w:hanging="360"/>
        <w:jc w:val="both"/>
        <w:rPr/>
      </w:pPr>
      <w:r>
        <w:rPr>
          <w:color w:val="000000"/>
        </w:rPr>
        <w:t>•</w:t>
      </w:r>
      <w:r>
        <w:rPr>
          <w:rFonts w:ascii="Times New Roman;sans-serif" w:hAnsi="Times New Roman;sans-serif"/>
          <w:b w:val="false"/>
          <w:color w:val="000000"/>
          <w:sz w:val="20"/>
        </w:rPr>
        <w:t>the rate of expansion and productivity of our sales force;</w:t>
      </w:r>
    </w:p>
    <w:p>
      <w:pPr>
        <w:pStyle w:val="TextBody"/>
        <w:spacing w:lineRule="auto" w:line="319" w:before="0" w:after="240"/>
        <w:ind w:left="0" w:right="0" w:hanging="360"/>
        <w:jc w:val="both"/>
        <w:rPr/>
      </w:pPr>
      <w:r>
        <w:rPr>
          <w:color w:val="000000"/>
        </w:rPr>
        <w:t>•</w:t>
      </w:r>
      <w:r>
        <w:rPr>
          <w:rFonts w:ascii="Times New Roman;sans-serif" w:hAnsi="Times New Roman;sans-serif"/>
          <w:b w:val="false"/>
          <w:color w:val="000000"/>
          <w:sz w:val="20"/>
        </w:rPr>
        <w:t>change in the mix of products that our customers use;</w:t>
      </w:r>
    </w:p>
    <w:p>
      <w:pPr>
        <w:pStyle w:val="TextBody"/>
        <w:spacing w:lineRule="auto" w:line="319" w:before="0" w:after="240"/>
        <w:ind w:left="0" w:right="0" w:hanging="360"/>
        <w:jc w:val="both"/>
        <w:rPr/>
      </w:pPr>
      <w:r>
        <w:rPr>
          <w:color w:val="000000"/>
        </w:rPr>
        <w:t>•</w:t>
      </w:r>
      <w:r>
        <w:rPr>
          <w:rFonts w:ascii="Times New Roman;sans-serif" w:hAnsi="Times New Roman;sans-serif"/>
          <w:b w:val="false"/>
          <w:color w:val="000000"/>
          <w:sz w:val="20"/>
        </w:rPr>
        <w:t>changes in end-user and customer demand as end-users increase and decrease their time online due to the imposition or easing of stay-at-home, travel and other government mandates or changes in end-user or customer demand for our products in response to the COVID-19 pandemic;</w:t>
      </w:r>
    </w:p>
    <w:p>
      <w:pPr>
        <w:pStyle w:val="TextBody"/>
        <w:spacing w:lineRule="auto" w:line="319" w:before="0" w:after="240"/>
        <w:ind w:left="0" w:right="0" w:hanging="360"/>
        <w:jc w:val="both"/>
        <w:rPr/>
      </w:pPr>
      <w:r>
        <w:rPr>
          <w:color w:val="000000"/>
        </w:rPr>
        <w:t>•</w:t>
      </w:r>
      <w:r>
        <w:rPr>
          <w:rFonts w:ascii="Times New Roman;sans-serif" w:hAnsi="Times New Roman;sans-serif"/>
          <w:b w:val="false"/>
          <w:color w:val="000000"/>
          <w:sz w:val="20"/>
        </w:rPr>
        <w:t>the expansion of our business, particularly in international markets;</w:t>
      </w:r>
    </w:p>
    <w:p>
      <w:pPr>
        <w:pStyle w:val="TextBody"/>
        <w:spacing w:lineRule="auto" w:line="319" w:before="0" w:after="240"/>
        <w:ind w:left="0" w:right="0" w:hanging="360"/>
        <w:jc w:val="both"/>
        <w:rPr/>
      </w:pPr>
      <w:r>
        <w:rPr>
          <w:color w:val="000000"/>
        </w:rPr>
        <w:t>•</w:t>
      </w:r>
      <w:r>
        <w:rPr>
          <w:rFonts w:ascii="Times New Roman;sans-serif" w:hAnsi="Times New Roman;sans-serif"/>
          <w:b w:val="false"/>
          <w:color w:val="000000"/>
          <w:sz w:val="20"/>
        </w:rPr>
        <w:t>changes in foreign currency exchange rates;</w:t>
      </w:r>
    </w:p>
    <w:p>
      <w:pPr>
        <w:pStyle w:val="TextBody"/>
        <w:spacing w:lineRule="auto" w:line="319" w:before="0" w:after="240"/>
        <w:ind w:left="0" w:right="0" w:hanging="360"/>
        <w:jc w:val="both"/>
        <w:rPr/>
      </w:pPr>
      <w:r>
        <w:rPr>
          <w:color w:val="000000"/>
        </w:rPr>
        <w:t>•</w:t>
      </w:r>
      <w:r>
        <w:rPr>
          <w:rFonts w:ascii="Times New Roman;sans-serif" w:hAnsi="Times New Roman;sans-serif"/>
          <w:b w:val="false"/>
          <w:color w:val="000000"/>
          <w:sz w:val="20"/>
        </w:rPr>
        <w:t>changes in laws, regulations or regulatory enforcement, in China, the United States or other countries, that impact our ability to market, sell or deliver our products;</w:t>
      </w:r>
    </w:p>
    <w:p>
      <w:pPr>
        <w:pStyle w:val="TextBody"/>
        <w:spacing w:lineRule="auto" w:line="319" w:before="0" w:after="240"/>
        <w:ind w:left="0" w:right="0" w:hanging="360"/>
        <w:jc w:val="both"/>
        <w:rPr/>
      </w:pPr>
      <w:r>
        <w:rPr>
          <w:color w:val="000000"/>
        </w:rPr>
        <w:t>•</w:t>
      </w:r>
      <w:r>
        <w:rPr>
          <w:rFonts w:ascii="Times New Roman;sans-serif" w:hAnsi="Times New Roman;sans-serif"/>
          <w:b w:val="false"/>
          <w:color w:val="000000"/>
          <w:sz w:val="20"/>
        </w:rPr>
        <w:t>the amount and timing of operating costs and capital expenditures related to the operations and expansion of our business, including investments in international expansion;</w:t>
      </w:r>
    </w:p>
    <w:p>
      <w:pPr>
        <w:pStyle w:val="TextBody"/>
        <w:spacing w:lineRule="auto" w:line="319" w:before="0" w:after="240"/>
        <w:ind w:left="0" w:right="0" w:hanging="360"/>
        <w:jc w:val="both"/>
        <w:rPr/>
      </w:pPr>
      <w:r>
        <w:rPr>
          <w:color w:val="000000"/>
        </w:rPr>
        <w:t>•</w:t>
      </w:r>
      <w:r>
        <w:rPr>
          <w:rFonts w:ascii="Times New Roman;sans-serif" w:hAnsi="Times New Roman;sans-serif"/>
          <w:b w:val="false"/>
          <w:color w:val="000000"/>
          <w:sz w:val="20"/>
        </w:rPr>
        <w:t>significant security breaches of, technical difficulties with, or interruptions to, the delivery and use of our products on our platform;</w:t>
      </w:r>
    </w:p>
    <w:p>
      <w:pPr>
        <w:pStyle w:val="HorizontalLine"/>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385445"/>
                <wp:effectExtent l="0" t="0" r="0" b="0"/>
                <wp:wrapNone/>
                <wp:docPr id="18" name="Frame18"/>
                <a:graphic xmlns:a="http://schemas.openxmlformats.org/drawingml/2006/main">
                  <a:graphicData uri="http://schemas.microsoft.com/office/word/2010/wordprocessingShape">
                    <wps:wsp>
                      <wps:cNvSpPr txBox="1"/>
                      <wps:spPr>
                        <a:xfrm>
                          <a:off x="0" y="0"/>
                          <a:ext cx="6480175" cy="385445"/>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14</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14</w:t>
                      </w:r>
                    </w:p>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lineRule="auto" w:line="319" w:before="0" w:after="240"/>
        <w:ind w:left="0" w:right="0" w:hanging="360"/>
        <w:jc w:val="both"/>
        <w:rPr/>
      </w:pPr>
      <w:r>
        <w:rPr>
          <w:color w:val="000000"/>
        </w:rPr>
        <w:t>•</w:t>
      </w:r>
      <w:r>
        <w:rPr>
          <w:rFonts w:ascii="Times New Roman;sans-serif" w:hAnsi="Times New Roman;sans-serif"/>
          <w:b w:val="false"/>
          <w:color w:val="000000"/>
          <w:sz w:val="20"/>
        </w:rPr>
        <w:t>general economic and political conditions that may adversely affect a prospective customer’s ability or willingness to adopt our products, delay a prospective customer’s adoption decision, reduce the revenue that we generate from the use of our products or impact customer retention;</w:t>
      </w:r>
    </w:p>
    <w:p>
      <w:pPr>
        <w:pStyle w:val="TextBody"/>
        <w:spacing w:lineRule="auto" w:line="319" w:before="0" w:after="240"/>
        <w:ind w:left="0" w:right="0" w:hanging="360"/>
        <w:jc w:val="both"/>
        <w:rPr/>
      </w:pPr>
      <w:r>
        <w:rPr>
          <w:color w:val="000000"/>
        </w:rPr>
        <w:t>•</w:t>
      </w:r>
      <w:r>
        <w:rPr>
          <w:rFonts w:ascii="Times New Roman;sans-serif" w:hAnsi="Times New Roman;sans-serif"/>
          <w:b w:val="false"/>
          <w:color w:val="000000"/>
          <w:sz w:val="20"/>
        </w:rPr>
        <w:t>extraordinary expenses such as litigation or other dispute-related settlement payments;</w:t>
      </w:r>
    </w:p>
    <w:p>
      <w:pPr>
        <w:pStyle w:val="TextBody"/>
        <w:spacing w:lineRule="auto" w:line="319" w:before="0" w:after="240"/>
        <w:ind w:left="0" w:right="0" w:hanging="360"/>
        <w:jc w:val="both"/>
        <w:rPr/>
      </w:pPr>
      <w:r>
        <w:rPr>
          <w:color w:val="000000"/>
        </w:rPr>
        <w:t>•</w:t>
      </w:r>
      <w:r>
        <w:rPr>
          <w:rFonts w:ascii="Times New Roman;sans-serif" w:hAnsi="Times New Roman;sans-serif"/>
          <w:b w:val="false"/>
          <w:color w:val="000000"/>
          <w:sz w:val="20"/>
        </w:rPr>
        <w:t>sales tax and other tax determinations by authorities in the jurisdictions in which we conduct business;</w:t>
      </w:r>
    </w:p>
    <w:p>
      <w:pPr>
        <w:pStyle w:val="TextBody"/>
        <w:spacing w:lineRule="auto" w:line="319" w:before="0" w:after="240"/>
        <w:ind w:left="0" w:right="0" w:hanging="360"/>
        <w:jc w:val="both"/>
        <w:rPr/>
      </w:pPr>
      <w:r>
        <w:rPr>
          <w:color w:val="000000"/>
        </w:rPr>
        <w:t>•</w:t>
      </w:r>
      <w:r>
        <w:rPr>
          <w:rFonts w:ascii="Times New Roman;sans-serif" w:hAnsi="Times New Roman;sans-serif"/>
          <w:b w:val="false"/>
          <w:color w:val="000000"/>
          <w:sz w:val="20"/>
        </w:rPr>
        <w:t>the impact of new accounting pronouncements;</w:t>
      </w:r>
    </w:p>
    <w:p>
      <w:pPr>
        <w:pStyle w:val="TextBody"/>
        <w:spacing w:lineRule="auto" w:line="319" w:before="0" w:after="240"/>
        <w:ind w:left="0" w:right="0" w:hanging="360"/>
        <w:jc w:val="both"/>
        <w:rPr/>
      </w:pPr>
      <w:r>
        <w:rPr>
          <w:color w:val="000000"/>
        </w:rPr>
        <w:t>•</w:t>
      </w:r>
      <w:r>
        <w:rPr>
          <w:rFonts w:ascii="Times New Roman;sans-serif" w:hAnsi="Times New Roman;sans-serif"/>
          <w:b w:val="false"/>
          <w:color w:val="000000"/>
          <w:sz w:val="20"/>
        </w:rPr>
        <w:t>expenses incurred in connection with mergers, acquisitions or other strategic transactions and integrating acquired business, technologies, services, products and other assets; and</w:t>
      </w:r>
    </w:p>
    <w:p>
      <w:pPr>
        <w:pStyle w:val="TextBody"/>
        <w:spacing w:lineRule="auto" w:line="319" w:before="0" w:after="240"/>
        <w:ind w:left="0" w:right="0" w:hanging="360"/>
        <w:jc w:val="both"/>
        <w:rPr/>
      </w:pPr>
      <w:r>
        <w:rPr>
          <w:color w:val="000000"/>
        </w:rPr>
        <w:t>•</w:t>
      </w:r>
      <w:r>
        <w:rPr>
          <w:rFonts w:ascii="Times New Roman;sans-serif" w:hAnsi="Times New Roman;sans-serif"/>
          <w:b w:val="false"/>
          <w:color w:val="000000"/>
          <w:sz w:val="20"/>
        </w:rPr>
        <w:t>fluctuations in share-based compensation expense.</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occurrence of one or more of the foregoing and other factors may cause our operating results to vary significantly. As such, we believe that period-to-period comparisons of our operating results may not be meaningful and should not be relied upon as an indication of future performance. For example, while we may continue to observe increases in usage and developer adoption of our products to meet end-user demand for real-time engagement spurred by COVID-19, we do not anticipate that we will continue to experience the same level of revenue growth we did in the first half of 2020. In addition, a significant percentage of our operating expenses is fixed in nature and is based on forecasted revenue trends. Accordingly, in the event of a revenue shortfall, we may not be able to mitigate the negative impact on margins and profitability in the short term. If we fail to meet or exceed the expectations of investors or securities analysts, then the trading price of our ADSs could fall substantially, and we could face costly lawsuits, including securities class action suits.</w:t>
      </w:r>
    </w:p>
    <w:p>
      <w:pPr>
        <w:pStyle w:val="TextBody"/>
        <w:spacing w:lineRule="auto" w:line="319" w:before="0" w:after="240"/>
        <w:jc w:val="both"/>
        <w:rPr>
          <w:rFonts w:ascii="Times New Roman;sans-serif" w:hAnsi="Times New Roman;sans-serif"/>
          <w:b/>
          <w:i/>
          <w:color w:val="000000"/>
          <w:sz w:val="20"/>
        </w:rPr>
      </w:pPr>
      <w:r>
        <w:rPr>
          <w:rFonts w:ascii="Times New Roman;sans-serif" w:hAnsi="Times New Roman;sans-serif"/>
          <w:b/>
          <w:i/>
          <w:color w:val="000000"/>
          <w:sz w:val="20"/>
        </w:rPr>
        <w:t>We receive a substantial portion of our revenue from a limited number of customers and use cases, and the loss of, or a significant reduction in usage by, one or more of our major customers or a decline in popularity of certain use cases, would result in lower revenue and could harm our business.</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future success is dependent on establishing and maintaining successful relationships with a diverse set of customers. We currently receive a substantial portion of our revenue from a limited number of customers. For 2019 and 2020 our top ten customers (after aggregating customers with multiple accounts) accounted for approximately 38.4% and 37.4% of our revenue, respectively. Although the identity of the customers may vary from period to period, it is likely that we will continue to be dependent upon a limited number of customers for a significant portion of our revenue for the foreseeable future and, in some cases, the portion of our revenue attributable to individual customers may increase in the future. The loss of one or more key customers or a reduction in usage by any major customers would reduce our revenue. If we fail to maintain existing customers or develop relationships with new customers, our business would be harmed</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Moreover, we generated the majority of our revenue from customers that use our platform and products for social, education, entertainment and gaming applications. The popularity of particular use cases and end users’ use of specific applications, as well as the development of new use cases and applications, depend on many factors beyond our control, and a decline in end users’ use of social, education, entertainment and gaming applications that integrate our products could harm our business, operating results and financial condition.</w:t>
      </w:r>
    </w:p>
    <w:p>
      <w:pPr>
        <w:pStyle w:val="TextBody"/>
        <w:spacing w:lineRule="auto" w:line="319" w:before="0" w:after="240"/>
        <w:jc w:val="both"/>
        <w:rPr>
          <w:rFonts w:ascii="Times New Roman;sans-serif" w:hAnsi="Times New Roman;sans-serif"/>
          <w:b/>
          <w:i/>
          <w:color w:val="000000"/>
          <w:sz w:val="20"/>
        </w:rPr>
      </w:pPr>
      <w:r>
        <w:rPr>
          <w:rFonts w:ascii="Times New Roman;sans-serif" w:hAnsi="Times New Roman;sans-serif"/>
          <w:b/>
          <w:i/>
          <w:color w:val="000000"/>
          <w:sz w:val="20"/>
        </w:rPr>
        <w:t>We are in the process of expanding our international operations, which exposes us to significant risks.</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component of our growth strategy involves the further expansion of our operations and customer base worldwide. We generated a majority of our revenue from customers operating primarily in the PRC in each of the </w:t>
      </w:r>
    </w:p>
    <w:p>
      <w:pPr>
        <w:pStyle w:val="HorizontalLine"/>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385445"/>
                <wp:effectExtent l="0" t="0" r="0" b="0"/>
                <wp:wrapNone/>
                <wp:docPr id="19" name="Frame19"/>
                <a:graphic xmlns:a="http://schemas.openxmlformats.org/drawingml/2006/main">
                  <a:graphicData uri="http://schemas.microsoft.com/office/word/2010/wordprocessingShape">
                    <wps:wsp>
                      <wps:cNvSpPr txBox="1"/>
                      <wps:spPr>
                        <a:xfrm>
                          <a:off x="0" y="0"/>
                          <a:ext cx="6480175" cy="385445"/>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15</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15</w:t>
                      </w:r>
                    </w:p>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lineRule="auto" w:line="319"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periods presented in this annual report. We currently have offices in the PRC and the United States, as well as employees located in Europe. We are continuing to adapt to and develop strategies to address international markets but there is no guarantee that such efforts will have the desired effect.</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expect that our international activities will continue to grow over the foreseeable future as we continue to pursue opportunities in existing and new markets, which will require significant management attention and financial resources worldwide. In connection with such expansion, we may face difficulties including costs associated with varying seasonality patterns, potential adverse movement of currency exchange rates, longer payment cycle difficulties in collecting accounts receivable in some countries, tariffs and trade barriers, a variety of regulatory or contractual limitations on our ability to operate, adverse tax events, reduced protection of intellectual property rights in some countries, political risks and a geographically and culturally diverse workforce and customer base. Failure to overcome any of these difficulties could harm our business.</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we will face risks in doing business internationally that could adversely affect our business, including:</w:t>
      </w:r>
    </w:p>
    <w:p>
      <w:pPr>
        <w:pStyle w:val="TextBody"/>
        <w:spacing w:lineRule="auto" w:line="319" w:before="0" w:after="240"/>
        <w:ind w:left="0" w:right="0" w:hanging="360"/>
        <w:jc w:val="both"/>
        <w:rPr/>
      </w:pPr>
      <w:r>
        <w:rPr>
          <w:color w:val="000000"/>
        </w:rPr>
        <w:t>•</w:t>
      </w:r>
      <w:r>
        <w:rPr>
          <w:rFonts w:ascii="Times New Roman;sans-serif" w:hAnsi="Times New Roman;sans-serif"/>
          <w:b w:val="false"/>
          <w:color w:val="000000"/>
          <w:sz w:val="20"/>
        </w:rPr>
        <w:t>the difficulty of managing and staffing international operations and the increased operations, travel, infrastructure and legal compliance costs associated with numerous international locations;</w:t>
      </w:r>
    </w:p>
    <w:p>
      <w:pPr>
        <w:pStyle w:val="TextBody"/>
        <w:spacing w:lineRule="auto" w:line="319" w:before="0" w:after="240"/>
        <w:ind w:left="0" w:right="0" w:hanging="360"/>
        <w:jc w:val="both"/>
        <w:rPr/>
      </w:pPr>
      <w:r>
        <w:rPr>
          <w:color w:val="000000"/>
        </w:rPr>
        <w:t>•</w:t>
      </w:r>
      <w:r>
        <w:rPr>
          <w:rFonts w:ascii="Times New Roman;sans-serif" w:hAnsi="Times New Roman;sans-serif"/>
          <w:b w:val="false"/>
          <w:color w:val="000000"/>
          <w:sz w:val="20"/>
        </w:rPr>
        <w:t>challenges to our corporate culture resulting from a dispersed workforce;</w:t>
      </w:r>
    </w:p>
    <w:p>
      <w:pPr>
        <w:pStyle w:val="TextBody"/>
        <w:spacing w:lineRule="auto" w:line="319" w:before="0" w:after="240"/>
        <w:ind w:left="0" w:right="0" w:hanging="360"/>
        <w:jc w:val="both"/>
        <w:rPr/>
      </w:pPr>
      <w:r>
        <w:rPr>
          <w:color w:val="000000"/>
        </w:rPr>
        <w:t>•</w:t>
      </w:r>
      <w:r>
        <w:rPr>
          <w:rFonts w:ascii="Times New Roman;sans-serif" w:hAnsi="Times New Roman;sans-serif"/>
          <w:b w:val="false"/>
          <w:color w:val="000000"/>
          <w:sz w:val="20"/>
        </w:rPr>
        <w:t>our ability to effectively price our products in competitive international markets;</w:t>
      </w:r>
    </w:p>
    <w:p>
      <w:pPr>
        <w:pStyle w:val="TextBody"/>
        <w:spacing w:lineRule="auto" w:line="319" w:before="0" w:after="240"/>
        <w:ind w:left="0" w:right="0" w:hanging="360"/>
        <w:jc w:val="both"/>
        <w:rPr/>
      </w:pPr>
      <w:r>
        <w:rPr>
          <w:color w:val="000000"/>
        </w:rPr>
        <w:t>•</w:t>
      </w:r>
      <w:r>
        <w:rPr>
          <w:rFonts w:ascii="Times New Roman;sans-serif" w:hAnsi="Times New Roman;sans-serif"/>
          <w:b w:val="false"/>
          <w:color w:val="000000"/>
          <w:sz w:val="20"/>
        </w:rPr>
        <w:t>new and different sources of competition;</w:t>
      </w:r>
    </w:p>
    <w:p>
      <w:pPr>
        <w:pStyle w:val="TextBody"/>
        <w:spacing w:lineRule="auto" w:line="319" w:before="0" w:after="240"/>
        <w:ind w:left="0" w:right="0" w:hanging="360"/>
        <w:jc w:val="both"/>
        <w:rPr/>
      </w:pPr>
      <w:r>
        <w:rPr>
          <w:color w:val="000000"/>
        </w:rPr>
        <w:t>•</w:t>
      </w:r>
      <w:r>
        <w:rPr>
          <w:rFonts w:ascii="Times New Roman;sans-serif" w:hAnsi="Times New Roman;sans-serif"/>
          <w:b w:val="false"/>
          <w:color w:val="000000"/>
          <w:sz w:val="20"/>
        </w:rPr>
        <w:t>our ability to comply with the General Data Protection Regulation 2016/679, or GDPR;</w:t>
      </w:r>
    </w:p>
    <w:p>
      <w:pPr>
        <w:pStyle w:val="TextBody"/>
        <w:spacing w:lineRule="auto" w:line="319" w:before="0" w:after="240"/>
        <w:ind w:left="0" w:right="0" w:hanging="360"/>
        <w:jc w:val="both"/>
        <w:rPr/>
      </w:pPr>
      <w:r>
        <w:rPr>
          <w:color w:val="000000"/>
        </w:rPr>
        <w:t>•</w:t>
      </w:r>
      <w:r>
        <w:rPr>
          <w:rFonts w:ascii="Times New Roman;sans-serif" w:hAnsi="Times New Roman;sans-serif"/>
          <w:b w:val="false"/>
          <w:color w:val="000000"/>
          <w:sz w:val="20"/>
        </w:rPr>
        <w:t>potentially greater difficulty collecting accounts receivable and longer payment cycles;</w:t>
      </w:r>
    </w:p>
    <w:p>
      <w:pPr>
        <w:pStyle w:val="TextBody"/>
        <w:spacing w:lineRule="auto" w:line="319" w:before="0" w:after="240"/>
        <w:ind w:left="0" w:right="0" w:hanging="360"/>
        <w:jc w:val="both"/>
        <w:rPr/>
      </w:pPr>
      <w:r>
        <w:rPr>
          <w:color w:val="000000"/>
        </w:rPr>
        <w:t>•</w:t>
      </w:r>
      <w:r>
        <w:rPr>
          <w:rFonts w:ascii="Times New Roman;sans-serif" w:hAnsi="Times New Roman;sans-serif"/>
          <w:b w:val="false"/>
          <w:color w:val="000000"/>
          <w:sz w:val="20"/>
        </w:rPr>
        <w:t>the need to adapt and localize our products for specific countries;</w:t>
      </w:r>
    </w:p>
    <w:p>
      <w:pPr>
        <w:pStyle w:val="TextBody"/>
        <w:spacing w:lineRule="auto" w:line="319" w:before="0" w:after="240"/>
        <w:ind w:left="0" w:right="0" w:hanging="360"/>
        <w:jc w:val="both"/>
        <w:rPr/>
      </w:pPr>
      <w:r>
        <w:rPr>
          <w:color w:val="000000"/>
        </w:rPr>
        <w:t>•</w:t>
      </w:r>
      <w:r>
        <w:rPr>
          <w:rFonts w:ascii="Times New Roman;sans-serif" w:hAnsi="Times New Roman;sans-serif"/>
          <w:b w:val="false"/>
          <w:color w:val="000000"/>
          <w:sz w:val="20"/>
        </w:rPr>
        <w:t>the effect of differing governmental responses to the COVID-19 pandemic and the continuing impact of the pandemic on individuals, businesses and economies in various foreign jurisdictions;</w:t>
      </w:r>
    </w:p>
    <w:p>
      <w:pPr>
        <w:pStyle w:val="TextBody"/>
        <w:spacing w:lineRule="auto" w:line="319" w:before="0" w:after="240"/>
        <w:ind w:left="0" w:right="0" w:hanging="360"/>
        <w:jc w:val="both"/>
        <w:rPr/>
      </w:pPr>
      <w:r>
        <w:rPr>
          <w:color w:val="000000"/>
        </w:rPr>
        <w:t>•</w:t>
      </w:r>
      <w:r>
        <w:rPr>
          <w:rFonts w:ascii="Times New Roman;sans-serif" w:hAnsi="Times New Roman;sans-serif"/>
          <w:b w:val="false"/>
          <w:color w:val="000000"/>
          <w:sz w:val="20"/>
        </w:rPr>
        <w:t>the need to offer customer support in various languages;</w:t>
      </w:r>
    </w:p>
    <w:p>
      <w:pPr>
        <w:pStyle w:val="TextBody"/>
        <w:spacing w:lineRule="auto" w:line="319" w:before="0" w:after="240"/>
        <w:ind w:left="0" w:right="0" w:hanging="360"/>
        <w:jc w:val="both"/>
        <w:rPr/>
      </w:pPr>
      <w:r>
        <w:rPr>
          <w:color w:val="000000"/>
        </w:rPr>
        <w:t>•</w:t>
      </w:r>
      <w:r>
        <w:rPr>
          <w:rFonts w:ascii="Times New Roman;sans-serif" w:hAnsi="Times New Roman;sans-serif"/>
          <w:b w:val="false"/>
          <w:color w:val="000000"/>
          <w:sz w:val="20"/>
        </w:rPr>
        <w:t>difficulties in understanding and complying with local laws, regulations and customs in foreign jurisdictions;</w:t>
      </w:r>
    </w:p>
    <w:p>
      <w:pPr>
        <w:pStyle w:val="TextBody"/>
        <w:spacing w:lineRule="auto" w:line="319" w:before="0" w:after="240"/>
        <w:ind w:left="0" w:right="0" w:hanging="360"/>
        <w:jc w:val="both"/>
        <w:rPr/>
      </w:pPr>
      <w:r>
        <w:rPr>
          <w:color w:val="000000"/>
        </w:rPr>
        <w:t>•</w:t>
      </w:r>
      <w:r>
        <w:rPr>
          <w:rFonts w:ascii="Times New Roman;sans-serif" w:hAnsi="Times New Roman;sans-serif"/>
          <w:b w:val="false"/>
          <w:color w:val="000000"/>
          <w:sz w:val="20"/>
        </w:rPr>
        <w:t>difficulties with differing technical and environmental standards, privacy, cybersecurity, data protection and telecommunications regulations and certification requirements outside China and the United States, which could prevent customers from deploying our products or limit their usage;</w:t>
      </w:r>
    </w:p>
    <w:p>
      <w:pPr>
        <w:pStyle w:val="TextBody"/>
        <w:spacing w:lineRule="auto" w:line="319" w:before="0" w:after="240"/>
        <w:ind w:left="0" w:right="0" w:hanging="360"/>
        <w:jc w:val="both"/>
        <w:rPr/>
      </w:pPr>
      <w:r>
        <w:rPr>
          <w:color w:val="000000"/>
        </w:rPr>
        <w:t>•</w:t>
      </w:r>
      <w:r>
        <w:rPr>
          <w:rFonts w:ascii="Times New Roman;sans-serif" w:hAnsi="Times New Roman;sans-serif"/>
          <w:b w:val="false"/>
          <w:color w:val="000000"/>
          <w:sz w:val="20"/>
        </w:rPr>
        <w:t>export controls and economic sanctions administered by the Department of Commerce Bureau of Industry and Security and the Treasury Department’s Office of Foreign Assets Control;</w:t>
      </w:r>
    </w:p>
    <w:p>
      <w:pPr>
        <w:pStyle w:val="TextBody"/>
        <w:spacing w:lineRule="auto" w:line="319" w:before="0" w:after="240"/>
        <w:ind w:left="0" w:right="0" w:hanging="360"/>
        <w:jc w:val="both"/>
        <w:rPr/>
      </w:pPr>
      <w:r>
        <w:rPr>
          <w:color w:val="000000"/>
        </w:rPr>
        <w:t>•</w:t>
      </w:r>
      <w:r>
        <w:rPr>
          <w:rFonts w:ascii="Times New Roman;sans-serif" w:hAnsi="Times New Roman;sans-serif"/>
          <w:b w:val="false"/>
          <w:color w:val="000000"/>
          <w:sz w:val="20"/>
        </w:rPr>
        <w:t>compliance with various anti-bribery and anti-corruption laws such as the Foreign Corrupt Practices Act of 1977, or FCPA, and the United Kingdom Bribery Act of 2010;</w:t>
      </w:r>
    </w:p>
    <w:p>
      <w:pPr>
        <w:pStyle w:val="TextBody"/>
        <w:spacing w:lineRule="auto" w:line="319" w:before="0" w:after="240"/>
        <w:ind w:left="0" w:right="0" w:hanging="360"/>
        <w:jc w:val="both"/>
        <w:rPr/>
      </w:pPr>
      <w:r>
        <w:rPr>
          <w:color w:val="000000"/>
        </w:rPr>
        <w:t>•</w:t>
      </w:r>
      <w:r>
        <w:rPr>
          <w:rFonts w:ascii="Times New Roman;sans-serif" w:hAnsi="Times New Roman;sans-serif"/>
          <w:b w:val="false"/>
          <w:color w:val="000000"/>
          <w:sz w:val="20"/>
        </w:rPr>
        <w:t>tariffs and other non-tariff trade barriers, such as quotas and local content rules;</w:t>
      </w:r>
    </w:p>
    <w:p>
      <w:pPr>
        <w:pStyle w:val="HorizontalLine"/>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385445"/>
                <wp:effectExtent l="0" t="0" r="0" b="0"/>
                <wp:wrapNone/>
                <wp:docPr id="20" name="Frame20"/>
                <a:graphic xmlns:a="http://schemas.openxmlformats.org/drawingml/2006/main">
                  <a:graphicData uri="http://schemas.microsoft.com/office/word/2010/wordprocessingShape">
                    <wps:wsp>
                      <wps:cNvSpPr txBox="1"/>
                      <wps:spPr>
                        <a:xfrm>
                          <a:off x="0" y="0"/>
                          <a:ext cx="6480175" cy="385445"/>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16</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16</w:t>
                      </w:r>
                    </w:p>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lineRule="auto" w:line="319" w:before="0" w:after="240"/>
        <w:ind w:left="0" w:right="0" w:hanging="360"/>
        <w:jc w:val="both"/>
        <w:rPr/>
      </w:pPr>
      <w:r>
        <w:rPr>
          <w:color w:val="000000"/>
        </w:rPr>
        <w:t>•</w:t>
      </w:r>
      <w:r>
        <w:rPr>
          <w:rFonts w:ascii="Times New Roman;sans-serif" w:hAnsi="Times New Roman;sans-serif"/>
          <w:b w:val="false"/>
          <w:color w:val="000000"/>
          <w:sz w:val="20"/>
        </w:rPr>
        <w:t>more limited protection for intellectual property rights in some countries;</w:t>
      </w:r>
    </w:p>
    <w:p>
      <w:pPr>
        <w:pStyle w:val="TextBody"/>
        <w:spacing w:lineRule="auto" w:line="319" w:before="0" w:after="240"/>
        <w:ind w:left="0" w:right="0" w:hanging="360"/>
        <w:jc w:val="both"/>
        <w:rPr/>
      </w:pPr>
      <w:r>
        <w:rPr>
          <w:color w:val="000000"/>
        </w:rPr>
        <w:t>•</w:t>
      </w:r>
      <w:r>
        <w:rPr>
          <w:rFonts w:ascii="Times New Roman;sans-serif" w:hAnsi="Times New Roman;sans-serif"/>
          <w:b w:val="false"/>
          <w:color w:val="000000"/>
          <w:sz w:val="20"/>
        </w:rPr>
        <w:t>adverse tax consequences;</w:t>
      </w:r>
    </w:p>
    <w:p>
      <w:pPr>
        <w:pStyle w:val="TextBody"/>
        <w:spacing w:lineRule="auto" w:line="319" w:before="0" w:after="240"/>
        <w:ind w:left="0" w:right="0" w:hanging="360"/>
        <w:jc w:val="both"/>
        <w:rPr/>
      </w:pPr>
      <w:r>
        <w:rPr>
          <w:color w:val="000000"/>
        </w:rPr>
        <w:t>•</w:t>
      </w:r>
      <w:r>
        <w:rPr>
          <w:rFonts w:ascii="Times New Roman;sans-serif" w:hAnsi="Times New Roman;sans-serif"/>
          <w:b w:val="false"/>
          <w:color w:val="000000"/>
          <w:sz w:val="20"/>
        </w:rPr>
        <w:t>fluctuations in currency exchange rates, which could increase the price of our products in certain markets, increase the expenses of our international operations and expose us to foreign currency exchange rate risk or the cost and risk of hedging transaction if we choose to enter into such transactions in the future;</w:t>
      </w:r>
    </w:p>
    <w:p>
      <w:pPr>
        <w:pStyle w:val="TextBody"/>
        <w:spacing w:lineRule="auto" w:line="319" w:before="0" w:after="240"/>
        <w:ind w:left="0" w:right="0" w:hanging="360"/>
        <w:jc w:val="both"/>
        <w:rPr/>
      </w:pPr>
      <w:r>
        <w:rPr>
          <w:color w:val="000000"/>
        </w:rPr>
        <w:t>•</w:t>
      </w:r>
      <w:r>
        <w:rPr>
          <w:rFonts w:ascii="Times New Roman;sans-serif" w:hAnsi="Times New Roman;sans-serif"/>
          <w:b w:val="false"/>
          <w:color w:val="000000"/>
          <w:sz w:val="20"/>
        </w:rPr>
        <w:t>currency control regulations, which might restrict or prohibit our conversion of other currencies into U.S. dollars;</w:t>
      </w:r>
    </w:p>
    <w:p>
      <w:pPr>
        <w:pStyle w:val="TextBody"/>
        <w:spacing w:lineRule="auto" w:line="319" w:before="0" w:after="240"/>
        <w:ind w:left="0" w:right="0" w:hanging="360"/>
        <w:jc w:val="both"/>
        <w:rPr/>
      </w:pPr>
      <w:r>
        <w:rPr>
          <w:color w:val="000000"/>
        </w:rPr>
        <w:t>•</w:t>
      </w:r>
      <w:r>
        <w:rPr>
          <w:rFonts w:ascii="Times New Roman;sans-serif" w:hAnsi="Times New Roman;sans-serif"/>
          <w:b w:val="false"/>
          <w:color w:val="000000"/>
          <w:sz w:val="20"/>
        </w:rPr>
        <w:t>restrictions on the transfer of funds;</w:t>
      </w:r>
    </w:p>
    <w:p>
      <w:pPr>
        <w:pStyle w:val="TextBody"/>
        <w:spacing w:lineRule="auto" w:line="319" w:before="0" w:after="240"/>
        <w:ind w:left="0" w:right="0" w:hanging="360"/>
        <w:jc w:val="both"/>
        <w:rPr/>
      </w:pPr>
      <w:r>
        <w:rPr>
          <w:color w:val="000000"/>
        </w:rPr>
        <w:t>•</w:t>
      </w:r>
      <w:r>
        <w:rPr>
          <w:rFonts w:ascii="Times New Roman;sans-serif" w:hAnsi="Times New Roman;sans-serif"/>
          <w:b w:val="false"/>
          <w:color w:val="000000"/>
          <w:sz w:val="20"/>
        </w:rPr>
        <w:t>deterioration of political relations between China, the United States and other countries;</w:t>
      </w:r>
    </w:p>
    <w:p>
      <w:pPr>
        <w:pStyle w:val="TextBody"/>
        <w:spacing w:lineRule="auto" w:line="319" w:before="0" w:after="240"/>
        <w:ind w:left="0" w:right="0" w:hanging="360"/>
        <w:jc w:val="both"/>
        <w:rPr/>
      </w:pPr>
      <w:r>
        <w:rPr>
          <w:color w:val="000000"/>
        </w:rPr>
        <w:t>•</w:t>
      </w:r>
      <w:r>
        <w:rPr>
          <w:rFonts w:ascii="Times New Roman;sans-serif" w:hAnsi="Times New Roman;sans-serif"/>
          <w:b w:val="false"/>
          <w:color w:val="000000"/>
          <w:sz w:val="20"/>
        </w:rPr>
        <w:t>exposure to political developments in the United Kingdom, or the U.K., including the departure of the U.K. from the European Union, or the EU, which has created an uncertain political and economic environment, instability for businesses and volatility in global financial markets; and</w:t>
      </w:r>
    </w:p>
    <w:p>
      <w:pPr>
        <w:pStyle w:val="TextBody"/>
        <w:spacing w:lineRule="auto" w:line="319" w:before="0" w:after="240"/>
        <w:ind w:left="0" w:right="0" w:hanging="360"/>
        <w:jc w:val="both"/>
        <w:rPr/>
      </w:pPr>
      <w:r>
        <w:rPr>
          <w:color w:val="000000"/>
        </w:rPr>
        <w:t>•</w:t>
      </w:r>
      <w:r>
        <w:rPr>
          <w:rFonts w:ascii="Times New Roman;sans-serif" w:hAnsi="Times New Roman;sans-serif"/>
          <w:b w:val="false"/>
          <w:color w:val="000000"/>
          <w:sz w:val="20"/>
        </w:rPr>
        <w:t>political or social unrest or economic instability in a specific country or region in which we operate, which could have an adverse impact on our operations in that location.</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failure to manage any of these risks successfully could harm our international operations, and adversely affect our business, operating results and financial condition. In some cases, compliance with the laws and regulations of one country could violate the laws and regulations of another country. As our global operations evolves, we cannot assure you that we are able to fully comply with the legal requirements of each foreign jurisdiction and successfully adapt our business models to local market conditions. Due to the complexity involved in our international business expansion, we cannot assure you that we are or will be in compliance with all local laws.</w:t>
      </w:r>
    </w:p>
    <w:p>
      <w:pPr>
        <w:pStyle w:val="TextBody"/>
        <w:spacing w:lineRule="auto" w:line="276" w:before="0" w:after="240"/>
        <w:jc w:val="both"/>
        <w:rPr>
          <w:rFonts w:ascii="Times New Roman;sans-serif" w:hAnsi="Times New Roman;sans-serif"/>
          <w:b/>
          <w:i/>
          <w:color w:val="000000"/>
          <w:sz w:val="20"/>
        </w:rPr>
      </w:pPr>
      <w:r>
        <w:rPr>
          <w:rFonts w:ascii="Times New Roman;sans-serif" w:hAnsi="Times New Roman;sans-serif"/>
          <w:b/>
          <w:i/>
          <w:color w:val="000000"/>
          <w:sz w:val="20"/>
        </w:rPr>
        <w:t>If we are unable to maintain and enhance our brand and increase market awareness of our company and products, then our business, operating results and financial condition may be adversely affected.</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must maintain and enhance the “Agora” brand identity and increase market awareness of RTE-PaaS solutions generally and our products particularly to be successful. Our efforts to achieve widespread acceptance of our platform, attract and retain customers and increase usage of our products and platform depend on our marketing efforts, RTE-PaaS market thought leadership and ability to successfully differentiate our products and platform from alternatives. These efforts require substantial expenditures, and we anticipate that they will increase as our market becomes more competitive and as we expand into new markets. These investments in brand promotion and thought leadership may not yield increased revenue. To the extent they do, the resulting revenue still may not be enough to offset the increased expenses we incur.</w:t>
      </w:r>
    </w:p>
    <w:p>
      <w:pPr>
        <w:pStyle w:val="TextBody"/>
        <w:spacing w:lineRule="auto" w:line="319" w:before="0" w:after="240"/>
        <w:jc w:val="both"/>
        <w:rPr>
          <w:rFonts w:ascii="Times New Roman;sans-serif" w:hAnsi="Times New Roman;sans-serif"/>
          <w:b/>
          <w:i/>
          <w:color w:val="000000"/>
          <w:sz w:val="20"/>
        </w:rPr>
      </w:pPr>
      <w:r>
        <w:rPr>
          <w:rFonts w:ascii="Times New Roman;sans-serif" w:hAnsi="Times New Roman;sans-serif"/>
          <w:b/>
          <w:i/>
          <w:color w:val="000000"/>
          <w:sz w:val="20"/>
        </w:rPr>
        <w:t>Failure to effectively develop and expand our marketing and sales capabilities could harm our ability to increase our customer base and achieve broader market acceptance of our platform.</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Historically, we have relied on the adoption of our products by developers through our self-service model as well as more targeted sales efforts. Our ability to further increase our customer base and achieve broader market acceptance of our platform will significantly depend on our ability to expand our marketing and sales operations. We plan to continue expanding our sales force and channel partners, both domestically and internationally. We also plan </w:t>
      </w:r>
    </w:p>
    <w:p>
      <w:pPr>
        <w:pStyle w:val="HorizontalLine"/>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385445"/>
                <wp:effectExtent l="0" t="0" r="0" b="0"/>
                <wp:wrapNone/>
                <wp:docPr id="21" name="Frame21"/>
                <a:graphic xmlns:a="http://schemas.openxmlformats.org/drawingml/2006/main">
                  <a:graphicData uri="http://schemas.microsoft.com/office/word/2010/wordprocessingShape">
                    <wps:wsp>
                      <wps:cNvSpPr txBox="1"/>
                      <wps:spPr>
                        <a:xfrm>
                          <a:off x="0" y="0"/>
                          <a:ext cx="6480175" cy="385445"/>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17</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17</w:t>
                      </w:r>
                    </w:p>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lineRule="auto" w:line="319"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to dedicate significant resources to sales and marketing programs. All of these efforts will require us to invest significant financial and other resources and if they fail to attract additional customers our business will be harmed.</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we increase our target sales efforts to larger organizations, we expect to incur higher costs and longer sales cycles. The decision to adopt our products by such customers may require the approval of multiple technical and business decision makers, including security, compliance, procurement, operations and IT. In addition, while certain customers may quickly deploy our products on a limited basis before they will commit to deploying our products at scale, they often require extensive education and customer support, engage in protracted pricing negotiations and seek dedicated product development resources. In addition, sales cycles for efforts targeted at larger organizations are inherently more complex and less predictable than the sales through our self-service model, and some customers may not use our products enough to generate revenue that justifies the cost of customer acquisition. In addition, complex and resource-intensive sales efforts could place additional strain on our product and engineering resources.</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there is significant competition for sales personnel, including sales representatives, sales managers, and sales engineers, with the skills and technical knowledge that we require. Our ability to achieve significant revenue growth will depend, in large part, on our success in recruiting, training, and retaining sufficient numbers of sales personnel to support our growth. New hires require significant training and may take significant time before they achieve full productivity. Our new hires may not become productive as quickly as we expect, if at all, and we may be unable to hire or retain sufficient numbers of qualified individuals in the markets where we do business or plan to do business. In addition, particularly if we continue to grow rapidly, new members of our sales force will have relatively little experience working with us, our platform, and our business model. If we are unable to hire and train sufficient numbers of effective sales personnel, our sales personnel do not reach significant levels of productivity in a timely manner, or our sales personnel are not successful in acquiring new customers or expanding usage by existing customers, our business will be harmed.</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continued growth in our business is also dependent upon identifying, developing and maintaining strategic relationships with additional channel partners that can drive substantial revenue. If we fail to identify additional channel partners in a timely and cost-effective manner, or at all, or are unable to assist our current and future channel partners in independently selling and deploying our products, then our business, operating results, and financial condition could be adversely affected.</w:t>
      </w:r>
    </w:p>
    <w:p>
      <w:pPr>
        <w:pStyle w:val="TextBody"/>
        <w:spacing w:lineRule="auto" w:line="319" w:before="0" w:after="240"/>
        <w:jc w:val="both"/>
        <w:rPr>
          <w:rFonts w:ascii="Times New Roman;sans-serif" w:hAnsi="Times New Roman;sans-serif"/>
          <w:b/>
          <w:i/>
          <w:color w:val="000000"/>
          <w:sz w:val="20"/>
        </w:rPr>
      </w:pPr>
      <w:r>
        <w:rPr>
          <w:rFonts w:ascii="Times New Roman;sans-serif" w:hAnsi="Times New Roman;sans-serif"/>
          <w:b/>
          <w:i/>
          <w:color w:val="000000"/>
          <w:sz w:val="20"/>
        </w:rPr>
        <w:t xml:space="preserve">We provide service or experience level commitments under our customer agreements. If we fail to meet these contractual commitments, we could be obligated to provide credits for future service, or face contract termination with refunds of prepaid amounts, which could harm our business. </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Most of our customer agreements contain service level commitments. In 2020, we launched our first ever Experience-Level Agreement, or XLA, in real-time engagement. Our XLA covers metrics, such as successful log-on rate, jitter rate and latency, and focuses not only on service availability but also on end user experience. If we are unable to meet the stated service level commitments, including failure to meet the uptime and other requirements under our customer agreements, we may be contractually obligated to provide the affected customers with service credits which could significantly affect revenue in the periods in which the uptime or delivery failure occurs and the credits are applied. We could also face customer terminations, which could significantly affect both our current and future revenue. Any service or experience level failures could harm our business.</w:t>
      </w:r>
    </w:p>
    <w:p>
      <w:pPr>
        <w:pStyle w:val="HorizontalLine"/>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385445"/>
                <wp:effectExtent l="0" t="0" r="0" b="0"/>
                <wp:wrapNone/>
                <wp:docPr id="22" name="Frame22"/>
                <a:graphic xmlns:a="http://schemas.openxmlformats.org/drawingml/2006/main">
                  <a:graphicData uri="http://schemas.microsoft.com/office/word/2010/wordprocessingShape">
                    <wps:wsp>
                      <wps:cNvSpPr txBox="1"/>
                      <wps:spPr>
                        <a:xfrm>
                          <a:off x="0" y="0"/>
                          <a:ext cx="6480175" cy="385445"/>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18</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18</w:t>
                      </w:r>
                    </w:p>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lineRule="auto" w:line="319" w:before="0" w:after="240"/>
        <w:jc w:val="both"/>
        <w:rPr>
          <w:rFonts w:ascii="Times New Roman;sans-serif" w:hAnsi="Times New Roman;sans-serif"/>
          <w:b/>
          <w:i/>
          <w:color w:val="000000"/>
          <w:sz w:val="20"/>
        </w:rPr>
      </w:pPr>
      <w:r>
        <w:rPr>
          <w:rFonts w:ascii="Times New Roman;sans-serif" w:hAnsi="Times New Roman;sans-serif"/>
          <w:b/>
          <w:i/>
          <w:color w:val="000000"/>
          <w:sz w:val="20"/>
        </w:rPr>
        <w:t>Any failure to offer high-quality customer support may adversely affect our relationships with our customers and prospective customers, and adversely affect our business, operating results and financial condition.</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Many of our large customers depend on our customer support team to assist them in deploying our products effectively to help them to resolve post-deployment issues quickly and to provide ongoing support. If we do not devote sufficient resources or are otherwise unsuccessful in assisting our customers effectively, it could adversely affect our ability to retain existing customers and could prevent prospective customers from adopting our products. We may be unable to respond quickly enough to accommodate short-term increases in demand for customer support. We also may be unable to modify the nature, scope and delivery of our customer support to compete with changes in the support services provided by our competitors. Increased demand for customer support, without corresponding revenue, could increase costs and adversely affect our business, operating results and financial condition. Our sales are highly dependent on our business reputation and on positive recommendations from developers. Any failure to maintain high-quality customer support, or a market perception that we do not maintain high-quality customer support, could adversely affect our reputation, business, operating results and financial condition.</w:t>
      </w:r>
    </w:p>
    <w:p>
      <w:pPr>
        <w:pStyle w:val="TextBody"/>
        <w:spacing w:lineRule="auto" w:line="319" w:before="0" w:after="240"/>
        <w:jc w:val="both"/>
        <w:rPr>
          <w:rFonts w:ascii="Times New Roman;sans-serif" w:hAnsi="Times New Roman;sans-serif"/>
          <w:b/>
          <w:i/>
          <w:color w:val="000000"/>
          <w:sz w:val="20"/>
        </w:rPr>
      </w:pPr>
      <w:r>
        <w:rPr>
          <w:rFonts w:ascii="Times New Roman;sans-serif" w:hAnsi="Times New Roman;sans-serif"/>
          <w:b/>
          <w:i/>
          <w:color w:val="000000"/>
          <w:sz w:val="20"/>
        </w:rPr>
        <w:t>We could incur substantial costs in protecting or defending our intellectual property rights, and any failure to protect our intellectual property could adversely affect our business, operating results and financial condition.</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success depends, in part, on our ability to protect our brand, trade secrets, trademarks, patents, domain names, copyrights and proprietary methods and technologies, whether registered or not, that we develop under patent and other intellectual property laws of China, the United States and other jurisdictions, so that we can prevent others from using our inventions and proprietary information. We currently rely on patents, trademarks, copyrights and trade secret law to protect our intellectual property rights. However, we cannot assure you that any of our intellectual property rights will not be challenged, invalidated or circumvented, or that our intellectual property will be sufficient to provide us with competitive advantages. In addition, may be subject to allegation of infringement of other parties’ proprietary rights, and other parties may misappropriate our intellectual property rights, which would cause us to suffer economic or reputational damages. Because of the rapid pace of technological change, we cannot assure you that all of our proprietary technologies and similar intellectual property rights can be patented in a timely or cost-effective manner, or at all.</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also rely, in part, on confidentiality agreements with our business partners, employees, consultants, advisors, customers and others in our efforts to protect our proprietary technology, processes and methods. These agreements may not effectively prevent disclosure of our confidential information, and it may be possible for unauthorized parties to copy our software or other proprietary technology or information, or to develop similar software independently without our having an adequate remedy for unauthorized use or disclosure of our confidential information.</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the laws of some countries do not protect intellectual property and other proprietary rights to the same extent as the laws of the United States. It is often difficult to register, maintain and enforce intellectual property rights in China. Statutory laws and regulations are subject to judicial interpretation and enforcement and may not be applied consistently due to the lack of clear guidance on statutory interpretation. Confidentiality, invention assignment and non-compete agreements may be breached by counterparties, and there may not be adequate remedies available to us for any such breach. Accordingly, we may not be able to effectively protect our intellectual property rights or to enforce our contractual rights in China. To the extent we expand our international activities outside of China and the United States, our exposure to unauthorized copying, transfer and use of our proprietary technology or information may increase.</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Preventing any unauthorized use of our intellectual property is difficult and costly and the steps we take may be inadequate to prevent the misappropriation of our intellectual property. Litigation may be necessary in the </w:t>
      </w:r>
    </w:p>
    <w:p>
      <w:pPr>
        <w:pStyle w:val="HorizontalLine"/>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385445"/>
                <wp:effectExtent l="0" t="0" r="0" b="0"/>
                <wp:wrapNone/>
                <wp:docPr id="23" name="Frame23"/>
                <a:graphic xmlns:a="http://schemas.openxmlformats.org/drawingml/2006/main">
                  <a:graphicData uri="http://schemas.microsoft.com/office/word/2010/wordprocessingShape">
                    <wps:wsp>
                      <wps:cNvSpPr txBox="1"/>
                      <wps:spPr>
                        <a:xfrm>
                          <a:off x="0" y="0"/>
                          <a:ext cx="6480175" cy="385445"/>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19</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19</w:t>
                      </w:r>
                    </w:p>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lineRule="auto" w:line="319"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future to enforce our intellectual property rights, determine the validity and scope of our proprietary rights or those of others, or defend against claims of infringement or invalidity. Such litigation could be costly, time-consuming and distracting to management, result in a diversion of significant resources, the narrowing or invalidation of portions of our intellectual property and have an adverse effect on our business, operating results and financial condition. Our efforts to enforce our intellectual property rights may be met with defenses, counterclaims and countersuits attacking the validity and enforceability of our intellectual property rights or alleging that we infringe the counterclaimant’s own intellectual property. Any of our patents, trade secrets, copyrights, trademarks or other intellectual property rights could be challenged by others or invalidated through administrative process or litigation. We can provide no assurance that we will prevail in such litigation. In addition, our proprietary methods and technologies that are regarded as trade secrets may be leaked or otherwise become available to, or be independently discovered by, our competitors and in these cases we would not be able to assert any trade secret rights against those parties. Costly and time-consuming litigation could be necessary to enforce and determine the scope of our proprietary rights, and failure to obtain or maintain trade secret protection could adversely affect our competitive business position. To the extent that our employees or consultants use intellectual property owned by others in their work for us, disputes may arise as to the rights in related know-how and inventions.</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There can be no assurance that our particular ways and means of protecting our intellectual property and proprietary rights, including business decisions about when to file patent applications and trademark applications, will be adequate to protect our business or that our competitors will not independently develop similar technology. We could be required to spend significant resources to monitor and protect our intellectual property rights. If we fail to protect and enforce our intellectual property and proprietary rights adequately, our competitors might gain access to our technology and our business, operating results and financial condition could be adversely affected.</w:t>
      </w:r>
    </w:p>
    <w:p>
      <w:pPr>
        <w:pStyle w:val="TextBody"/>
        <w:spacing w:lineRule="auto" w:line="319" w:before="0" w:after="240"/>
        <w:jc w:val="both"/>
        <w:rPr>
          <w:rFonts w:ascii="Times New Roman;sans-serif" w:hAnsi="Times New Roman;sans-serif"/>
          <w:b/>
          <w:i/>
          <w:color w:val="000000"/>
          <w:sz w:val="20"/>
        </w:rPr>
      </w:pPr>
      <w:r>
        <w:rPr>
          <w:rFonts w:ascii="Times New Roman;sans-serif" w:hAnsi="Times New Roman;sans-serif"/>
          <w:b/>
          <w:i/>
          <w:color w:val="000000"/>
          <w:sz w:val="20"/>
        </w:rPr>
        <w:t>We depend largely on the continued services of our senior management, the loss of any of whom could adversely affect our business, operating results and financial condition.</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future performance depends on the continued services and contributions of our senior management to execute on our business plan, develop our products and platform, deliver our products to customers, attract and retain customers and identify and pursue business opportunities. The loss of services of senior management could significantly delay or prevent the achievement of our development and strategic objectives. In particular, we depend to a considerable degree on the vision, skills, experience and effort of our founder and chief executive officer, Mr. Zhao. The replacement of any of our senior management personnel would likely involve significant time and costs, and such loss could significantly delay or prevent the achievement of our business objectives. The loss of the services of any of our senior management for any reason could adversely affect our business, operating results and financial condition.</w:t>
      </w:r>
    </w:p>
    <w:p>
      <w:pPr>
        <w:pStyle w:val="TextBody"/>
        <w:spacing w:lineRule="auto" w:line="319" w:before="0" w:after="240"/>
        <w:jc w:val="both"/>
        <w:rPr>
          <w:rFonts w:ascii="Times New Roman;sans-serif" w:hAnsi="Times New Roman;sans-serif"/>
          <w:b/>
          <w:i/>
          <w:color w:val="000000"/>
          <w:sz w:val="20"/>
        </w:rPr>
      </w:pPr>
      <w:r>
        <w:rPr>
          <w:rFonts w:ascii="Times New Roman;sans-serif" w:hAnsi="Times New Roman;sans-serif"/>
          <w:b/>
          <w:i/>
          <w:color w:val="000000"/>
          <w:sz w:val="20"/>
        </w:rPr>
        <w:t>If we are unable to hire, retain and motivate qualified personnel, our business will suffer.</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future success depends, in part, on our ability to continue to attract and retain highly skilled personnel. We believe that there is, and will continue to be, intense competition for highly skilled management, technical, sales and other personnel with experience in our industry in the cities where our headquarters are located. We must provide competitive compensation packages and a high-quality work environment to hire, retain and motivate employees. If we are unable to retain and motivate our existing employees and attract qualified personnel to fill important positions, we may be unable to manage our business effectively, including the development, marketing and sale of our products, which could adversely affect our business, operating results and financial condition. To the extent we hire personnel from competitors, we also may be subject to allegations that they have been improperly solicited or divulged proprietary or other confidential information.</w:t>
      </w:r>
    </w:p>
    <w:p>
      <w:pPr>
        <w:pStyle w:val="HorizontalLine"/>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385445"/>
                <wp:effectExtent l="0" t="0" r="0" b="0"/>
                <wp:wrapNone/>
                <wp:docPr id="24" name="Frame24"/>
                <a:graphic xmlns:a="http://schemas.openxmlformats.org/drawingml/2006/main">
                  <a:graphicData uri="http://schemas.microsoft.com/office/word/2010/wordprocessingShape">
                    <wps:wsp>
                      <wps:cNvSpPr txBox="1"/>
                      <wps:spPr>
                        <a:xfrm>
                          <a:off x="0" y="0"/>
                          <a:ext cx="6480175" cy="385445"/>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20</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20</w:t>
                      </w:r>
                    </w:p>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lineRule="auto" w:line="276" w:before="0" w:after="240"/>
        <w:jc w:val="both"/>
        <w:rPr>
          <w:rFonts w:ascii="Times New Roman;sans-serif" w:hAnsi="Times New Roman;sans-serif"/>
          <w:b/>
          <w:i/>
          <w:color w:val="000000"/>
          <w:sz w:val="20"/>
        </w:rPr>
      </w:pPr>
      <w:r>
        <w:rPr>
          <w:rFonts w:ascii="Times New Roman;sans-serif" w:hAnsi="Times New Roman;sans-serif"/>
          <w:b/>
          <w:i/>
          <w:color w:val="000000"/>
          <w:sz w:val="20"/>
        </w:rPr>
        <w:t>We may acquire or invest in business, technologies, services, products and other assets, which may divert our management’s attention and result in the incurrence of debt or dilution to our shareholders. We may be unable to integrate acquired businesses and technologies successfully or achieve the expected benefits of such acquisitions.</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part of our business strategy, we continually evaluate and consider potential strategic transactions, including acquisitions of, or investments in, businesses, technologies, services, products and other assets in the future. For instance, we made certain acquisitions in late 2020 and early 2021. See “Item 4. Information on the Company—A. History and Development of the Company” and “Item 7. Major Shareholders and Related Party Transactions— B. Related Party Transactions Equity Acquisition.” We also may enter into relationships with other businesses to expand our products and platform, which could involve preferred or exclusive licenses, additional channels of distribution, discount pricing or investments in other companies.</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Any acquisition, investment or business relationship may result in unforeseen operating difficulties and expenditures. In particular, we may encounter difficulties assimilating or integrating the businesses, technologies, products, personnel or operations of the acquired companies, particularly if the key personnel of the acquired company choose not to work for us, their products or services are not easily adapted to work with our platform, or we have difficulty retaining the customers of any acquired business due to changes in ownership, management or otherwise. Acquisitions also may disrupt our business, divert our resources or require significant management attention that would otherwise be available for development of our existing business. Moreover, the anticipated benefits of any acquisition, investment or business relationship may not be realized or we may be exposed to unknown risks or liabilities.</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Negotiating these transactions can be time consuming, difficult and expensive, and our ability to complete these transactions may often be subject to approvals that are beyond our control. Consequently, these transactions, even if announced, may not be completed. For one or more of those transactions, we may:</w:t>
      </w:r>
    </w:p>
    <w:p>
      <w:pPr>
        <w:pStyle w:val="TextBody"/>
        <w:spacing w:lineRule="auto" w:line="319" w:before="0" w:after="240"/>
        <w:ind w:left="0" w:right="0" w:hanging="360"/>
        <w:jc w:val="both"/>
        <w:rPr/>
      </w:pPr>
      <w:r>
        <w:rPr>
          <w:color w:val="000000"/>
        </w:rPr>
        <w:t>•</w:t>
      </w:r>
      <w:r>
        <w:rPr>
          <w:rFonts w:ascii="Times New Roman;sans-serif" w:hAnsi="Times New Roman;sans-serif"/>
          <w:b w:val="false"/>
          <w:color w:val="000000"/>
          <w:sz w:val="20"/>
        </w:rPr>
        <w:t>issue additional equity securities that would dilute our existing shareholders;</w:t>
      </w:r>
    </w:p>
    <w:p>
      <w:pPr>
        <w:pStyle w:val="TextBody"/>
        <w:spacing w:lineRule="auto" w:line="319" w:before="0" w:after="240"/>
        <w:ind w:left="0" w:right="0" w:hanging="360"/>
        <w:jc w:val="both"/>
        <w:rPr/>
      </w:pPr>
      <w:r>
        <w:rPr>
          <w:color w:val="000000"/>
        </w:rPr>
        <w:t>•</w:t>
      </w:r>
      <w:r>
        <w:rPr>
          <w:rFonts w:ascii="Times New Roman;sans-serif" w:hAnsi="Times New Roman;sans-serif"/>
          <w:b w:val="false"/>
          <w:color w:val="000000"/>
          <w:sz w:val="20"/>
        </w:rPr>
        <w:t>use cash that we may need in the future to operate our business;</w:t>
      </w:r>
    </w:p>
    <w:p>
      <w:pPr>
        <w:pStyle w:val="TextBody"/>
        <w:spacing w:lineRule="auto" w:line="319" w:before="0" w:after="240"/>
        <w:ind w:left="0" w:right="0" w:hanging="360"/>
        <w:jc w:val="both"/>
        <w:rPr/>
      </w:pPr>
      <w:r>
        <w:rPr>
          <w:color w:val="000000"/>
        </w:rPr>
        <w:t>•</w:t>
      </w:r>
      <w:r>
        <w:rPr>
          <w:rFonts w:ascii="Times New Roman;sans-serif" w:hAnsi="Times New Roman;sans-serif"/>
          <w:b w:val="false"/>
          <w:color w:val="000000"/>
          <w:sz w:val="20"/>
        </w:rPr>
        <w:t>incur large charges or substantial liabilities;</w:t>
      </w:r>
    </w:p>
    <w:p>
      <w:pPr>
        <w:pStyle w:val="TextBody"/>
        <w:spacing w:lineRule="auto" w:line="319" w:before="0" w:after="240"/>
        <w:ind w:left="0" w:right="0" w:hanging="360"/>
        <w:jc w:val="both"/>
        <w:rPr/>
      </w:pPr>
      <w:r>
        <w:rPr>
          <w:color w:val="000000"/>
        </w:rPr>
        <w:t>•</w:t>
      </w:r>
      <w:r>
        <w:rPr>
          <w:rFonts w:ascii="Times New Roman;sans-serif" w:hAnsi="Times New Roman;sans-serif"/>
          <w:b w:val="false"/>
          <w:color w:val="000000"/>
          <w:sz w:val="20"/>
        </w:rPr>
        <w:t>incur debt on terms unfavorable to us or that we are unable to repay;</w:t>
      </w:r>
    </w:p>
    <w:p>
      <w:pPr>
        <w:pStyle w:val="TextBody"/>
        <w:spacing w:lineRule="auto" w:line="319" w:before="0" w:after="240"/>
        <w:ind w:left="0" w:right="0" w:hanging="360"/>
        <w:jc w:val="both"/>
        <w:rPr/>
      </w:pPr>
      <w:r>
        <w:rPr>
          <w:color w:val="000000"/>
        </w:rPr>
        <w:t>•</w:t>
      </w:r>
      <w:r>
        <w:rPr>
          <w:rFonts w:ascii="Times New Roman;sans-serif" w:hAnsi="Times New Roman;sans-serif"/>
          <w:b w:val="false"/>
          <w:color w:val="000000"/>
          <w:sz w:val="20"/>
        </w:rPr>
        <w:t>encounter difficulties retaining key employees of the acquired company or integrating diverse software codes or business cultures; or</w:t>
      </w:r>
    </w:p>
    <w:p>
      <w:pPr>
        <w:pStyle w:val="TextBody"/>
        <w:spacing w:lineRule="auto" w:line="319" w:before="0" w:after="240"/>
        <w:ind w:left="0" w:right="0" w:hanging="360"/>
        <w:jc w:val="both"/>
        <w:rPr/>
      </w:pPr>
      <w:r>
        <w:rPr>
          <w:color w:val="000000"/>
        </w:rPr>
        <w:t>•</w:t>
      </w:r>
      <w:r>
        <w:rPr>
          <w:rFonts w:ascii="Times New Roman;sans-serif" w:hAnsi="Times New Roman;sans-serif"/>
          <w:b w:val="false"/>
          <w:color w:val="000000"/>
          <w:sz w:val="20"/>
        </w:rPr>
        <w:t>become subject to adverse tax consequences, substantial depreciation, or deferred compensation charges. The occurrence of any of these foregoing could adversely affect our business, operating results and financial condition.</w:t>
      </w:r>
    </w:p>
    <w:p>
      <w:pPr>
        <w:pStyle w:val="TextBody"/>
        <w:spacing w:lineRule="auto" w:line="319" w:before="0" w:after="240"/>
        <w:jc w:val="both"/>
        <w:rPr>
          <w:rFonts w:ascii="Times New Roman;sans-serif" w:hAnsi="Times New Roman;sans-serif"/>
          <w:b/>
          <w:i/>
          <w:color w:val="000000"/>
          <w:sz w:val="20"/>
        </w:rPr>
      </w:pPr>
      <w:r>
        <w:rPr>
          <w:rFonts w:ascii="Times New Roman;sans-serif" w:hAnsi="Times New Roman;sans-serif"/>
          <w:b/>
          <w:i/>
          <w:color w:val="000000"/>
          <w:sz w:val="20"/>
        </w:rPr>
        <w:t>We may have insufficient transmission bandwidth and co-location space, which could result in disruptions to our platform and loss of revenue.</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operations are dependent in part upon transmission bandwidth provided by third-party network or cloud providers and leasing co-location facilities for our servers and equipment. There can be no assurance that we are adequately prepared for unexpected increases in bandwidth demands by our customers. In the first half of 2020 we experienced a spike in usage as a result of demand for online real-time engagement spurred by COVID-19. Although we were able to scale our network infrastructure in response, the general increase in demand for bandwidth and servers increased prices which in turn adversely impacted our gross margin. Failure to contain the </w:t>
      </w:r>
    </w:p>
    <w:p>
      <w:pPr>
        <w:pStyle w:val="HorizontalLine"/>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385445"/>
                <wp:effectExtent l="0" t="0" r="0" b="0"/>
                <wp:wrapNone/>
                <wp:docPr id="25" name="Frame25"/>
                <a:graphic xmlns:a="http://schemas.openxmlformats.org/drawingml/2006/main">
                  <a:graphicData uri="http://schemas.microsoft.com/office/word/2010/wordprocessingShape">
                    <wps:wsp>
                      <wps:cNvSpPr txBox="1"/>
                      <wps:spPr>
                        <a:xfrm>
                          <a:off x="0" y="0"/>
                          <a:ext cx="6480175" cy="385445"/>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21</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21</w:t>
                      </w:r>
                    </w:p>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lineRule="auto" w:line="319"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further spread, or any resurgence, of COVID-19 may affect our ability to cost-effectively maintain and expand our network infrastructure, which could severely disrupt our business and operations and adversely affect our operating results and financial condition.</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bandwidth we have contracted to purchase may become unavailable for a variety of reasons, including service outages, payment disputes, network providers going out of business, natural disasters, pandemics, networks imposing traffic limits, or governments adopting regulations that impact network operations. We also may be unable to move quickly enough to augment capacity to reflect growing traffic or security demands. Failure to put in place the capacity we require could result in a reduction in, or disruption of, service to our customers, require us to issue credits and ultimately a loss of those customers. Such a failure could result in our inability to acquire new customers demanding capacity not available on our platform. If we are unable to provide sufficient bandwidth, we may also become contractually obligated to provide affected customers with service credits under service or experience level commitments in our customer agreements.</w:t>
      </w:r>
    </w:p>
    <w:p>
      <w:pPr>
        <w:pStyle w:val="TextBody"/>
        <w:spacing w:lineRule="auto" w:line="319" w:before="0" w:after="240"/>
        <w:jc w:val="both"/>
        <w:rPr>
          <w:rFonts w:ascii="Times New Roman;sans-serif" w:hAnsi="Times New Roman;sans-serif"/>
          <w:b/>
          <w:i/>
          <w:color w:val="000000"/>
          <w:sz w:val="20"/>
        </w:rPr>
      </w:pPr>
      <w:r>
        <w:rPr>
          <w:rFonts w:ascii="Times New Roman;sans-serif" w:hAnsi="Times New Roman;sans-serif"/>
          <w:b/>
          <w:i/>
          <w:color w:val="000000"/>
          <w:sz w:val="20"/>
        </w:rPr>
        <w:t>Seasonality may cause fluctuations in our sales and operating results.</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Although we have not historically experienced significant seasonality with respect to our revenue throughout the year given the growth in the adoption and usage of our platform, we have seen moderate seasonality in some use cases such as education and gaming. We have experienced lower growth in usage in the first quarter of prior years as Chinese end users reduce online activity due to the Lunar New Year and have experienced higher growth in usage in the third quarter as end users increase online activity due to fewer school days, which gives more opportunity to engage in gaming or take online education classes. The rapid growth in our business has offset this seasonal trend to date, particularly in the first half of 2020 due to the impact of COVID-19, but its impact on revenue may be more pronounced in future periods.</w:t>
      </w:r>
    </w:p>
    <w:p>
      <w:pPr>
        <w:pStyle w:val="TextBody"/>
        <w:spacing w:lineRule="auto" w:line="276" w:before="0" w:after="0"/>
        <w:rPr>
          <w:rFonts w:ascii="Times New Roman;sans-serif" w:hAnsi="Times New Roman;sans-serif"/>
          <w:b/>
          <w:i/>
          <w:color w:val="000000"/>
          <w:sz w:val="20"/>
        </w:rPr>
      </w:pPr>
      <w:r>
        <w:rPr>
          <w:rFonts w:ascii="Times New Roman;sans-serif" w:hAnsi="Times New Roman;sans-serif"/>
          <w:b/>
          <w:i/>
          <w:color w:val="000000"/>
          <w:sz w:val="20"/>
        </w:rPr>
        <w:t>Defects, errors or security vulnerabilities that we may not be able to catch in our products or that may come up as we upgrade our products or launch new products could diminish demand for our products, harm our business and operating results and subject us to liability.</w:t>
      </w:r>
    </w:p>
    <w:p>
      <w:pPr>
        <w:pStyle w:val="TextBody"/>
        <w:spacing w:before="0" w:after="0"/>
        <w:rPr/>
      </w:pPr>
      <w:r>
        <w:rPr/>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customers use our products for important aspects of their businesses, and any errors, defects, security vulnerabilities or disruptions to our products and any other performance problems with our products could damage our customers’ businesses and, in turn, hurt our brand and reputation. We provide regular updates to our products, which have in the past contained, and may in the future contain, undetected errors, failures, vulnerabilities and bugs when first introduced or released. Real or perceived errors, failures or bugs in our products could result in negative publicity, loss of or delay in market acceptance of our platform, loss of competitive position, lower customer retention or claims by customers for losses sustained by them. In such an event, we may be required, or may choose, for customer relations or other reasons, to expend additional resources in order to help correct the problem. While we constantly release updates to mitigate vulnerabilities, errors and bugs and eliminate corresponding threats, we cannot assure you that our customers will install or incorporate such updates properly or at all. In addition, we have very limited insurance coverage for our operations in the PRC, the United States and other jurisdictions to compensate us for any losses that may result from claims arising from defects or disruptions in our products. As a result, our reputation and our brand could be harmed, and our business, operating results and financial condition may be adversely affected.</w:t>
      </w:r>
    </w:p>
    <w:p>
      <w:pPr>
        <w:pStyle w:val="TextBody"/>
        <w:spacing w:lineRule="auto" w:line="319" w:before="0" w:after="240"/>
        <w:jc w:val="both"/>
        <w:rPr>
          <w:rFonts w:ascii="Times New Roman;sans-serif" w:hAnsi="Times New Roman;sans-serif"/>
          <w:b/>
          <w:i/>
          <w:color w:val="000000"/>
          <w:sz w:val="20"/>
        </w:rPr>
      </w:pPr>
      <w:r>
        <w:rPr>
          <w:rFonts w:ascii="Times New Roman;sans-serif" w:hAnsi="Times New Roman;sans-serif"/>
          <w:b/>
          <w:i/>
          <w:color w:val="000000"/>
          <w:sz w:val="20"/>
        </w:rPr>
        <w:t>The estimates of market opportunity and forecasts of market growth included in this annual report may prove to be inaccurate, and any real or perceived inaccuracies may harm our reputation and negatively affect our business. Even if the market in which we compete achieves the forecasted growth, our business could fail to grow at similar rates, if at all.</w:t>
      </w:r>
    </w:p>
    <w:p>
      <w:pPr>
        <w:pStyle w:val="HorizontalLine"/>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385445"/>
                <wp:effectExtent l="0" t="0" r="0" b="0"/>
                <wp:wrapNone/>
                <wp:docPr id="26" name="Frame26"/>
                <a:graphic xmlns:a="http://schemas.openxmlformats.org/drawingml/2006/main">
                  <a:graphicData uri="http://schemas.microsoft.com/office/word/2010/wordprocessingShape">
                    <wps:wsp>
                      <wps:cNvSpPr txBox="1"/>
                      <wps:spPr>
                        <a:xfrm>
                          <a:off x="0" y="0"/>
                          <a:ext cx="6480175" cy="385445"/>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22</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22</w:t>
                      </w:r>
                    </w:p>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Market opportunity estimates and growth forecasts included in this annual report are subject to significant uncertainty and are based on assumptions and estimates that may not prove to be accurate. The variables that go into the calculation of our market opportunity are subject to change over time, and there is no guarantee that any particular number or percentage of addressable companies or end users covered by our market opportunity estimates will purchase our products at all or generate any particular level of revenue for us. Even if the market in which we compete meets the size estimates and growth forecasted in this annual report, our business could fail to grow for a variety of reasons, including reasons outside of our control, such as competition in our industry.</w:t>
      </w:r>
    </w:p>
    <w:p>
      <w:pPr>
        <w:pStyle w:val="TextBody"/>
        <w:spacing w:lineRule="auto" w:line="319" w:before="0" w:after="240"/>
        <w:jc w:val="both"/>
        <w:rPr>
          <w:rFonts w:ascii="Times New Roman;sans-serif" w:hAnsi="Times New Roman;sans-serif"/>
          <w:b/>
          <w:i/>
          <w:color w:val="000000"/>
          <w:sz w:val="20"/>
        </w:rPr>
      </w:pPr>
      <w:r>
        <w:rPr>
          <w:rFonts w:ascii="Times New Roman;sans-serif" w:hAnsi="Times New Roman;sans-serif"/>
          <w:b/>
          <w:i/>
          <w:color w:val="000000"/>
          <w:sz w:val="20"/>
        </w:rPr>
        <w:t>If relations between China and the United States deteriorate, our business, operating results and financial condition could be adversely affected.</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At various times during recent years, the United States and China have had significant disagreements over monetary, economic, political and social issues, including currently in relation to the COVID-19 pandemic, and future relations between these two countries may deteriorate. Changes in political conditions and changes in the state of China-U.S. relations are difficult to predict and could adversely affect our business, operating results and financial condition. In addition, because of our extensive operations in the Chinese market, any deterioration in political or trade relations might cause a public perception in the United States or elsewhere that might cause our products to become less attractive. We cannot predict what effect any changes in China-U.S. relations may have on our ability to access capital or effectively do business in China or the United States. Moreover, any political or trade controversies between the United States and China, whether or not directly related to our business, could cause investors to be unwilling to hold or buy our ADSs and consequently cause the trading price of our ADSs to decline.</w:t>
      </w:r>
    </w:p>
    <w:p>
      <w:pPr>
        <w:pStyle w:val="TextBody"/>
        <w:spacing w:lineRule="auto" w:line="319" w:before="0" w:after="240"/>
        <w:jc w:val="both"/>
        <w:rPr>
          <w:rFonts w:ascii="Times New Roman;sans-serif" w:hAnsi="Times New Roman;sans-serif"/>
          <w:b/>
          <w:i/>
          <w:color w:val="000000"/>
          <w:sz w:val="20"/>
        </w:rPr>
      </w:pPr>
      <w:r>
        <w:rPr>
          <w:rFonts w:ascii="Times New Roman;sans-serif" w:hAnsi="Times New Roman;sans-serif"/>
          <w:b/>
          <w:i/>
          <w:color w:val="000000"/>
          <w:sz w:val="20"/>
        </w:rPr>
        <w:t>Breaches of our networks or systems, or those of our service providers, could degrade our ability to conduct our business, compromise the integrity of our products, platform and data, result in significant data losses and the theft of our intellectual property, damage our reputation, expose us to liability to third parties and require us to incur significant additional costs to maintain the security of our networks and data.</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depend on our IT systems to conduct virtually all of our business operations, ranging from our internal operations and research and development activities to our marketing and sales efforts and communications with our customers, service providers and business partners. Individuals or entities may attempt to penetrate our network security, or that of our platform, and to cause harm to our business operations, including by misappropriating our proprietary information or that of our customers, employees, service providers and business partners or to cause interruptions of our products and platform. Because the vulnerabilities and techniques used by such individuals or entities to access, disrupt or sabotage devices, systems and networks change frequently and may not be recognized until launched against a target, we may be unable to anticipate these techniques, and we may not become aware in a timely manner of such a security breach, which could exacerbate any damage we experience. We do not access, share, record or store any of the real-time interactions that are facilitated by our platform other than transmission quality data that enables us to continue to improve our platform and in select cases where developers choose to integrate our Real-Time Recording product, for example to enable content replay or ensure customer service levels. Techniques used to sabotage or obtain unauthorized access to systems or networks are constantly evolving and, in some instances, are not identified until after they have been launched against a target. We and our service providers may be unable to anticipate these techniques, react in a timely manner, or implement adequate preventative and mitigating measures. Any data security incidents, including internal malfeasance or errors by our employees or contractors, unauthorized access or usage, virus or similar breach, incident or disruption of us or our service providers could result in loss of confidential information and any such unauthorized access or usage, breach, incident, or disruption, or the perception that any of these has occurred, could result in damage to our reputation, loss of customers, litigation, regulatory investigations, fines, penalties and other liabilities. Accordingly, if our cybersecurity measures or those of our service providers fail to protect against unauthorized access, attacks (which may include sophisticated cyberattacks), compromise or the mishandling of data by our employees, service </w:t>
      </w:r>
    </w:p>
    <w:p>
      <w:pPr>
        <w:pStyle w:val="HorizontalLine"/>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385445"/>
                <wp:effectExtent l="0" t="0" r="0" b="0"/>
                <wp:wrapNone/>
                <wp:docPr id="27" name="Frame27"/>
                <a:graphic xmlns:a="http://schemas.openxmlformats.org/drawingml/2006/main">
                  <a:graphicData uri="http://schemas.microsoft.com/office/word/2010/wordprocessingShape">
                    <wps:wsp>
                      <wps:cNvSpPr txBox="1"/>
                      <wps:spPr>
                        <a:xfrm>
                          <a:off x="0" y="0"/>
                          <a:ext cx="6480175" cy="385445"/>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23</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23</w:t>
                      </w:r>
                    </w:p>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lineRule="auto" w:line="319"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providers and business partners, then our reputation, business, operating results and financial condition could be adversely affected. Even the perception of inadequate security may damage our reputation and market position. Further, we could be required to expend significant capital and other resources to protect against and address any data security incident or breach, including required notifications in certain cases, which may not be covered or fully covered by our insurance and which may involve payments for investigations, forensic analyses, regulatory compliance, breach notification, legal advice, public relations advice, system repair or replacement, or other services. We and our third-party vendors and service providers also may face difficulties or delays in identifying or responding to, and remediating and otherwise responding to, cyberattacks and other security breaches and incidents. We have incurred substantial costs in efforts to protect our platform and networks against potential attacks and potential impacts of vulnerabilities, and anticipate doing so in the future. If we are unable to efficiently and effectively maintain and upgrade our system safeguards, we may incur unexpected costs and certain of our systems may become more vulnerable to unauthorized access or disruption. Any of the foregoing could have a material adverse effect on our business, financial condition, results of operations, market position and reputation.</w:t>
      </w:r>
    </w:p>
    <w:p>
      <w:pPr>
        <w:pStyle w:val="TextBody"/>
        <w:spacing w:before="0" w:after="0"/>
        <w:rPr/>
      </w:pPr>
      <w:r>
        <w:rPr/>
      </w:r>
    </w:p>
    <w:p>
      <w:pPr>
        <w:pStyle w:val="TextBody"/>
        <w:spacing w:lineRule="auto" w:line="319" w:before="0" w:after="240"/>
        <w:jc w:val="both"/>
        <w:rPr>
          <w:rFonts w:ascii="Times New Roman;sans-serif" w:hAnsi="Times New Roman;sans-serif"/>
          <w:b/>
          <w:i/>
          <w:color w:val="000000"/>
          <w:sz w:val="20"/>
        </w:rPr>
      </w:pPr>
      <w:r>
        <w:rPr>
          <w:rFonts w:ascii="Times New Roman;sans-serif" w:hAnsi="Times New Roman;sans-serif"/>
          <w:b/>
          <w:i/>
          <w:color w:val="000000"/>
          <w:sz w:val="20"/>
        </w:rPr>
        <w:t>Our reliance on third-party SaaS technologies may adversely affect our business, operating results and financial condition.</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rely on hosted SaaS technologies from third parties to operate critical internal functions of our business, including enterprise collaboration and customer relations management services. If one or more of these services become unavailable due to extended outages or interruptions, or because they are no longer operated in a reasonably secure manner or available on commercially reasonable terms or prices, our expenses could increase as we consider appropriate alternatives. As a result, our ability to manage our operations could be interrupted and our processes for managing our sales process and supporting our customers could be impaired until equivalent services, if available, are identified, obtained and implemented, all of which could adversely affect our business, operating results and financial condition.</w:t>
      </w:r>
    </w:p>
    <w:p>
      <w:pPr>
        <w:pStyle w:val="TextBody"/>
        <w:spacing w:lineRule="auto" w:line="319" w:before="0" w:after="240"/>
        <w:jc w:val="both"/>
        <w:rPr>
          <w:rFonts w:ascii="Times New Roman;sans-serif" w:hAnsi="Times New Roman;sans-serif"/>
          <w:b/>
          <w:i/>
          <w:color w:val="000000"/>
          <w:sz w:val="20"/>
        </w:rPr>
      </w:pPr>
      <w:r>
        <w:rPr>
          <w:rFonts w:ascii="Times New Roman;sans-serif" w:hAnsi="Times New Roman;sans-serif"/>
          <w:b/>
          <w:i/>
          <w:color w:val="000000"/>
          <w:sz w:val="20"/>
        </w:rPr>
        <w:t>We may in the future become involved in disputes relating to alleged infringement of intellectual property rights, which could adversely affect our business, operating results and financial condition.</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There is considerable patent and other intellectual property development activity in our industry. Our future success depends, in part, on not infringing the intellectual property rights of others. Our competitors or other third parties may in the future claim that our products or platform and underlying technology infringe on their intellectual property rights, and we may be found to be infringing on such rights. We may be unaware of the intellectual property rights of others that may cover some or all of our technology. Any claims or litigation could cause us to incur significant expenses and, if successfully asserted against us, could require that we pay substantial damages or ongoing royalty payments, prevent us from offering our products, require us to develop alternative non-infringing technology or require that we comply with other unfavorable terms, any of which could significantly increase our operating expenses. We may also be obligated to indemnify our customers or business partners in connection with any such litigation and to obtain licenses or modify our products or platform, which could further exhaust our resources. Even if we were to prevail in the event of claims or litigation against us, any claim or litigation regarding intellectual property could be costly and time-consuming and divert the attention of our management and other employees from our business. Patent infringement, trademark infringement, trade secret misappropriation and other intellectual property claims and proceedings brought against us, whether successful or not, could harm our brand, business, operating results and financial condition.</w:t>
      </w:r>
    </w:p>
    <w:p>
      <w:pPr>
        <w:pStyle w:val="TextBody"/>
        <w:spacing w:lineRule="auto" w:line="319" w:before="0" w:after="240"/>
        <w:jc w:val="both"/>
        <w:rPr>
          <w:rFonts w:ascii="Times New Roman;sans-serif" w:hAnsi="Times New Roman;sans-serif"/>
          <w:b/>
          <w:i/>
          <w:color w:val="000000"/>
          <w:sz w:val="20"/>
        </w:rPr>
      </w:pPr>
      <w:r>
        <w:rPr>
          <w:rFonts w:ascii="Times New Roman;sans-serif" w:hAnsi="Times New Roman;sans-serif"/>
          <w:b/>
          <w:i/>
          <w:color w:val="000000"/>
          <w:sz w:val="20"/>
        </w:rPr>
        <w:t>Indemnity provisions in various agreements potentially expose us to substantial liability for intellectual property infringement and other losses.</w:t>
      </w:r>
    </w:p>
    <w:p>
      <w:pPr>
        <w:pStyle w:val="HorizontalLine"/>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385445"/>
                <wp:effectExtent l="0" t="0" r="0" b="0"/>
                <wp:wrapNone/>
                <wp:docPr id="28" name="Frame28"/>
                <a:graphic xmlns:a="http://schemas.openxmlformats.org/drawingml/2006/main">
                  <a:graphicData uri="http://schemas.microsoft.com/office/word/2010/wordprocessingShape">
                    <wps:wsp>
                      <wps:cNvSpPr txBox="1"/>
                      <wps:spPr>
                        <a:xfrm>
                          <a:off x="0" y="0"/>
                          <a:ext cx="6480175" cy="385445"/>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24</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24</w:t>
                      </w:r>
                    </w:p>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agreements with customers and other third parties typically include indemnification or other provisions under which we agree to indemnify or otherwise be liable to them for losses suffered or incurred as a result of claims of intellectual property infringement, damages caused by us to property or persons or other liabilities relating to or arising from our products or platform or other acts or omissions. The term of these contractual provisions often survives termination or expiration of the applicable agreement. Large indemnity payments or damage claims from contractual breach could harm our business, operating results and financial condition. Although typically we contractually limit our liability with respect to such obligations, we may still incur substantial liability related to them. Any dispute with a customer with respect to such obligations could have adverse effects on our relationship with that customer and other current and prospective customers, demand for our products and adversely affect our business, operating results and financial condition.</w:t>
      </w:r>
    </w:p>
    <w:p>
      <w:pPr>
        <w:pStyle w:val="TextBody"/>
        <w:spacing w:lineRule="auto" w:line="319" w:before="0" w:after="240"/>
        <w:jc w:val="both"/>
        <w:rPr>
          <w:rFonts w:ascii="Times New Roman;sans-serif" w:hAnsi="Times New Roman;sans-serif"/>
          <w:b/>
          <w:i/>
          <w:color w:val="000000"/>
          <w:sz w:val="20"/>
        </w:rPr>
      </w:pPr>
      <w:r>
        <w:rPr>
          <w:rFonts w:ascii="Times New Roman;sans-serif" w:hAnsi="Times New Roman;sans-serif"/>
          <w:b/>
          <w:i/>
          <w:color w:val="000000"/>
          <w:sz w:val="20"/>
        </w:rPr>
        <w:t>Our use of open source software could negatively affect our ability to sell our products and subject us to possible litigation.</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products and platform incorporate open source software, and we expect to continue to incorporate open source software in our products and platform in the future. Few of the licenses applicable to open source software have been interpreted by courts, and there is a risk that these licenses could be construed in a manner that could impose unanticipated conditions or restrictions on our ability to commercialize our products and platform. Moreover, although we have implemented policies to regulate the use and incorporation of open source software into our products and platform, we cannot be certain that we have not incorporated open source software in our products or platform in a manner that is inconsistent with such policies. When we utilize open source software in our products in certain ways, the applicable open source licenses may subject us and our customers to certain requirements, including requirements that we and our customers offer the products that incorporate the open source software for no cost, make available source code for modifications or derivative works that are based on, incorporate or use the open source software, and license such modifications or derivative works under the terms of applicable open source licenses. In some cases, open source software is also offered under commercial terms which do not include such requirements and obligations, in exchange for the payment of fees to be negotiated with the author or licensors. We have entered into a license agreement with a third-party licensor relating to certain open source software incorporated in certain of our and our customers’ products. However, in the future we may still receive notices alleging that our usage of other unlicensed open source software does not comply with the applicable license, or such usage requires us to obtain a commercial license. If it were determined that we had not complied with the conditions of one or more of these open source licenses, or if we are unable to successfully negotiate an acceptable commercial license, we and our customers could be required to incur significant legal expenses defending against such allegations and could be subject to significant damages, enjoined or otherwise prohibited from distributing our products that contained the open source software, and be required to comply with onerous conditions or restrictions on these products. In any of these events, we and our customers could be required to seek licenses from third parties in order to continue offering our respective products and platforms, and to re-engineer our products or platforms or discontinue offering our products in the event re-engineering cannot be accomplished on a timely basis. Any of the foregoing could require us and our customers to devote additional research and development resources to re-engineer our products or platforms, harm our reputation, or result in customer dissatisfaction, and may adversely affect our business, operating results and financial condition.</w:t>
      </w:r>
    </w:p>
    <w:p>
      <w:pPr>
        <w:pStyle w:val="TextBody"/>
        <w:spacing w:lineRule="auto" w:line="319" w:before="0" w:after="240"/>
        <w:rPr>
          <w:rFonts w:ascii="Times New Roman;sans-serif" w:hAnsi="Times New Roman;sans-serif"/>
          <w:b/>
          <w:i/>
          <w:color w:val="000000"/>
          <w:sz w:val="20"/>
        </w:rPr>
      </w:pPr>
      <w:r>
        <w:rPr>
          <w:rFonts w:ascii="Times New Roman;sans-serif" w:hAnsi="Times New Roman;sans-serif"/>
          <w:b/>
          <w:i/>
          <w:color w:val="000000"/>
          <w:sz w:val="20"/>
        </w:rPr>
        <w:t>We face certain risks relating to the real properties that we lease.</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lease office spaces from third parties for our operations in the United States and China. Any limitations on the leased properties, or lessors’ title to such properties, may impact our use of the offices, or in extreme cases, result in relocation, which may in turn adversely affect our business operations. For example, some of our lessors in China failed to provide us with valid property ownership certificates or authorizations from the property owners for the lessors to sublease the properties, and some of our leased properties have been mortgaged by the owners to third </w:t>
      </w:r>
    </w:p>
    <w:p>
      <w:pPr>
        <w:pStyle w:val="HorizontalLine"/>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385445"/>
                <wp:effectExtent l="0" t="0" r="0" b="0"/>
                <wp:wrapNone/>
                <wp:docPr id="29" name="Frame29"/>
                <a:graphic xmlns:a="http://schemas.openxmlformats.org/drawingml/2006/main">
                  <a:graphicData uri="http://schemas.microsoft.com/office/word/2010/wordprocessingShape">
                    <wps:wsp>
                      <wps:cNvSpPr txBox="1"/>
                      <wps:spPr>
                        <a:xfrm>
                          <a:off x="0" y="0"/>
                          <a:ext cx="6480175" cy="385445"/>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25</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25</w:t>
                      </w:r>
                    </w:p>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lineRule="auto" w:line="319"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parties such as banks. In addition, certain lease agreements of our leased properties in China may not have been registered with the applicable PRC government authorities as required by PRC law, and although failure to do so does not in itself invalidate the leases, we may be exposed to potential fines if we fail to rectify within the prescribed time period after receiving notices from the relevant PRC government authorities.</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the date of this annual report, we are not aware of any actions or claims raised by any third parties challenging our use of these properties we currently lease, nor have we received any notices from the PRC government authorities. Despite that, if any third parties who purport to be property owners or mortgagees challenge our right to use the leased properties, it could result in a diversion of management attention and cause us to incur costs associated with defending such actions or claims.</w:t>
      </w:r>
    </w:p>
    <w:p>
      <w:pPr>
        <w:pStyle w:val="TextBody"/>
        <w:spacing w:lineRule="auto" w:line="319" w:before="0" w:after="240"/>
        <w:jc w:val="both"/>
        <w:rPr>
          <w:rFonts w:ascii="Times New Roman;sans-serif" w:hAnsi="Times New Roman;sans-serif"/>
          <w:b/>
          <w:i/>
          <w:color w:val="000000"/>
          <w:sz w:val="20"/>
        </w:rPr>
      </w:pPr>
      <w:r>
        <w:rPr>
          <w:rFonts w:ascii="Times New Roman;sans-serif" w:hAnsi="Times New Roman;sans-serif"/>
          <w:b/>
          <w:i/>
          <w:color w:val="000000"/>
          <w:sz w:val="20"/>
        </w:rPr>
        <w:t>Our business is subject to a variety of U.S., PRC and international laws and regulations, including those regarding privacy, cybersecurity and data protection, and our customers may be subject to regulations related to the handling and transfer of certain types of sensitive and confidential information. Any failure of our platform to comply with or enable our customers to comply with applicable laws and regulations could harm our business, operating results and financial condition.</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and our customers that use our products may be subject to privacy, cybersecurity and data protection-related laws and regulations that impose obligations in connection with the collection, processing and use of personal data, financial data, health or other similar data and general cybersecurity. The U.S. federal and various state governments as well as the PRC government and governments in other countries have adopted or proposed limitations on, or requirements regarding, the collection, distribution, use, security and storage of information, including personally identifiable information of individuals. In the United States, the U.S. Federal Trade Commission and numerous state attorneys general are applying federal and state consumer protection laws to impose standards on the online collection, use and dissemination of data, and to the security measures applied to such data. Also, the U.S. Congress enacted the Export Controls Act of 2018, or ECA, with the principal purpose to enhance protection of U.S. technology resources by imposing greater restrictions on the transfer to non-U.S. individuals and companies, particularly through exports to China, of certain key foundational and emerging technologies and cybersecurity considered critical to U.S. national security. The ECA has broadened the scope of U.S. export controls policy to protect a wider range of national security interests, including telecommunications technology, against perceived challenges presented by the PRC. The U.S. government may require us to assist in its investigations related to U.S. national security by providing requested information. In the PRC, the PRC Cybersecurity Law and relevant regulations require network operators, which may include us, to ensure the security and stability of the services provided via network and to provide assistance and support in accordance with the law for public security and national security authorities to protect national security or assist with criminal investigations.</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Similarly, many other countries and governmental bodies, including the EU member states, have laws and regulations concerning the collection and use of personal data obtained from individuals located in the EU or by businesses operating within their jurisdiction, which are often more restrictive than those in the United States. Laws and regulations in these jurisdictions apply broadly to the collection, use, storage, disclosure and security of personal data that identifies or may be used to identify an individual, such as names, telephone numbers, email addresses and, in certain circumstances, IP addresses and other online identifiers.</w:t>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example, the EU has adopted the General Data Protection Regulation, or the GDPR, which took full effect on May 25, 2018. The GDPR enhances data protection obligations for businesses and requires service providers (data processors) processing personal data on behalf of customers to cooperate with European data protection authorities, implement security measures and keep records of personal data processing activities. The UK has adopted legislation substantially implementing the GDPR, the UK General Data Protection Regulation and the UK Data Protection Act 2018, which we collectively refer to as the UK GDPR. Noncompliance with the GDPR can trigger fines equal to or greater of €20 million or 4% of global annual revenues, and the UK GDPR provides for </w:t>
      </w:r>
    </w:p>
    <w:p>
      <w:pPr>
        <w:pStyle w:val="HorizontalLine"/>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385445"/>
                <wp:effectExtent l="0" t="0" r="0" b="0"/>
                <wp:wrapNone/>
                <wp:docPr id="30" name="Frame30"/>
                <a:graphic xmlns:a="http://schemas.openxmlformats.org/drawingml/2006/main">
                  <a:graphicData uri="http://schemas.microsoft.com/office/word/2010/wordprocessingShape">
                    <wps:wsp>
                      <wps:cNvSpPr txBox="1"/>
                      <wps:spPr>
                        <a:xfrm>
                          <a:off x="0" y="0"/>
                          <a:ext cx="6480175" cy="385445"/>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26</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26</w:t>
                      </w:r>
                    </w:p>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fines for noncompliance of up to the greater of £17.5 million and 4% of total annual revenue. Given the breadth and depth of its obligations, working to meet the requirements of the GDPR has required significant time and resources, including a review of our technology and systems currently in use against the requirements of the GDPR, and similar expenditures of time and resources are required in the case of the UK GDPR. There are also additional EU laws and regulations (and member states implementations thereof), and laws and regulations in the UK, which govern the protection of consumers and of electronic communications. We have taken measures to address certain obligations under the GDPR and UK GDPR and to make us compliant with those regimes, but we may be required to take additional steps in order to comply with them. If our efforts to comply with GDPR, the UK GDPR, or other applicable EU or UK laws and regulations are not successful, we may be subject to penalties and fines that would adversely impact our business and operating results, and our ability to conduct business in the EU and UK could be significantly impaired.</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Outside of the EU, we continue to see increased regulation of privacy cybersecurity and data protection, including the adoption of more strict laws with more stringent subject matter specific state laws in the United States and with a broader scope in the PRC. For example, in 2018, California enacted the CCPA, which took effect on January 1, 2020. The CCPA gives California residents expanded rights to access and delete their personal information, opt out of certain personal information sharing, and receive detailed information about how their personal information is used. The CCPA provides for civil penalties for violations, as well as a private right of action for data breaches that is expected to increase data breach litigation. Additionally, a new privacy law, the California Privacy Rights Act, or CPRA, was approved by California voters in the November 3, 2020 election. The CPRA generally takes effect on January 1, 2023 and significantly modifies the CCPA, including by expanding consumers’ rights with respect to certain personal information and creating a new state agency to oversee implementation and enforcement efforts, potentially resulting in further uncertainty and requiring us to incur additional costs and expenses in an effort to comply. Aspects of the CCPA, the CPRA, and their interpretation remain uncertain. The CCPA, CPRA, and similar laws may increase our compliance costs and potential liability, and we may be required to modify our practices and take additional steps in an effort to comply with them. Some observers have noted that the CCPA and CPRA could mark the beginning of a trend toward more stringent state privacy legislation in the United States, which could increase our potential liability and adversely affect our business. For example, on March 2, 2021, Virginia enacted the Virginia Consumer Data Protection Act, or CDPA, a comprehensive privacy statute that shares similarities with the CCPA, CPRA and legislation proposed in other states. The CDPA will require us to incur additional costs and expenses in an effort to comply with it before it becomes effective on January 1, 2023. Broad federal privacy legislation also has been proposed in the United States. Recent and new state and federal legislation relating to privacy may add additional complexity, variation in requirements, restrictions and potential legal risk, require additional investment in resources to compliance programs, could impact strategies and availability of previously useful data and could result in increased compliance costs and/or changes in business practices and policies.</w:t>
      </w:r>
    </w:p>
    <w:p>
      <w:pPr>
        <w:pStyle w:val="TextBody"/>
        <w:spacing w:before="0" w:after="0"/>
        <w:jc w:val="both"/>
        <w:rPr/>
      </w:pPr>
      <w:r>
        <w:rPr/>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the PRC, PRC regulators, including the Ministry of Industry and Information Technology, or the MIIT and the Cyberspace Administration of China, have been increasingly focused on regulation in the areas of cybersecurity and data protection and governmental authorities have enacted a series of laws and regulations to enhance the protection of privacy and data, which require certain authorization or consent from users prior to collection, use or disclosure of their personal data and also protection of the security of the personal data of such users. Such regulations, including the Decision to Enhance the Protection of Network Information, require the internet service providers to expressly inform their users of the purpose, manner and scope of the internet services providers’ collection and use of user personal information, publish the internet services providers’ standards for their collection and use of user personal information, and collect and use user personal information only with the consent of the users and only within the scope of such consent. The MIIT issued the Order for the Protection of Telecommunication and Internet User Personal Information on July 16, 2013, further requiring internet service providers to establish and publish protocols relating to the collection or use of personal information, keep any collected information strictly confidential and take technological and other measures to maintain the security of such information. Institutions and their employees are prohibited from selling or otherwise illegally disclosing a person’s personal information obtained during the course of performing duties or providing services. In July 2020, the </w:t>
      </w:r>
    </w:p>
    <w:p>
      <w:pPr>
        <w:pStyle w:val="HorizontalLine"/>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385445"/>
                <wp:effectExtent l="0" t="0" r="0" b="0"/>
                <wp:wrapNone/>
                <wp:docPr id="31" name="Frame31"/>
                <a:graphic xmlns:a="http://schemas.openxmlformats.org/drawingml/2006/main">
                  <a:graphicData uri="http://schemas.microsoft.com/office/word/2010/wordprocessingShape">
                    <wps:wsp>
                      <wps:cNvSpPr txBox="1"/>
                      <wps:spPr>
                        <a:xfrm>
                          <a:off x="0" y="0"/>
                          <a:ext cx="6480175" cy="385445"/>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27</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27</w:t>
                      </w:r>
                    </w:p>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lineRule="auto" w:line="319"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Standing Committee of the National People’s Congress of China released a draft data security law, or the Draft Data Security Law, for public comment. The Draft Data Security Law provides for data security and privacy obligations on entities and individuals carrying out data activities. The Draft Data Security Law also introduces a national security review procedure for those data activities which may affect national security and imposes export restrictions on certain data information. In October 2020, the Standing Committee of the National People’s Congress of China released a draft personal information protection law, or the Draft Personal Information Protection Law, for public comment. The Draft Personal Information Protection Law provides for various requirements on personal information protection, including legal bases for data collection and processing, requirements on data localization and cross-border data transfer, requirements for consent and requirements on processing of sensitive personal information. As the Draft Data Security Law and Draft Personal Information Protection Law remain subject to change, we may be required to make further adjustments to our business practices to comply with the enacted form of the laws, which may increase our compliance cost and adversely affect our business performance.</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also continue to see jurisdictions imposing data localization laws, which require personal information, or certain subcategories of personal information to be stored in the jurisdiction of origin. These regulations may inhibit our ability to expand into those markets or prohibit us from continuing to offer services in those markets without significant additional costs.</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uncertainty and changes in the requirements of multiple jurisdictions may increase the cost of compliance, delay or reduce demand for our services, restrict our ability to offer services in certain locations, impact our customers’ ability to deploy our solutions in certain jurisdictions, or subject us to claims and litigation from private actors and investigations, proceedings, and sanctions by data protection regulators, all of which could harm our business, financial condition and operating results.</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although we endeavor to have our products and platform comply with applicable laws and regulations, these and other obligations may be modified, they may be interpreted and applied in an inconsistent manner from one jurisdiction to another, and they may conflict with one another, other regulatory requirements, contractual commitments or our practices.</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also may be bound by contractual obligations relating to our collection, use and disclosure of personal, financial and other data or may find it necessary or desirable to join industry or other self-regulatory bodies or other privacy, cybersecurity or data protection-related organizations that require compliance with their rules pertaining to privacy and data protection.</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expect that there will continue to be new proposed laws, rules of self-regulatory bodies, regulations and industry standards concerning privacy, data protection and information security in the United States, the PRC, the EU and other jurisdictions, and we cannot yet determine the impact such future laws, rules, regulations and standards may have on our business. Moreover, existing PRC, U.S. federal and various state and foreign privacy, cybersecurity and data protection-related laws and regulations are evolving and subject to potentially differing interpretations, and various legislative and regulatory bodies may expand current or enact new laws and regulations regarding privacy, cybersecurity and data protection-related matters. Because global laws, regulations and industry standards concerning privacy, cybersecurity and data protection have continued to develop and evolve rapidly, it is possible that we or our products or platform may not be, or may not have been, compliant with each such applicable law, regulation and industry standard and compliance with such new laws or to changes to existing laws may impact our business and practices, require us to expend significant resources to adapt to these changes, or to stop offering our products in certain countries. These developments could adversely affect our business, operating results and financial condition.</w:t>
      </w:r>
    </w:p>
    <w:p>
      <w:pPr>
        <w:pStyle w:val="HorizontalLine"/>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385445"/>
                <wp:effectExtent l="0" t="0" r="0" b="0"/>
                <wp:wrapNone/>
                <wp:docPr id="32" name="Frame32"/>
                <a:graphic xmlns:a="http://schemas.openxmlformats.org/drawingml/2006/main">
                  <a:graphicData uri="http://schemas.microsoft.com/office/word/2010/wordprocessingShape">
                    <wps:wsp>
                      <wps:cNvSpPr txBox="1"/>
                      <wps:spPr>
                        <a:xfrm>
                          <a:off x="0" y="0"/>
                          <a:ext cx="6480175" cy="385445"/>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28</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28</w:t>
                      </w:r>
                    </w:p>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Further, in many cases we rely on the data processing, privacy, data protection and cybersecurity practices of our suppliers and contractors, including with regard to maintaining the confidentiality, security and integrity of data. If we fail to manage our suppliers or contractors or their relevant practices, or if our suppliers or contractors fail to meet any requirements with regard to data processing, privacy, data protection or cybersecurity required by applicable legal or contractual obligations that we face (including any applicable requirements of our clients), we may be liable in certain cases. Legal obligations such as the GDPR, CCPA, CPRA, CDPA, the Health Insurance Portability and Accountability Act, or HIPAA, and other laws and regulations relating to privacy, cybersecurity and data protection may require us to manage our suppliers and their practices and to enter into agreements with them in certain cases. We may face difficulties in binding our suppliers and contractors to these agreements and otherwise managing their relevant practices, which may subject us to claims, proceedings, and liabilities.</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Any failure or perceived failure by us, our products or our platform to comply with new or existing U.S., PRC, EU, UK, or other foreign privacy, cybersecurity or data protection laws, regulations, policies, industry standards or legal obligations, any failure to bind our suppliers and contractors to appropriate agreements or to manage their practices or any systems failure or security incident that results in the unauthorized access to, or acquisition, release or transfer of, personally identifiable information or other data relating to customers or individuals may result in governmental investigations, inquiries, enforcement actions and prosecutions, private claims and litigation, fines and penalties, adverse publicity or potential loss of business.</w:t>
      </w:r>
    </w:p>
    <w:p>
      <w:pPr>
        <w:pStyle w:val="TextBody"/>
        <w:spacing w:lineRule="auto" w:line="319" w:before="0" w:after="240"/>
        <w:jc w:val="both"/>
        <w:rPr>
          <w:rFonts w:ascii="Times New Roman;sans-serif" w:hAnsi="Times New Roman;sans-serif"/>
          <w:b/>
          <w:i/>
          <w:color w:val="000000"/>
          <w:sz w:val="20"/>
        </w:rPr>
      </w:pPr>
      <w:r>
        <w:rPr>
          <w:rFonts w:ascii="Times New Roman;sans-serif" w:hAnsi="Times New Roman;sans-serif"/>
          <w:b/>
          <w:i/>
          <w:color w:val="000000"/>
          <w:sz w:val="20"/>
        </w:rPr>
        <w:t>Changes in laws and regulations related to the internet or changes in the internet infrastructure itself may diminish the demand for our products, and could adversely affect our business, operating results and financial condition.</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future success of our business depends on the continued use of the internet as a primary medium for commerce, communications and business applications, as well as continued growth in online real-time engagement. The PRC government and the U.S. federal and various state governments as well as foreign governments have in the past adopted, and may in the future adopt, laws or regulations affecting the use of the internet as a commercial medium. See “—Risks Related to Doing Business in China—We may be adversely affected by the complexity, uncertainties and changes in PRC laws, rules and regulations, particularly of internet businesses.”</w:t>
      </w:r>
    </w:p>
    <w:p>
      <w:pPr>
        <w:pStyle w:val="TextBody"/>
        <w:spacing w:lineRule="auto" w:line="31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current legislative and regulatory landscape regarding the regulation of the internet and, in particular, internet neutrality, in the United States is subject to uncertainty. The Federal Communications Commission, or FCC, had previously passed Open Internet rules in February 2015, which generally provided for internet neutrality with respect to fixed and mobile broadband internet service. On December 14, 2017, the FCC voted to repeal Open Internet rules generally providing for internet neutrality with respect to fixed and mobile broadband internet service regulations and return to a “light-touch” regulatory framework known as the “Restoring Internet Freedom Order.” The FCC’s new rules, which took effect on June 11, 2018, repealed the neutrality obligations imposed by the 2015 rules and granted providers of broadband internet access services greater freedom to make changes to their services, including, potentially, changes that may discriminate against or otherwise harm our business. However, a number of parties have appealed this order. On October 1, 2019, the D.C. Circuit Court of Appeals upheld the FCC’s repeal but ordered the FCC to reconsider certain elements of the repeal. On October 27, 2020, the FCC adopted an order concluding that the issues remanded by the court did not provide a basis to alter its conclusions in the 2018 order. This order could be subject to further petitions for reconsideration or court appeals. In addition, in September 2018, California enacted the California Internet Consumer Protection and Net Neutrality Act of 2018, making California the fourth state to enact a state-level net neutrality law since the FCC repealed its nationwide regulations. This act mandated that all broadband services in California be provided in accordance with California's net neutrality requirements. The U.S. Department of Justice has sued to block the law going into effect; however, on February 23, 2021, a court in the Eastern District of California ruled that California could enforce the law pending further appeal. A number of other states are considering legislation or executive action that would regulate the conduct of </w:t>
      </w:r>
    </w:p>
    <w:p>
      <w:pPr>
        <w:pStyle w:val="HorizontalLine"/>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385445"/>
                <wp:effectExtent l="0" t="0" r="0" b="0"/>
                <wp:wrapNone/>
                <wp:docPr id="33" name="Frame33"/>
                <a:graphic xmlns:a="http://schemas.openxmlformats.org/drawingml/2006/main">
                  <a:graphicData uri="http://schemas.microsoft.com/office/word/2010/wordprocessingShape">
                    <wps:wsp>
                      <wps:cNvSpPr txBox="1"/>
                      <wps:spPr>
                        <a:xfrm>
                          <a:off x="0" y="0"/>
                          <a:ext cx="6480175" cy="385445"/>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29</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29</w:t>
                      </w:r>
                    </w:p>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lineRule="auto" w:line="31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broadband providers. In its recent decision on the FCC’s repeal, the D.C. Circuit Court of Appeals also ruled that the FCC does not have the authority to bar states from passing their own net neutrality rules. It is uncertain whether the FCC will argue that some state net neutrality laws are preempted by federal law and challenge such state net neutrality laws on a case-by-case basis. Democratic control of the Executive Branch, Congress, and the FCC following the 2020 elections increases the likelihood of legislative or FCC action to reverse the 2018 decision or adopt new national network neutrality rules. We cannot predict whether the FCC order or state initiatives will be modified, overturned or vacated by legal action. Additional changes in the legislative and regulatory landscape regarding internet neutrality, or otherwise regarding the regulation of the internet, could also harm our business.</w:t>
      </w:r>
    </w:p>
    <w:p>
      <w:pPr>
        <w:pStyle w:val="TextBody"/>
        <w:spacing w:before="0" w:after="0"/>
        <w:jc w:val="both"/>
        <w:rPr/>
      </w:pPr>
      <w:r>
        <w:rPr/>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Almost all access to the internet in China is maintained through state-owned telecommunication operators under the administrative control and regulatory supervision of the MIIT. In addition, the national networks in China are connected to the internet through state-owned international gateways, which are the only channels through which a domestic user can connect to the internet outside of China. We may face similar or other limitations in other countries in which we operate. We may not have access to alternative networks in the event of disruptions, failures or other problems with the internet infrastructure in China or elsewhere. In addition, the internet infrastructure in the countries in which we operate may not support the demands associated with continued growth in internet usage.</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Changes in these laws or regulations could require us to modify our platform and products in order to comply with these changes. In addition, government agencies or private organizations have imposed and may impose additional taxes, fees or other charges for accessing the internet or commerce conducted via the internet. These laws or charges could limit the growth of internet-related commerce or communications generally, or result in reductions in the demand for internet-based products and services such as our products and platform. In addition, the use of the internet as a business tool could be adversely affected due to delays in the development or adoption of new standards and protocols to handle increased demands of internet activity, security, reliability, cost, ease-of-use, accessibility and quality of service. The performance of the internet and its acceptance as a business tool has been adversely affected by “viruses,” “worms,” and similar malicious programs. If the use of the internet is reduced as a result of these or other issues, then demand for our products could decline, which could adversely affect our business, operating results and financial condition.</w:t>
      </w:r>
    </w:p>
    <w:p>
      <w:pPr>
        <w:pStyle w:val="TextBody"/>
        <w:spacing w:lineRule="auto" w:line="319" w:before="0" w:after="240"/>
        <w:jc w:val="both"/>
        <w:rPr>
          <w:rFonts w:ascii="Times New Roman;sans-serif" w:hAnsi="Times New Roman;sans-serif"/>
          <w:b/>
          <w:i/>
          <w:color w:val="000000"/>
          <w:sz w:val="20"/>
        </w:rPr>
      </w:pPr>
      <w:r>
        <w:rPr>
          <w:rFonts w:ascii="Times New Roman;sans-serif" w:hAnsi="Times New Roman;sans-serif"/>
          <w:b/>
          <w:i/>
          <w:color w:val="000000"/>
          <w:sz w:val="20"/>
        </w:rPr>
        <w:t>Certain of our products are subject to telecommunications-related regulations, and future legislative or regulatory actions could adversely affect our business, operating results and financial condition.</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a provider of products used in communications applications, we may be indirectly or directly subject to existing or potential FCC regulations relating to the Twenty-First Century Communications and Video Accessibility Act, Telecommunications Relay Service fund contributions and other requirements. These laws require providers of certain advanced communications services to make those services accessible to parties with disabilities, including the hardware or software applications they provide, and to keep records of their compliance obligations. These laws may also require service providers to pay certain fees to support FCC accessibility initiatives. If requirements under these laws were imposed on us indirectly by our customers or directly upon us by the FCC, we would be subject to certain product design, record keeping or fee contribution obligations. FCC classification of our internet voice communications products as telecommunications services could result in additional federal and state regulatory obligations. If we do not comply with FCC rules and regulations, we could be subject to FCC enforcement actions, fines, and possibly restrictions on our ability to operate or offer certain of our products. Any enforcement action by the FCC, which may be a public process, could hurt our reputation in the industry, possibly impair our ability to sell our products to customers and could adversely affect our business, operating results and financial condition. In addition, changes pursuant to any revised FCC or state net neutrality regime may impact the regulatory classification of our business and the applicability of federal or state regulations to our business, which could adversely affect our business, operating results, and financial condition.</w:t>
      </w:r>
    </w:p>
    <w:p>
      <w:pPr>
        <w:pStyle w:val="HorizontalLine"/>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385445"/>
                <wp:effectExtent l="0" t="0" r="0" b="0"/>
                <wp:wrapNone/>
                <wp:docPr id="34" name="Frame34"/>
                <a:graphic xmlns:a="http://schemas.openxmlformats.org/drawingml/2006/main">
                  <a:graphicData uri="http://schemas.microsoft.com/office/word/2010/wordprocessingShape">
                    <wps:wsp>
                      <wps:cNvSpPr txBox="1"/>
                      <wps:spPr>
                        <a:xfrm>
                          <a:off x="0" y="0"/>
                          <a:ext cx="6480175" cy="385445"/>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30</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30</w:t>
                      </w:r>
                    </w:p>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may also be subject to a number of rules and regulations in China that apply to internet businesses. See “—Risks Related to Doing Business in China—We may be adversely affected by the complexity, uncertainties and changes in PRC laws, rules and regulations, particularly of internet businesses.” As we continue to expand internationally, we may become subject to telecommunications laws and regulations in the foreign countries where we offer our products. Internationally, we currently offer our products in more than 100 countries.</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international operations are subject to country-specific governmental regulation and related actions that may continue to increase our costs or impact our products and platform or prevent us from offering or providing our products in certain countries. Certain of our products may be used by customers located in countries where voice and other forms of IP communications may be illegal or require special licensing or in countries on a U.S. embargo list. Even where our products are reportedly illegal or become illegal or where users are located in an embargoed country, users in those countries may be able to continue to use our products in those countries notwithstanding the illegality or embargo. We may be subject to penalties or governmental action if end users continue to use our products in countries where it is illegal to do so, and any such penalties or governmental action may be costly and may harm our business and damage our brand and reputation. We may be required to incur additional expenses to meet applicable international regulatory requirements or be required to discontinue those services if required by law or if we cannot or will not meet those requirements.</w:t>
      </w:r>
    </w:p>
    <w:p>
      <w:pPr>
        <w:pStyle w:val="TextBody"/>
        <w:spacing w:lineRule="auto" w:line="319" w:before="0" w:after="240"/>
        <w:jc w:val="both"/>
        <w:rPr>
          <w:rFonts w:ascii="Times New Roman;sans-serif" w:hAnsi="Times New Roman;sans-serif"/>
          <w:b/>
          <w:i/>
          <w:color w:val="000000"/>
          <w:sz w:val="20"/>
        </w:rPr>
      </w:pPr>
      <w:r>
        <w:rPr>
          <w:rFonts w:ascii="Times New Roman;sans-serif" w:hAnsi="Times New Roman;sans-serif"/>
          <w:b/>
          <w:i/>
          <w:color w:val="000000"/>
          <w:sz w:val="20"/>
        </w:rPr>
        <w:t>We may be subject to governmental export controls and economic sanctions regulations that could impair our ability to compete in international markets due to licensing requirements and could subject us to liability if we are not in compliance with applicable laws.</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Certain of our products and services may be subject to export control and economic sanctions regulations, including the U.S. Export Administration Regulations, U.S. Customs regulations and various economic and trade sanctions regulations administered by the U.S. Treasury Department’s Office of Foreign Assets Controls. Exports of our products and the provision of our services must be made in compliance with these laws and regulations. If we fail to comply with these laws and regulations, we and certain of our employees could be subject to substantial civil or criminal penalties, including: the possible loss of export privileges; fines, which may be imposed on us and responsible employees or managers; and, in extreme cases, the incarceration of responsible employees or managers. Obtaining the necessary authorizations, including any required license, for a particular deployment may be time-consuming, is not guaranteed and may result in the delay or loss of sales opportunities. In addition, changes in our products or services, or changes in applicable export or economic sanctions regulations may create delays in the introduction and deployment of our products and services in international markets, or, in some cases, prevent the export of our products or provision of our services to certain countries or end users. Any change in export or economic sanctions regulations, shift in the enforcement or scope of existing regulations, or change in the countries, governments, persons or technologies targeted by such regulations, could also result in decreased use of our products and services, or in our decreased ability to export our products or provide our services to existing or prospective customers with international operations. Any decreased use of our products and services or limitation on our ability to export our products and provide our services could adversely affect our business, operating results and financial condition.</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Further, we incorporate encryption technology into certain of our products. Various countries regulate the import of certain encryption technology, including through import permitting and licensing requirements, and have enacted laws that could limit our customers’ ability to import our products into those countries. Encryption products and the underlying technology may also be subject to export control restrictions. Governmental regulation of encryption technology and regulation of exports of encryption products, or our failure to obtain required approval for our products, when applicable, could harm our international sales and adversely affect our revenue. Compliance with applicable regulatory requirements regarding the export of our products and provision of our services, including with respect to new releases of our products and services, may create delays in the introduction of our products and </w:t>
      </w:r>
    </w:p>
    <w:p>
      <w:pPr>
        <w:pStyle w:val="HorizontalLine"/>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385445"/>
                <wp:effectExtent l="0" t="0" r="0" b="0"/>
                <wp:wrapNone/>
                <wp:docPr id="35" name="Frame35"/>
                <a:graphic xmlns:a="http://schemas.openxmlformats.org/drawingml/2006/main">
                  <a:graphicData uri="http://schemas.microsoft.com/office/word/2010/wordprocessingShape">
                    <wps:wsp>
                      <wps:cNvSpPr txBox="1"/>
                      <wps:spPr>
                        <a:xfrm>
                          <a:off x="0" y="0"/>
                          <a:ext cx="6480175" cy="385445"/>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31</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31</w:t>
                      </w:r>
                    </w:p>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lineRule="auto" w:line="319"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services in international markets, prevent our customers with international operations from deploying our products and using our services throughout their globally-distributed systems or, in some cases, prevent the export of our products or provision of our services to some countries altogether.</w:t>
      </w:r>
    </w:p>
    <w:p>
      <w:pPr>
        <w:pStyle w:val="TextBody"/>
        <w:spacing w:lineRule="auto" w:line="319" w:before="0" w:after="240"/>
        <w:jc w:val="both"/>
        <w:rPr>
          <w:rFonts w:ascii="Times New Roman;sans-serif" w:hAnsi="Times New Roman;sans-serif"/>
          <w:b/>
          <w:i/>
          <w:color w:val="000000"/>
          <w:sz w:val="20"/>
        </w:rPr>
      </w:pPr>
      <w:r>
        <w:rPr>
          <w:rFonts w:ascii="Times New Roman;sans-serif" w:hAnsi="Times New Roman;sans-serif"/>
          <w:b/>
          <w:i/>
          <w:color w:val="000000"/>
          <w:sz w:val="20"/>
        </w:rPr>
        <w:t>Our business activities are subject to the FCPA and similar anti-bribery and anti-corruption laws, and any allegation or determination that we have violated these laws could have a material adverse effect on our business or our reputation.</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business activities are subject to the FCPA and similar anti-bribery or anti-corruption laws, regulations or rules of the countries in which we operate. These laws generally prohibit companies and their employees and third party business partners, representatives and agents from engaging in corruption and bribery, including offering, promising, giving, or authorizing the provision of anything of value, either directly or indirectly, to a government official or commercial party in order to influence official action, direct business to any person, gain any improper advantage, or obtain or retain business. We are also subject to the Chinese anti-corruption and anti-unfair competition laws, which strictly prohibits commercial bribery and bribes to government officials. The FCPA also requires public companies to make and keep books and records that accurately and fairly reflect the transactions of the corporation and to devise and maintain an adequate system of internal accounting controls.</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operations are dependent in part upon transmission bandwidth provided by third-party network providers and access to co-location facilities to house our servers, which in some countries may be state-owned, and some of our customers may also be state-owned, in each case exposing us to potential risks. As we continue our international expansion, we may face further challenges related to compliance with global anti-corruption laws. In addition to our own employees, we use third parties to assist us in the process of obtaining government licenses and approvals, including patent and trademark rights. We and our third-party business partners, representatives and agents may have direct or indirect interactions with officials and employees of government agencies, or state-owned or affiliated entities, and we may be held liable for inaccurate or incomplete accounting records, internal accounting controls deemed inadequate by applicable regulatory authorities and corrupt or other illegal activities of our employees, affiliates, third-party business partners, representatives and agents, even if we do not explicitly authorize such activities.</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There can be no assurances that our employees or the employees of our third-party business partners, representatives and agents will comply with all applicable laws and regulations, particularly given the high level of complexity of these laws. Violations of these laws and regulations could result in whistleblower complaints, adverse media coverage, investigations, loss of export privileges, debarment from U.S. government contracts, substantial diversion of management’s attention, significant legal fees and fines, severe criminal or civil sanctions against us, our officers, or our employees, disgorgement, and other sanctions and remedial measures, and prohibitions on the conduct of our business. Any such violations could include prohibitions on our ability to offer our products in one or more countries and could materially damage our reputation, our brand, our international expansion efforts, our ability to attract and retain employees, and our business, prospects, operating results, financial condition and the trading price of our ADSs.</w:t>
      </w:r>
    </w:p>
    <w:p>
      <w:pPr>
        <w:pStyle w:val="TextBody"/>
        <w:spacing w:lineRule="auto" w:line="319" w:before="0" w:after="240"/>
        <w:jc w:val="both"/>
        <w:rPr>
          <w:rFonts w:ascii="Times New Roman;sans-serif" w:hAnsi="Times New Roman;sans-serif"/>
          <w:b/>
          <w:i/>
          <w:color w:val="000000"/>
          <w:sz w:val="20"/>
        </w:rPr>
      </w:pPr>
      <w:r>
        <w:rPr>
          <w:rFonts w:ascii="Times New Roman;sans-serif" w:hAnsi="Times New Roman;sans-serif"/>
          <w:b/>
          <w:i/>
          <w:color w:val="000000"/>
          <w:sz w:val="20"/>
        </w:rPr>
        <w:t>Our ADSs may be delisted under the Holding Foreign Companies Accountable Act if the Public Company Accounting Oversight Board, or the PCAOB, is unable to inspect auditors who are located in China. The delisting of our ADSs, or the threat of their being delisted, may materially and adversely affect the value of your investment. Additionally, the inability of the PCAOB to conduct inspections deprives our investors of the benefits of such inspections.</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Holding Foreign Companies Accountable Act, or the HFCAA, was enacted on December 18, 2020. The HFCAA states if the SEC determines that we have filed audit reports issued by a registered public accounting </w:t>
      </w:r>
    </w:p>
    <w:p>
      <w:pPr>
        <w:pStyle w:val="HorizontalLine"/>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385445"/>
                <wp:effectExtent l="0" t="0" r="0" b="0"/>
                <wp:wrapNone/>
                <wp:docPr id="36" name="Frame36"/>
                <a:graphic xmlns:a="http://schemas.openxmlformats.org/drawingml/2006/main">
                  <a:graphicData uri="http://schemas.microsoft.com/office/word/2010/wordprocessingShape">
                    <wps:wsp>
                      <wps:cNvSpPr txBox="1"/>
                      <wps:spPr>
                        <a:xfrm>
                          <a:off x="0" y="0"/>
                          <a:ext cx="6480175" cy="385445"/>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32</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32</w:t>
                      </w:r>
                    </w:p>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lineRule="auto" w:line="319"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firm that has not been subject to inspection by the PCAOB for three consecutive years beginning in 2021, the SEC shall prohibit our shares or ADSs from being traded on a national securities exchange or in the over the counter trading market in the United States.</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auditor, the independent registered public accounting firm that issued the audit report included elsewhere in this annual report, as an auditor of companies that are traded publicly in the United States and a firm registered with the PCAOB, is subject to laws in the United States pursuant to which the PCAOB conducts regular inspections to assess its compliance with the applicable professional standards. Since our auditor is located in China, a jurisdiction where the PCAOB has been unable to conduct inspections without the approval of the Chinese authorities, our auditor is currently not inspected by the PCAOB.</w:t>
      </w:r>
    </w:p>
    <w:p>
      <w:pPr>
        <w:pStyle w:val="TextBody"/>
        <w:spacing w:lineRule="auto" w:line="319" w:before="0" w:after="240"/>
        <w:ind w:left="0" w:right="0" w:firstLine="720"/>
        <w:jc w:val="both"/>
        <w:rPr/>
      </w:pPr>
      <w:r>
        <w:rPr>
          <w:rFonts w:ascii="Times New Roman;sans-serif" w:hAnsi="Times New Roman;sans-serif"/>
          <w:b w:val="false"/>
          <w:color w:val="000000"/>
          <w:sz w:val="20"/>
        </w:rPr>
        <w:t>On March 24, 2021, the SEC adopted an interim final rule relating to the implementation of certain disclosure and documentation requirements of the HFCAA. We will not be required to comply with these rules until the SEC has identified us as having a “non-inspection” year under a process to be subsequently established by the SEC. The SEC is assessing how to implement other requirements of the HFCAA</w:t>
      </w:r>
      <w:r>
        <w:rPr>
          <w:rFonts w:ascii="Times New Roman;sans-serif" w:hAnsi="Times New Roman;sans-serif"/>
          <w:b w:val="false"/>
          <w:color w:val="000000"/>
          <w:sz w:val="20"/>
          <w:u w:val="single"/>
        </w:rPr>
        <w:t>,</w:t>
      </w:r>
      <w:r>
        <w:rPr>
          <w:color w:val="000000"/>
        </w:rPr>
        <w:t xml:space="preserve"> </w:t>
      </w:r>
      <w:r>
        <w:rPr>
          <w:rFonts w:ascii="Times New Roman;sans-serif" w:hAnsi="Times New Roman;sans-serif"/>
          <w:b w:val="false"/>
          <w:color w:val="000000"/>
          <w:sz w:val="20"/>
        </w:rPr>
        <w:t xml:space="preserve">including the listing and trading prohibition requirements described above. The SEC may propose additional rules or guidance that could impact us if our auditor is not subject to PCAOB inspection. For example, on August 6, 2020, the President's Working Group on Financial Markets, or the PWG, issued the Report on Protecting United States Investors from Significant Risks from Chinese Companies to the then President of the United States. This report recommended the SEC implement five recommendations to address companies from jurisdictions that do not provide the PCAOB with sufficient access to fulfil its statutory mandate. Some of the concepts of these recommendations were implemented with the enactment of the HFCAA. However, some of the recommendations were more stringent than the HFCAA. For example, if a company was not subject to PCAOB inspection, the report recommended that the transition period before a company would be delisted would end on January 1, 2022. </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It is unclear when the SEC will complete its rulemaking and when such rules will become effective and what, if any, of the PWG recommendations will be adopted. The implications of this possible regulation in addition to the requirements of the HFCAA are uncertain. Such uncertainty could cause the market price of our ADSs to be materially and adversely affected, and our securities could be delisted or prohibited from being traded “over-the-counter” earlier than would be required by the HFCAA. If our securities are unable to be listed on another securities exchange by then, such a delisting would substantially impair your ability to sell or purchase our ADSs when you wish to do so, and the risk and uncertainty associated with a potential delisting would have a negative impact on the price of our ADSs.</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PCAOB’s inability to conduct inspections in China prevents it from fully evaluating the audits and quality control procedures of our independent registered public accounting firm. As a result, we and investors in our ADSs are deprived of the benefits of such PCAOB inspections. The inability of the PCAOB to conduct inspections of auditors in China makes it more difficult to evaluate the effectiveness of our independent registered public accounting firm’s audit procedures or quality control procedures as compared to auditors outside of China that are subject to the PCAOB inspections, which could cause investors and potential investors in our ADSs to lose confidence in our audit procedures and reported financial information and the quality of our financial statements.</w:t>
      </w:r>
    </w:p>
    <w:p>
      <w:pPr>
        <w:pStyle w:val="TextBody"/>
        <w:spacing w:lineRule="auto" w:line="319" w:before="0" w:after="240"/>
        <w:ind w:left="0" w:right="0" w:firstLine="720"/>
        <w:jc w:val="both"/>
        <w:rPr/>
      </w:pPr>
      <w:r>
        <w:rPr>
          <w:rFonts w:ascii="Times New Roman;sans-serif" w:hAnsi="Times New Roman;sans-serif"/>
          <w:b w:val="false"/>
          <w:color w:val="000000"/>
          <w:sz w:val="20"/>
        </w:rPr>
        <w:t>In May 2013, the PCAOB announced that it had entered into a Memorandum of Understanding on Enforcement Cooperation with the CSRC and the PRC Ministry of Finance, which establishes a cooperative framework between the parties for the production and exchange of audit documents relevant to investigations undertaken by the PCAOB in the PRC or by the CSRC or the PRC Ministry of Finance in the United States. The PCAOB continues to be in discussions with the CSRC and the PRC Ministry of Finance to permit joint inspections in the PRC of audit firms that are registered with the PCAOB and audit Chinese companies that trade on U.S. exchanges</w:t>
      </w:r>
      <w:r>
        <w:rPr>
          <w:rFonts w:ascii="Arial;sans-serif" w:hAnsi="Arial;sans-serif"/>
          <w:b w:val="false"/>
          <w:color w:val="000000"/>
          <w:sz w:val="20"/>
        </w:rPr>
        <w:t>.</w:t>
      </w:r>
    </w:p>
    <w:p>
      <w:pPr>
        <w:pStyle w:val="HorizontalLine"/>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385445"/>
                <wp:effectExtent l="0" t="0" r="0" b="0"/>
                <wp:wrapNone/>
                <wp:docPr id="37" name="Frame37"/>
                <a:graphic xmlns:a="http://schemas.openxmlformats.org/drawingml/2006/main">
                  <a:graphicData uri="http://schemas.microsoft.com/office/word/2010/wordprocessingShape">
                    <wps:wsp>
                      <wps:cNvSpPr txBox="1"/>
                      <wps:spPr>
                        <a:xfrm>
                          <a:off x="0" y="0"/>
                          <a:ext cx="6480175" cy="385445"/>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33</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33</w:t>
                      </w:r>
                    </w:p>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lineRule="auto" w:line="319" w:before="0" w:after="240"/>
        <w:jc w:val="both"/>
        <w:rPr>
          <w:rFonts w:ascii="Times New Roman;sans-serif" w:hAnsi="Times New Roman;sans-serif"/>
          <w:b/>
          <w:i/>
          <w:color w:val="000000"/>
          <w:sz w:val="20"/>
        </w:rPr>
      </w:pPr>
      <w:r>
        <w:rPr>
          <w:rFonts w:ascii="Times New Roman;sans-serif" w:hAnsi="Times New Roman;sans-serif"/>
          <w:b/>
          <w:i/>
          <w:color w:val="000000"/>
          <w:sz w:val="20"/>
        </w:rPr>
        <w:t>Proceedings instituted by the SEC against certain PRC-based accounting firms, including the affiliate of our independent registered public accounting firm, or any related adverse regulatory development in the PRC, could result in our financial statements being determined to not be in compliance with the requirements of the Exchange Act.</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December 2012, the SEC instituted administrative proceedings against the Big Four PRC-based accounting firms, including our independent registered public accounting firm, alleging that these firms had violated U.S. securities laws and the SEC’s rules and regulations thereunder by failing to provide to the SEC the firms’ audit work papers with respect to certain PRC-based companies that are publicly traded in the United States.</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January 22, 2014, the administrative law judge presiding over the matter rendered an initial decision that each of the firms had violated the SEC’s rules of practice by failing to produce audit papers and other documents to the SEC. The initial decision censured each of the firms and barred them from practicing before the SEC for a period of six months.</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6, 2015, the four China-based accounting firms each agreed to a censure and to pay a fine to the SEC to settle the dispute and avoid suspension of their ability to practice before the SEC and audit U.S.-listed companies. The settlement required the firms to follow detailed procedures and to seek to provide the SEC with access to Chinese firms’ audit documents via the CSRC. Under the terms of the settlement, the underlying proceeding against the four China-based accounting firms was deemed dismissed with prejudice four years after entry of the settlement. The four-year mark occurred on February 6, 2019. While we cannot predict if the SEC will further challenge the four China-based accounting firms’ compliance with U.S. law in connection with U.S. regulatory requests for audit work papers or if the results of such a challenge would result in the SEC imposing penalties such as suspensions, if the accounting firms are subject to additional remedial measures, our ability to file our financial statements in compliance with SEC requirements could be impacted. A determination that we have not timely filed financial statements in compliance with SEC requirements could ultimately lead to the delisting of our ADSs or the termination of the registration of our ADSs under the Exchange Act, or both, which would substantially reduce or effectively terminate the trading of our ADSs in the United States.</w:t>
      </w:r>
    </w:p>
    <w:p>
      <w:pPr>
        <w:pStyle w:val="TextBody"/>
        <w:spacing w:lineRule="auto" w:line="319" w:before="0" w:after="240"/>
        <w:jc w:val="both"/>
        <w:rPr>
          <w:rFonts w:ascii="Times New Roman;sans-serif" w:hAnsi="Times New Roman;sans-serif"/>
          <w:b/>
          <w:i/>
          <w:color w:val="000000"/>
          <w:sz w:val="20"/>
        </w:rPr>
      </w:pPr>
      <w:r>
        <w:rPr>
          <w:rFonts w:ascii="Times New Roman;sans-serif" w:hAnsi="Times New Roman;sans-serif"/>
          <w:b/>
          <w:i/>
          <w:color w:val="000000"/>
          <w:sz w:val="20"/>
        </w:rPr>
        <w:t>We may have additional tax liabilities, which could harm our business, operating results and financial condition.</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are subject to income taxes and other taxes in the United States, the PRC and other foreign jurisdictions. Significant judgments and estimates are required in determining our provision for income taxes and other tax liabilities. Our tax expense may be impacted, for example, if tax laws change or are clarified to our detriment or if tax authorities successfully challenge the tax positions that we take, such as, for example, positions relating to the arms-length pricing standards for our intercompany transactions and our state sales and use tax positions. In determining the adequacy of income taxes, we assess the likelihood of adverse outcomes that could result if our tax positions were challenged by the State Administration of Taxation, or SAT, the Internal Revenue Service, or IRS, and other tax authorities. Should the SAT, the IRS or other tax authorities assess additional taxes as a result of audits or examinations, we may be required to record charges to operations that could adversely affect our business, operating results and financial condition.</w:t>
      </w:r>
    </w:p>
    <w:p>
      <w:pPr>
        <w:pStyle w:val="TextBody"/>
        <w:spacing w:lineRule="auto" w:line="319" w:before="0" w:after="240"/>
        <w:jc w:val="both"/>
        <w:rPr>
          <w:rFonts w:ascii="Times New Roman;sans-serif" w:hAnsi="Times New Roman;sans-serif"/>
          <w:b/>
          <w:i/>
          <w:color w:val="000000"/>
          <w:sz w:val="20"/>
        </w:rPr>
      </w:pPr>
      <w:r>
        <w:rPr>
          <w:rFonts w:ascii="Times New Roman;sans-serif" w:hAnsi="Times New Roman;sans-serif"/>
          <w:b/>
          <w:i/>
          <w:color w:val="000000"/>
          <w:sz w:val="20"/>
        </w:rPr>
        <w:t>Our global operations and structure subject us to potentially adverse tax consequences.</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generally conduct our global operations through subsidiaries and report our taxable income in various jurisdictions worldwide based on our business operations in those jurisdictions. In particular, our intercompany relationships are subject to complex transfer pricing regulations administered by taxing authorities in various jurisdictions. Also, our tax expense could be affected depending on the applicability of withholding and other taxes (including withholding and indirect taxes on software licenses and related intercompany transactions) under the tax </w:t>
      </w:r>
    </w:p>
    <w:p>
      <w:pPr>
        <w:pStyle w:val="HorizontalLine"/>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385445"/>
                <wp:effectExtent l="0" t="0" r="0" b="0"/>
                <wp:wrapNone/>
                <wp:docPr id="38" name="Frame38"/>
                <a:graphic xmlns:a="http://schemas.openxmlformats.org/drawingml/2006/main">
                  <a:graphicData uri="http://schemas.microsoft.com/office/word/2010/wordprocessingShape">
                    <wps:wsp>
                      <wps:cNvSpPr txBox="1"/>
                      <wps:spPr>
                        <a:xfrm>
                          <a:off x="0" y="0"/>
                          <a:ext cx="6480175" cy="385445"/>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34</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34</w:t>
                      </w:r>
                    </w:p>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lineRule="auto" w:line="319"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laws of certain jurisdictions in which we have business operations. The relevant revenue and taxing authorities may disagree with positions we have taken generally, or our determinations as to the value of assets sold or acquired or income and expenses attributable to specific jurisdictions. If such a disagreement were to occur, and our position were not sustained, we could be required to pay additional taxes, interest and penalties, which could result in one-time tax charges, higher effective tax rates, reduced cash flows and lower overall profitability of our operations. The tax laws of certain countries in which we do business could also change on a prospective or retroactive basis, and any such changes could increase our liabilities for taxes, interest and penalties, and therefore could harm our business, cash flows, operating results and financial position.</w:t>
      </w:r>
    </w:p>
    <w:p>
      <w:pPr>
        <w:pStyle w:val="TextBody"/>
        <w:spacing w:lineRule="auto" w:line="319" w:before="0" w:after="240"/>
        <w:jc w:val="both"/>
        <w:rPr>
          <w:rFonts w:ascii="Times New Roman;sans-serif" w:hAnsi="Times New Roman;sans-serif"/>
          <w:b/>
          <w:i/>
          <w:color w:val="000000"/>
          <w:sz w:val="20"/>
        </w:rPr>
      </w:pPr>
      <w:r>
        <w:rPr>
          <w:rFonts w:ascii="Times New Roman;sans-serif" w:hAnsi="Times New Roman;sans-serif"/>
          <w:b/>
          <w:i/>
          <w:color w:val="000000"/>
          <w:sz w:val="20"/>
        </w:rPr>
        <w:t>We may be a passive foreign investment company, which could result in adverse U.S. federal income tax consequences to U.S. investors owning the ADSs or Class A ordinary shares.</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 non-U.S. corporation, such as our company, will be considered a passive foreign investment company, or PFIC, for any tax year if either (1) at least 75% of its gross income is passive income or (2) at least 50% of the value of its assets (based on an average of the quarterly values of the assets during a tax year) is attributable to assets that produce or are held for the production of passive income. A separate determination must be made after the close of each tax year as to whether a non-U.S. corporation is a PFIC for that year. Although the law in this regard is not entirely clear, we treat our VIEs as being owned by us for U.S. federal income tax purposes because we control their management decisions and are entitled to substantially all of the economic benefits associated with them. As a result, we consolidate their operating results in our consolidated U.S. GAAP financial statements. If it were determined, however, that we are not deemed the owner of our VIEs for U.S. federal income tax purposes, we would likely be treated as a PFIC for the current tax year and any subsequent tax year.</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For purposes of the PFIC asset test, the value of our assets will generally be determined by reference to our market capitalization. However, if we are considered to be a “controlled foreign corporation,” or CFC, that is not “publicly traded” for purposes of the PFIC rules during the tested period, the value of our assets will generally be determined by reference to our adjusted bases in our assets. We do not believe we are a CFC, and we further believe that the ADSs are “publicly traded.” Therefore, assuming that we are deemed the owner of our VIEs for U.S. federal income tax purposes and based on our current and projected market capitalization and composition of our income and assets, we do not believe we were a PFIC for the fiscal year ended December 31, 2020 and we do not expect to be a PFIC for the current tax year or the foreseeable future. However, no assurance can be given in this regard because the determination of whether we will be or will become a PFIC is a factual determination made annually that will depend, in part, upon the composition of our income and assets. Fluctuations in the market price of the ADSs may cause us to be a PFIC for the current or future tax years because the value of our assets for purposes of the asset test, including the value of our goodwill and unbooked intangibles, may be determined by reference to the market price of the ADSs from time to time (which may be volatile). If our market capitalization subsequently declines, we may be or become a PFIC for the current tax year or future tax years. Under circumstances where our revenue from activities that produce passive income significantly increases relative to our revenue from activities that produce non-passive income, or where we determine not to deploy significant amounts of cash for active purposes, our risk of becoming a PFIC may substantially increase.</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If we are a PFIC for any tax year during which a U.S. Holder (as defined in “Item 10. Additional Information—E. Taxation—U.S. Federal Income Tax Considerations—General”) holds an ADS or a Class A ordinary share, certain adverse U.S. federal income tax consequences could apply to the U.S. Holder. See the section of this annual report captioned “Item 10. Additional Information—E. Taxation—U.S. Federal Income Tax Considerations—Passive Foreign Investment Company Rules.”</w:t>
      </w:r>
    </w:p>
    <w:p>
      <w:pPr>
        <w:pStyle w:val="HorizontalLine"/>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385445"/>
                <wp:effectExtent l="0" t="0" r="0" b="0"/>
                <wp:wrapNone/>
                <wp:docPr id="39" name="Frame39"/>
                <a:graphic xmlns:a="http://schemas.openxmlformats.org/drawingml/2006/main">
                  <a:graphicData uri="http://schemas.microsoft.com/office/word/2010/wordprocessingShape">
                    <wps:wsp>
                      <wps:cNvSpPr txBox="1"/>
                      <wps:spPr>
                        <a:xfrm>
                          <a:off x="0" y="0"/>
                          <a:ext cx="6480175" cy="385445"/>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35</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35</w:t>
                      </w:r>
                    </w:p>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lineRule="auto" w:line="319" w:before="0" w:after="240"/>
        <w:jc w:val="both"/>
        <w:rPr>
          <w:rFonts w:ascii="Times New Roman;sans-serif" w:hAnsi="Times New Roman;sans-serif"/>
          <w:b/>
          <w:i/>
          <w:color w:val="000000"/>
          <w:sz w:val="20"/>
        </w:rPr>
      </w:pPr>
      <w:r>
        <w:rPr>
          <w:rFonts w:ascii="Times New Roman;sans-serif" w:hAnsi="Times New Roman;sans-serif"/>
          <w:b/>
          <w:i/>
          <w:color w:val="000000"/>
          <w:sz w:val="20"/>
        </w:rPr>
        <w:t>If a United States person is treated as owning at least 10% of our share capital, such person may be subject to adverse U.S. federal income tax consequences.</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If a United States person is treated as owning (directly, indirectly or constructively) at least 10% of the value or voting power of our share capital, such person may be treated as a “United States shareholder” with respect to each CFC in our group (if any). While we do not believe that we are a CFC, the rules to determine CFC status are complex, and a tax authority may disagree with our determination. Because our group includes one or more U.S. subsidiaries, certain of our non-U.S. subsidiaries could be treated as CFCs. A United States shareholder of a CFC may be required to report annually and include in its U.S. taxable income its pro rata share of “Subpart F income”, “global intangible low-taxed income” and investments in U.S. property by CFCs, regardless of whether we make any distributions. Failure to comply with such reporting requirements could result in adverse tax effects for United States shareholders and potentially significant monetary penalties. We cannot provide any assurances that we will assist investors in determining whether we or any of our non-U.S. subsidiaries is treated as a CFC or furnish to any United States shareholders information that may be necessary to comply with the aforementioned obligations. A United States investor should consult its advisors regarding the potential application of these rules to an investment in our ADSs.</w:t>
      </w:r>
    </w:p>
    <w:p>
      <w:pPr>
        <w:pStyle w:val="TextBody"/>
        <w:spacing w:lineRule="auto" w:line="319" w:before="0" w:after="240"/>
        <w:jc w:val="both"/>
        <w:rPr>
          <w:rFonts w:ascii="Times New Roman;sans-serif" w:hAnsi="Times New Roman;sans-serif"/>
          <w:b/>
          <w:i/>
          <w:color w:val="000000"/>
          <w:sz w:val="20"/>
        </w:rPr>
      </w:pPr>
      <w:r>
        <w:rPr>
          <w:rFonts w:ascii="Times New Roman;sans-serif" w:hAnsi="Times New Roman;sans-serif"/>
          <w:b/>
          <w:i/>
          <w:color w:val="000000"/>
          <w:sz w:val="20"/>
        </w:rPr>
        <w:t>Negative publicity about us, our services, operations and our management may adversely affect our reputation and business.</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may, from time to time, receive negative publicity, including negative internet and blog postings about our company, our business, our management or our services. Certain of such negative publicity may be the result of malicious harassment or unfair competition acts by third parties. We may even be subject to government or regulatory investigation as a result of such third-party conduct and may be required to spend significant time and incur substantial costs to defend ourselves against such third-party conduct, and we may not be able to conclusively refute each of the allegations within a reasonable period of time, or at all. Our brand and reputation may be materially and adversely affected as a result of any negative publicity, which in turn may cause us to lose market share, customers and other third parties with which we conduct business.</w:t>
      </w:r>
    </w:p>
    <w:p>
      <w:pPr>
        <w:pStyle w:val="TextBody"/>
        <w:spacing w:lineRule="auto" w:line="319" w:before="0" w:after="240"/>
        <w:jc w:val="both"/>
        <w:rPr>
          <w:rFonts w:ascii="Times New Roman;sans-serif" w:hAnsi="Times New Roman;sans-serif"/>
          <w:b/>
          <w:i/>
          <w:color w:val="000000"/>
          <w:sz w:val="20"/>
        </w:rPr>
      </w:pPr>
      <w:r>
        <w:rPr>
          <w:rFonts w:ascii="Times New Roman;sans-serif" w:hAnsi="Times New Roman;sans-serif"/>
          <w:b/>
          <w:i/>
          <w:color w:val="000000"/>
          <w:sz w:val="20"/>
        </w:rPr>
        <w:t>We may require additional capital to support our business, and this capital might not be available on acceptable terms, if at all.</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intend to continue to make investments to support our business and may require additional funds. In particular, we may seek additional funds to develop new products and enhance our platform and existing products, expand our operations, including our sales and marketing organizations and our presence outside of China and the United States, improve our infrastructure or acquire complementary businesses, technologies, services, products and other assets. Accordingly, we may need to engage in equity or debt financings to secure additional funds. If we raise additional funds through future issuances of equity or convertible debt securities, our shareholders could suffer significant dilution, and any new equity securities we issue could have rights, preferences and privileges superior to holders of our Class A and Class B ordinary shares. Any debt financing that we may secure in the future could involve restrictive covenants relating to our capital raising activities and other financial and operational matters, which may make it more difficult for us to obtain additional capital and to pursue business opportunities. We may not be able to obtain additional financing on terms favorable to us, if at all. If we are unable to obtain adequate financing or financing on terms satisfactory to us when we require it, our ability to continue to support our business growth, scale our infrastructure, develop product enhancements and to respond to business challenges could be significantly impaired, and our business, operating results and financial condition may be adversely affected.</w:t>
      </w:r>
    </w:p>
    <w:p>
      <w:pPr>
        <w:pStyle w:val="HorizontalLine"/>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385445"/>
                <wp:effectExtent l="0" t="0" r="0" b="0"/>
                <wp:wrapNone/>
                <wp:docPr id="40" name="Frame40"/>
                <a:graphic xmlns:a="http://schemas.openxmlformats.org/drawingml/2006/main">
                  <a:graphicData uri="http://schemas.microsoft.com/office/word/2010/wordprocessingShape">
                    <wps:wsp>
                      <wps:cNvSpPr txBox="1"/>
                      <wps:spPr>
                        <a:xfrm>
                          <a:off x="0" y="0"/>
                          <a:ext cx="6480175" cy="385445"/>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36</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36</w:t>
                      </w:r>
                    </w:p>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lineRule="auto" w:line="319" w:before="0" w:after="240"/>
        <w:jc w:val="both"/>
        <w:rPr>
          <w:rFonts w:ascii="Times New Roman;sans-serif" w:hAnsi="Times New Roman;sans-serif"/>
          <w:b/>
          <w:i/>
          <w:color w:val="000000"/>
          <w:sz w:val="20"/>
        </w:rPr>
      </w:pPr>
      <w:r>
        <w:rPr>
          <w:rFonts w:ascii="Times New Roman;sans-serif" w:hAnsi="Times New Roman;sans-serif"/>
          <w:b/>
          <w:i/>
          <w:color w:val="000000"/>
          <w:sz w:val="20"/>
        </w:rPr>
        <w:t>We face exposure to foreign currency exchange rate fluctuations, and such fluctuations could adversely affect our business, operating results and financial condition.</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have operations primarily in China and the United States but sell to customers worldwide. As we continue to expand our international operations, we will become increasingly exposed to the effects of fluctuations in currency exchange rates. Although the majority of our cash generated from revenue is denominated in U.S. dollars and Renminbi, a small amount is denominated in other currencies, and our expenses are generally denominated in the currencies of the jurisdictions in which we conduct our operations. Because we conduct business in currencies other than U.S. dollars but report our operating results in U.S. dollars, we also face translation exposure to fluctuations in currency exchange rates, which could hinder our ability to predict our future results and earnings and could materially impact our operating results. We do not currently maintain a program to hedge exposures to foreign currencies.</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value of the Renminbi against the U.S. dollar and other currencies has in the past fluctuated significantly, and may in the future continue to do so, affected by, among other things, changes in political and economic conditions and the foreign exchange policy adopted by the PRC government. With the development of the foreign exchange market and progress towards interest rate liberalization and Renminbi internationalization, the PRC government may in the future announce further changes to the exchange rate system, and we cannot assure you that the Renminbi will not appreciate or depreciate significantly in value against the U.S. dollar in the future. It is difficult to predict how market forces or PRC or U.S. government policy may impact the exchange rate between the Renminbi and the U.S. dollar in the future.</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are a holding company and we rely on dividends paid by our subsidiaries in China for our cash needs. Any significant fluctuation of Renminbi against the U.S. dollar could adversely affect our business, operating results and financial condition, and the value of any dividends payable in U.S. dollars. If we decide to convert our Renminbi into U.S. dollars for the purpose of making payments for dividends on our ordinary shares or for other business purposes, appreciation of the U.S. dollar against the Renminbi would have a negative effect on the U.S. dollar amount.</w:t>
      </w:r>
    </w:p>
    <w:p>
      <w:pPr>
        <w:pStyle w:val="TextBody"/>
        <w:spacing w:lineRule="auto" w:line="319" w:before="0" w:after="240"/>
        <w:jc w:val="both"/>
        <w:rPr>
          <w:rFonts w:ascii="Times New Roman;sans-serif" w:hAnsi="Times New Roman;sans-serif"/>
          <w:b/>
          <w:i/>
          <w:color w:val="000000"/>
          <w:sz w:val="20"/>
        </w:rPr>
      </w:pPr>
      <w:r>
        <w:rPr>
          <w:rFonts w:ascii="Times New Roman;sans-serif" w:hAnsi="Times New Roman;sans-serif"/>
          <w:b/>
          <w:i/>
          <w:color w:val="000000"/>
          <w:sz w:val="20"/>
        </w:rPr>
        <w:t>Our ability to use our net operating losses to offset future taxable income may be subject to certain limitations.</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2020, Agora Lab, our subsidiary located in Santa Clara, California, had federal and state net operating loss carryforwards, or NOLs, of US$35.5 million and US$35.4 million, respectively, due to prior period losses. The Tax Cuts and Jobs Act, or the Tax Act, made broad and complex changes to the U.S. tax code, including changes to the uses and limitations of NOLs. For example, while the Tax Act, as modified by the Coronavirus Aid, Relief, and Economic Security Act of 2020, allows for federal NOLs incurred in tax years beginning after December 31, 2017 to be carried forward indefinitely, the Tax Act also imposes an 80% limitation on the use of NOLs that are generated in tax years beginning after December 31, 2017 and carried forward to tax years beginning on or after January 1, 2021. However, NOLs generated prior to December 31, 2017 will still have a 20-year carryforward period, but are not subject to the 80% limitation. Other limitations may apply under state law, including California, which has enacted legislation to suspend the use of NOLs through the end of 2022. Furthermore, our ability to use Agora Lab’s NOLs is conditioned on Agora Lab maintaining profitability in the future and generating U.S. federal taxable income. Since we do not know whether or when Agora Lab will generate the U.S. federal taxable income necessary to use its remaining NOLs, its NOLs generated prior to December 31, 2017 could expire unused.</w:t>
      </w:r>
    </w:p>
    <w:p>
      <w:pPr>
        <w:pStyle w:val="HorizontalLine"/>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385445"/>
                <wp:effectExtent l="0" t="0" r="0" b="0"/>
                <wp:wrapNone/>
                <wp:docPr id="41" name="Frame41"/>
                <a:graphic xmlns:a="http://schemas.openxmlformats.org/drawingml/2006/main">
                  <a:graphicData uri="http://schemas.microsoft.com/office/word/2010/wordprocessingShape">
                    <wps:wsp>
                      <wps:cNvSpPr txBox="1"/>
                      <wps:spPr>
                        <a:xfrm>
                          <a:off x="0" y="0"/>
                          <a:ext cx="6480175" cy="385445"/>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37</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37</w:t>
                      </w:r>
                    </w:p>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lineRule="auto" w:line="276" w:before="0" w:after="0"/>
        <w:jc w:val="both"/>
        <w:rPr>
          <w:rFonts w:ascii="Times New Roman;sans-serif" w:hAnsi="Times New Roman;sans-serif"/>
          <w:b/>
          <w:i/>
          <w:color w:val="000000"/>
          <w:sz w:val="20"/>
        </w:rPr>
      </w:pPr>
      <w:r>
        <w:rPr>
          <w:rFonts w:ascii="Times New Roman;sans-serif" w:hAnsi="Times New Roman;sans-serif"/>
          <w:b/>
          <w:i/>
          <w:color w:val="000000"/>
          <w:sz w:val="20"/>
        </w:rPr>
        <w:t>We have identified material weaknesses in our internal control over financial reporting. If our remediation of the material weaknesses is not effective, or if we experience additional material weaknesses in the future or otherwise fail to maintain proper and effective internal control over financial reporting, our ability to produce accurate and timely consolidated financial statements could be impaired, investors may lose confidence in our financial reporting and the trading price of the ADSs may decline.</w:t>
      </w:r>
    </w:p>
    <w:p>
      <w:pPr>
        <w:pStyle w:val="TextBody"/>
        <w:spacing w:before="0" w:after="0"/>
        <w:rPr/>
      </w:pPr>
      <w:r>
        <w:rPr/>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a public company, we are subject to the reporting requirements of the Exchange Act, the Sarbanes-Oxley Act of 2002, or the Sarbanes-Oxley Act, and the rules and regulations of the applicable listing and corporate governance standards of the Nasdaq Stock Market. We expect that the requirements of these rules and regulations will continue to increase our legal, accounting, and financial compliance costs, make some activities more difficult, time-consuming and costly and place significant strain on our personnel, systems and resources.</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Sarbanes-Oxley Act requires, among other things, that we maintain effective disclosure controls and procedures and internal control over financial reporting. Commencing with our fiscal year ended December 31, 2021, we must perform system and process evaluation and testing of our internal control over financial reporting to allow management to report on the effectiveness of our internal control over financial reporting in our Form 20-F filing for that year, as required by Section 404 of the Sarbanes-Oxley Act. </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the course of preparing and auditing our consolidated financial statements for the years ended December 31, 2018 and 2019, we and our independent registered public accounting firm identified a material weakness in our internal control over financial reporting as of December 31, 2019. According to the U.S. Public Company Accounting Oversight Board, a “material weakness” is a deficiency, or a combination of deficiencies, in internal control over financial reporting, such that there is a reasonable possibility that a material misstatement of our company’s annual or interim consolidated financial statements will not be prevented or detected on a timely basis. The material weakness relates to our lack of sufficient financial reporting and accounting personnel with appropriate knowledge of U.S. GAAP and the SEC reporting requirements to address complex U.S. GAAP technical accounting issues, to prepare consolidated financial statements and related disclosures in accordance with U.S. GAAP and financial reporting requirements set forth by the SEC, and to formalize our existing period-end financial reporting policies and procedures to address the aforementioned complex U.S. GAAP accounting issues. We cannot assure you that there will not be additional material weaknesses or any significant deficiencies in our internal control over financial reporting in the future. Any failure to maintain internal control over financial reporting could severely inhibit our ability to accurately report our financial condition, results of operations or cash flows. If we are unable to conclude that our internal control over financial reporting is effective, or if our independent registered public accounting firm determines we have a material weakness or significant deficiency in our internal control over financial reporting once that firm begins its Section 404 reviews, investors may lose confidence in the accuracy and completeness of our financial reports, the market price of the ADSs could decline, and we could be subject to sanctions or investigations by Nasdaq,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To remedy our identified material weakness that has been identified during our initial public offering, we have started to undertake steps to strengthen our internal control over financial reporting, including: (1) hiring more qualified resources equipped with relevant U.S. GAAP and SEC reporting experience and qualifications to strengthen the financial reporting function and to set up a financial and system control framework, (2) implementing regular and continuous U.S. GAAP accounting and financial reporting training programs for our accounting and financial reporting personnel, (3) establishing effective oversight and clarifying reporting requirements for non-recurring and complex transactions to ensure consolidated financial statements and related disclosures are accurate, complete and in compliance with SEC reporting requirements, and (4) enhancing an internal audit function as well as engaging an external consulting firm to help us assess our compliance readiness under rule 13a-15 of the Exchange Act and improve overall internal control. However, the implementation of these measures have not been </w:t>
      </w:r>
    </w:p>
    <w:p>
      <w:pPr>
        <w:pStyle w:val="HorizontalLine"/>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385445"/>
                <wp:effectExtent l="0" t="0" r="0" b="0"/>
                <wp:wrapNone/>
                <wp:docPr id="42" name="Frame42"/>
                <a:graphic xmlns:a="http://schemas.openxmlformats.org/drawingml/2006/main">
                  <a:graphicData uri="http://schemas.microsoft.com/office/word/2010/wordprocessingShape">
                    <wps:wsp>
                      <wps:cNvSpPr txBox="1"/>
                      <wps:spPr>
                        <a:xfrm>
                          <a:off x="0" y="0"/>
                          <a:ext cx="6480175" cy="385445"/>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38</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38</w:t>
                      </w:r>
                    </w:p>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lineRule="auto" w:line="319"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fully implemented in the limited time that elapsed since our initial public offering and we concluded that the material weakness in our internal control over financial reporting have not been remediated as of December 31, 2020. We will continue to implement measures to remediate the material weakness. However, we cannot assure you that all these measures will be sufficient to remediate our material weakness in time, or at all. Our internal control over financial 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are continuing to develop and refine our disclosure controls and other procedures that are designed to ensure that information required to be disclosed by us in the reports that we will file with the SEC is recorded, processed, summarized and reported within the time periods specified in SEC rules and forms and that information required to be disclosed in reports under the Exchange Act is accumulated and communicated to our principal executive and financial officers. We are also continuing to improve our internal control over financial reporting. In order to maintain and improve the effectiveness of our disclosure controls and procedures and internal control over financial reporting, we have expended, and anticipate that we will continue to expend, significant resources, including accounting-related costs and significant management oversight.</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current controls and any new controls that we develop may become inadequate because of changes in conditions in our business. Further, weaknesses in our disclosure controls and internal control over financial reporting may be discovered in the future. If government authorities were to re-impose shelter-in-place mandates due to the COVID-19 pandemic or another public health crisis, it may challenge our ability to maintain effective disclosure controls and procedures and internal control over financial reporting while such mandates remain in place. Any failure to develop or maintain effective controls or any difficulties encountered in their implementation or improvement could harm our operating results or cause us to fail to meet our reporting obligations and may result in a restatement of our financial statements for prior periods. 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that we will eventually be required to include in our periodic reports that will be filed with the SEC. Ineffective disclosure controls and procedures and internal control over financial reporting could also cause investors to lose confidence in our reported financial and other information, which would likely have a negative effect on the trading price of our ADSs. In addition, if we are unable to continue to meet these requirements, we may not be able to remain listed on the Nasdaq Global Select Market. We are not currently required to comply with the SEC rules that implement Section 404 of the Sarbanes-Oxley Act and are therefore not required to make a formal assessment of the effectiveness of our internal control over financial reporting for that purpose. As a public company, we are required to provide an annual management report on the effectiveness of our internal control over financial reporting commencing with our second annual report on Form 20-F.</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qualify as an “emerging growth company” pursuant to the JOBS Act and our independent registered public accounting firm is not required to formally attest to the effectiveness of our internal control over financial reporting until after we are no longer an “emerging growth company.” When we lose our status as an “emerging growth company,” which we expect to occur at the end of 2021, our independent registered public accounting firm will be required to attest to the effectiveness of our internal control over financial reporting.</w:t>
      </w:r>
    </w:p>
    <w:p>
      <w:pPr>
        <w:pStyle w:val="HorizontalLine"/>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385445"/>
                <wp:effectExtent l="0" t="0" r="0" b="0"/>
                <wp:wrapNone/>
                <wp:docPr id="43" name="Frame43"/>
                <a:graphic xmlns:a="http://schemas.openxmlformats.org/drawingml/2006/main">
                  <a:graphicData uri="http://schemas.microsoft.com/office/word/2010/wordprocessingShape">
                    <wps:wsp>
                      <wps:cNvSpPr txBox="1"/>
                      <wps:spPr>
                        <a:xfrm>
                          <a:off x="0" y="0"/>
                          <a:ext cx="6480175" cy="385445"/>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39</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39</w:t>
                      </w:r>
                    </w:p>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lineRule="auto" w:line="319" w:before="0" w:after="240"/>
        <w:jc w:val="both"/>
        <w:rPr>
          <w:rFonts w:ascii="Times New Roman;sans-serif" w:hAnsi="Times New Roman;sans-serif"/>
          <w:b/>
          <w:i/>
          <w:color w:val="000000"/>
          <w:sz w:val="20"/>
        </w:rPr>
      </w:pPr>
      <w:r>
        <w:rPr>
          <w:rFonts w:ascii="Times New Roman;sans-serif" w:hAnsi="Times New Roman;sans-serif"/>
          <w:b/>
          <w:i/>
          <w:color w:val="000000"/>
          <w:sz w:val="20"/>
        </w:rPr>
        <w:t>Our business is subject to the risks of earthquakes, fire, floods, pandemics and other natural catastrophic events, and to interruption by man-made problems such as power disruptions, computer viruses, data security breaches or terrorism.</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 significant natural disaster, such as an earthquake, fire, flood or pandemic, occurring at one of our headquarters, at one of our other facilities or where a business partner is located could adversely affect our business, operating results and financial condition. Further, if a natural disaster or man-made problem were to affect our service providers, this could adversely affect the ability of our customers to use our products and platform. In addition, natural disasters and acts of terrorism could cause disruptions in our or our customers’ businesses, national economies or the world economy as a whole, as is the case currently due to the COVID-19 pandemic. We also rely on our network and third-party infrastructure and enterprise applications and internal technology systems for our engineering, sales and marketing, and operations activities. Although we maintain incident management and disaster response plans, in the event of a major disruption caused by a natural disaster or man-made problem, we may be unable to continue our operations and may endure system interruptions, reputational harm, delays in our development activities, lengthy interruptions in service, breaches of data security and loss of critical data, any of which could adversely affect our business, operating results and financial condition.</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computer malware, viruses and computer hacking, fraudulent use attempts and phishing attacks have become more prevalent in our industry, have occurred on our platform and have impacted some of our services providers in the past and may occur on our platform in the future. Any failure to maintain performance, reliability, security, integrity and availability of our products and technical infrastructure, including third-party infrastructure and services upon which we rely, may give rise to litigation, consumer protection actions, or harm to our reputation, and as a result, may hinder our ability to retain existing users and attract new users.</w:t>
      </w:r>
    </w:p>
    <w:p>
      <w:pPr>
        <w:pStyle w:val="TextBody"/>
        <w:spacing w:lineRule="auto" w:line="319" w:before="0" w:after="240"/>
        <w:jc w:val="both"/>
        <w:rPr>
          <w:rFonts w:ascii="Times New Roman;sans-serif" w:hAnsi="Times New Roman;sans-serif"/>
          <w:b/>
          <w:i/>
          <w:color w:val="000000"/>
          <w:sz w:val="20"/>
        </w:rPr>
      </w:pPr>
      <w:r>
        <w:rPr>
          <w:rFonts w:ascii="Times New Roman;sans-serif" w:hAnsi="Times New Roman;sans-serif"/>
          <w:b/>
          <w:i/>
          <w:color w:val="000000"/>
          <w:sz w:val="20"/>
        </w:rPr>
        <w:t>Legal or administrative proceedings or allegations of impropriety against us or our management could have a material adverse impact on our business, operating results and financial condition.</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and members of our management may be subject to allegations, lawsuits or legal or administrative proceedings brought by our competitors, individuals, government and regulatory authorities or other persons in the future. Any such lawsuit, allegation or proceeding, with or without merit, or any perceived unfair, unethical, fraudulent or inappropriate business practice by us or perceived wrong-doing by any key member of our management team could harm our reputation and cause our user base to decline and distract our management from day-to-day operations of our company. We cannot assure you that we or key members of our management team will not be subject to lawsuits, allegations or proceedings of a similar nature in the future. For example, while we have been continually making efforts and devoting our resources to comply with labor-related laws and regulations in China, and as of the date of this annual report we are not aware of any pending claims raised by our employees or any notice of proceedings from regulatory authorities in this regard, there can be no assurance that our employment practices will at all times be in full compliance, which may subject us to labor disputes or other legal or administrative proceedings.</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Where we can make a reasonable estimate of the liability relating to pending litigation and determine that an adverse liability resulting from such litigation is probable, we will record a related contingent liability. In 2018, 2019 and 2020, we did not record any contingent liabilities relating to pending litigation. However, when we record or revise our estimates of contingent liabilities in the future, the amount of our estimates may be inaccurate due to the inherent uncertainties relating to litigation. In addition, the outcomes of actions we institute against third parties may not be successful or favorable to us. Litigation and allegations against us or any of our management members, irrespective of their veracity, may also generate negative publicity that significantly harms our reputation, which may materially and adversely affect our user base and our ability to attract content providers and advertising customers. In addition to the related cost, managing and defending litigation and related indemnity obligations can </w:t>
      </w:r>
    </w:p>
    <w:p>
      <w:pPr>
        <w:pStyle w:val="HorizontalLine"/>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385445"/>
                <wp:effectExtent l="0" t="0" r="0" b="0"/>
                <wp:wrapNone/>
                <wp:docPr id="44" name="Frame44"/>
                <a:graphic xmlns:a="http://schemas.openxmlformats.org/drawingml/2006/main">
                  <a:graphicData uri="http://schemas.microsoft.com/office/word/2010/wordprocessingShape">
                    <wps:wsp>
                      <wps:cNvSpPr txBox="1"/>
                      <wps:spPr>
                        <a:xfrm>
                          <a:off x="0" y="0"/>
                          <a:ext cx="6480175" cy="385445"/>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40</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40</w:t>
                      </w:r>
                    </w:p>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lineRule="auto" w:line="319"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significantly divert our management and the board of directors’ attention from operating our business. We may also need to pay additional compensation or damages, or settle the litigation with a substantial amount of cash. All of these could have a material adverse impact on our business, operating results and financial condition.</w:t>
      </w:r>
    </w:p>
    <w:p>
      <w:pPr>
        <w:pStyle w:val="TextBody"/>
        <w:spacing w:lineRule="auto" w:line="319" w:before="0" w:after="240"/>
        <w:jc w:val="both"/>
        <w:rPr>
          <w:rFonts w:ascii="Times New Roman;sans-serif" w:hAnsi="Times New Roman;sans-serif"/>
          <w:b/>
          <w:color w:val="000000"/>
          <w:sz w:val="20"/>
        </w:rPr>
      </w:pPr>
      <w:r>
        <w:rPr>
          <w:rFonts w:ascii="Times New Roman;sans-serif" w:hAnsi="Times New Roman;sans-serif"/>
          <w:b/>
          <w:color w:val="000000"/>
          <w:sz w:val="20"/>
        </w:rPr>
        <w:t>Risks Related to Our Corporate Structure</w:t>
      </w:r>
    </w:p>
    <w:p>
      <w:pPr>
        <w:pStyle w:val="TextBody"/>
        <w:spacing w:lineRule="auto" w:line="319" w:before="0" w:after="240"/>
        <w:jc w:val="both"/>
        <w:rPr>
          <w:rFonts w:ascii="Times New Roman;sans-serif" w:hAnsi="Times New Roman;sans-serif"/>
          <w:b/>
          <w:i/>
          <w:color w:val="000000"/>
          <w:sz w:val="20"/>
        </w:rPr>
      </w:pPr>
      <w:r>
        <w:rPr>
          <w:rFonts w:ascii="Times New Roman;sans-serif" w:hAnsi="Times New Roman;sans-serif"/>
          <w:b/>
          <w:i/>
          <w:color w:val="000000"/>
          <w:sz w:val="20"/>
        </w:rPr>
        <w:t>If the PRC government deems that the contractual arrangements in relation to our VIEs do not comply with PRC regulatory restrictions on foreign investment in the relevant industries, or if these regulations or the interpretation of existing regulations change in the future, we could be subject to severe penalties or be forced to relinquish our interests in those operations.</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PRC government regulates telecommunications-related businesses through strict business licensing requirements and other government regulations. These laws and regulations also include limitations on foreign ownership of PRC companies that engage in telecommunications-related businesses. Specifically, foreign investors are not allowed to own more than a 50% equity interest in any PRC company engaging in value-added telecommunications businesses, except for those in a few categories, such as e-commerce, domestic multiparty communication, storage-and-forward, and call center services according to the Special Administrative Measures (Negative List) for Foreign Investment Access effective on July 23, 2020, which may be amended, supplemented or otherwise modified from time to time, or the Negative List. The primary foreign investor must also have experience and a good track record in providing value-added telecommunications services, or VATS, overseas. See “Item 4. Information on the Company—B. Business Overview—Regulations—PRC Regulation—Foreign Investment Law.”</w:t>
      </w:r>
    </w:p>
    <w:p>
      <w:pPr>
        <w:pStyle w:val="TextBody"/>
        <w:spacing w:lineRule="auto" w:line="31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Because we are an exempted company incorporated in the Cayman Islands, we are classified as a foreign enterprise under PRC laws and regulations, and each of our wholly foreign-owned enterprises in the PRC is a foreign-invested enterprise, or FIE. As our business operations may be regarded as a certain kind of business that is subject to foreign investment restrictions according to above mentioned restrictions, we established certain contractual arrangements to conduct our business in China. Our WFOEs have entered into a series of contractual arrangements with our VIEs and their shareholders, respectively, which enable us to (1) exercise effective control over our VIEs, (2) receive all of the economic benefits of our VIEs and (3) have an exclusive option to purchase all or part of the equity interests in our VIEs when and to the extent permitted by PRC law. As a result of these contractual arrangements, we have control over and are the primary beneficiary of our VIEs and hence consolidate its financial results as our VIEs under U.S. GAAP. We mainly operate our business in the PRC through Zhaoyan, one of our VIEs, and have effective control over Zhaoyan through the contractual arrangements between and by Dayin, Zhaoyan and its shareholders. See the section of this annual report captioned “Item 4. Information on The Company—Organizational Structure—Contractual Arrangements among Dayin, Zhaoyan and Zhaoyan’s Shareholders.”</w:t>
      </w:r>
    </w:p>
    <w:p>
      <w:pPr>
        <w:pStyle w:val="TextBody"/>
        <w:spacing w:before="0" w:after="0"/>
        <w:ind w:left="0" w:right="0" w:firstLine="720"/>
        <w:jc w:val="both"/>
        <w:rPr/>
      </w:pPr>
      <w:r>
        <w:rPr/>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that our corporate structure and contractual arrangements comply with the current applicable PRC laws and regulations. Our PRC legal counsel, King &amp; Wood Mallesons, based on its understanding of the relevant laws and regulations, is of the opinion that each of the contracts among our WFOEs, our VIEs and their shareholders is valid, binding and enforceable in accordance with its terms. However, as there are substantial uncertainties regarding the interpretation and application of PRC laws and regulations, including the Foreign Investment Law, the Regulations on Mergers and Acquisitions of Domestic Enterprises by Foreign Investors, or the M&amp;A Rules, and the Telecommunications Regulations and the relevant regulatory measures concerning the telecommunications industry, there can be no assurance that the PRC government authorities, such as the Ministry of Commerce of the People’s Republic of China, or the MOFCOM, or the MIIT or other authorities that regulate internet content providers and other participants in the telecommunications industry, would agree that our corporate structure or any of the above contractual arrangements comply with PRC licensing, registration or other regulatory requirements, with existing policies or with requirements or policies that may be adopted in the future. PRC laws </w:t>
      </w:r>
    </w:p>
    <w:p>
      <w:pPr>
        <w:pStyle w:val="HorizontalLine"/>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385445"/>
                <wp:effectExtent l="0" t="0" r="0" b="0"/>
                <wp:wrapNone/>
                <wp:docPr id="45" name="Frame45"/>
                <a:graphic xmlns:a="http://schemas.openxmlformats.org/drawingml/2006/main">
                  <a:graphicData uri="http://schemas.microsoft.com/office/word/2010/wordprocessingShape">
                    <wps:wsp>
                      <wps:cNvSpPr txBox="1"/>
                      <wps:spPr>
                        <a:xfrm>
                          <a:off x="0" y="0"/>
                          <a:ext cx="6480175" cy="385445"/>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41</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41</w:t>
                      </w:r>
                    </w:p>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lineRule="auto" w:line="319"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and regulations governing the validity of these contractual arrangements are uncertain and the relevant government authorities have broad discretion in interpreting these laws and regulations.</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If our corporate structure and contractual arrangements are deemed by the MIIT or the MOFCOM or other regulators having competent authority to be illegal, either in whole or in part, we may lose control of our VIEs and have to modify such structure to comply with regulatory requirements. However, there can be no assurance that we can achieve this without material disruption to our business. Further, if our corporate structure and contractual arrangements are found to be in violation of any existing or future PRC laws or regulations, the relevant regulatory authorities would have broad discretion in dealing with such violations, including:</w:t>
      </w:r>
    </w:p>
    <w:p>
      <w:pPr>
        <w:pStyle w:val="TextBody"/>
        <w:spacing w:lineRule="auto" w:line="319" w:before="0" w:after="240"/>
        <w:ind w:left="0" w:right="0" w:hanging="360"/>
        <w:jc w:val="both"/>
        <w:rPr/>
      </w:pPr>
      <w:r>
        <w:rPr>
          <w:color w:val="000000"/>
        </w:rPr>
        <w:t>•</w:t>
      </w:r>
      <w:r>
        <w:rPr>
          <w:rFonts w:ascii="Times New Roman;sans-serif" w:hAnsi="Times New Roman;sans-serif"/>
          <w:b w:val="false"/>
          <w:color w:val="000000"/>
          <w:sz w:val="20"/>
        </w:rPr>
        <w:t>revoking our business and operating licenses;</w:t>
      </w:r>
    </w:p>
    <w:p>
      <w:pPr>
        <w:pStyle w:val="TextBody"/>
        <w:spacing w:lineRule="auto" w:line="319" w:before="0" w:after="240"/>
        <w:ind w:left="0" w:right="0" w:hanging="360"/>
        <w:jc w:val="both"/>
        <w:rPr/>
      </w:pPr>
      <w:r>
        <w:rPr>
          <w:color w:val="000000"/>
        </w:rPr>
        <w:t>•</w:t>
      </w:r>
      <w:r>
        <w:rPr>
          <w:rFonts w:ascii="Times New Roman;sans-serif" w:hAnsi="Times New Roman;sans-serif"/>
          <w:b w:val="false"/>
          <w:color w:val="000000"/>
          <w:sz w:val="20"/>
        </w:rPr>
        <w:t>levying fines on us;</w:t>
      </w:r>
    </w:p>
    <w:p>
      <w:pPr>
        <w:pStyle w:val="TextBody"/>
        <w:spacing w:lineRule="auto" w:line="319" w:before="0" w:after="240"/>
        <w:ind w:left="0" w:right="0" w:hanging="360"/>
        <w:jc w:val="both"/>
        <w:rPr/>
      </w:pPr>
      <w:r>
        <w:rPr>
          <w:color w:val="000000"/>
        </w:rPr>
        <w:t>•</w:t>
      </w:r>
      <w:r>
        <w:rPr>
          <w:rFonts w:ascii="Times New Roman;sans-serif" w:hAnsi="Times New Roman;sans-serif"/>
          <w:b w:val="false"/>
          <w:color w:val="000000"/>
          <w:sz w:val="20"/>
        </w:rPr>
        <w:t>confiscating any of our income that they deem to be obtained through illegal operations;</w:t>
      </w:r>
    </w:p>
    <w:p>
      <w:pPr>
        <w:pStyle w:val="TextBody"/>
        <w:spacing w:lineRule="auto" w:line="319" w:before="0" w:after="240"/>
        <w:ind w:left="0" w:right="0" w:hanging="360"/>
        <w:jc w:val="both"/>
        <w:rPr/>
      </w:pPr>
      <w:r>
        <w:rPr>
          <w:color w:val="000000"/>
        </w:rPr>
        <w:t>•</w:t>
      </w:r>
      <w:r>
        <w:rPr>
          <w:rFonts w:ascii="Times New Roman;sans-serif" w:hAnsi="Times New Roman;sans-serif"/>
          <w:b w:val="false"/>
          <w:color w:val="000000"/>
          <w:sz w:val="20"/>
        </w:rPr>
        <w:t>restricting our right to collect revenue;</w:t>
      </w:r>
    </w:p>
    <w:p>
      <w:pPr>
        <w:pStyle w:val="TextBody"/>
        <w:spacing w:lineRule="auto" w:line="319" w:before="0" w:after="240"/>
        <w:ind w:left="0" w:right="0" w:hanging="360"/>
        <w:jc w:val="both"/>
        <w:rPr/>
      </w:pPr>
      <w:r>
        <w:rPr>
          <w:color w:val="000000"/>
        </w:rPr>
        <w:t>•</w:t>
      </w:r>
      <w:r>
        <w:rPr>
          <w:rFonts w:ascii="Times New Roman;sans-serif" w:hAnsi="Times New Roman;sans-serif"/>
          <w:b w:val="false"/>
          <w:color w:val="000000"/>
          <w:sz w:val="20"/>
        </w:rPr>
        <w:t>shutting down our services;</w:t>
      </w:r>
    </w:p>
    <w:p>
      <w:pPr>
        <w:pStyle w:val="TextBody"/>
        <w:spacing w:lineRule="auto" w:line="319" w:before="0" w:after="240"/>
        <w:ind w:left="0" w:right="0" w:hanging="360"/>
        <w:jc w:val="both"/>
        <w:rPr/>
      </w:pPr>
      <w:r>
        <w:rPr>
          <w:color w:val="000000"/>
        </w:rPr>
        <w:t>•</w:t>
      </w:r>
      <w:r>
        <w:rPr>
          <w:rFonts w:ascii="Times New Roman;sans-serif" w:hAnsi="Times New Roman;sans-serif"/>
          <w:b w:val="false"/>
          <w:color w:val="000000"/>
          <w:sz w:val="20"/>
        </w:rPr>
        <w:t>discontinuing or restricting our operations in China;</w:t>
      </w:r>
    </w:p>
    <w:p>
      <w:pPr>
        <w:pStyle w:val="TextBody"/>
        <w:spacing w:lineRule="auto" w:line="319" w:before="0" w:after="240"/>
        <w:ind w:left="0" w:right="0" w:hanging="360"/>
        <w:jc w:val="both"/>
        <w:rPr/>
      </w:pPr>
      <w:r>
        <w:rPr>
          <w:color w:val="000000"/>
        </w:rPr>
        <w:t>•</w:t>
      </w:r>
      <w:r>
        <w:rPr>
          <w:rFonts w:ascii="Times New Roman;sans-serif" w:hAnsi="Times New Roman;sans-serif"/>
          <w:b w:val="false"/>
          <w:color w:val="000000"/>
          <w:sz w:val="20"/>
        </w:rPr>
        <w:t>imposing conditions or requirements with which we may not be able to comply;</w:t>
      </w:r>
    </w:p>
    <w:p>
      <w:pPr>
        <w:pStyle w:val="TextBody"/>
        <w:spacing w:lineRule="auto" w:line="319" w:before="0" w:after="240"/>
        <w:ind w:left="0" w:right="0" w:hanging="360"/>
        <w:jc w:val="both"/>
        <w:rPr/>
      </w:pPr>
      <w:r>
        <w:rPr>
          <w:color w:val="000000"/>
        </w:rPr>
        <w:t>•</w:t>
      </w:r>
      <w:r>
        <w:rPr>
          <w:rFonts w:ascii="Times New Roman;sans-serif" w:hAnsi="Times New Roman;sans-serif"/>
          <w:b w:val="false"/>
          <w:color w:val="000000"/>
          <w:sz w:val="20"/>
        </w:rPr>
        <w:t>requiring us to change our corporate structure and contractual arrangements;</w:t>
      </w:r>
    </w:p>
    <w:p>
      <w:pPr>
        <w:pStyle w:val="TextBody"/>
        <w:spacing w:lineRule="auto" w:line="319" w:before="0" w:after="240"/>
        <w:ind w:left="0" w:right="0" w:hanging="360"/>
        <w:jc w:val="both"/>
        <w:rPr/>
      </w:pPr>
      <w:r>
        <w:rPr>
          <w:color w:val="000000"/>
        </w:rPr>
        <w:t>•</w:t>
      </w:r>
      <w:r>
        <w:rPr>
          <w:rFonts w:ascii="Times New Roman;sans-serif" w:hAnsi="Times New Roman;sans-serif"/>
          <w:b w:val="false"/>
          <w:color w:val="000000"/>
          <w:sz w:val="20"/>
        </w:rPr>
        <w:t>restricting or prohibiting our use of the proceeds from overseas offerings to finance our VIEs’ business and operations; and</w:t>
      </w:r>
    </w:p>
    <w:p>
      <w:pPr>
        <w:pStyle w:val="TextBody"/>
        <w:spacing w:lineRule="auto" w:line="319" w:before="0" w:after="240"/>
        <w:ind w:left="0" w:right="0" w:hanging="360"/>
        <w:jc w:val="both"/>
        <w:rPr/>
      </w:pPr>
      <w:r>
        <w:rPr>
          <w:color w:val="000000"/>
        </w:rPr>
        <w:t>•</w:t>
      </w:r>
      <w:r>
        <w:rPr>
          <w:rFonts w:ascii="Times New Roman;sans-serif" w:hAnsi="Times New Roman;sans-serif"/>
          <w:b w:val="false"/>
          <w:color w:val="000000"/>
          <w:sz w:val="20"/>
        </w:rPr>
        <w:t>taking other regulatory or enforcement actions that could be harmful to our business.</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Furthermore, new PRC laws, rules and regulations may be introduced to impose additional requirements that may be applicable to our corporate structure and contractual arrangements. See “—Substantial uncertainties exist with respect to the interpretation and implementation of the newly promulgated PRC Foreign Investment Law, and its enactment could adversely affect our business, operating results and financial condition.” Occurrence of any of these events could adversely affect our business, operating results and financial condition. In addition, if the imposition of any of these penalties or requirement to restructure our corporate structure causes us to lose the rights to direct the activities of our VIEs or our right to receive its economic benefits, we would no longer be able to consolidate the financial results of such VIEs in our consolidated financial statements. However, we do not believe that such actions would result in the liquidation or dissolution of our company, our wholly owned subsidiaries in China or our VIEs. See the section of this annual report captioned “Item 4. Information on The Company—Organizational Structure—Contractual Arrangements among Dayin, Zhaoyan and Zhaoyan’s Shareholders.”</w:t>
      </w:r>
    </w:p>
    <w:p>
      <w:pPr>
        <w:pStyle w:val="TextBody"/>
        <w:spacing w:lineRule="auto" w:line="319" w:before="0" w:after="240"/>
        <w:jc w:val="both"/>
        <w:rPr>
          <w:rFonts w:ascii="Times New Roman;sans-serif" w:hAnsi="Times New Roman;sans-serif"/>
          <w:b/>
          <w:i/>
          <w:color w:val="000000"/>
          <w:sz w:val="20"/>
        </w:rPr>
      </w:pPr>
      <w:r>
        <w:rPr>
          <w:rFonts w:ascii="Times New Roman;sans-serif" w:hAnsi="Times New Roman;sans-serif"/>
          <w:b/>
          <w:i/>
          <w:color w:val="000000"/>
          <w:sz w:val="20"/>
        </w:rPr>
        <w:t>We rely on contractual arrangements with our VIEs and their respective shareholders to operate our business, which may not be as effective as direct ownership in providing operational control and could adversely affect our business, operating results and financial condition.</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rely on contractual arrangements with our VIEs and their respective shareholders to operate our business in the PRC, mainly, the contractual arrangements between Dayin, Zhaoyan and its shareholders. See the section of this annual report captioned “Item 4. Information on The Company—Organizational Structure—</w:t>
      </w:r>
    </w:p>
    <w:p>
      <w:pPr>
        <w:pStyle w:val="HorizontalLine"/>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385445"/>
                <wp:effectExtent l="0" t="0" r="0" b="0"/>
                <wp:wrapNone/>
                <wp:docPr id="46" name="Frame46"/>
                <a:graphic xmlns:a="http://schemas.openxmlformats.org/drawingml/2006/main">
                  <a:graphicData uri="http://schemas.microsoft.com/office/word/2010/wordprocessingShape">
                    <wps:wsp>
                      <wps:cNvSpPr txBox="1"/>
                      <wps:spPr>
                        <a:xfrm>
                          <a:off x="0" y="0"/>
                          <a:ext cx="6480175" cy="385445"/>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42</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42</w:t>
                      </w:r>
                    </w:p>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lineRule="auto" w:line="319" w:before="0" w:after="240"/>
        <w:jc w:val="both"/>
        <w:rPr/>
      </w:pPr>
      <w:r>
        <w:rPr>
          <w:rFonts w:ascii="Times New Roman;sans-serif" w:hAnsi="Times New Roman;sans-serif"/>
          <w:b w:val="false"/>
          <w:color w:val="000000"/>
          <w:sz w:val="20"/>
        </w:rPr>
        <w:t xml:space="preserve">Contractual Arrangements among Dayin, Zhaoyan and Zhaoyan’s Shareholders.” These contractual arrangements may not be as effective as direct ownership in providing us with control over our VIEs. If our VIEs or their respective shareholders fail to perform their respective obligations under these contractual arrangements, our recourse to the assets held by our VIEs is indirect and we may have to incur substantial costs and expend significant resources to enforce such arrangements in reliance on legal remedies under PRC law. These remedies may not always be effective, particularly in light of uncertainties in the PRC legal system. Furthermore, in connection with litigation, arbitration or other judicial or dispute resolution proceedings, assets under the name of any of record holder of equity interest in our VIEs, including such equity interest, may be put under court custody. As a consequence, we cannot be certain that the equity interest will be disposed pursuant to the contractual arrangement or ownership by the record holder of the equity interest. In addition, though we have entered into equity pledge agreements with the shareholders of our VIEs, our remedies under the equity pledge agreements are primarily intended to help us collect debts owed to us by our VIEs or their shareholders under the contractual arrangements and may not help us in acquiring the assets or equity of our VIEs. Furthermore, pursuant to PRC laws, the pledge takes effect upon the completion of registration with relevant local branch of the </w:t>
      </w:r>
      <w:r>
        <w:rPr>
          <w:rFonts w:ascii="Times New Roman;sans-serif" w:hAnsi="Times New Roman;sans-serif"/>
          <w:b w:val="false"/>
          <w:color w:val="000000"/>
          <w:sz w:val="20"/>
          <w:highlight w:val="white"/>
        </w:rPr>
        <w:t>State Administration for Market Regulation, or SAMR</w:t>
      </w:r>
      <w:r>
        <w:rPr>
          <w:rFonts w:ascii="Times New Roman;sans-serif" w:hAnsi="Times New Roman;sans-serif"/>
          <w:b w:val="false"/>
          <w:color w:val="000000"/>
          <w:sz w:val="20"/>
        </w:rPr>
        <w:t xml:space="preserve">. See “Item 4. Information on the Company—C. Organizational Structure—Contractual Arrangements among Dayin, Zhaoyan and Zhaoyan’s Shareholders.” </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All the agreements under our contractual arrangements are governed by PRC laws and provide for the resolution of disputes through arbitration in China. Accordingly, these contracts would be interpreted in accordance with PRC laws and any disputes would be resolved in accordance with PRC legal procedures. The legal system in the PRC is not as developed as in some other jurisdictions, such as the United States. As a result, uncertainties in the PRC legal system could limit our ability to enforce these contractual arrangements. Meanwhile, there are very few precedents and little formal guidance as to how contractual arrangements in the context of a VIE should be interpreted or enforced under PRC laws. Significant uncertainties exist regarding the ultimate outcome of such arbitration should legal action become necessary. In addition, under PRC laws, rulings by arbitrators are final and parties cannot appeal arbitration results in court unless such rulings are revoked or determined unenforceable by a competent court. If the losing parties fail to carry out the arbitration awards within a prescribed time limit, the prevailing parties may only enforce the arbitration awards in PRC courts through arbitration award recognition proceedings, which would require additional expenses and delay. In the event that we are unable to enforce these contractual arrangements, or if we suffer significant delay or other obstacles in the process of enforcing these contractual arrangements, we may not be able to exert effective control over our VIEs and relevant rights and licenses held by it which we require in order to operate our business, and our ability to conduct our business may be adversely affected. See “—Risks Related to Doing Business in China—We may be adversely affected by the complexity, uncertainties and changes in PRC laws, rules and regulations, particularly of internet businesses.”</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arbitration provisions under these contractual arrangements have no effect on the rights of our shareholders to pursue claims against us under U.S. federal securities laws.</w:t>
      </w:r>
    </w:p>
    <w:p>
      <w:pPr>
        <w:pStyle w:val="TextBody"/>
        <w:spacing w:lineRule="auto" w:line="319" w:before="0" w:after="240"/>
        <w:jc w:val="both"/>
        <w:rPr>
          <w:rFonts w:ascii="Times New Roman;sans-serif" w:hAnsi="Times New Roman;sans-serif"/>
          <w:b/>
          <w:i/>
          <w:color w:val="000000"/>
          <w:sz w:val="20"/>
        </w:rPr>
      </w:pPr>
      <w:r>
        <w:rPr>
          <w:rFonts w:ascii="Times New Roman;sans-serif" w:hAnsi="Times New Roman;sans-serif"/>
          <w:b/>
          <w:i/>
          <w:color w:val="000000"/>
          <w:sz w:val="20"/>
        </w:rPr>
        <w:t>The shareholders of our VIEs may have potential conflicts of interest with us, which could adversely affect our business, operating results and financial condition.</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interests of the shareholders of our VIEs in their capacities as such shareholders may differ from the interests of our company as a whole, as what is in the best interests of our VIEs, including matters such as whether to distribute dividends or to make other distributions to fund our offshore requirement, may not be in the best interests of our company. There can be no assurance that when conflicts of interest arise, any or all of these shareholders will act in the best interests of our company or those conflicts of interest will be resolved in our favor. In addition, these shareholders may breach or cause our VIEs to breach or refuse to renew the existing contractual arrangements with us.</w:t>
      </w:r>
    </w:p>
    <w:p>
      <w:pPr>
        <w:pStyle w:val="HorizontalLine"/>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385445"/>
                <wp:effectExtent l="0" t="0" r="0" b="0"/>
                <wp:wrapNone/>
                <wp:docPr id="47" name="Frame47"/>
                <a:graphic xmlns:a="http://schemas.openxmlformats.org/drawingml/2006/main">
                  <a:graphicData uri="http://schemas.microsoft.com/office/word/2010/wordprocessingShape">
                    <wps:wsp>
                      <wps:cNvSpPr txBox="1"/>
                      <wps:spPr>
                        <a:xfrm>
                          <a:off x="0" y="0"/>
                          <a:ext cx="6480175" cy="385445"/>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43</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43</w:t>
                      </w:r>
                    </w:p>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Currently, we do not have arrangements to address potential conflicts of interest the shareholders of our VIEs may encounter, on the one hand, and as a beneficial owner of our company, on the other hand. We, however, could, at all times, exercise our option under the exclusive option agreement to cause them to transfer all of their equity ownership in our VIEs to our WFOEs or an entity or individual designated by us as permitted by the then applicable PRC laws. In addition, if such conflicts of interest arise, we could also, in the capacity of attorney-in-fact of the then existing shareholders of our VIEs as provided under the power of attorney agreements, directly appoint new directors of our VIEs. We rely on the shareholders of our VIEs to comply with PRC laws and regulations, which protect contracts and provide that directors and executive officers owe a duty of loyalty to our company and require them to avoid conflicts of interest and not to take advantage of their positions for personal gains, and the laws of the Cayman Islands, which provide that directors have a duty of care and a duty of loyalty to act honestly in good faith with a view to our best interests. However, the legal frameworks of China and the Cayman Islands do not provide guidance on resolving conflicts in the event of a conflict with another corporate governance regime. If we cannot resolve any conflicts of interest or disputes between us and the shareholders of our VIEs, we would have to rely on legal proceedings, which could result in disruption of our business and subject us to substantial uncertainty as to the outcome of any such legal proceedings.</w:t>
      </w:r>
    </w:p>
    <w:p>
      <w:pPr>
        <w:pStyle w:val="TextBody"/>
        <w:spacing w:lineRule="auto" w:line="319" w:before="0" w:after="240"/>
        <w:jc w:val="both"/>
        <w:rPr>
          <w:rFonts w:ascii="Times New Roman;sans-serif" w:hAnsi="Times New Roman;sans-serif"/>
          <w:b/>
          <w:i/>
          <w:color w:val="000000"/>
          <w:sz w:val="20"/>
        </w:rPr>
      </w:pPr>
      <w:r>
        <w:rPr>
          <w:rFonts w:ascii="Times New Roman;sans-serif" w:hAnsi="Times New Roman;sans-serif"/>
          <w:b/>
          <w:i/>
          <w:color w:val="000000"/>
          <w:sz w:val="20"/>
        </w:rPr>
        <w:t>Contractual arrangements in relation to our VIEs may be subject to scrutiny by the PRC tax authorities and they may determine that our VIEs owe additional taxes, which could adversely affect our business, operating results and financial condition.</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Under applicable PRC laws and regulations, arrangements and transactions among related parties may be subject to audit or challenge by the PRC tax authorities. The PRC enterprise income tax law requires every enterprise in China to submit its annual enterprise income tax return together with a report on transactions with its related parties to the relevant tax authorities. The tax authorities may impose reasonable adjustments on taxation if they have identified any related party transactions that are inconsistent with arm’s length principles. We may face material and adverse tax consequences if the PRC tax authorities determine that the contractual arrangements among our WFOEs, our VIEs and their shareholders were not entered into on an arm’s length basis in such a way as to result in an impermissible reduction in taxes under applicable PRC laws, regulations and rules, and adjust their income in the form of a transfer pricing adjustment, which could increase their PRC tax liabilities and our overall tax liabilities. A transfer pricing adjustment could, among other things, result in a reduction of expense deductions recorded by our WFOEs or our VIEs for PRC tax purposes, which could in turn increase their tax liabilities without reducing their tax expenses. In addition, if our WFOEs request the shareholders of our VIEs to transfer their equity interests in our VIEs at nominal or no value pursuant to these contractual arrangements, such transfer could be viewed as a gift and subject the relevant subsidiary to PRC income tax. Furthermore, the PRC tax authorities may impose late payment fees and other penalties on our WFOEs and VIEs for adjusted but unpaid taxes according to applicable regulations. Our financial position could be materially and adversely affected if the tax liabilities of our WFOEs and VIEs increase, or if they are required to pay late payment fees and other penalties.</w:t>
      </w:r>
    </w:p>
    <w:p>
      <w:pPr>
        <w:pStyle w:val="TextBody"/>
        <w:spacing w:lineRule="auto" w:line="319" w:before="0" w:after="240"/>
        <w:jc w:val="both"/>
        <w:rPr>
          <w:rFonts w:ascii="Times New Roman;sans-serif" w:hAnsi="Times New Roman;sans-serif"/>
          <w:b/>
          <w:i/>
          <w:color w:val="000000"/>
          <w:sz w:val="20"/>
        </w:rPr>
      </w:pPr>
      <w:r>
        <w:rPr>
          <w:rFonts w:ascii="Times New Roman;sans-serif" w:hAnsi="Times New Roman;sans-serif"/>
          <w:b/>
          <w:i/>
          <w:color w:val="000000"/>
          <w:sz w:val="20"/>
        </w:rPr>
        <w:t>We may lose the ability to use and enjoy assets held by our VIEs that are material to the operation of our business if the entity goes bankrupt or becomes subject to a dissolution or liquidation proceeding.</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VIEs hold substantially all of our assets in China. Under the contractual arrangements, our VIEs may not and their shareholders may not cause them to, in any manner, sell, transfer, mortgage or dispose of its assets or their legal or beneficial interests in the business without our prior consent. However, in the event that the shareholders of our VIEs breach these contractual arrangements and voluntarily liquidate our VIEs, or our VIEs declare bankruptcy and all or part of their assets become subject to liens or rights of third-party creditors, or are otherwise disposed of without our consent, we may be unable to continue some or all of our business activities or otherwise benefit from the assets held by our VIEs, which could adversely affect our business, operating results and financial condition. If any of our VIEs undergoes a voluntary or involuntary liquidation proceeding, independent </w:t>
      </w:r>
    </w:p>
    <w:p>
      <w:pPr>
        <w:pStyle w:val="HorizontalLine"/>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385445"/>
                <wp:effectExtent l="0" t="0" r="0" b="0"/>
                <wp:wrapNone/>
                <wp:docPr id="48" name="Frame48"/>
                <a:graphic xmlns:a="http://schemas.openxmlformats.org/drawingml/2006/main">
                  <a:graphicData uri="http://schemas.microsoft.com/office/word/2010/wordprocessingShape">
                    <wps:wsp>
                      <wps:cNvSpPr txBox="1"/>
                      <wps:spPr>
                        <a:xfrm>
                          <a:off x="0" y="0"/>
                          <a:ext cx="6480175" cy="385445"/>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44</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44</w:t>
                      </w:r>
                    </w:p>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lineRule="auto" w:line="319"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third-party creditors may claim rights to some or all of these assets, thereby hindering our ability to operate our business, which could adversely affect our business, operating results and financial condition.</w:t>
      </w:r>
    </w:p>
    <w:p>
      <w:pPr>
        <w:pStyle w:val="TextBody"/>
        <w:spacing w:lineRule="auto" w:line="319" w:before="0" w:after="240"/>
        <w:jc w:val="both"/>
        <w:rPr>
          <w:rFonts w:ascii="Times New Roman;sans-serif" w:hAnsi="Times New Roman;sans-serif"/>
          <w:b/>
          <w:i/>
          <w:color w:val="000000"/>
          <w:sz w:val="20"/>
        </w:rPr>
      </w:pPr>
      <w:r>
        <w:rPr>
          <w:rFonts w:ascii="Times New Roman;sans-serif" w:hAnsi="Times New Roman;sans-serif"/>
          <w:b/>
          <w:i/>
          <w:color w:val="000000"/>
          <w:sz w:val="20"/>
        </w:rPr>
        <w:t>If the custodians or authorized users of our controlling non-tangible assets, including chops and seals, fail to fulfill their responsibilities, or misappropriate or misuse these assets, our business and operations may be materially and adversely affected.</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Under PRC law, legal documents for corporate transactions, including agreements and contracts that our business relies on, are executed using the chop or seal of the signing entity or with the signature of a legal representative whose designation is registered and filed with the relevant local branch of the SAMR. We generally execute legal documents by affixing chops or seals, rather than having the designated legal representatives sign the documents.</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have three major types of chops — corporate chops, contract chops and finance chops. We use corporate chops generally for documents to be submitted to government agencies, such as applications for changing business scope, directors or company name, and for legal letters. We use contract chops for executing leases and commercial contracts. We use finance chops generally for making and collecting payments, including issuing invoices. Use of corporate chops and contract chops must be approved by our legal department and administrative department, and use of finance chops must be approved by our finance department. The chops of our subsidiary and VIEs are generally held by the relevant entities so that documents can be executed locally. Although we usually utilize chops to execute contracts, the registered legal representatives of our subsidiary and VIEs and their subsidiaries have the apparent authority to enter into contracts on behalf of such entities without chops, unless such contracts set forth otherwise.</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order to maintain the physical security of our chops, we generally have them stored in secured locations accessible only to the designated key employees of our legal, administrative or finance departments. Our designated legal representatives generally do not have access to the chops. Although we have approval procedures in place and monitor our key employees, including the designated legal representatives of our subsidiaries and VIEs and their subsidiaries, the procedures may not be sufficient to prevent all instances of abuse or negligence. There is a risk that our key employees or designated legal representatives could abuse their authority, for example, by binding our subsidiaries and VIEs and their subsidiaries with contracts against our interests, as we would be obligated to honor these contracts if the other contracting party acts in good faith in reliance on the apparent authority of our chops or signatures of our legal representatives. If any designated legal representative obtains control of the chop in an effort to obtain control over the relevant entity, we would need to have a shareholder or board resolution to designate a new legal representative and to take legal action to seek the return of the chop, apply for a new chop with the relevant authorities, or otherwise seek legal remedies for the legal representative’s misconduct. If any of the designated legal representatives obtains and misuses or misappropriates our chops and seals or other controlling intangible assets for whatever reason, we could experience disruption to our normal business operations. We may have to take corporate or legal action, which could involve significant time and resources to resolve while distracting management from our operations, and our business and operations may be materially and adversely affected.</w:t>
      </w:r>
    </w:p>
    <w:p>
      <w:pPr>
        <w:pStyle w:val="TextBody"/>
        <w:spacing w:lineRule="auto" w:line="319" w:before="0" w:after="240"/>
        <w:jc w:val="both"/>
        <w:rPr>
          <w:rFonts w:ascii="Times New Roman;sans-serif" w:hAnsi="Times New Roman;sans-serif"/>
          <w:b/>
          <w:i/>
          <w:color w:val="000000"/>
          <w:sz w:val="20"/>
        </w:rPr>
      </w:pPr>
      <w:r>
        <w:rPr>
          <w:rFonts w:ascii="Times New Roman;sans-serif" w:hAnsi="Times New Roman;sans-serif"/>
          <w:b/>
          <w:i/>
          <w:color w:val="000000"/>
          <w:sz w:val="20"/>
        </w:rPr>
        <w:t>Substantial uncertainties exist with respect to the interpretation and implementation of the newly promulgated PRC Foreign Investment Law, and its enactment could adversely affect our business, operating results and financial condition.</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MOFCOM published a discussion draft of the proposed Foreign Investment Law (2015), or the 2015 Draft, in January 2015 aiming to, upon its enactment, replace the major existing laws and regulations governing foreign investment in China. In December 2018, the Standing Committee of the National People’s Congress, or the SCNPC published the draft Foreign Investment Law (2018), which was further amended and published in January </w:t>
      </w:r>
    </w:p>
    <w:p>
      <w:pPr>
        <w:pStyle w:val="HorizontalLine"/>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385445"/>
                <wp:effectExtent l="0" t="0" r="0" b="0"/>
                <wp:wrapNone/>
                <wp:docPr id="49" name="Frame49"/>
                <a:graphic xmlns:a="http://schemas.openxmlformats.org/drawingml/2006/main">
                  <a:graphicData uri="http://schemas.microsoft.com/office/word/2010/wordprocessingShape">
                    <wps:wsp>
                      <wps:cNvSpPr txBox="1"/>
                      <wps:spPr>
                        <a:xfrm>
                          <a:off x="0" y="0"/>
                          <a:ext cx="6480175" cy="385445"/>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45</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45</w:t>
                      </w:r>
                    </w:p>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lineRule="auto" w:line="319"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2019, as a second draft for comment. In March 2019, a new draft of Foreign Investment Law was submitted to the National People’s Congress for review and was approved on March 15, 2019, which came into effect on January 1, 2020. The Foreign Investment Law replaces the three laws on foreign investment, i.e., the Wholly Foreign-owned Enterprise Law, the Cooperative Joint Venture Law of the PRC and the Equity Joint Venture Law of the PRC.</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2015 Draft introduced certain concepts for the regulation of “variable interest entity” structure, or the VIE structures, such as “actual control” and “controlling PRC companies by contracts or trusts.” However, the enacted Foreign Investment Law, as well as its implementation rules promulgated on December 26, 2019 and took effect on January 1, 2020, no longer mention the relevant concepts for the regulation of these variable interest entity structures. Instead, the newly promulgated Foreign Investment Law contains a catch-all provision, stating that investments made by foreign investors through means stipulated in laws or administrative regulations or other methods prescribed by the State Council shall also be deemed as foreign investments. In consideration of the above, there are significant uncertainties as to the interpretation and implementation of such new legislation and how the control status of our VIEs would be determined under the enacted Foreign Investment Law. In addition, it is uncertain whether any of the businesses that we currently operate or plan to operate in the future through our VIEs would be on the “negative list” updated by the governmental authority from time to time and therefore be subject to any foreign investment restrictions or prohibitions. If any of the businesses that we operate were in the “restricted” category on the to-be-issued “negative list”, such determination would materially and adversely affect the value of our ADSs. We also face uncertainties as to whether the interpretation and implementation of such new legislation or regulations promulgated in the future would mandate further actions, such as MOFCOM market entry clearance or certain restructuring of our corporate structure and operations, to be completed by companies with existing VIE structure and whether these actions can be timely completed, or at all, and our business and financial condition may be materially and adversely affected. If we are not able to obtain any approval when required, our VIE structure may be regarded as invalid and illegal, which could adversely affect our business, operating results and financial condition, for instance, we may not be able to (1) continue our business in China through our contractual arrangements with our VIEs, (2) exert effective control over our VIEs or (3) consolidate the financial results of, and receive economic benefits from our VIEs under existing contractual arrangements.</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our corporate governance practice may be impacted and our compliance costs could increase if our FIE was considered as a FIE under the Foreign Investment Law. For instance, the Foreign Investment Law purports to impose ad hoc and periodic information reporting requirements on foreign investors and the applicable FIEs. Any company found to be non-compliant with these information reporting obligations could potentially be subject to fines or administrative liabilities.</w:t>
      </w:r>
    </w:p>
    <w:p>
      <w:pPr>
        <w:pStyle w:val="TextBody"/>
        <w:spacing w:lineRule="auto" w:line="319" w:before="0" w:after="240"/>
        <w:jc w:val="both"/>
        <w:rPr>
          <w:rFonts w:ascii="Times New Roman;sans-serif" w:hAnsi="Times New Roman;sans-serif"/>
          <w:b/>
          <w:color w:val="000000"/>
          <w:sz w:val="20"/>
        </w:rPr>
      </w:pPr>
      <w:r>
        <w:rPr>
          <w:rFonts w:ascii="Times New Roman;sans-serif" w:hAnsi="Times New Roman;sans-serif"/>
          <w:b/>
          <w:color w:val="000000"/>
          <w:sz w:val="20"/>
        </w:rPr>
        <w:t xml:space="preserve">Risks Related to Doing Business in China </w:t>
      </w:r>
    </w:p>
    <w:p>
      <w:pPr>
        <w:pStyle w:val="TextBody"/>
        <w:spacing w:lineRule="auto" w:line="319" w:before="0" w:after="240"/>
        <w:jc w:val="both"/>
        <w:rPr/>
      </w:pPr>
      <w:r>
        <w:rPr>
          <w:rFonts w:ascii="Times New Roman;sans-serif" w:hAnsi="Times New Roman;sans-serif"/>
          <w:b/>
          <w:i/>
          <w:color w:val="000000"/>
          <w:sz w:val="20"/>
        </w:rPr>
        <w:t>Changes in the political and economic policies of the PRC government could adversely affect our business, operating results and financial condition, and may result in our inability to sustain our growth and expansion strategies</w:t>
      </w:r>
      <w:r>
        <w:rPr>
          <w:rFonts w:ascii="Times New Roman;sans-serif" w:hAnsi="Times New Roman;sans-serif"/>
          <w:b w:val="false"/>
          <w:color w:val="000000"/>
          <w:sz w:val="20"/>
        </w:rPr>
        <w:t>.</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 substantial part of our operations are conducted in the PRC and a significant portion of our revenue is sourced from the PRC. Accordingly, our business, operating results and financial condition are affected to a significant extent by economic, political and legal developments in the PRC.</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PRC economy differs from the economies of most developed countries in many respects, including the extent of government involvement, level of development, growth rate, control of foreign exchange and allocation of resources. Although the PRC government has implemented measures emphasizing the utilization of market forces for economic reform, the reduction of state ownership of productive assets, and the establishment of improved corporate governance in business enterprises, a substantial portion of productive assets in China is still owned by the </w:t>
      </w:r>
    </w:p>
    <w:p>
      <w:pPr>
        <w:pStyle w:val="HorizontalLine"/>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385445"/>
                <wp:effectExtent l="0" t="0" r="0" b="0"/>
                <wp:wrapNone/>
                <wp:docPr id="50" name="Frame50"/>
                <a:graphic xmlns:a="http://schemas.openxmlformats.org/drawingml/2006/main">
                  <a:graphicData uri="http://schemas.microsoft.com/office/word/2010/wordprocessingShape">
                    <wps:wsp>
                      <wps:cNvSpPr txBox="1"/>
                      <wps:spPr>
                        <a:xfrm>
                          <a:off x="0" y="0"/>
                          <a:ext cx="6480175" cy="385445"/>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46</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46</w:t>
                      </w:r>
                    </w:p>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lineRule="auto" w:line="319"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government. In addition, the PRC government continues to play a significant role in regulating industry development by imposing industrial policies. The PRC government also exercises significant control over China’s economic growth by allocating resources, controlling payment of foreign currency-denominated obligations, setting monetary policy, regulating financial services and institutions and providing preferential treatment to particular industries or companies.</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While the PRC economy has experienced significant growth in the past three decades, growth has been uneven, both geographically and among various sectors of the economy. The PRC government has implemented various measures to encourage economic growth and guide the allocation of resources. Some of these measures may benefit the overall PRC economy, but may also have a negative effect on us. Our business, operating results and financial condition could be materially and adversely affected by government control over capital investments or changes in tax regulations that are applicable to us. In addition, the PRC government has implemented in the past certain measures to control the pace of economic growth. These measures may cause decreased economic activity, which in turn could lead to a reduction in demand for our services and consequently adversely affect our business, operating results and financial condition.</w:t>
      </w:r>
    </w:p>
    <w:p>
      <w:pPr>
        <w:pStyle w:val="TextBody"/>
        <w:spacing w:lineRule="auto" w:line="319" w:before="0" w:after="240"/>
        <w:jc w:val="both"/>
        <w:rPr>
          <w:rFonts w:ascii="Times New Roman;sans-serif" w:hAnsi="Times New Roman;sans-serif"/>
          <w:b/>
          <w:i/>
          <w:color w:val="000000"/>
          <w:sz w:val="20"/>
        </w:rPr>
      </w:pPr>
      <w:r>
        <w:rPr>
          <w:rFonts w:ascii="Times New Roman;sans-serif" w:hAnsi="Times New Roman;sans-serif"/>
          <w:b/>
          <w:i/>
          <w:color w:val="000000"/>
          <w:sz w:val="20"/>
        </w:rPr>
        <w:t>We may be adversely affected by the complexity, uncertainties and changes in PRC laws, rules and regulations, particularly of internet businesses.</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 significant portion of our operations are conducted in the PRC and are governed by PRC laws, rules and regulations. Our subsidiaries in the PRC and our VIEs are subject to laws, rules and regulations applicable to foreign investment in China. The PRC legal system is a civil law system based on written statutes. Unlike the common law system, prior court decisions may be cited for reference but have limited precedential value.</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1979, the PRC government began to promulgate a comprehensive system of laws, rules and regulations governing economic matters in general. The overall effect of legislation over the past three decades has significantly enhanced the protections afforded to various forms of foreign investment in China. However, China has not developed a fully integrated legal system, and recently enacted laws, rules and regulations may not sufficiently cover all aspects of economic activities in China or may be subject to significant degrees of interpretation by PRC regulatory agencies. In particular, because these laws, rules and regulations are relatively new, and because of the limited number of published decisions and the nonbinding nature of such decisions, and because the laws, rules and regulations often give the relevant regulator significant discretion in how to enforce them, the interpretation and enforcement of these laws, rules and regulations involve uncertainties and can be inconsistent and unpredictable. In addition, the PRC legal system is based in part on government policies and internal rules, some of which are not published on a timely basis or at all, and which may have a retroactive effect. As a result, we may not be aware of our violation of these policies and rules until after the occurrence of the violation. Moreover, any administrative and court proceedings in China may be protracted, resulting in substantial costs and diversion of resources and management attention. Since PRC administrative and court authorities have significant discretion in interpreting and implementing statutory and contractual terms, it may be more difficult to evaluate the outcome of administrative and court proceedings and the level of legal protection we enjoy than in more developed legal systems. These uncertainties may impede our ability to enforce the contracts we have entered into and could adversely affect our business, operating results and financial condition.</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Chinese government heavily regulates the internet industry, including relevant market access restrictions and limitations on foreign investment, license and permit requirements for service providers in the internet industry. Since some of the laws, regulations and legal requirements with respect to the internet are relatively new and evolving, their interpretation and enforcement involve significant uncertainties. Because the Chinese legal system is based on written statutes, such that prior court decisions can only be cited for reference and have little precedential value, it is in many cases difficult to determine what actions or omissions may result in </w:t>
      </w:r>
    </w:p>
    <w:p>
      <w:pPr>
        <w:pStyle w:val="HorizontalLine"/>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385445"/>
                <wp:effectExtent l="0" t="0" r="0" b="0"/>
                <wp:wrapNone/>
                <wp:docPr id="51" name="Frame51"/>
                <a:graphic xmlns:a="http://schemas.openxmlformats.org/drawingml/2006/main">
                  <a:graphicData uri="http://schemas.microsoft.com/office/word/2010/wordprocessingShape">
                    <wps:wsp>
                      <wps:cNvSpPr txBox="1"/>
                      <wps:spPr>
                        <a:xfrm>
                          <a:off x="0" y="0"/>
                          <a:ext cx="6480175" cy="385445"/>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47</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47</w:t>
                      </w:r>
                    </w:p>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lineRule="auto" w:line="319"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liabilities. Issues, risks and uncertainties relating to China’s government regulation of the Chinese internet sector include the following:</w:t>
      </w:r>
    </w:p>
    <w:p>
      <w:pPr>
        <w:pStyle w:val="TextBody"/>
        <w:spacing w:lineRule="auto" w:line="319" w:before="0" w:after="240"/>
        <w:ind w:left="0" w:right="0" w:hanging="360"/>
        <w:jc w:val="both"/>
        <w:rPr/>
      </w:pPr>
      <w:r>
        <w:rPr>
          <w:color w:val="000000"/>
        </w:rPr>
        <w:t>•</w:t>
      </w:r>
      <w:r>
        <w:rPr>
          <w:rFonts w:ascii="Times New Roman;sans-serif" w:hAnsi="Times New Roman;sans-serif"/>
          <w:b w:val="false"/>
          <w:color w:val="000000"/>
          <w:sz w:val="20"/>
        </w:rPr>
        <w:t>We operate our business in China through businesses controlled via contractual arrangements versus direct ownership due to restrictions on foreign investment in businesses related to value-added telecommunication services.</w:t>
      </w:r>
    </w:p>
    <w:p>
      <w:pPr>
        <w:pStyle w:val="TextBody"/>
        <w:spacing w:lineRule="auto" w:line="319" w:before="0" w:after="240"/>
        <w:ind w:left="0" w:right="0" w:hanging="360"/>
        <w:jc w:val="both"/>
        <w:rPr/>
      </w:pPr>
      <w:r>
        <w:rPr>
          <w:color w:val="000000"/>
        </w:rPr>
        <w:t>•</w:t>
      </w:r>
      <w:r>
        <w:rPr>
          <w:rFonts w:ascii="Times New Roman;sans-serif" w:hAnsi="Times New Roman;sans-serif"/>
          <w:b w:val="false"/>
          <w:color w:val="000000"/>
          <w:sz w:val="20"/>
        </w:rPr>
        <w:t>Uncertainties relating to the regulation of the internet business in China, including evolving licensing practices, give rise to the risk that some of our permits, licenses or operations may be subject to challenge, which may be disruptive to our business, subject us to sanctions or require us to increase capital, compromise the enforceability of relevant contractual arrangements, or have other adverse effects on us. The numerous and often vague restrictions on acceptable content in China subject us to potential civil and criminal liability, temporary blockage or complete shut-down of our products. For example, the State Secrecy Bureau, which is directly responsible for the protection of state secrets of all Chinese government and Chinese Communist Party organizations, is authorized to block any website or mobile applications it deems to be leaking state secrets or failing to meet the relevant regulations relating to the protection of state secrets in the distribution of online information. In addition, the newly amended Law on Preservation of State Secrets which became effective on October 1, 2010 provides that whenever an internet service provider detects any leakage of state secrets in the distribution of online information, it should stop the distribution of such information and report to the authorities of state security and public security. As per request of the authorities of state security, public security or state secrecy, the internet service provider should delete any content on its website that may lead to disclosure of state secrets. Failure to do so on a timely and adequate basis may subject the service provider to liability and certain penalties imposed by the State Security Bureau, Ministry of Public Security or MIIT, or their respective local counterparts.</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Due to the increasing popularity and use of the internet and other online services, it is possible that a number of laws and regulations may be adopted with respect to the internet or other online services covering issues such as user privacy, cybersecurity, data protection, pricing, content, copyrights, distribution, antitrust and characteristics and quality of products and services. The adoption of additional laws or regulations may impede the growth of the internet or other online services, which could, in turn, decrease the demand for our products and services and increase our cost of doing business. The interpretation and application of existing PRC laws, regulations and policies, the stated positions of relevant PRC government authorities and possible new laws, regulations or policies have created substantial uncertainties regarding the legality of existing and future foreign investments in, and the businesses and activities of, internet businesses in China, including our business.</w:t>
      </w:r>
    </w:p>
    <w:p>
      <w:pPr>
        <w:pStyle w:val="TextBody"/>
        <w:spacing w:lineRule="auto" w:line="319" w:before="0" w:after="240"/>
        <w:jc w:val="both"/>
        <w:rPr>
          <w:rFonts w:ascii="Times New Roman;sans-serif" w:hAnsi="Times New Roman;sans-serif"/>
          <w:b/>
          <w:i/>
          <w:color w:val="000000"/>
          <w:sz w:val="20"/>
        </w:rPr>
      </w:pPr>
      <w:r>
        <w:rPr>
          <w:rFonts w:ascii="Times New Roman;sans-serif" w:hAnsi="Times New Roman;sans-serif"/>
          <w:b/>
          <w:i/>
          <w:color w:val="000000"/>
          <w:sz w:val="20"/>
        </w:rPr>
        <w:t>We may be required to obtain and maintain permits and licenses to operate our business in China.</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operate our business in China mainly through Zhaoyan, whose business activities mainly include offering real-time engagement products that enable interactions through audio, video or message within mobile applications, which may be regarded as value-added telecommunications services under the Catalogue of Telecommunications Business, or the Catalogue, which was revised and promulgated on June 6, 2019. Considering the products we offer and the way our services are provided to our customers, we understand that our RTE-PaaS business activities do not clearly fit into any current category under the Catalogue, and there is no specific license that is expressly and completely applicable to such business under the Catalogue. However, the RTE-PaaS industry is still in a nascent stage of development and the laws and regulations regarding licenses for value added telecommunication services in the PRC are continuously evolving. It is possible that the businesses described in the Catalogue, along with other relevant rules and regulatory requirements for the licenses, may be interpreted and applied in a manner that is inconsistent with our understanding above, which means there can be no assurance that </w:t>
      </w:r>
    </w:p>
    <w:p>
      <w:pPr>
        <w:pStyle w:val="HorizontalLine"/>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385445"/>
                <wp:effectExtent l="0" t="0" r="0" b="0"/>
                <wp:wrapNone/>
                <wp:docPr id="52" name="Frame52"/>
                <a:graphic xmlns:a="http://schemas.openxmlformats.org/drawingml/2006/main">
                  <a:graphicData uri="http://schemas.microsoft.com/office/word/2010/wordprocessingShape">
                    <wps:wsp>
                      <wps:cNvSpPr txBox="1"/>
                      <wps:spPr>
                        <a:xfrm>
                          <a:off x="0" y="0"/>
                          <a:ext cx="6480175" cy="385445"/>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48</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48</w:t>
                      </w:r>
                    </w:p>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lineRule="auto" w:line="319"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the PRC regulators would take a view that our operations are not required to obtain a license or a series of licenses under the current Catalogue, or under future laws, rules and regulations applicable to our business as promulgated and amended from time to time.</w:t>
      </w:r>
    </w:p>
    <w:p>
      <w:pPr>
        <w:pStyle w:val="TextBody"/>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To minimize the risk arising from the PRC regulator’s different interpretation and enforcement on relevant laws, rules and regulations, Zhaoyan has applied for and been granted Internet Data Center and CDN licenses covering certain areas in the PRC, as well as a license for providing multiparty communication services with national coverage. We will continually assess the need to obtain and renew permits and licenses to operate our business, including applying for permits and licenses for our other subsidiaries and VIEs, subject to relevant laws, rules and regulations including the Catalogue, expanding the geographic coverage of our current Internet Data Center and CDN licenses, and ongoing and closely consult the supervisory authority having jurisdiction over us, and follow their guidance in a timely manner to ensure we run our business legitimately. However, we may fail, on acceptable terms and on a timely basis, or at all, to obtain and maintain the permits and licenses we may need to operate and expand our business from time to time and as required by the supervisory authorities. Business operations without proper permits and licenses may subject us to administrative penalties by relevant PRC regulators with measures including fines, and in very extreme cases, confiscation of the gains derived from the operations, being required to discontinue or restrict our operation and being placed in the credit blacklist made by the PRC regulator, and our business, operating results and financial condition could be materially adversely affected.</w:t>
      </w:r>
    </w:p>
    <w:p>
      <w:pPr>
        <w:pStyle w:val="TextBody"/>
        <w:spacing w:before="0" w:after="0"/>
        <w:rPr/>
      </w:pPr>
      <w:r>
        <w:rPr/>
      </w:r>
    </w:p>
    <w:p>
      <w:pPr>
        <w:pStyle w:val="TextBody"/>
        <w:spacing w:lineRule="auto" w:line="319" w:before="0" w:after="240"/>
        <w:jc w:val="both"/>
        <w:rPr>
          <w:rFonts w:ascii="Times New Roman;sans-serif" w:hAnsi="Times New Roman;sans-serif"/>
          <w:b/>
          <w:i/>
          <w:color w:val="000000"/>
          <w:sz w:val="20"/>
        </w:rPr>
      </w:pPr>
      <w:r>
        <w:rPr>
          <w:rFonts w:ascii="Times New Roman;sans-serif" w:hAnsi="Times New Roman;sans-serif"/>
          <w:b/>
          <w:i/>
          <w:color w:val="000000"/>
          <w:sz w:val="20"/>
        </w:rPr>
        <w:t>The Regulation on Mergers and Acquisitions of Domestic Enterprises by Foreign Investors establishes more complex procedures for acquisitions conducted by foreign investors that could make it more difficult for us to grow through acquisitions.</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August 8, 2006, six PRC regulatory agencies, including the MOFCOM, the State-Owned Assets Supervision and Administration Commission, or the SASAC, the SAT, the State Administration for Industry and Commerce, or the SAIC, the CSRC, and the State Administration of Foreign Exchange, or the SAFE, jointly adopted the Regulations on Mergers and Acquisitions of Domestic Enterprises by Foreign Investors, or the M&amp;A Rules, which came into effect on September 8, 2006 and were amended on June 22, 2009. The M&amp;A Rules include, among other things, provisions that purport to require that an offshore special purpose vehicle that is controlled by PRC domestic companies or individuals and that has been formed for the purpose of an overseas listing of securities through acquisitions of PRC domestic companies or assets to obtain the approval of the CSRC prior to the listing and trading of such special purpose vehicle’s securities on an overseas stock exchange. On September 21, 2006, the CSRC published on its official website procedures regarding its approval of overseas listings by special purpose vehicles. However, substantial uncertainty remains regarding the scope and applicability of the M&amp;A Rules to offshore special purpose vehicles.</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These regulations established additional procedures and requirements that are expected to make merger and acquisition activities in China by foreign investors more time-consuming and complex. For example, the M&amp;A rules require that the MOFCOM be notified in advance of any change-of-control transaction in which a foreign investor takes control of a PRC domestic enterprise if (1) any important industry is concerned, (2) such transaction involves factors that have or may have impact on the national economic security or (3) such transaction will lead to a change in control of a domestic enterprise which holds a famous trademark or PRC time-honored brand. The approval from the MOFCOM shall be obtained in circumstances where overseas companies established or controlled by PRC enterprises or residents acquire affiliated domestic companies. Mergers, acquisitions or contractual arrangements that allow one market player to take control of or to exert decisive impact on another market player must also be notified in advance to the MOFCOM when the threshold under the Provisions on Thresholds for Prior Notification of Concentrations of Undertakings issued by the State Council in August 2008 (as amended in September 2018) is triggered. In addition, the Provisions of the Ministry of Commerce on the Implementation of the Security Review System for Merger and Acquisition of Domestic Enterprises by Foreign Investors, or MOFCOM Security Review Rules, issued by the MOFCOM that became effective in September 2011 specify that mergers and acquisitions by foreign investors that raise “national defense and security” concerns and mergers and acquisitions through which </w:t>
      </w:r>
    </w:p>
    <w:p>
      <w:pPr>
        <w:pStyle w:val="HorizontalLine"/>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385445"/>
                <wp:effectExtent l="0" t="0" r="0" b="0"/>
                <wp:wrapNone/>
                <wp:docPr id="53" name="Frame53"/>
                <a:graphic xmlns:a="http://schemas.openxmlformats.org/drawingml/2006/main">
                  <a:graphicData uri="http://schemas.microsoft.com/office/word/2010/wordprocessingShape">
                    <wps:wsp>
                      <wps:cNvSpPr txBox="1"/>
                      <wps:spPr>
                        <a:xfrm>
                          <a:off x="0" y="0"/>
                          <a:ext cx="6480175" cy="385445"/>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49</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49</w:t>
                      </w:r>
                    </w:p>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lineRule="auto" w:line="319"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foreign investors may acquire de facto control over domestic enterprises that raise “national security” concerns are subject to strict review by the MOFCOM, and the rules prohibit any activities attempting to bypass a security review, including by structuring the transaction through a proxy or contractual control arrangement. We may grow our business in part by acquiring other companies operating in our industry. Complying with the requirements of the new regulations to complete such transactions could be time-consuming, and any required approval processes, including approval from the MOFCOM or other relevant governmental authorities, may delay or inhibit our ability to complete such transactions, which could affect our ability to expand our business or maintain our market share. See the section of this annual report captioned “Regulation—PRC Regulation—Regulations Related to Mergers and Acquisitions and Overseas Listings.”</w:t>
      </w:r>
    </w:p>
    <w:p>
      <w:pPr>
        <w:pStyle w:val="TextBody"/>
        <w:spacing w:lineRule="auto" w:line="319" w:before="0" w:after="240"/>
        <w:jc w:val="both"/>
        <w:rPr>
          <w:rFonts w:ascii="Times New Roman;sans-serif" w:hAnsi="Times New Roman;sans-serif"/>
          <w:b/>
          <w:i/>
          <w:color w:val="000000"/>
          <w:sz w:val="20"/>
        </w:rPr>
      </w:pPr>
      <w:r>
        <w:rPr>
          <w:rFonts w:ascii="Times New Roman;sans-serif" w:hAnsi="Times New Roman;sans-serif"/>
          <w:b/>
          <w:i/>
          <w:color w:val="000000"/>
          <w:sz w:val="20"/>
        </w:rPr>
        <w:t>PRC laws and regulations mandate complex procedures for some acquisitions of Chinese companies by foreign investors, which could make it more difficult for us to make acquisitions in China.</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PRC laws and regulations, such as the M&amp;A Rules, and other relevant rules, established additional procedures and requirements that are expected to make merger and acquisition activities in China by foreign investors more time-consuming and complex, including requirements in some instances that the MOFCOM be notified in advance of any change-of-control transaction in which a foreign investor takes control of a PRC domestic enterprise, or that the approval from the MOFCOM be obtained in circumstances where overseas companies established or controlled by PRC enterprises or residents acquire affiliated domestic companies. PRC laws and regulations also require certain merger and acquisition transactions to be subject to a merger control security review. In August 2011, the MOFCOM promulgated the MOFCOM Security Review Rules, effective from September 1, 2011, further provide that, when deciding whether a specific merger or acquisition of a domestic enterprise by foreign investors is subject to a security review by the MOFCOM, the principle of substance over form should be applied and foreign investors are prohibited from bypassing the security review requirement by structuring transactions through proxies, trusts, indirect investments, leases, loans, control through contractual arrangements of offshore transaction. Factors that the MOFCOM considers in its review are whether (1) an important industry is involved, (2) such transaction involves factors that have had or may have an impact on national economic security and (3) such transaction will lead to a change in control of a domestic enterprise that holds a well-known PRC trademark or a time-honored PRC brand. Furthermore, on December 19, 2020, the NDRC and the MOFCOM promulgated the Measures for Security Review of Foreign Investment, or the Foreign Investment Security Review Measures, which took effect on January 18, 2021. Under the Foreign Investment Security Review Measures, investment in certain key areas which results in acquiring the actual control of the assets is required to obtain approval from designated governmental authorities in advance. As the Foreign Investment Security Review Measures are recently promulgated, there are great uncertainties with respect to its interpretation and implementation. If a business of any target company that we plan to acquire falls into the ambit of security review, we may not be able to successfully acquire such company. In addition, the PRC Anti-monopoly Law requires that where concentration of undertakings reaches the filing threshold stipulated by the State Council, a filing must be made with the anti-monopoly authority before the parties implement the concentration. On October 23, 2020, the SAMR further issued the Interim Provisions on the Review of Concentration of Undertakings, which took effect on December 1, 2020, to further enhance the enforcement on the supervision of concentration of undertakings. Complying with the requirements of the relevant regulations to complete any such transaction could be time-consuming, and any required approval process, including approval from the MOFCOM or other governmental authorities, may delay or inhibit our ability to complete such transactions, which could affect our ability to expand our business.</w:t>
      </w:r>
    </w:p>
    <w:p>
      <w:pPr>
        <w:pStyle w:val="TextBody"/>
        <w:spacing w:lineRule="auto" w:line="319" w:before="0" w:after="240"/>
        <w:jc w:val="both"/>
        <w:rPr>
          <w:rFonts w:ascii="Times New Roman;sans-serif" w:hAnsi="Times New Roman;sans-serif"/>
          <w:b/>
          <w:i/>
          <w:color w:val="000000"/>
          <w:sz w:val="20"/>
        </w:rPr>
      </w:pPr>
      <w:r>
        <w:rPr>
          <w:rFonts w:ascii="Times New Roman;sans-serif" w:hAnsi="Times New Roman;sans-serif"/>
          <w:b/>
          <w:i/>
          <w:color w:val="000000"/>
          <w:sz w:val="20"/>
        </w:rPr>
        <w:t>PRC regulations relating to investments in offshore companies by PRC residents may subject our PRC-resident beneficial owners, our subsidiaries in the PRC or our VIEs to liability or penalties, limit our ability to inject capital into our subsidiaries in the PRC and our VIEs or limit the ability of our subsidiaries in the PRC and our VIEs to increase their registered capital or distribute profits.</w:t>
      </w:r>
    </w:p>
    <w:p>
      <w:pPr>
        <w:pStyle w:val="HorizontalLine"/>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385445"/>
                <wp:effectExtent l="0" t="0" r="0" b="0"/>
                <wp:wrapNone/>
                <wp:docPr id="54" name="Frame54"/>
                <a:graphic xmlns:a="http://schemas.openxmlformats.org/drawingml/2006/main">
                  <a:graphicData uri="http://schemas.microsoft.com/office/word/2010/wordprocessingShape">
                    <wps:wsp>
                      <wps:cNvSpPr txBox="1"/>
                      <wps:spPr>
                        <a:xfrm>
                          <a:off x="0" y="0"/>
                          <a:ext cx="6480175" cy="385445"/>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50</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50</w:t>
                      </w:r>
                    </w:p>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SAFE promulgated the Circular on Relevant Issues Concerning Foreign Exchange Control on Domestic Residents’ Offshore Investment and Financing and Roundtrip Investment through Special Purpose Vehicles, or SAFE Circular 37, on July 4, 2014, which replaced the former circular commonly known as “SAFE Circular 75” promulgated by the SAFE on October 21, 2005. SAFE Circular 37 requires PRC residents to register with local branches of the SAFE in connection with their direct establishment or indirect control of an offshore entity, for the purpose of overseas investment and financing, with such PRC residents’ legally owned assets or equity interests in domestic enterprises or offshore assets or interests, referred to in SAFE Circular 37 as a “special purpose vehicle.” Pursuant to SAFE Circular 37, “control” refers to the act through which a PRC resident obtains the right to carry out business operation of, to gain proceeds from or to make decisions on a special purpose vehicle by means of, among others, shareholding entrustment arrangement. SAFE Circular 37 further requires amendment to the registration in the event of any significant changes with respect to the special purpose vehicle, such as change of shareholders of the special purpose vehicle, increase or decrease of capital contributed by PRC individuals, share transfer or exchange, merger, division or other material event. In the event that a PRC shareholder holding interests in a special purpose vehicle fails to fulfill the required SAFE registration, the PRC subsidiaries of that special purpose vehicle may be prohibited from making profit distributions to the offshore parent and from carrying out subsequent cross-border foreign exchange activities, and the special purpose vehicle may be restricted in its ability to contribute additional capital into its PRC subsidiaries. Moreover, failure to comply with the various SAFE registration requirements described above could result in liability under PRC law for evasion of foreign exchange controls. According to the Notice on Further Simplifying and Improving Policies for the Foreign Exchange Administration of Direct Investment released on February 13, 2015 by the SAFE and amended on December 30, 2019, local banks will examine and handle foreign exchange registration for overseas direct investment, including the initial foreign exchange registration and amendment registration, under SAFE Circular 37 from June 1, 2015.</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Mr. Zhao has completed the SAFE registration pursuant to SAFE Circular 37 in 2014, with Soundscape Limited and VoiceCrew Limited being registered as the “special purpose vehicle.” We have notified substantial beneficial owners of ordinary shares who we know are PRC residents of their filing obligation, including the obligation to complete the SAFE registration and to make updates under SAFE Circular 37. Nevertheless, we may not be continuously aware of the identities of all of our beneficial owners who are PRC residents. We do not have control over our beneficial owners and there can be no assurance that all of our PRC-resident beneficial owners will comply with SAFE Circular 37 and subsequent implementation rules, and there is no assurance that the registration under SAFE Circular 37 and any amendment will be completed in a timely manner, or will be completed at all. The failure of our beneficial owners who are PRC residents to register or amend their foreign exchange registrations in a timely manner pursuant to SAFE Circular 37 and subsequent implementation rules, or the failure of future beneficial owners of our company who are PRC residents to comply with the registration procedures set forth in SAFE Circular 37 and subsequent implementation rules, may subject such beneficial owners, our subsidiaries in the PRC or our VIEs to fines and legal sanctions. Failure to register or comply with relevant requirements may also limit our ability to contribute additional capital to our subsidiaries in the PRC and our VIEs and limit the ability of our subsidiaries in the PRC to distribute dividends to our company. These risks could adversely affect our business, operating results and financial condition.</w:t>
      </w:r>
    </w:p>
    <w:p>
      <w:pPr>
        <w:pStyle w:val="TextBody"/>
        <w:spacing w:lineRule="auto" w:line="319" w:before="0" w:after="240"/>
        <w:jc w:val="both"/>
        <w:rPr>
          <w:rFonts w:ascii="Times New Roman;sans-serif" w:hAnsi="Times New Roman;sans-serif"/>
          <w:b/>
          <w:i/>
          <w:color w:val="000000"/>
          <w:sz w:val="20"/>
        </w:rPr>
      </w:pPr>
      <w:r>
        <w:rPr>
          <w:rFonts w:ascii="Times New Roman;sans-serif" w:hAnsi="Times New Roman;sans-serif"/>
          <w:b/>
          <w:i/>
          <w:color w:val="000000"/>
          <w:sz w:val="20"/>
        </w:rPr>
        <w:t>Any failure to comply with PRC regulations regarding employee equity incentive plans may subject the PRC plan participants or us to fines and other legal or administrative sanctions.</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SAFE Circular 37, PRC residents who participate in equity incentive plans in overseas non-publicly-listed companies due to their position as director, senior management or employees of the PRC subsidiaries of the overseas companies may submit applications to SAFE or its local branches for the foreign exchange registration with respect to offshore special purpose companies. Our directors, executive officers and other employees who are PRC residents and who have been granted options may follow SAFE Circular 37 to apply for the foreign exchange registration before our company becomes an overseas listed company. As an overseas listed </w:t>
      </w:r>
    </w:p>
    <w:p>
      <w:pPr>
        <w:pStyle w:val="HorizontalLine"/>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385445"/>
                <wp:effectExtent l="0" t="0" r="0" b="0"/>
                <wp:wrapNone/>
                <wp:docPr id="55" name="Frame55"/>
                <a:graphic xmlns:a="http://schemas.openxmlformats.org/drawingml/2006/main">
                  <a:graphicData uri="http://schemas.microsoft.com/office/word/2010/wordprocessingShape">
                    <wps:wsp>
                      <wps:cNvSpPr txBox="1"/>
                      <wps:spPr>
                        <a:xfrm>
                          <a:off x="0" y="0"/>
                          <a:ext cx="6480175" cy="385445"/>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51</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51</w:t>
                      </w:r>
                    </w:p>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lineRule="auto" w:line="319"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company, we and our directors, executive officers and other employees who are PRC residents and who have been granted options are subject to the Notice on Issues Concerning the Foreign Exchange Administration for Domestic Individuals Participating in Stock Incentive Plan of Overseas Publicly Listed Company, issued by SAFE in February 2012, according to which, employees, directors, supervisors and other management members participating in any equity incentive plans of an overseas publicly listed company who are PRC residents are required to register with SAFE through a domestic qualified agent, which could be a PRC subsidiary of such overseas listed company, and complete certain other procedures. We are making, and will make efforts to comply with these requirements, but there can be no assurance that they can successfully register with SAFE in full compliance with the rules. Failure to complete the SAFE registrations may subject relevant participants in our share incentive plans to fines and legal sanctions and may also limit the ability to make payment under our equity incentive plans or receive dividends or sales proceeds related thereto, or our ability to contribute additional capital into our wholly-foreign owned enterprise in China and limit our wholly-foreign owned enterprise’s ability to distribute dividends to us. We also face regulatory uncertainties that could restrict our ability to adopt additional equity incentive plans for our directors and employees under PRC law.</w:t>
      </w:r>
    </w:p>
    <w:p>
      <w:pPr>
        <w:pStyle w:val="TextBody"/>
        <w:spacing w:lineRule="auto" w:line="319" w:before="0" w:after="240"/>
        <w:jc w:val="both"/>
        <w:rPr>
          <w:rFonts w:ascii="Times New Roman;sans-serif" w:hAnsi="Times New Roman;sans-serif"/>
          <w:b/>
          <w:i/>
          <w:color w:val="000000"/>
          <w:sz w:val="20"/>
        </w:rPr>
      </w:pPr>
      <w:r>
        <w:rPr>
          <w:rFonts w:ascii="Times New Roman;sans-serif" w:hAnsi="Times New Roman;sans-serif"/>
          <w:b/>
          <w:i/>
          <w:color w:val="000000"/>
          <w:sz w:val="20"/>
        </w:rPr>
        <w:t>We may rely on dividends, loans and other distributions on equity paid by our principal operating subsidiaries to fund offshore cash and financing requirements. Any limitation on the ability of our PRC operating subsidiary to make payments to us could adversely affect our ability to conduct our business.</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are a holding company and may rely on dividends, loans and other distributions on equity paid by our principal operating subsidiaries and on remittances from our VIEs for our offshore cash and financing requirements, including the funds necessary to pay dividends and other cash distributions to our shareholders, fund inter-company loans, service any debt we may incur outside of China and pay our expenses. When our subsidiaries in the PRC or our VIEs incur additional debt, the instruments governing the debt may restrict their ability to pay dividends, make loans or make other distributions or remittances to us. Furthermore, the laws, rules and regulations applicable to our subsidiaries in the PRC and our VIEs permit payments of dividends only out of its retained earnings, if any, determined in accordance with applicable accounting standards and regulations.</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Under PRC laws, rules and regulations, our subsidiaries in the PRC and our VIEs are required to set aside at least 10% of their net income each year to fund certain statutory reserves until the cumulative amount of such reserves reaches 50% of their registered capital. These reserves, together with the registered capital, are not distributable as cash dividends. As a result of these laws, rules and regulations, our subsidiaries in the PRC and our VIEs are restricted in their ability to transfer a portion of their respective net assets to their shareholders as dividends, loans or advances. In addition, registered share capital and capital reserve accounts are also restricted from withdrawal in the PRC, up to the amount of net assets held in each operating subsidiary.</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Limitations on the ability of our VIEs to make remittance to the wholly-foreign owned enterprise and on the ability of our subsidiary to pay dividends to us could limit our ability to access cash generated by the operations of those entities, including to make investments or acquisitions that could be beneficial to our businesses, pay dividends to our shareholders or otherwise fund and conduct our business.</w:t>
      </w:r>
    </w:p>
    <w:p>
      <w:pPr>
        <w:pStyle w:val="TextBody"/>
        <w:spacing w:lineRule="auto" w:line="319" w:before="0" w:after="240"/>
        <w:jc w:val="both"/>
        <w:rPr>
          <w:rFonts w:ascii="Times New Roman;sans-serif" w:hAnsi="Times New Roman;sans-serif"/>
          <w:b/>
          <w:i/>
          <w:color w:val="000000"/>
          <w:sz w:val="20"/>
        </w:rPr>
      </w:pPr>
      <w:r>
        <w:rPr>
          <w:rFonts w:ascii="Times New Roman;sans-serif" w:hAnsi="Times New Roman;sans-serif"/>
          <w:b/>
          <w:i/>
          <w:color w:val="000000"/>
          <w:sz w:val="20"/>
        </w:rPr>
        <w:t>The discontinuation of the preferential tax treatment available to us in China could adversely affect our business, operating results and financial condition.</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Under PRC tax laws and regulations, Dayin is qualified to enjoy a certain preferential income tax benefit. The modified Enterprise Income Tax Law, effective on December 29, 2018, or the EIT Law, and its implementation rules generally impose a uniform income tax rate of 25% on all enterprises, but grant preferential treatment to “high and new technology enterprises strongly supported by the state,” or HNTEs, to enjoy a reduced enterprise tax rate of 15%. According to the relevant administrative measures, to qualify as a HNTE, Dayin must meet certain financial </w:t>
      </w:r>
    </w:p>
    <w:p>
      <w:pPr>
        <w:pStyle w:val="HorizontalLine"/>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385445"/>
                <wp:effectExtent l="0" t="0" r="0" b="0"/>
                <wp:wrapNone/>
                <wp:docPr id="56" name="Frame56"/>
                <a:graphic xmlns:a="http://schemas.openxmlformats.org/drawingml/2006/main">
                  <a:graphicData uri="http://schemas.microsoft.com/office/word/2010/wordprocessingShape">
                    <wps:wsp>
                      <wps:cNvSpPr txBox="1"/>
                      <wps:spPr>
                        <a:xfrm>
                          <a:off x="0" y="0"/>
                          <a:ext cx="6480175" cy="385445"/>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52</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52</w:t>
                      </w:r>
                    </w:p>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lineRule="auto" w:line="319"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and non-financial criteria and complete verification procedures with the administrative authorities. Continued qualification as a HNTE is subject to a three-year review by the relevant government authorities in China, and in practice certain local tax authorities also require annual evaluation of the qualification. In addition to the foregoing tax benefit, Dayin is now qualified to enjoy certain preferential value-added tax benefits, according to the Notice on Value-added Tax Policies for Software Products issued by the Ministry of Finance, or the MOF, and the SAT, on October 13, 2011. Apart from that, Dayin obtained the certificate of Qualified Software Enterprise and once meeting other criteria, Dayin will be qualified to enjoy certain preferential enterprise income tax benefits, according to relevant rules including the Notice on Enterprise Income Tax Policies for Further Encouraging the Development of Software and Integrated Circuit Industries issued by the MOF and the SAT on April 20, 2012, the Notice on Issues Concerning Preferential Enterprise Income Tax Policies for the Software and Integrated Circuit Industries issued by the MOF, the SAT, the National Development and Reform Commission, or the NDRC, and the MIIT and Announcement on the Enterprise Income Tax Policies for Promoting the High-quality Development of the Integrated Circuit Industry and the Software Industry jointly issued by the MOF, the SAT, the NDRC and the MIIT on December 11, 2020. In the event the preferential tax treatment for Dayin is discontinued or is not verified by the local tax authorities, and the affected entity fails to obtain preferential tax treatments based on other qualifications such as Advanced Technology Service Enterprise, it will become subject to the standard tax rates and policies, including the PRC enterprise income tax rate of 25%. We cannot assure you that the tax authorities will not, in the future, discontinue our preferential tax treatment, potentially with retroactive effect.</w:t>
      </w:r>
    </w:p>
    <w:p>
      <w:pPr>
        <w:pStyle w:val="TextBody"/>
        <w:spacing w:lineRule="auto" w:line="319" w:before="0" w:after="240"/>
        <w:jc w:val="both"/>
        <w:rPr>
          <w:rFonts w:ascii="Times New Roman;sans-serif" w:hAnsi="Times New Roman;sans-serif"/>
          <w:b/>
          <w:i/>
          <w:color w:val="000000"/>
          <w:sz w:val="20"/>
        </w:rPr>
      </w:pPr>
      <w:r>
        <w:rPr>
          <w:rFonts w:ascii="Times New Roman;sans-serif" w:hAnsi="Times New Roman;sans-serif"/>
          <w:b/>
          <w:i/>
          <w:color w:val="000000"/>
          <w:sz w:val="20"/>
        </w:rPr>
        <w:t>We may be treated as a resident enterprise for PRC tax purposes under the PRC Enterprise Income Tax Law, and we may therefore be subject to PRC income tax on our global income.</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Under the modified Enterprise Income Tax Law and its implementing rules, enterprises established under the laws of jurisdictions outside of China with “de facto management bodies” located in China may be considered PRC tax resident enterprises for tax purposes and may be subject to the PRC enterprise income tax at the rate of 25% on their global income. “De facto management body” refers to a managing body that exercises substantive and overall management and control over the production and business, personnel, accounting books and assets of an enterprise. The SAT issued the Notice Regarding the Determination of Chinese-Controlled Offshore-Incorporated Enterprises as PRC Tax Resident Enterprises on the Basis of De Facto Management Bodies, or Circular 82, on April 22, 2009. Circular 82 provides certain specific criteria for determining whether the “de facto management body” of a Chinese-controlled offshore-incorporated enterprise is located in China. Although Circular 82 only applies to offshore enterprises controlled by PRC enterprises or PRC enterprise groups, not those controlled by foreign enterprises or individuals, the determining criteria set forth in Circular 82 may reflect the SAT’s general position on how the “de facto management body” test should be applied in determining the tax resident status of offshore enterprises, regardless of whether they are controlled by PRC enterprises or PRC enterprise groups. If we were to be considered a PRC resident enterprise, we would be subject to PRC enterprise income tax at the rate of 25% on our global income. In such case, our profitability and cash flow may be materially reduced as a result of our global income being taxed under the Enterprise Income Tax Law. We believe that none of our entities outside of China is a PRC resident enterprise for PRC tax purposes. However, the tax resident status of an enterprise is subject to determination by the PRC tax authorities and uncertainties remain with respect to the interpretation of the term “de facto management body.”</w:t>
      </w:r>
    </w:p>
    <w:p>
      <w:pPr>
        <w:pStyle w:val="TextBody"/>
        <w:spacing w:lineRule="auto" w:line="319" w:before="0" w:after="240"/>
        <w:jc w:val="both"/>
        <w:rPr>
          <w:rFonts w:ascii="Times New Roman;sans-serif" w:hAnsi="Times New Roman;sans-serif"/>
          <w:b/>
          <w:i/>
          <w:color w:val="000000"/>
          <w:sz w:val="20"/>
        </w:rPr>
      </w:pPr>
      <w:r>
        <w:rPr>
          <w:rFonts w:ascii="Times New Roman;sans-serif" w:hAnsi="Times New Roman;sans-serif"/>
          <w:b/>
          <w:i/>
          <w:color w:val="000000"/>
          <w:sz w:val="20"/>
        </w:rPr>
        <w:t>It may be difficult for overseas regulators to conduct investigations or collect evidence within China.</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Shareholder claims or regulatory investigation that are common in the United States generally are difficult to pursue as a matter of law or practicality in China. For example, in China, there are significant legal and other obstacles to providing information needed for regulatory investigations or litigation initiated outside China. Although the authorities in China may establish a regulatory cooperation mechanism with the securities regulatory authorities of another country or region to implement cross-border supervision and administration, such cooperation </w:t>
      </w:r>
    </w:p>
    <w:p>
      <w:pPr>
        <w:pStyle w:val="HorizontalLine"/>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385445"/>
                <wp:effectExtent l="0" t="0" r="0" b="0"/>
                <wp:wrapNone/>
                <wp:docPr id="57" name="Frame57"/>
                <a:graphic xmlns:a="http://schemas.openxmlformats.org/drawingml/2006/main">
                  <a:graphicData uri="http://schemas.microsoft.com/office/word/2010/wordprocessingShape">
                    <wps:wsp>
                      <wps:cNvSpPr txBox="1"/>
                      <wps:spPr>
                        <a:xfrm>
                          <a:off x="0" y="0"/>
                          <a:ext cx="6480175" cy="385445"/>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53</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53</w:t>
                      </w:r>
                    </w:p>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lineRule="auto" w:line="319"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with the securities regulatory authorities in the Unities States may not be efficient in the absence of mutual and practical cooperation mechanism. Furthermore, according to Article 177 of the PRC Securities Law, which became effective in March 2020, no foreign securities regulator is allowed to directly conduct investigations or evidence collection activities within the PRC territory. While detailed interpretation of or implementation rules under Article 177 have yet to be promulgated, the inability for an foreign securities regulator to directly conduct investigations or evidence collection activities within China may further increase the difficulties you face in protecting your interests. See also "—Risks Related to the ADSs—You may face difficulties in protecting your interests, and your ability to protect your rights through U.S. courts may be limited, because we are incorporated under Cayman Islands law and conduct a significant portion of our business operations in emerging markets."</w:t>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Dividends payable to our foreign investors and gains on the sale of ADSs or our ordinary shares by our foreign investors may become subject to PRC tax.</w:t>
      </w:r>
    </w:p>
    <w:p>
      <w:pPr>
        <w:pStyle w:val="TextBody"/>
        <w:spacing w:before="0" w:after="0"/>
        <w:rPr/>
      </w:pPr>
      <w:r>
        <w:rPr/>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Under the modified Enterprise Income Tax Law and its implementation regulations issued by the State Council, a 10% PRC withholding tax is applicable to dividends payable to investors that are non-resident enterprises, which do not have an establishment or place of business in the PRC or which have such establishment or place of business but the dividends are not effectively connected with such establishment or place of business, to the extent such dividends are derived from sources within the PRC. Similarly, any gain realized on the transfer of ADSs or ordinary shares by such investors is also subject to PRC tax at a current rate of 10%, subject to any reduction or exemption set forth in applicable tax treaties or under applicable tax arrangements between jurisdictions, if such gain is regarded as income derived from sources within the PRC. If we are deemed a PRC resident enterprise, dividends paid on our ordinary shares, and any gain realized from the transfer of our ordinary shares or the ADSs, would be treated as income derived from sources within the PRC and would as a result be subject to PRC taxation. Furthermore, if we are deemed a PRC resident enterprise, dividends payable to individual investors who are non-PRC residents and any gain realized on the transfer of ADSs or ordinary shares by such investors may be subject to PRC tax at a current rate of 20%, subject to any reduction or exemption set forth in applicable tax treaties or under applicable tax arrangements between jurisdictions. If we or any of our subsidiaries established outside China are considered a PRC resident enterprise, it is unclear whether holders of ADSs or our ordinary shares would be able to claim the benefit of income tax treaties or agreements entered into between China and other countries or areas. If dividends payable to our non-PRC investors, or gains from the transfer of ADSs or our ordinary shares by such investors, are deemed as income derived from sources within the PRC and thus are subject to PRC tax, the value of your investment in ADSs or our ordinary shares may decline significantly.</w:t>
      </w:r>
    </w:p>
    <w:p>
      <w:pPr>
        <w:pStyle w:val="TextBody"/>
        <w:spacing w:lineRule="auto" w:line="319" w:before="0" w:after="240"/>
        <w:jc w:val="both"/>
        <w:rPr>
          <w:rFonts w:ascii="Times New Roman;sans-serif" w:hAnsi="Times New Roman;sans-serif"/>
          <w:b/>
          <w:i/>
          <w:color w:val="000000"/>
          <w:sz w:val="20"/>
        </w:rPr>
      </w:pPr>
      <w:r>
        <w:rPr>
          <w:rFonts w:ascii="Times New Roman;sans-serif" w:hAnsi="Times New Roman;sans-serif"/>
          <w:b/>
          <w:i/>
          <w:color w:val="000000"/>
          <w:sz w:val="20"/>
        </w:rPr>
        <w:t>We and our shareholders face uncertainties with respect to indirect transfers of equity interests in PRC resident enterprises or other assets attributed to a Chinese establishment of a non-Chinese company, or immovable properties located in China owned by non-Chinese companies.</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February 3, 2015, the SAT issued the Bulletin on Issues of Enterprise Income Tax on Indirect Transfers of Assets by Non-PRC Resident Enterprises, or Bulletin 7, which partially replaced and supplemented previous rules under the Notice on Strengthening Administration of Enterprise Income Tax for Share Transfers by Non-PRC Resident Enterprises, or SAT Circular 698, issued by the SAT on December 10, 2009. Pursuant to this Bulletin 7, an “indirect transfer” of assets, including equity interests in a PRC resident enterprise, by non-PRC resident enterprises may be re-characterized and treated as a direct transfer of PRC taxable assets, if such arrangement does not have a reasonable commercial purpose and was established for the purpose of avoiding payment of PRC enterprise income tax. As a result, gains derived from such indirect transfer may be subject to PRC enterprise income tax. According to Bulletin 7, “PRC taxable assets” include assets attributed to an establishment in China, immovable properties located in China, and equity investments in PRC resident enterprises, in respect of which gains from their transfer by a direct holder, being a non-PRC resident enterprise, would be subject to PRC enterprise income taxes. When determining whether there is a “reasonable commercial purpose” of the transaction arrangement, features to be taken </w:t>
      </w:r>
    </w:p>
    <w:p>
      <w:pPr>
        <w:pStyle w:val="HorizontalLine"/>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385445"/>
                <wp:effectExtent l="0" t="0" r="0" b="0"/>
                <wp:wrapNone/>
                <wp:docPr id="58" name="Frame58"/>
                <a:graphic xmlns:a="http://schemas.openxmlformats.org/drawingml/2006/main">
                  <a:graphicData uri="http://schemas.microsoft.com/office/word/2010/wordprocessingShape">
                    <wps:wsp>
                      <wps:cNvSpPr txBox="1"/>
                      <wps:spPr>
                        <a:xfrm>
                          <a:off x="0" y="0"/>
                          <a:ext cx="6480175" cy="385445"/>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54</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54</w:t>
                      </w:r>
                    </w:p>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lineRule="auto" w:line="319"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into consideration include: whether the main value of the equity interest of the relevant offshore enterprise derives from PRC taxable assets; whether the assets of the relevant offshore enterprise mainly consists of direct or indirect investment in China or if its income mainly derives from China; whether the offshore enterprise and its subsidiaries directly or indirectly holding PRC taxable assets have real commercial nature which is evidenced by their actual function and risk exposure; the duration of existence of the business model and organizational structure; the replicability of the transaction by direct transfer of PRC taxable assets; and the tax situation of such indirect transfer and applicable tax treaties or similar arrangements. In respect of an indirect offshore transfer of assets of a PRC establishment, the resulting gain is to be included with the enterprise income tax filing of the PRC establishment or place of business being transferred, and would consequently be subject to PRC enterprise income tax at a rate of 25%. Where the underlying transfer relates to the immovable properties located in China or to equity investments in a PRC resident enterprise, which is not related to a PRC establishment or place of business of a non-resident enterprise, a PRC enterprise income tax of 10% would apply, subject to available preferential tax treatment under applicable tax treaties or similar arrangements, and the party who is obligated to make the transfer payments has the withholding obligation. Bulletin 7 does not apply to transactions of sale of shares by investors through a public stock exchange where such shares were acquired from a transaction through a public stock exchange. On October 17, 2017, the SAT promulgated the Announcement of the State Administration of Taxation on Issues Concerning the Withholding of Non-resident Enterprise Income Tax at Source, or SAT Circular 37, which was amended and became effective on June 15, 2018, and SAT Circular 698 then was repealed with effect from December 1, 2017. SAT Circular 37 also amends certain provisions in Bulletin 7, but does not touch upon other provisions of Bulletin 7, which remain in full force. SAT Circular 37, among other things, simplified procedures of withholding and payment of income tax levied on non-resident enterprises.</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There is uncertainty as to the application of Bulletin 7 and SAT Circular 37. We face uncertainties as to the reporting and other implications of certain past and future transactions where PRC taxable assets are involved, such as offshore restructuring, sale of the shares in our offshore subsidiaries or investments. Our company may be subject to filing obligations or taxed if our company is transferor in such transactions, and may be subject to withholding obligations if our company is transferee in such transactions under Bulletin 7. For transfer of shares in our company by investors that are non-PRC resident enterprises, Dayin may be requested to assist in the filing under Bulletin 7. As a result, we may be required to expend valuable resources to comply with Bulletin 7 and SAT Circular 37 or to request the relevant transferors from whom we purchase taxable assets to comply with Bulletin 7 and SAT Circular 37, or to establish that our company should not be taxed under Bulletin 7 and SAT Circular 37, which could adversely affect our business, operating results and financial condition.</w:t>
      </w:r>
    </w:p>
    <w:p>
      <w:pPr>
        <w:pStyle w:val="TextBody"/>
        <w:spacing w:lineRule="auto" w:line="319" w:before="0" w:after="240"/>
        <w:jc w:val="both"/>
        <w:rPr>
          <w:rFonts w:ascii="Times New Roman;sans-serif" w:hAnsi="Times New Roman;sans-serif"/>
          <w:b/>
          <w:i/>
          <w:color w:val="000000"/>
          <w:sz w:val="20"/>
        </w:rPr>
      </w:pPr>
      <w:r>
        <w:rPr>
          <w:rFonts w:ascii="Times New Roman;sans-serif" w:hAnsi="Times New Roman;sans-serif"/>
          <w:b/>
          <w:i/>
          <w:color w:val="000000"/>
          <w:sz w:val="20"/>
        </w:rPr>
        <w:t>We are subject to restrictions on currency exchange.</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 substantial portion of our revenue is denominated in Renminbi. The Renminbi is currently convertible under the “current account,” which includes dividends, trade and service-related foreign exchange transactions, but not under the “capital account,” which includes foreign direct investment and loans, including loans we may secure from our subsidiaries in the PRC or our VIEs. Currently, Dayin may purchase foreign currency for settlement of “current account transactions,” including payment of dividends to us, without the approval of the SAFE by complying with certain procedural requirements. However, the relevant PRC governmental authorities may limit or eliminate our ability to purchase foreign currencies in the future for current account transactions. Foreign exchange transactions under the capital account remain subject to limitations and require approvals from, or registration with, the SAFE and other relevant PRC governmental authorities. Since a significant amount of our future revenue and cash flow will be denominated in Renminbi, any existing and future restrictions on currency exchange may limit our ability to utilize cash generated in Renminbi to fund our business activities outside of the PRC or pay dividends in foreign currencies to our shareholders, and may limit our ability to obtain foreign currency through debt or equity financing for our subsidiaries in the PRC and our VIEs.</w:t>
      </w:r>
    </w:p>
    <w:p>
      <w:pPr>
        <w:pStyle w:val="HorizontalLine"/>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385445"/>
                <wp:effectExtent l="0" t="0" r="0" b="0"/>
                <wp:wrapNone/>
                <wp:docPr id="59" name="Frame59"/>
                <a:graphic xmlns:a="http://schemas.openxmlformats.org/drawingml/2006/main">
                  <a:graphicData uri="http://schemas.microsoft.com/office/word/2010/wordprocessingShape">
                    <wps:wsp>
                      <wps:cNvSpPr txBox="1"/>
                      <wps:spPr>
                        <a:xfrm>
                          <a:off x="0" y="0"/>
                          <a:ext cx="6480175" cy="385445"/>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55</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55</w:t>
                      </w:r>
                    </w:p>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lineRule="auto" w:line="319" w:before="0" w:after="240"/>
        <w:jc w:val="both"/>
        <w:rPr>
          <w:rFonts w:ascii="Times New Roman;sans-serif" w:hAnsi="Times New Roman;sans-serif"/>
          <w:b/>
          <w:i/>
          <w:color w:val="000000"/>
          <w:sz w:val="20"/>
        </w:rPr>
      </w:pPr>
      <w:r>
        <w:rPr>
          <w:rFonts w:ascii="Times New Roman;sans-serif" w:hAnsi="Times New Roman;sans-serif"/>
          <w:b/>
          <w:i/>
          <w:color w:val="000000"/>
          <w:sz w:val="20"/>
        </w:rPr>
        <w:t>PRC regulations on loans to, and direct investment in, PRC entities by offshore holding companies and governmental control of currency conversion may affect our ability to capitalize or otherwise fund our PRC operations.</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as an offshore holding company, are permitted under PRC laws and regulations to provide funding to our subsidiaries in the PRC, which are treated as a foreign-invested enterprise under PRC laws, through loans or capital contributions. However, loans by us to our subsidiaries in the PRC to finance its activities cannot exceed statutory limits and must be registered with the local counterpart of SAFE and capital contributions to our subsidiaries in the PRC are subject to the requirement of making necessary filings or registrations through enterprise registration system with relevant governmental authorities in China.</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SAFE promulgated the Notice of the State Administration of Foreign Exchange on Reforming the Administration of Foreign Exchange Settlement of Capital of Foreign-invested Enterprises, or Circular 19, effective on June 1, 2015 and was amended on December 30, 2019, in replacement of the Circular on the Relevant Operating Issues Concerning the Improvement of the Administration of the Payment and Settlement of Foreign Currency Capital of Foreign-Invested Enterprises, or SAFE Circular 142, the Notice from the State Administration of Foreign Exchange on Relevant Issues Concerning Strengthening the Administration of Foreign Exchange Businesses, or Circular 59, and the Circular on Further Clarification and Regulation of the Issues Concerning the Administration of Certain Capital Account Foreign Exchange Businesses, or Circular 45. According to Circular 19, the flow and use of the Renminbi capital converted from foreign currency-denominated registered capital of a foreign-invested company is regulated such that Renminbi capital may not be used for the issuance of Renminbi entrusted loans, the repayment of inter-enterprise loans or the repayment of banks loans that have been transferred to a third party. Although Circular 19 allows Renminbi capital converted from foreign currency-denominated registered capital of a foreign-invested enterprise to be used for equity investments within the PRC, it also reiterates the principle that Renminbi converted from the foreign currency-denominated capital of a foreign-invested company may not be directly or indirectly used for purposes beyond its business scope. Thus, it is unclear whether SAFE will permit such capital to be used for equity investments in the PRC in actual practice. SAFE promulgated the Notice of the State Administration of Foreign Exchange on Reforming and Standardizing the Foreign Exchange Settlement Management Policy of Capital Account, or Circular 16, effective on June 9, 2016, which reiterates some of the rules set forth in Circular 19, but changes the prohibition against using Renminbi capital converted from foreign currency-denominated registered capital of a foreign-invested company to issue Renminbi entrusted loans to a prohibition against using such capital to issue loans to non-associated enterprises. Violations of SAFE Circular 19 and Circular 16 could result in administrative penalties. Circular 19 and Circular 16 may significantly limit our ability to transfer any foreign currency we hold to our subsidiaries in the PRC and our VIEs, which may adversely affect our liquidity and our ability to fund and expand our business in the PRC.</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Due to the restrictions imposed on loans in foreign currencies extended to any PRC domestic companies, we are not likely to make such loans to our VIEs, each a PRC domestic company. Meanwhile, we are not likely to finance the activities of our VIEs by means of capital contributions given the potential restrictions on foreign investment in the businesses that are currently conducted by our VIEs.</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light of the various requirements imposed by PRC regulations on loans to, and direct investment in, PRC entities by offshore holding companies and governmental control of currency conversion, we cannot assure you that we will be able to complete the necessary government registrations or obtain the necessary government approvals on a timely basis, if at all, with respect to future loans to our subsidiaries in the PRC or our VIEs or future capital contributions by us to our subsidiaries in the PRC. As a result, uncertainties exist as to our ability to provide prompt financial support to our subsidiaries in the PRC or our VIEs when needed. If we fail to complete such registrations or obtain such approvals, our ability to use foreign currency and to capitalize or otherwise fund our PRC operations </w:t>
      </w:r>
    </w:p>
    <w:p>
      <w:pPr>
        <w:pStyle w:val="HorizontalLine"/>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385445"/>
                <wp:effectExtent l="0" t="0" r="0" b="0"/>
                <wp:wrapNone/>
                <wp:docPr id="60" name="Frame60"/>
                <a:graphic xmlns:a="http://schemas.openxmlformats.org/drawingml/2006/main">
                  <a:graphicData uri="http://schemas.microsoft.com/office/word/2010/wordprocessingShape">
                    <wps:wsp>
                      <wps:cNvSpPr txBox="1"/>
                      <wps:spPr>
                        <a:xfrm>
                          <a:off x="0" y="0"/>
                          <a:ext cx="6480175" cy="385445"/>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56</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56</w:t>
                      </w:r>
                    </w:p>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lineRule="auto" w:line="319"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may be negatively affected, which could materially and adversely affect our liquidity and our ability to fund and expand our business.</w:t>
      </w:r>
    </w:p>
    <w:p>
      <w:pPr>
        <w:pStyle w:val="TextBody"/>
        <w:spacing w:lineRule="auto" w:line="319" w:before="0" w:after="240"/>
        <w:jc w:val="both"/>
        <w:rPr>
          <w:rFonts w:ascii="Times New Roman;sans-serif" w:hAnsi="Times New Roman;sans-serif"/>
          <w:b/>
          <w:color w:val="000000"/>
          <w:sz w:val="20"/>
        </w:rPr>
      </w:pPr>
      <w:r>
        <w:rPr>
          <w:rFonts w:ascii="Times New Roman;sans-serif" w:hAnsi="Times New Roman;sans-serif"/>
          <w:b/>
          <w:color w:val="000000"/>
          <w:sz w:val="20"/>
        </w:rPr>
        <w:t xml:space="preserve">Risks Related to the ADSs </w:t>
      </w:r>
    </w:p>
    <w:p>
      <w:pPr>
        <w:pStyle w:val="TextBody"/>
        <w:spacing w:lineRule="auto" w:line="319" w:before="0" w:after="240"/>
        <w:jc w:val="both"/>
        <w:rPr>
          <w:rFonts w:ascii="Times New Roman;sans-serif" w:hAnsi="Times New Roman;sans-serif"/>
          <w:b/>
          <w:i/>
          <w:color w:val="000000"/>
          <w:sz w:val="20"/>
        </w:rPr>
      </w:pPr>
      <w:r>
        <w:rPr>
          <w:rFonts w:ascii="Times New Roman;sans-serif" w:hAnsi="Times New Roman;sans-serif"/>
          <w:b/>
          <w:i/>
          <w:color w:val="000000"/>
          <w:sz w:val="20"/>
        </w:rPr>
        <w:t>The trading price of our ADSs is likely to be volatile, which could result in substantial losses to investors.</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trading price of our ADSs has been, and is likely to continue to be, volatile and could fluctuate widely due to multiple factors, some of which are beyond our control. This may happen because of broad market and industry factors, including the performance and fluctuation of the market prices of other companies with business operations located mainly in China that have listed their securities in the United States. In addition to market and industry factors, the price and trading volume for the ADSs may be highly volatile for factors specific to our own operations, including the following:</w:t>
      </w:r>
    </w:p>
    <w:p>
      <w:pPr>
        <w:pStyle w:val="TextBody"/>
        <w:spacing w:lineRule="auto" w:line="319" w:before="0" w:after="240"/>
        <w:ind w:left="0" w:right="0" w:hanging="360"/>
        <w:jc w:val="both"/>
        <w:rPr/>
      </w:pPr>
      <w:r>
        <w:rPr>
          <w:color w:val="000000"/>
        </w:rPr>
        <w:t>•</w:t>
      </w:r>
      <w:r>
        <w:rPr>
          <w:rFonts w:ascii="Times New Roman;sans-serif" w:hAnsi="Times New Roman;sans-serif"/>
          <w:b w:val="false"/>
          <w:color w:val="000000"/>
          <w:sz w:val="20"/>
        </w:rPr>
        <w:t>variations in our revenue, earnings and cash flows;</w:t>
      </w:r>
    </w:p>
    <w:p>
      <w:pPr>
        <w:pStyle w:val="TextBody"/>
        <w:spacing w:lineRule="auto" w:line="319" w:before="0" w:after="240"/>
        <w:ind w:left="0" w:right="0" w:hanging="360"/>
        <w:jc w:val="both"/>
        <w:rPr/>
      </w:pPr>
      <w:r>
        <w:rPr>
          <w:color w:val="000000"/>
        </w:rPr>
        <w:t>•</w:t>
      </w:r>
      <w:r>
        <w:rPr>
          <w:rFonts w:ascii="Times New Roman;sans-serif" w:hAnsi="Times New Roman;sans-serif"/>
          <w:b w:val="false"/>
          <w:color w:val="000000"/>
          <w:sz w:val="20"/>
        </w:rPr>
        <w:t>regulatory developments affecting us, our customers, or our industry;</w:t>
      </w:r>
    </w:p>
    <w:p>
      <w:pPr>
        <w:pStyle w:val="TextBody"/>
        <w:spacing w:lineRule="auto" w:line="319" w:before="0" w:after="240"/>
        <w:ind w:left="0" w:right="0" w:hanging="360"/>
        <w:jc w:val="both"/>
        <w:rPr/>
      </w:pPr>
      <w:r>
        <w:rPr>
          <w:color w:val="000000"/>
        </w:rPr>
        <w:t>•</w:t>
      </w:r>
      <w:r>
        <w:rPr>
          <w:rFonts w:ascii="Times New Roman;sans-serif" w:hAnsi="Times New Roman;sans-serif"/>
          <w:b w:val="false"/>
          <w:color w:val="000000"/>
          <w:sz w:val="20"/>
        </w:rPr>
        <w:t>announcements of new products or service offerings and expansions by us or our competitors;</w:t>
      </w:r>
    </w:p>
    <w:p>
      <w:pPr>
        <w:pStyle w:val="TextBody"/>
        <w:spacing w:lineRule="auto" w:line="319" w:before="0" w:after="240"/>
        <w:ind w:left="0" w:right="0" w:hanging="360"/>
        <w:jc w:val="both"/>
        <w:rPr/>
      </w:pPr>
      <w:r>
        <w:rPr>
          <w:color w:val="000000"/>
        </w:rPr>
        <w:t>•</w:t>
      </w:r>
      <w:r>
        <w:rPr>
          <w:rFonts w:ascii="Times New Roman;sans-serif" w:hAnsi="Times New Roman;sans-serif"/>
          <w:b w:val="false"/>
          <w:color w:val="000000"/>
          <w:sz w:val="20"/>
        </w:rPr>
        <w:t>announcements of new investments, acquisitions, strategic partnerships or joint ventures by us or our competitors;</w:t>
      </w:r>
    </w:p>
    <w:p>
      <w:pPr>
        <w:pStyle w:val="TextBody"/>
        <w:spacing w:lineRule="auto" w:line="319" w:before="0" w:after="240"/>
        <w:ind w:left="0" w:right="0" w:hanging="360"/>
        <w:jc w:val="both"/>
        <w:rPr/>
      </w:pPr>
      <w:r>
        <w:rPr>
          <w:color w:val="000000"/>
        </w:rPr>
        <w:t>•</w:t>
      </w:r>
      <w:r>
        <w:rPr>
          <w:rFonts w:ascii="Times New Roman;sans-serif" w:hAnsi="Times New Roman;sans-serif"/>
          <w:b w:val="false"/>
          <w:color w:val="000000"/>
          <w:sz w:val="20"/>
        </w:rPr>
        <w:t>changes in financial estimates by securities analysts;</w:t>
      </w:r>
    </w:p>
    <w:p>
      <w:pPr>
        <w:pStyle w:val="TextBody"/>
        <w:spacing w:lineRule="auto" w:line="319" w:before="0" w:after="240"/>
        <w:ind w:left="0" w:right="0" w:hanging="360"/>
        <w:jc w:val="both"/>
        <w:rPr/>
      </w:pPr>
      <w:r>
        <w:rPr>
          <w:color w:val="000000"/>
        </w:rPr>
        <w:t>•</w:t>
      </w:r>
      <w:r>
        <w:rPr>
          <w:rFonts w:ascii="Times New Roman;sans-serif" w:hAnsi="Times New Roman;sans-serif"/>
          <w:b w:val="false"/>
          <w:color w:val="000000"/>
          <w:sz w:val="20"/>
        </w:rPr>
        <w:t>changes in end-user and customer demand as end-users increase and decrease their time online due to the imposition or easing of stay-at-home, travel and other government mandates or changes in end-user or customer demand for our products in response to the COVID-19 pandemic;</w:t>
      </w:r>
    </w:p>
    <w:p>
      <w:pPr>
        <w:pStyle w:val="TextBody"/>
        <w:spacing w:lineRule="auto" w:line="319" w:before="0" w:after="240"/>
        <w:ind w:left="0" w:right="0" w:hanging="360"/>
        <w:jc w:val="both"/>
        <w:rPr/>
      </w:pPr>
      <w:r>
        <w:rPr>
          <w:color w:val="000000"/>
        </w:rPr>
        <w:t>•</w:t>
      </w:r>
      <w:r>
        <w:rPr>
          <w:rFonts w:ascii="Times New Roman;sans-serif" w:hAnsi="Times New Roman;sans-serif"/>
          <w:b w:val="false"/>
          <w:color w:val="000000"/>
          <w:sz w:val="20"/>
        </w:rPr>
        <w:t>detrimental adverse publicity about us, our products or services or our industry;</w:t>
      </w:r>
    </w:p>
    <w:p>
      <w:pPr>
        <w:pStyle w:val="TextBody"/>
        <w:spacing w:lineRule="auto" w:line="319" w:before="0" w:after="240"/>
        <w:ind w:left="0" w:right="0" w:hanging="360"/>
        <w:jc w:val="both"/>
        <w:rPr/>
      </w:pPr>
      <w:r>
        <w:rPr>
          <w:color w:val="000000"/>
        </w:rPr>
        <w:t>•</w:t>
      </w:r>
      <w:r>
        <w:rPr>
          <w:rFonts w:ascii="Times New Roman;sans-serif" w:hAnsi="Times New Roman;sans-serif"/>
          <w:b w:val="false"/>
          <w:color w:val="000000"/>
          <w:sz w:val="20"/>
        </w:rPr>
        <w:t>additions or departures of key personnel;</w:t>
      </w:r>
    </w:p>
    <w:p>
      <w:pPr>
        <w:pStyle w:val="TextBody"/>
        <w:spacing w:lineRule="auto" w:line="319" w:before="0" w:after="240"/>
        <w:ind w:left="0" w:right="0" w:hanging="360"/>
        <w:jc w:val="both"/>
        <w:rPr/>
      </w:pPr>
      <w:r>
        <w:rPr>
          <w:color w:val="000000"/>
        </w:rPr>
        <w:t>•</w:t>
      </w:r>
      <w:r>
        <w:rPr>
          <w:rFonts w:ascii="Times New Roman;sans-serif" w:hAnsi="Times New Roman;sans-serif"/>
          <w:b w:val="false"/>
          <w:color w:val="000000"/>
          <w:sz w:val="20"/>
        </w:rPr>
        <w:t>detrimental negative publicity about us, our management or our industry;</w:t>
      </w:r>
    </w:p>
    <w:p>
      <w:pPr>
        <w:pStyle w:val="TextBody"/>
        <w:spacing w:lineRule="auto" w:line="319" w:before="0" w:after="240"/>
        <w:ind w:left="0" w:right="0" w:hanging="360"/>
        <w:jc w:val="both"/>
        <w:rPr/>
      </w:pPr>
      <w:r>
        <w:rPr>
          <w:color w:val="000000"/>
        </w:rPr>
        <w:t>•</w:t>
      </w:r>
      <w:r>
        <w:rPr>
          <w:rFonts w:ascii="Times New Roman;sans-serif" w:hAnsi="Times New Roman;sans-serif"/>
          <w:b w:val="false"/>
          <w:color w:val="000000"/>
          <w:sz w:val="20"/>
        </w:rPr>
        <w:t xml:space="preserve">release of lock-up or other transfer restrictions on our outstanding equity securities or sales of additional equity securities; </w:t>
      </w:r>
    </w:p>
    <w:p>
      <w:pPr>
        <w:pStyle w:val="TextBody"/>
        <w:spacing w:lineRule="auto" w:line="276" w:before="0" w:after="0"/>
        <w:ind w:left="0" w:right="0" w:hanging="360"/>
        <w:jc w:val="both"/>
        <w:rPr/>
      </w:pPr>
      <w:r>
        <w:rPr>
          <w:color w:val="000000"/>
        </w:rPr>
        <w:t>•</w:t>
      </w:r>
      <w:r>
        <w:rPr>
          <w:rFonts w:ascii="Times New Roman;sans-serif" w:hAnsi="Times New Roman;sans-serif"/>
          <w:b w:val="false"/>
          <w:color w:val="000000"/>
          <w:sz w:val="20"/>
        </w:rPr>
        <w:t>sales of additional ADSs in the public markets or the perception that such sales may occur; and</w:t>
      </w:r>
    </w:p>
    <w:p>
      <w:pPr>
        <w:pStyle w:val="TextBody"/>
        <w:spacing w:before="0" w:after="0"/>
        <w:jc w:val="both"/>
        <w:rPr/>
      </w:pPr>
      <w:r>
        <w:rPr/>
      </w:r>
    </w:p>
    <w:p>
      <w:pPr>
        <w:pStyle w:val="TextBody"/>
        <w:spacing w:lineRule="auto" w:line="319" w:before="0" w:after="240"/>
        <w:ind w:left="0" w:right="0" w:hanging="360"/>
        <w:jc w:val="both"/>
        <w:rPr/>
      </w:pPr>
      <w:r>
        <w:rPr>
          <w:color w:val="000000"/>
        </w:rPr>
        <w:t>•</w:t>
      </w:r>
      <w:r>
        <w:rPr>
          <w:rFonts w:ascii="Times New Roman;sans-serif" w:hAnsi="Times New Roman;sans-serif"/>
          <w:b w:val="false"/>
          <w:color w:val="000000"/>
          <w:sz w:val="20"/>
        </w:rPr>
        <w:t>actual or potential litigation or regulatory investigations.</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Any of these factors may result in large and sudden changes in the volume and price at which the ADSs will trade.</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the past, shareholders of public companies have often brought securities class action suits against companies following periods of instability in the market price of their securities. If we were involved in a class action suit, it could divert a significant amount of our management’s attention and other resources from our business and operations and require us to incur significant expenses to defend the suit, which could harm our operating results. Any such class action suit, whether or not successful, could harm our reputation and restrict our ability to </w:t>
      </w:r>
    </w:p>
    <w:p>
      <w:pPr>
        <w:pStyle w:val="HorizontalLine"/>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385445"/>
                <wp:effectExtent l="0" t="0" r="0" b="0"/>
                <wp:wrapNone/>
                <wp:docPr id="61" name="Frame61"/>
                <a:graphic xmlns:a="http://schemas.openxmlformats.org/drawingml/2006/main">
                  <a:graphicData uri="http://schemas.microsoft.com/office/word/2010/wordprocessingShape">
                    <wps:wsp>
                      <wps:cNvSpPr txBox="1"/>
                      <wps:spPr>
                        <a:xfrm>
                          <a:off x="0" y="0"/>
                          <a:ext cx="6480175" cy="385445"/>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57</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57</w:t>
                      </w:r>
                    </w:p>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lineRule="auto" w:line="319"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raise capital in the future. In addition, if a claim is successfully made against us, we may be required to pay significant damages, which could have a material adverse effect on our business, operating results and financial condition.</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dual class structure of our ordinary shares may prevent the inclusion of our ADSs representing Class A ordinary shares in indices that exclude companies with multiple classes of shares, and may also cause shareholder advisory firms to publish negative commentary about our corporate governance practices or otherwise seek to cause us to change our capital structure. Any such exclusion from indices could result in a less active trading market for our ADSs, and any actions or publications by shareholder advisory firms critical of our corporate governance practices or capital structure could also adversely affect the trading price of our ADSs.</w:t>
      </w:r>
    </w:p>
    <w:p>
      <w:pPr>
        <w:pStyle w:val="TextBody"/>
        <w:spacing w:lineRule="auto" w:line="319" w:before="0" w:after="240"/>
        <w:jc w:val="both"/>
        <w:rPr>
          <w:rFonts w:ascii="Times New Roman;sans-serif" w:hAnsi="Times New Roman;sans-serif"/>
          <w:b/>
          <w:i/>
          <w:color w:val="000000"/>
          <w:sz w:val="20"/>
        </w:rPr>
      </w:pPr>
      <w:r>
        <w:rPr>
          <w:rFonts w:ascii="Times New Roman;sans-serif" w:hAnsi="Times New Roman;sans-serif"/>
          <w:b/>
          <w:i/>
          <w:color w:val="000000"/>
          <w:sz w:val="20"/>
        </w:rPr>
        <w:t>Our dual-class share structure with different voting rights will limit your ability to influence corporate matters and could discourage others from pursuing any change of control transactions that holders of our Class A ordinary shares and ADSs may view as beneficial.</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ordinary shares are divided into Class A ordinary shares and Class B ordinary shares (with a third class of undesignated shares). Holders of Class A ordinary shares are be entitled to one vote per share, while holders of Class B ordinary shares are entitled to 20 votes per share. Each Class B ordinary share is convertible into one Class A ordinary share at any time by its holder, while Class A ordinary shares are not convertible into Class B ordinary shares under any circumstances. As of March 2, 2021, our chief executive officer beneficially owned all of our issued Class B ordinary shares. These Class B ordinary shares constitute approximately 16.4% of our total issued and outstanding share capital and 79.7% of the aggregate voting power of our total issued and outstanding share capital, due to the disparate voting powers associated with our dual-class share structure. See the section of this annual report captioned “Share Ownership.”</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Any sale, transfer, assignment or disposition of any Class B ordinary shares by their holder or a change of ultimate beneficial ownership of any Class B ordinary shares will generally result in the conversion of such Class B ordinary shares into Class A ordinary shares, except for transfers to certain permitted transferees, which include Agora Partners L.P., an exempted limited partnership to be established in the Cayman Islands (the limited partners of which shall consist primarily of members of management of our company and its affiliates, and which we refer to as the Management Partnership), and affiliates controlled by our chief executive officer, Mr. Zhao. Because of the 20-to-one voting ratio between our Class B ordinary shares and Class A ordinary shares, Mr. Zhao and any permitted transferees holding Class B ordinary shares, including potentially the Management Partnership, will continue to control a majority of the combined voting power of our ordinary shares and therefore be able to control all matters submitted to our shareholders for approval.</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board of directors will have the authority without further action by our shareholders to issue additional Class B ordinary shares, which will further dilute the voting power of our Class A ordinary shareholders. As a result of the dual-class share structure and the concentration of ownership, our chief executive officer and any future holder of Class B ordinary shares, including potentially the Management Partnership, will have considerable influence over matters such as mergers, consolidations and the sale of all or substantially all of our assets, election of directors, amendments to organizational documents and other significant corporate actions.</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chief executive officer and any future holder of Class B ordinary shares, including potentially the Management Partnership, may take actions that are not in the best interest of our other shareholders. This concentration of ownership may discourage, delay or prevent a change in control of our company, which could have the effect of depriving our other shareholders of the opportunity to receive a premium for their shares as part of a sale of our company and may reduce the price of our ADSs. This concentrated control will limit your ability to </w:t>
      </w:r>
    </w:p>
    <w:p>
      <w:pPr>
        <w:pStyle w:val="HorizontalLine"/>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385445"/>
                <wp:effectExtent l="0" t="0" r="0" b="0"/>
                <wp:wrapNone/>
                <wp:docPr id="62" name="Frame62"/>
                <a:graphic xmlns:a="http://schemas.openxmlformats.org/drawingml/2006/main">
                  <a:graphicData uri="http://schemas.microsoft.com/office/word/2010/wordprocessingShape">
                    <wps:wsp>
                      <wps:cNvSpPr txBox="1"/>
                      <wps:spPr>
                        <a:xfrm>
                          <a:off x="0" y="0"/>
                          <a:ext cx="6480175" cy="385445"/>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58</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58</w:t>
                      </w:r>
                    </w:p>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lineRule="auto" w:line="319"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influence corporate matters and could discourage others from pursuing any potential merger, takeover or other change of control transactions that holders of Class A ordinary shares and ADSs may view as beneficial.</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voting rights of our chief executive officer and, if Class B ordinary shares are transferred to it, the Management Partnership, will limit your ability to influence corporate matters, including any matters to be determined by our board of directors. The interests of our chief executive officer and, if Class B ordinary shares are transferred to it, the Management Partnership, may not coincide with your interests, and the Management Partnership may make decisions with which you disagree, including decisions on important topics such as compensation, management succession, acquisition strategy and our business and financial strategy. As of the date of this annual report, the partners of the Management Partnership have not been determined, and in the future the partners may change from time to time. Because the Management Partnership will primarily consist of members of our management team, our chief executive officer, the Management Partnership and any directors the election of which he, or it, controls, may focus on the long-term interests of our customers at the expense of our short-term financial results, which may differ from the expectations and desires of shareholders unaffiliated with our chief executive officer, or if Class B ordinary shares are transferred to it, the Management Partnership. To the extent that these interests differ from your interests, you may be disadvantaged by any action that our chief executive officer or the Management Partnership may seek to pursue.</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our chief executive officer and any future holder of Class B ordinary shares, including potentially the Management Partnership, will continue to be able to control all matters submitted to our shareholders for approval even if their shareholdings represent substantially less than a majority of our issued and outstanding ordinary shares. This concentrated control will limit your ability to influence corporate matters for the foreseeable future, and, as a result, the trading price of our ADSs could be adversely affected.</w:t>
      </w:r>
    </w:p>
    <w:p>
      <w:pPr>
        <w:pStyle w:val="TextBody"/>
        <w:spacing w:lineRule="auto" w:line="319" w:before="0" w:after="240"/>
        <w:jc w:val="both"/>
        <w:rPr>
          <w:rFonts w:ascii="Times New Roman;sans-serif" w:hAnsi="Times New Roman;sans-serif"/>
          <w:b/>
          <w:i/>
          <w:color w:val="000000"/>
          <w:sz w:val="20"/>
        </w:rPr>
      </w:pPr>
      <w:r>
        <w:rPr>
          <w:rFonts w:ascii="Times New Roman;sans-serif" w:hAnsi="Times New Roman;sans-serif"/>
          <w:b/>
          <w:i/>
          <w:color w:val="000000"/>
          <w:sz w:val="20"/>
        </w:rPr>
        <w:t>We are a “controlled company” as defined under the Nasdaq Stock Market corporate governance rules. As a result, we are qualified for, and rely on, exemptions from certain corporate governance requirements that would otherwise provide protection to shareholders of other companies.</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are a “controlled company” as defined under the Nasdaq Stock Market corporate governance rules because Mr. Zhao, our chief executive officer and chairman, owns more than 50% of the aggregate voting power of our issued and outstanding share capital. If Mr. Zhao transfers shares to the Management Partnership, we may remain a controlled company even if Mr. Zhao ceases to be our employee, director or shareholder. For so long as we remain a controlled company, we may rely on certain exemptions from the corporate governance rules, including the rule that we have to establish a nominating and corporate governance committee composed entirely of independent directors. As a result, you will not have the same protection afforded to shareholders of companies that are subject to these corporate governance requirements. Even if we cease to be a controlled company, we may still rely on exemptions available to foreign private issuers, including being able to adopt home country practices in relation to corporate governance matters. See the sections of this annual report captioned “Risks Related to the ADSs—We are a foreign private issuer within the meaning of the rules under the Exchange Act, and as such we are exempt from certain provisions applicable to U.S. domestic public companies” and “—As an exempted company incorporated in the Cayman Islands, we are permitted to adopt certain home country practices in relation to corporate governance matters that differ significantly from the Nasdaq Stock Market corporate governance standards; these practices may afford less protection to shareholders than they would enjoy if we comply fully with the Nasdaq Stock Market corporate governance standards.”</w:t>
      </w:r>
    </w:p>
    <w:p>
      <w:pPr>
        <w:pStyle w:val="TextBody"/>
        <w:spacing w:lineRule="auto" w:line="319" w:before="0" w:after="240"/>
        <w:jc w:val="both"/>
        <w:rPr>
          <w:rFonts w:ascii="Times New Roman;sans-serif" w:hAnsi="Times New Roman;sans-serif"/>
          <w:b/>
          <w:i/>
          <w:color w:val="000000"/>
          <w:sz w:val="20"/>
        </w:rPr>
      </w:pPr>
      <w:r>
        <w:rPr>
          <w:rFonts w:ascii="Times New Roman;sans-serif" w:hAnsi="Times New Roman;sans-serif"/>
          <w:b/>
          <w:i/>
          <w:color w:val="000000"/>
          <w:sz w:val="20"/>
        </w:rPr>
        <w:t>If securities or industry analysts do not publish research or reports about our business, or if they adversely change their recommendations regarding the ADSs, the market price for the ADSs and trading volume could decline.</w:t>
      </w:r>
    </w:p>
    <w:p>
      <w:pPr>
        <w:pStyle w:val="HorizontalLine"/>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385445"/>
                <wp:effectExtent l="0" t="0" r="0" b="0"/>
                <wp:wrapNone/>
                <wp:docPr id="63" name="Frame63"/>
                <a:graphic xmlns:a="http://schemas.openxmlformats.org/drawingml/2006/main">
                  <a:graphicData uri="http://schemas.microsoft.com/office/word/2010/wordprocessingShape">
                    <wps:wsp>
                      <wps:cNvSpPr txBox="1"/>
                      <wps:spPr>
                        <a:xfrm>
                          <a:off x="0" y="0"/>
                          <a:ext cx="6480175" cy="385445"/>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59</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59</w:t>
                      </w:r>
                    </w:p>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trading market for the ADSs will be influenced by research or reports that industry or securities analysts publish about our business. If one or more analysts who cover us downgrade the ADSs, the market price for the ADSs would likely decline. If one or more of these analysts cease to cover us or fail to regularly publish reports on us, we could lose visibility in the financial markets, which in turn could cause the market price or trading volume of the ADSs to decline.</w:t>
      </w:r>
    </w:p>
    <w:p>
      <w:pPr>
        <w:pStyle w:val="TextBody"/>
        <w:spacing w:lineRule="auto" w:line="319" w:before="0" w:after="240"/>
        <w:jc w:val="both"/>
        <w:rPr>
          <w:rFonts w:ascii="Times New Roman;sans-serif" w:hAnsi="Times New Roman;sans-serif"/>
          <w:b/>
          <w:i/>
          <w:color w:val="000000"/>
          <w:sz w:val="20"/>
        </w:rPr>
      </w:pPr>
      <w:r>
        <w:rPr>
          <w:rFonts w:ascii="Times New Roman;sans-serif" w:hAnsi="Times New Roman;sans-serif"/>
          <w:b/>
          <w:i/>
          <w:color w:val="000000"/>
          <w:sz w:val="20"/>
        </w:rPr>
        <w:t>Our memorandum and articles of association contain anti-takeover provisions that could have a material adverse effect on the rights of holders of our ordinary shares and ADSs.</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memorandum and articles of association contains provisions which could limit the ability of others to acquire control of our company or cause us to engage in change-of-control transactions. These provisions could have the effect of depriving our shareholders and ADS holders of an opportunity to sell their shares or ADSs at a premium over prevailing market prices by discouraging third parties from seeking to obtain control of our company in a tender offer or similar transactions. Our board of directors has the authority, without further action by our shareholders, to issue preferred shares in one or more series and to fix their designations, powers, preferences, privileges, and relative participating, optional or special rights and the qualifications, limitations or restrictions, including dividend rights, conversion rights, voting rights, terms of redemption and liquidation preferences, any or all of which may be greater than the rights associated with our ordinary shares, in the form of ADS or otherwise. Preferred shares could be issued quickly with terms calculated to delay or prevent a change in control of our company or make removal of management more difficult. If our board of directors decides to issue preferred shares, the price of the ADSs may fall and the voting and other rights of the holders of our ordinary shares and ADSs may be materially and adversely affected.</w:t>
      </w:r>
    </w:p>
    <w:p>
      <w:pPr>
        <w:pStyle w:val="TextBody"/>
        <w:spacing w:lineRule="auto" w:line="319" w:before="0" w:after="240"/>
        <w:jc w:val="both"/>
        <w:rPr>
          <w:rFonts w:ascii="Times New Roman;sans-serif" w:hAnsi="Times New Roman;sans-serif"/>
          <w:b/>
          <w:i/>
          <w:color w:val="000000"/>
          <w:sz w:val="20"/>
        </w:rPr>
      </w:pPr>
      <w:r>
        <w:rPr>
          <w:rFonts w:ascii="Times New Roman;sans-serif" w:hAnsi="Times New Roman;sans-serif"/>
          <w:b/>
          <w:i/>
          <w:color w:val="000000"/>
          <w:sz w:val="20"/>
        </w:rPr>
        <w:t>You may face difficulties in protecting your interests, and your ability to protect your rights through U.S. courts may be limited, because we are incorporated under Cayman Islands law and conduct a significant portion of our business operations in emerging markets.</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are an exempted company incorporated under the laws of the Cayman Islands. Our corporate affairs are governed by our memorandum and articles of association, the Companies Act of the Cayman Islands (as revised), and the common law of the Cayman Islands. The rights of shareholders to take action against our directors, actions by our minority shareholders and the fiduciary duties of our directors to us under Cayman Islands law are to a large extent governed by the common law of the Cayman Islands. The common law of the Cayman Islands is derived in part from comparatively limited judicial precedent in the Cayman Islands as well as from the common law of England, the decisions of whose courts are of persuasive authority, but are not binding, on a court in the Cayman Islands. The rights of our shareholders and the fiduciary duties of our directors under Cayman Islands law are not as clearly established as they would be under statutes or judicial precedent in some jurisdictions in the United States. In particular, the Cayman Islands has a less developed body of securities laws than the United States. Some U.S. states, such as Delaware, have more fully developed and judicially interpreted bodies of corporate law than the Cayman Islands. In addition, Cayman Islands companies may not have standing to initiate a shareholder derivative action in a federal court of the United States.</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Shareholders of Cayman Islands exempted companies like us have no general rights under Cayman Islands law to inspect corporate records (other than the memorandum and articles of association or to obtain copies of our register of mortgages and charges). Our directors have discretion under our articles of association to determine whether or not, and under what conditions, our corporate records may be inspected by our shareholders, but are not obliged to make them available to our shareholders. This may make it more difficult for you to obtain the information needed to establish any facts necessary for a shareholder motion or to solicit proxies from other shareholders in connection with a proxy contest.</w:t>
      </w:r>
    </w:p>
    <w:p>
      <w:pPr>
        <w:pStyle w:val="HorizontalLine"/>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385445"/>
                <wp:effectExtent l="0" t="0" r="0" b="0"/>
                <wp:wrapNone/>
                <wp:docPr id="64" name="Frame64"/>
                <a:graphic xmlns:a="http://schemas.openxmlformats.org/drawingml/2006/main">
                  <a:graphicData uri="http://schemas.microsoft.com/office/word/2010/wordprocessingShape">
                    <wps:wsp>
                      <wps:cNvSpPr txBox="1"/>
                      <wps:spPr>
                        <a:xfrm>
                          <a:off x="0" y="0"/>
                          <a:ext cx="6480175" cy="385445"/>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60</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60</w:t>
                      </w:r>
                    </w:p>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Certain corporate governance practices in the Cayman Islands, which is our home country, differ significantly from requirements for companies incorporated in other jurisdictions such as the United States. If we choose to follow home country practice, our shareholders may be afforded less protection than they otherwise would under rules and regulations applicable to U.S. domestic issuers.</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we conduct a significant portion of our business operations in emerging markets, including China. The SEC, U.S. Department of Justice, or the DOJ, and other authorities often have substantial difficulties in bringing and enforcing actions against non-U.S. companies and non-U.S. persons, including company directors and officers, in certain emerging markets, including China. Additionally, our public shareholders may have limited rights and few practical remedies in emerging markets where we operate, as shareholder claims that are common in the United States, including class action based on securities law and fraud claims, generally are difficult or impossible to pursue as a matter of law or practicality in many emerging markets, including China. For example, in China, there are significant legal and other obstacles for the SEC, the DOJ and other U.S. authorities to obtaining information needed for shareholder investigations or litigation. Although the competent authorities in China may establish a regulatory cooperation mechanism with the securities regulatory authorities of another country or region to implement cross-border supervision and administration, the regulatory cooperation with the securities regulatory authorities in the United States has not been efficient in the absence of a mutual and practical cooperation mechanism. In China, without the consent of the competent PRC securities regulators and relevant authorities, no organization or individual may provide the documents and materials relating to securities business activities to foreign securities regulators. See “—Risks Related to Doing Business in China—It may be difficult for overseas regulators to conduct investigations or collect evidence within China.”</w:t>
      </w:r>
    </w:p>
    <w:p>
      <w:pPr>
        <w:pStyle w:val="TextBody"/>
        <w:spacing w:lineRule="auto" w:line="319"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As a result of the above, our public shareholders may have more difficulty in protecting their interests in the face of actions taken by our management, members of our board of directors or our controlling shareholders than they would as public shareholders of a company incorporated in the United States. </w:t>
      </w:r>
    </w:p>
    <w:p>
      <w:pPr>
        <w:pStyle w:val="TextBody"/>
        <w:spacing w:lineRule="auto" w:line="319" w:before="0" w:after="240"/>
        <w:jc w:val="both"/>
        <w:rPr>
          <w:rFonts w:ascii="Times New Roman;sans-serif" w:hAnsi="Times New Roman;sans-serif"/>
          <w:b/>
          <w:i/>
          <w:color w:val="000000"/>
          <w:sz w:val="20"/>
        </w:rPr>
      </w:pPr>
      <w:r>
        <w:rPr>
          <w:rFonts w:ascii="Times New Roman;sans-serif" w:hAnsi="Times New Roman;sans-serif"/>
          <w:b/>
          <w:i/>
          <w:color w:val="000000"/>
          <w:sz w:val="20"/>
        </w:rPr>
        <w:t>Certain judgments obtained against us by our shareholders may not be enforceable.</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a Cayman Islands exempted company and the majority of our assets are located outside of the United States. All of our current operations are conducted in China and the United States. In addition, most of our current directors and officers are nationals and residents of countries other than the United States. As a result, it may be difficult or impossible for you to bring an action against us or against these individuals in the United States in the event that you believe that your rights have been infringed under the U.S. federal securities laws or otherwise. Even if you are successful in bringing an action of this kind, there are significant legal and other obstacles to obtaining information needed for such actions. For example, in China, without the consent of the competent PRC securities regulators and relevant authorities, no organization or individual may provide the documents and materials relating to securities business activities to foreign securities regulators. See “—Risks Related to Doing Business in China—It may be difficult for overseas regulators to conduct investigations or collect evidence within China,” and “—You may face difficulties in protecting your interests, and your ability to protect your rights through U.S. courts may be limited, because we are incorporated under Cayman Islands law and conduct a significant portion of our business operations in emerging markets” for risks associated with investing in us as a Cayman Islands company. Furthermore, the laws of the Cayman Islands and of China may render you unable to enforce a judgment against our assets or the assets of our directors and officers. </w:t>
      </w:r>
    </w:p>
    <w:p>
      <w:pPr>
        <w:pStyle w:val="TextBody"/>
        <w:spacing w:lineRule="auto" w:line="319" w:before="0" w:after="240"/>
        <w:jc w:val="both"/>
        <w:rPr>
          <w:rFonts w:ascii="Times New Roman;sans-serif" w:hAnsi="Times New Roman;sans-serif"/>
          <w:b/>
          <w:i/>
          <w:color w:val="000000"/>
          <w:sz w:val="20"/>
        </w:rPr>
      </w:pPr>
      <w:r>
        <w:rPr>
          <w:rFonts w:ascii="Times New Roman;sans-serif" w:hAnsi="Times New Roman;sans-serif"/>
          <w:b/>
          <w:i/>
          <w:color w:val="000000"/>
          <w:sz w:val="20"/>
        </w:rPr>
        <w:t>The voting rights of holders of ADSs are limited by the terms of the deposit agreement, and you may not be able to exercise your right to direct how the Class A ordinary shares which are represented by your ADSs are voted.</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Holders of ADSs do not have the same rights as our registered shareholders. As a holder of the ADSs, you will not have any direct right to attend general meetings of our shareholders or to cast any votes at such meetings. </w:t>
      </w:r>
    </w:p>
    <w:p>
      <w:pPr>
        <w:pStyle w:val="HorizontalLine"/>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385445"/>
                <wp:effectExtent l="0" t="0" r="0" b="0"/>
                <wp:wrapNone/>
                <wp:docPr id="65" name="Frame65"/>
                <a:graphic xmlns:a="http://schemas.openxmlformats.org/drawingml/2006/main">
                  <a:graphicData uri="http://schemas.microsoft.com/office/word/2010/wordprocessingShape">
                    <wps:wsp>
                      <wps:cNvSpPr txBox="1"/>
                      <wps:spPr>
                        <a:xfrm>
                          <a:off x="0" y="0"/>
                          <a:ext cx="6480175" cy="385445"/>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61</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61</w:t>
                      </w:r>
                    </w:p>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lineRule="auto" w:line="319"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You will only be able to exercise the voting rights which are carried by the underlying Class A ordinary shares represented by your ADSs indirectly by giving voting instructions to the depositary in accordance with the provisions of the deposit agreement. Under the deposit agreement, you may vote only by giving voting instructions to the depositary. If we instruct the depositary to ask for your instructions, then upon receipt of your voting instructions, the depositary will try, as far as is practicable, to vote the underlying Class A ordinary shares which are represented by your ADSs in accordance with your instructions. If we do not instruct the depositary to ask for your instructions, the depositary may still vote in accordance with instructions you give, but it is not required to do so. You will not be able to directly exercise your right to vote with respect to the underlying Class A ordinary shares represented by your ADSs unless you cancel and withdraw such shares and become the registered holder of such shares prior to the record date for the general meeting.</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Under our memorandum and articles of association, the minimum notice period required to be given by our company to our registered shareholders to convene a general meeting is ten calendar days. When a general meeting is convened, you may not receive sufficient advance notice of the meeting to withdraw the underlying Class A ordinary shares represented by your ADSs and become the registered holder of such shares to allow you to attend the general meeting and to vote directly with respect to any specific matter or resolution to be considered and voted upon at the general meeting. In addition, under our memorandum and articles of association, for the purposes of determining those shareholders who are entitled to attend and vote at any general meeting, our directors may close our register of members or fix in advance a record date for such meeting, and such closure of our register of members or the setting of such a record date may prevent you from withdrawing the underlying Class A ordinary shares represented by your ADSs and becoming the registered holder of such shares prior to the record date, so that you would not be able to attend the general meeting or to vote directly. If we ask for your instructions, the depositary will notify you of the upcoming vote and will arrange to deliver our voting materials to you. We have agreed to give the depositary at least 45 days’ prior notice of shareholder meetings. Nevertheless, we cannot assure you that you will receive the voting materials in time to ensure that you can instruct the depositary to vote the underlying Class A ordinary shares represented by your ADSs. In addition, the depositary and its agents are not responsible for failing to carry out voting instructions or for their manner of carrying out your voting instructions. This means that you may not be able to exercise your right to direct how the underlying Class A ordinary shares represented by your ADSs are voted and you may have no legal remedy if the underlying Class A ordinary shares represented by your ADSs are not voted as you requested.</w:t>
      </w:r>
    </w:p>
    <w:p>
      <w:pPr>
        <w:pStyle w:val="TextBody"/>
        <w:spacing w:lineRule="auto" w:line="319" w:before="0" w:after="240"/>
        <w:jc w:val="both"/>
        <w:rPr>
          <w:rFonts w:ascii="Times New Roman;sans-serif" w:hAnsi="Times New Roman;sans-serif"/>
          <w:b/>
          <w:i/>
          <w:color w:val="000000"/>
          <w:sz w:val="20"/>
        </w:rPr>
      </w:pPr>
      <w:r>
        <w:rPr>
          <w:rFonts w:ascii="Times New Roman;sans-serif" w:hAnsi="Times New Roman;sans-serif"/>
          <w:b/>
          <w:i/>
          <w:color w:val="000000"/>
          <w:sz w:val="20"/>
        </w:rPr>
        <w:t>The depositary for the ADSs will give us a discretionary proxy to vote our Class A ordinary shares underlying your ADSs if you do not vote at shareholders’ meetings, which could adversely affect your interests.</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Under the deposit agreement for the ADSs, if you do not vote, the depositary may give us a discretionary proxy to vote the Class A ordinary shares underlying your ADSs at shareholders’ meetings if:</w:t>
      </w:r>
    </w:p>
    <w:p>
      <w:pPr>
        <w:pStyle w:val="TextBody"/>
        <w:spacing w:lineRule="auto" w:line="319" w:before="0" w:after="240"/>
        <w:ind w:left="0" w:right="0" w:hanging="360"/>
        <w:jc w:val="both"/>
        <w:rPr/>
      </w:pPr>
      <w:r>
        <w:rPr>
          <w:color w:val="000000"/>
        </w:rPr>
        <w:t>•</w:t>
      </w:r>
      <w:r>
        <w:rPr>
          <w:rFonts w:ascii="Times New Roman;sans-serif" w:hAnsi="Times New Roman;sans-serif"/>
          <w:b w:val="false"/>
          <w:color w:val="000000"/>
          <w:sz w:val="20"/>
        </w:rPr>
        <w:t>we have timely provided the depositary with notice of meeting and related voting materials;</w:t>
      </w:r>
    </w:p>
    <w:p>
      <w:pPr>
        <w:pStyle w:val="TextBody"/>
        <w:spacing w:lineRule="auto" w:line="319" w:before="0" w:after="240"/>
        <w:ind w:left="0" w:right="0" w:hanging="360"/>
        <w:jc w:val="both"/>
        <w:rPr/>
      </w:pPr>
      <w:r>
        <w:rPr>
          <w:color w:val="000000"/>
        </w:rPr>
        <w:t>•</w:t>
      </w:r>
      <w:r>
        <w:rPr>
          <w:rFonts w:ascii="Times New Roman;sans-serif" w:hAnsi="Times New Roman;sans-serif"/>
          <w:b w:val="false"/>
          <w:color w:val="000000"/>
          <w:sz w:val="20"/>
        </w:rPr>
        <w:t>we have instructed the depositary that we wish a discretionary proxy to be given;</w:t>
      </w:r>
    </w:p>
    <w:p>
      <w:pPr>
        <w:pStyle w:val="TextBody"/>
        <w:spacing w:lineRule="auto" w:line="319" w:before="0" w:after="240"/>
        <w:ind w:left="0" w:right="0" w:hanging="360"/>
        <w:jc w:val="both"/>
        <w:rPr/>
      </w:pPr>
      <w:r>
        <w:rPr>
          <w:color w:val="000000"/>
        </w:rPr>
        <w:t>•</w:t>
      </w:r>
      <w:r>
        <w:rPr>
          <w:rFonts w:ascii="Times New Roman;sans-serif" w:hAnsi="Times New Roman;sans-serif"/>
          <w:b w:val="false"/>
          <w:color w:val="000000"/>
          <w:sz w:val="20"/>
        </w:rPr>
        <w:t>we have informed the depositary that there is no substantial opposition as to a matter to be voted on at the meeting; and</w:t>
      </w:r>
    </w:p>
    <w:p>
      <w:pPr>
        <w:pStyle w:val="TextBody"/>
        <w:spacing w:lineRule="auto" w:line="319" w:before="0" w:after="240"/>
        <w:ind w:left="0" w:right="0" w:hanging="360"/>
        <w:jc w:val="both"/>
        <w:rPr/>
      </w:pPr>
      <w:r>
        <w:rPr>
          <w:color w:val="000000"/>
        </w:rPr>
        <w:t>•</w:t>
      </w:r>
      <w:r>
        <w:rPr>
          <w:rFonts w:ascii="Times New Roman;sans-serif" w:hAnsi="Times New Roman;sans-serif"/>
          <w:b w:val="false"/>
          <w:color w:val="000000"/>
          <w:sz w:val="20"/>
        </w:rPr>
        <w:t>a matter to be voted on at the meeting would not have a material adverse impact on shareholders.</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effect of this discretionary proxy is that if you do not vote at shareholders’ meetings, you cannot prevent the Class A ordinary shares underlying your ADSs from being voted, except under the circumstances </w:t>
      </w:r>
    </w:p>
    <w:p>
      <w:pPr>
        <w:pStyle w:val="HorizontalLine"/>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385445"/>
                <wp:effectExtent l="0" t="0" r="0" b="0"/>
                <wp:wrapNone/>
                <wp:docPr id="66" name="Frame66"/>
                <a:graphic xmlns:a="http://schemas.openxmlformats.org/drawingml/2006/main">
                  <a:graphicData uri="http://schemas.microsoft.com/office/word/2010/wordprocessingShape">
                    <wps:wsp>
                      <wps:cNvSpPr txBox="1"/>
                      <wps:spPr>
                        <a:xfrm>
                          <a:off x="0" y="0"/>
                          <a:ext cx="6480175" cy="385445"/>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62</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62</w:t>
                      </w:r>
                    </w:p>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lineRule="auto" w:line="319"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described above. This may make it more difficult for shareholders to influence the management of our company. Holders of our ordinary shares are not subject to this discretionary proxy.</w:t>
      </w:r>
    </w:p>
    <w:p>
      <w:pPr>
        <w:pStyle w:val="TextBody"/>
        <w:spacing w:lineRule="auto" w:line="319" w:before="0" w:after="240"/>
        <w:jc w:val="both"/>
        <w:rPr>
          <w:rFonts w:ascii="Times New Roman;sans-serif" w:hAnsi="Times New Roman;sans-serif"/>
          <w:b/>
          <w:i/>
          <w:color w:val="000000"/>
          <w:sz w:val="20"/>
        </w:rPr>
      </w:pPr>
      <w:r>
        <w:rPr>
          <w:rFonts w:ascii="Times New Roman;sans-serif" w:hAnsi="Times New Roman;sans-serif"/>
          <w:b/>
          <w:i/>
          <w:color w:val="000000"/>
          <w:sz w:val="20"/>
        </w:rPr>
        <w:t>You may not receive dividends or other distributions on our ordinary shares and you may not receive any value for them, if it is illegal or impractical to make them available to you.</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depositary of the ADSs has agreed to distribute, subject to the terms of the deposit agreement, the cash dividends or other distributions it or the custodian receives on our Class A ordinary shares or other deposited securities underlying the ADSs, after deducting its fees and expenses. You will receive these distributions in proportion to the number of Class A ordinary shares your ADSs represent. However, the depositary is not responsible if it decides that it is unlawful or impractical to make a distribution available to any holders of ADSs. For example, it would be unlawful to make a distribution to a holder of ADSs if it consists of securities that require registration under the Securities Act but that are not properly registered or distributed under an applicable exemption from registration. The depositary may also determine that it is not feasible to distribute certain property. Additionally, the value of certain distributions may be less than the cost of distribution. In these cases, the depositary may determine not to distribute such property. We have no obligation to register under U.S. securities laws any ADSs, ordinary shares, rights or other securities received through such distributions. We also have no obligation to take any other action to permit the distribution of ADSs, ordinary shares, rights or anything else to holders of ADSs. This means that you may not receive distributions we make on our ordinary shares or any value for them if it is illegal or impractical for us to make them available to you. These restrictions may cause a material decline in the value of the ADSs.</w:t>
      </w:r>
    </w:p>
    <w:p>
      <w:pPr>
        <w:pStyle w:val="TextBody"/>
        <w:spacing w:lineRule="auto" w:line="319" w:before="0" w:after="240"/>
        <w:jc w:val="both"/>
        <w:rPr>
          <w:rFonts w:ascii="Times New Roman;sans-serif" w:hAnsi="Times New Roman;sans-serif"/>
          <w:b/>
          <w:i/>
          <w:color w:val="000000"/>
          <w:sz w:val="20"/>
        </w:rPr>
      </w:pPr>
      <w:r>
        <w:rPr>
          <w:rFonts w:ascii="Times New Roman;sans-serif" w:hAnsi="Times New Roman;sans-serif"/>
          <w:b/>
          <w:i/>
          <w:color w:val="000000"/>
          <w:sz w:val="20"/>
        </w:rPr>
        <w:t>You may experience dilution of your holdings due to inability to participate in rights offerings.</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may, from time to time, distribute rights to our shareholders, including rights to acquire securities. Under the deposit agreement, the depositary will not distribute rights to holders of ADSs unless the distribution and sale of rights and the securities to which these rights relate are either exempt from registration under the Securities Act with respect to all holders of ADSs, or are registered under the provisions of the Securities Act. The depositary may, but is not required to, attempt to sell these undistributed rights to third parties, and may allow the rights to lapse. We may be unable to establish an exemption from registration under the Securities Act, and we are under no obligation to file a registration statement with respect to these rights or underlying securities or to endeavor to have a registration statement declared effective. Accordingly, holders of ADSs may be unable to participate in our rights offerings and may experience dilution of their holdings as a result.</w:t>
      </w:r>
    </w:p>
    <w:p>
      <w:pPr>
        <w:pStyle w:val="TextBody"/>
        <w:spacing w:lineRule="auto" w:line="319" w:before="0" w:after="240"/>
        <w:jc w:val="both"/>
        <w:rPr>
          <w:rFonts w:ascii="Times New Roman;sans-serif" w:hAnsi="Times New Roman;sans-serif"/>
          <w:b/>
          <w:i/>
          <w:color w:val="000000"/>
          <w:sz w:val="20"/>
        </w:rPr>
      </w:pPr>
      <w:r>
        <w:rPr>
          <w:rFonts w:ascii="Times New Roman;sans-serif" w:hAnsi="Times New Roman;sans-serif"/>
          <w:b/>
          <w:i/>
          <w:color w:val="000000"/>
          <w:sz w:val="20"/>
        </w:rPr>
        <w:t>You may be subject to limitations on the transfer of your ADSs.</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Your ADSs are transferable on the books of the depositary. However, the depositary may close its books at any time or from time to time when it deems expedient in connection with the performance of its duties. The depositary may close its books from time to time for a number of reasons, including in connection with corporate events, such as a rights offering, or “for record date or processing purposes” in emergencies, and on weekends and public holidays. The depositary may refuse to deliver, transfer or register transfers of the ADSs generally when our share register or the books of the depositary are closed, or at any time if we or the depositary thinks it is advisable to do so because of any requirement of law or of any government or governmental body, or under any provision of the deposit agreement, or for any other reason.</w:t>
      </w:r>
    </w:p>
    <w:p>
      <w:pPr>
        <w:pStyle w:val="TextBody"/>
        <w:spacing w:lineRule="auto" w:line="319" w:before="0" w:after="240"/>
        <w:jc w:val="both"/>
        <w:rPr>
          <w:rFonts w:ascii="Times New Roman;sans-serif" w:hAnsi="Times New Roman;sans-serif"/>
          <w:b/>
          <w:i/>
          <w:color w:val="000000"/>
          <w:sz w:val="20"/>
        </w:rPr>
      </w:pPr>
      <w:r>
        <w:rPr>
          <w:rFonts w:ascii="Times New Roman;sans-serif" w:hAnsi="Times New Roman;sans-serif"/>
          <w:b/>
          <w:i/>
          <w:color w:val="000000"/>
          <w:sz w:val="20"/>
        </w:rPr>
        <w:t>ADS holders may not be entitled to a jury trial with respect to claims arising under the deposit agreement, which could result in less favorable outcomes to the plaintiffs in any such action.</w:t>
      </w:r>
    </w:p>
    <w:p>
      <w:pPr>
        <w:pStyle w:val="HorizontalLine"/>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385445"/>
                <wp:effectExtent l="0" t="0" r="0" b="0"/>
                <wp:wrapNone/>
                <wp:docPr id="67" name="Frame67"/>
                <a:graphic xmlns:a="http://schemas.openxmlformats.org/drawingml/2006/main">
                  <a:graphicData uri="http://schemas.microsoft.com/office/word/2010/wordprocessingShape">
                    <wps:wsp>
                      <wps:cNvSpPr txBox="1"/>
                      <wps:spPr>
                        <a:xfrm>
                          <a:off x="0" y="0"/>
                          <a:ext cx="6480175" cy="385445"/>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63</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63</w:t>
                      </w:r>
                    </w:p>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deposit agreement governing the ADSs representing our Class A ordinary shares provides that, to the fullest extent permitted by law, ADS holders waive the right to a jury trial of any claim they may have against us or the depositary arising out of or relating to our shares, the ADSs or the deposit agreement, including any claim under the U.S. federal securities laws.</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If we or the depositary opposed a jury trial demand based on the waiver, the court would determine whether the waiver was enforceable based on the facts and circumstances of that case in accordance with the applicable state and federal law. To our knowledge, the enforceability of a contractual pre-dispute jury trial waiver in connection with claims arising under the federal securities laws has not been finally adjudicated by the U.S. Supreme Court. However, we believe that a pre-dispute contractual waiver of jury trial is generally enforceable, including under the laws of the State of New York, which govern the deposit agreement, by a federal or state court in the City of New York, which has non-exclusive jurisdiction over matters arising under the deposit agreement. In determining whether to enforce a pre-dispute contractual waiver of jury trial, courts will generally consider whether a party knowingly, intelligently and voluntarily waived the right to a jury trial. We believe that this is the case with respect to the deposit agreement and the ADSs. It is advisable that you consult legal counsel regarding the jury waiver provision before entering into the deposit agreement.</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If you or any other holders or beneficial owners of ADSs bring a claim against us or the depositary in connection with matters arising under the deposit agreement or the ADSs, including claims under federal securities laws, you or such other holder or beneficial owner may not be entitled to a jury trial with respect to such claims, which may have the effect of limiting and discouraging lawsuits against us and the depositary. If a lawsuit is brought against either or both of us and the depositary under the deposit agreement, it may be heard only by a judge or justice of the applicable trial court, which would be conducted according to different civil procedures and may result in different outcomes than a trial by jury would have, including results that could be less favorable to the plaintiffs in any such action.</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Nevertheless, if this jury trial waiver provision is not permitted by applicable law, an action could proceed under the terms of the deposit agreement with a jury trial. No condition, stipulation or provision of the deposit agreement or ADSs serves as a waiver by any holder or beneficial owner of ADSs or by us or the depositary of compliance with any substantive provision of the U.S. federal securities laws and the rules and regulations promulgated thereunder.</w:t>
      </w:r>
    </w:p>
    <w:p>
      <w:pPr>
        <w:pStyle w:val="TextBody"/>
        <w:spacing w:lineRule="auto" w:line="319" w:before="0" w:after="240"/>
        <w:jc w:val="both"/>
        <w:rPr>
          <w:rFonts w:ascii="Times New Roman;sans-serif" w:hAnsi="Times New Roman;sans-serif"/>
          <w:b/>
          <w:i/>
          <w:color w:val="000000"/>
          <w:sz w:val="20"/>
        </w:rPr>
      </w:pPr>
      <w:r>
        <w:rPr>
          <w:rFonts w:ascii="Times New Roman;sans-serif" w:hAnsi="Times New Roman;sans-serif"/>
          <w:b/>
          <w:i/>
          <w:color w:val="000000"/>
          <w:sz w:val="20"/>
        </w:rPr>
        <w:t>We are a foreign private issuer within the meaning of the rules under the Exchange Act, and as such we are exempt from certain provisions applicable to U.S. domestic public companies.</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Because we are a foreign private issuer under the Exchange Act, we are exempt from certain provisions of the securities rules and regulations in the United States that are applicable to U.S. domestic issuers, including:</w:t>
      </w:r>
    </w:p>
    <w:p>
      <w:pPr>
        <w:pStyle w:val="TextBody"/>
        <w:spacing w:lineRule="auto" w:line="319" w:before="0" w:after="240"/>
        <w:ind w:left="0" w:right="0" w:hanging="360"/>
        <w:jc w:val="both"/>
        <w:rPr/>
      </w:pPr>
      <w:r>
        <w:rPr>
          <w:color w:val="000000"/>
        </w:rPr>
        <w:t>•</w:t>
      </w:r>
      <w:r>
        <w:rPr>
          <w:rFonts w:ascii="Times New Roman;sans-serif" w:hAnsi="Times New Roman;sans-serif"/>
          <w:b w:val="false"/>
          <w:color w:val="000000"/>
          <w:sz w:val="20"/>
        </w:rPr>
        <w:t>the rules under the Exchange Act requiring the filing of quarterly reports on Form 10-Q or current reports on Form 8-K with the SEC;</w:t>
      </w:r>
    </w:p>
    <w:p>
      <w:pPr>
        <w:pStyle w:val="TextBody"/>
        <w:spacing w:lineRule="auto" w:line="319" w:before="0" w:after="240"/>
        <w:ind w:left="0" w:right="0" w:hanging="360"/>
        <w:jc w:val="both"/>
        <w:rPr/>
      </w:pPr>
      <w:r>
        <w:rPr>
          <w:color w:val="000000"/>
        </w:rPr>
        <w:t>•</w:t>
      </w:r>
      <w:r>
        <w:rPr>
          <w:rFonts w:ascii="Times New Roman;sans-serif" w:hAnsi="Times New Roman;sans-serif"/>
          <w:b w:val="false"/>
          <w:color w:val="000000"/>
          <w:sz w:val="20"/>
        </w:rPr>
        <w:t>the sections of the Exchange Act regulating the solicitation of proxies, consents, or authorizations in respect of a security registered under the Exchange Act;</w:t>
      </w:r>
    </w:p>
    <w:p>
      <w:pPr>
        <w:pStyle w:val="TextBody"/>
        <w:spacing w:lineRule="auto" w:line="319" w:before="0" w:after="240"/>
        <w:ind w:left="0" w:right="0" w:hanging="360"/>
        <w:jc w:val="both"/>
        <w:rPr/>
      </w:pPr>
      <w:r>
        <w:rPr>
          <w:color w:val="000000"/>
        </w:rPr>
        <w:t>•</w:t>
      </w:r>
      <w:r>
        <w:rPr>
          <w:rFonts w:ascii="Times New Roman;sans-serif" w:hAnsi="Times New Roman;sans-serif"/>
          <w:b w:val="false"/>
          <w:color w:val="000000"/>
          <w:sz w:val="20"/>
        </w:rPr>
        <w:t>the sections of the Exchange Act requiring insiders to file public reports of their stock ownership and trading activities and liability for insiders who profit from trades made in a short period of time; and</w:t>
      </w:r>
    </w:p>
    <w:p>
      <w:pPr>
        <w:pStyle w:val="TextBody"/>
        <w:spacing w:lineRule="auto" w:line="319" w:before="0" w:after="240"/>
        <w:ind w:left="0" w:right="0" w:hanging="360"/>
        <w:jc w:val="both"/>
        <w:rPr/>
      </w:pPr>
      <w:r>
        <w:rPr>
          <w:color w:val="000000"/>
        </w:rPr>
        <w:t>•</w:t>
      </w:r>
      <w:r>
        <w:rPr>
          <w:rFonts w:ascii="Times New Roman;sans-serif" w:hAnsi="Times New Roman;sans-serif"/>
          <w:b w:val="false"/>
          <w:color w:val="000000"/>
          <w:sz w:val="20"/>
        </w:rPr>
        <w:t>the selective disclosure rules by issuers of material nonpublic information under Regulation FD.</w:t>
      </w:r>
    </w:p>
    <w:p>
      <w:pPr>
        <w:pStyle w:val="HorizontalLine"/>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385445"/>
                <wp:effectExtent l="0" t="0" r="0" b="0"/>
                <wp:wrapNone/>
                <wp:docPr id="68" name="Frame68"/>
                <a:graphic xmlns:a="http://schemas.openxmlformats.org/drawingml/2006/main">
                  <a:graphicData uri="http://schemas.microsoft.com/office/word/2010/wordprocessingShape">
                    <wps:wsp>
                      <wps:cNvSpPr txBox="1"/>
                      <wps:spPr>
                        <a:xfrm>
                          <a:off x="0" y="0"/>
                          <a:ext cx="6480175" cy="385445"/>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64</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64</w:t>
                      </w:r>
                    </w:p>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are, however, required to file an annual report on Form 20-F within four months of the end of each fiscal year. In addition, we intend to continue to publish our results on a quarterly basis through press releases, distributed pursuant to the rules and regulations of the Nasdaq Stock Market. Press releases relating to financial results and material events will also be furnished to the SEC on Form 6-K. However, the information we are required to file with or furnish to the SEC will be less extensive and less timely compared to that required to be filed with the SEC by U.S. domestic issuers. As a result, you may not be afforded the same protections or information which would be made available to you were you investing in a U.S. domestic issuer.</w:t>
      </w:r>
    </w:p>
    <w:p>
      <w:pPr>
        <w:pStyle w:val="TextBody"/>
        <w:spacing w:lineRule="auto" w:line="319" w:before="0" w:after="240"/>
        <w:jc w:val="both"/>
        <w:rPr>
          <w:rFonts w:ascii="Times New Roman;sans-serif" w:hAnsi="Times New Roman;sans-serif"/>
          <w:b/>
          <w:i/>
          <w:color w:val="000000"/>
          <w:sz w:val="20"/>
        </w:rPr>
      </w:pPr>
      <w:r>
        <w:rPr>
          <w:rFonts w:ascii="Times New Roman;sans-serif" w:hAnsi="Times New Roman;sans-serif"/>
          <w:b/>
          <w:i/>
          <w:color w:val="000000"/>
          <w:sz w:val="20"/>
        </w:rPr>
        <w:t>We incur significant costs as a result of being a public company, particularly after we cease to qualify as an “emerging growth company.”</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incur significant legal, accounting and other expenses as a result of being a public company. The Sarbanes-Oxley Act, as well as rules subsequently implemented by the SEC and the Nasdaq Stock Market, impose various requirements on the corporate governance practices of public companies. We qualify as an “emerging growth company” pursuant to the JOBS Act. An emerging growth company may take advantage of specified reduced reporting and other requirements that are otherwise applicable generally to public companies. These provisions include exemption from the auditor attestation requirement under Section 404 of the Sarbanes-Oxley Act in the assessment of the emerging growth company’s internal control over financial reporting. The JOBS Act also permits an emerging growth company to delay adopting new or revised accounting standards until such time as those standards apply to private companies. We will rely on such exemption provided by the JOBS Act.</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a result, our financial statements may not be comparable to companies that comply with public company effective dates.</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expect these rules and regulations to increase our legal and financial compliance costs and to make some corporate activities more time-consuming and costly. After we cease to be an “emerging growth company,” which we anticipate will occur at the end of 2021, we expect to incur significant expenses and devote substantial management effort toward ensuring compliance with the requirements of Section 404 of the Sarbanes-Oxley Act and the other rules and regulations of the SEC. For example, as a result of becoming a public company, we have increased the number of independent directors and adopted policies regarding internal controls and disclosure controls and procedures. Operating as a public company has also made it more expensive for us to obtain and maintain director and officer liability insurance, and we may be required to accept reduced policy limits and coverage or incur substantially higher costs to obtain the same or similar coverage. In addition, we incur additional costs associated with our public company reporting requirements, and it may also be more difficult for us to find qualified persons to serve on our board of directors or as executive officers. We are currently evaluating and monitoring developments with respect to these rules and regulations, and we cannot predict or estimate with any degree of certainty the amount of additional costs we may incur or the timing of such costs.</w:t>
      </w:r>
    </w:p>
    <w:p>
      <w:pPr>
        <w:pStyle w:val="TextBody"/>
        <w:spacing w:lineRule="auto" w:line="319" w:before="0" w:after="240"/>
        <w:jc w:val="both"/>
        <w:rPr>
          <w:rFonts w:ascii="Times New Roman;sans-serif" w:hAnsi="Times New Roman;sans-serif"/>
          <w:b/>
          <w:i/>
          <w:color w:val="000000"/>
          <w:sz w:val="20"/>
        </w:rPr>
      </w:pPr>
      <w:r>
        <w:rPr>
          <w:rFonts w:ascii="Times New Roman;sans-serif" w:hAnsi="Times New Roman;sans-serif"/>
          <w:b/>
          <w:i/>
          <w:color w:val="000000"/>
          <w:sz w:val="20"/>
        </w:rPr>
        <w:t>As an exempted company incorporated in the Cayman Islands, we are permitted to adopt certain home country practices in relation to corporate governance matters that differ significantly from the Nasdaq Stock Market corporate governance standards; these practices may afford less protection to shareholders than they would enjoy if we comply fully with the Nasdaq Stock Market corporate governance standards.</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a Cayman Islands exempted company that is listed on the Nasdaq Global Select Market, we are subject to the Nasdaq Stock Market corporate governance rules. However, Nasdaq Stock Market rules permit a foreign private issuer like us to follow the corporate governance practices of its home country. Certain corporate governance practices in the Cayman Islands, which is our home country, may differ significantly from the Nasdaq Stock Market corporate governance standards. If we choose to follow home country practice in the future, our shareholders may be </w:t>
      </w:r>
    </w:p>
    <w:p>
      <w:pPr>
        <w:pStyle w:val="HorizontalLine"/>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385445"/>
                <wp:effectExtent l="0" t="0" r="0" b="0"/>
                <wp:wrapNone/>
                <wp:docPr id="69" name="Frame69"/>
                <a:graphic xmlns:a="http://schemas.openxmlformats.org/drawingml/2006/main">
                  <a:graphicData uri="http://schemas.microsoft.com/office/word/2010/wordprocessingShape">
                    <wps:wsp>
                      <wps:cNvSpPr txBox="1"/>
                      <wps:spPr>
                        <a:xfrm>
                          <a:off x="0" y="0"/>
                          <a:ext cx="6480175" cy="385445"/>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65</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65</w:t>
                      </w:r>
                    </w:p>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lineRule="auto" w:line="319"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afforded less protection than they would otherwise enjoy under the Nasdaq Stock Market corporate governance standards applicable to U.S. domestic issuers.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19" w:before="0" w:after="240"/>
        <w:jc w:val="both"/>
        <w:rPr>
          <w:rFonts w:ascii="Times New Roman;sans-serif" w:hAnsi="Times New Roman;sans-serif"/>
          <w:b/>
          <w:color w:val="000000"/>
          <w:sz w:val="20"/>
        </w:rPr>
      </w:pPr>
      <w:r>
        <w:rPr>
          <w:rFonts w:ascii="Times New Roman;sans-serif" w:hAnsi="Times New Roman;sans-serif"/>
          <w:b/>
          <w:color w:val="000000"/>
          <w:sz w:val="20"/>
        </w:rPr>
        <w:t>ITEM 4. INFORMATION ON THE COMPANY</w:t>
      </w:r>
    </w:p>
    <w:p>
      <w:pPr>
        <w:pStyle w:val="TextBody"/>
        <w:spacing w:lineRule="auto" w:line="319" w:before="0" w:after="240"/>
        <w:jc w:val="both"/>
        <w:rPr>
          <w:rFonts w:ascii="Times New Roman;sans-serif" w:hAnsi="Times New Roman;sans-serif"/>
          <w:b/>
          <w:i/>
          <w:color w:val="000000"/>
          <w:sz w:val="20"/>
        </w:rPr>
      </w:pPr>
      <w:r>
        <w:rPr>
          <w:rFonts w:ascii="Times New Roman;sans-serif" w:hAnsi="Times New Roman;sans-serif"/>
          <w:b/>
          <w:i/>
          <w:color w:val="000000"/>
          <w:sz w:val="20"/>
        </w:rPr>
        <w:t>A. History and Development of the Company</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Agora, Inc., or Agora, was incorporated in November 2013 as an exempted company with limited liability in the Cayman Islands. In January and March 2014, respectively, we incorporated Agora Lab, Inc., or Agora Lab, a California corporation, and formed Shanghai Zhaoyan Network Technology Co., Ltd., or Zhaoyan, a PRC limited liability company. We commenced operations through Agora Lab and Zhaoyan in those same months, providing RTE-PaaS products.</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December 2014, we incorporated Agora IO, Inc, or Agora IO, a Cayman Islands exempted company with limited liability, and Agora IO Hongkong Limited, or Agora HK, a Hong Kong corporation. In the same month, Agora IO, Agora and Agora Lab and their respective shareholders entered into a share swap arrangement which resulted in Agora and Agora Lab becoming wholly owned subsidiaries of Agora IO.</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April 2015, we incorporated Dayin Network Technology Co., Ltd., or Dayin, a PRC limited liability company. Dayin is a wholly owned subsidiary of Agora HK and has entered into certain contractual arrangements with Zhaoyan and Zhaoyan’s shareholders. See the section of this annual report captioned “Item 4. Information on The Company—Organizational Structure—Contractual Arrangements among Dayin, Zhaoyan and Zhaoyan’s Shareholders.”</w:t>
      </w:r>
    </w:p>
    <w:p>
      <w:pPr>
        <w:pStyle w:val="TextBody"/>
        <w:spacing w:lineRule="auto" w:line="319" w:before="0" w:after="240"/>
        <w:ind w:left="0" w:right="0" w:firstLine="720"/>
        <w:jc w:val="both"/>
        <w:rPr/>
      </w:pPr>
      <w:r>
        <w:rPr>
          <w:rFonts w:ascii="Times New Roman;sans-serif" w:hAnsi="Times New Roman;sans-serif"/>
          <w:b w:val="false"/>
          <w:color w:val="000000"/>
          <w:sz w:val="20"/>
        </w:rPr>
        <w:t>In July 2019, we incorporated Agora.IO Ltd. in the United Kingdom as a wholly owned subsidiary of Agora Lab, which we reorganized in August</w:t>
      </w:r>
      <w:r>
        <w:rPr>
          <w:color w:val="000000"/>
        </w:rPr>
        <w:t xml:space="preserve"> </w:t>
      </w:r>
      <w:r>
        <w:rPr>
          <w:rFonts w:ascii="Times New Roman;sans-serif" w:hAnsi="Times New Roman;sans-serif"/>
          <w:b w:val="false"/>
          <w:color w:val="000000"/>
          <w:sz w:val="20"/>
        </w:rPr>
        <w:t xml:space="preserve">2020 such that Agora Lab became a wholly owned subsidiary of Agora.IO Ltd. </w:t>
      </w:r>
    </w:p>
    <w:p>
      <w:pPr>
        <w:pStyle w:val="TextBody"/>
        <w:spacing w:lineRule="auto" w:line="319" w:before="10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January 2020, we completed a reorganization, which we refer to as the Corporate Reorganization, resulting in Agora IO becoming a wholly owned subsidiary of Agora and Agora becoming wholly owned by former Agora IO shareholders. See the section of this annual report captioned “Item 4. Information on The Company—Organizational Structure—Contractual Arrangements among Dayin, Zhaoyan and Zhaoyan’s Shareholders.”</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May 2020, we incorporated Shanghai Jiyin Network Technology Co., Ltd., or Jiyin, a PRC limited liability company. Jiyin is a wholly owned subsidiary of Agora HK.</w:t>
      </w:r>
    </w:p>
    <w:p>
      <w:pPr>
        <w:pStyle w:val="TextBody"/>
        <w:spacing w:lineRule="auto" w:line="319" w:before="0" w:after="240"/>
        <w:ind w:left="0" w:right="0" w:firstLine="720"/>
        <w:jc w:val="both"/>
        <w:rPr/>
      </w:pPr>
      <w:r>
        <w:rPr>
          <w:rFonts w:ascii="Times New Roman;sans-serif" w:hAnsi="Times New Roman;sans-serif"/>
          <w:b w:val="false"/>
          <w:color w:val="000000"/>
          <w:sz w:val="20"/>
        </w:rPr>
        <w:t>In November</w:t>
      </w:r>
      <w:r>
        <w:rPr>
          <w:color w:val="000000"/>
        </w:rPr>
        <w:t xml:space="preserve"> </w:t>
      </w:r>
      <w:r>
        <w:rPr>
          <w:rFonts w:ascii="Times New Roman;sans-serif" w:hAnsi="Times New Roman;sans-serif"/>
          <w:b w:val="false"/>
          <w:color w:val="000000"/>
          <w:sz w:val="20"/>
        </w:rPr>
        <w:t>2020, we incorporated Agora.IO Singapore PTE. Ltd. in Singapore. Agora.IO Singapore PTE. Ltd. is a wholly owned subsidiary of Agora.</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February 2021, an accredited investor purchased through a private placement a total of US$250 million of our newly issued Class A ordinary shares, representing approximately 4.5% of our total outstanding shares.</w:t>
      </w:r>
    </w:p>
    <w:p>
      <w:pPr>
        <w:pStyle w:val="TextBody"/>
        <w:spacing w:lineRule="auto" w:line="319" w:before="0" w:after="240"/>
        <w:ind w:left="0" w:right="0" w:firstLine="720"/>
        <w:jc w:val="both"/>
        <w:rPr/>
      </w:pPr>
      <w:r>
        <w:rPr>
          <w:rFonts w:ascii="Times New Roman;sans-serif" w:hAnsi="Times New Roman;sans-serif"/>
          <w:b w:val="false"/>
          <w:color w:val="000000"/>
          <w:sz w:val="20"/>
        </w:rPr>
        <w:t>In February</w:t>
      </w:r>
      <w:r>
        <w:rPr>
          <w:color w:val="000000"/>
        </w:rPr>
        <w:t xml:space="preserve"> </w:t>
      </w:r>
      <w:r>
        <w:rPr>
          <w:rFonts w:ascii="Times New Roman;sans-serif" w:hAnsi="Times New Roman;sans-serif"/>
          <w:b w:val="false"/>
          <w:color w:val="000000"/>
          <w:sz w:val="20"/>
        </w:rPr>
        <w:t>2021, we acquired Easemob, a leading provider of instant messaging application programming interfaces, or APIs, and customer engagement cloud services in China.</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PRC laws and regulations place certain restrictions on foreign investment in and ownership of companies involved in the provision of internet-related services. Accordingly, we established certain contractual arrangements for our business operation in the PRC. We conduct our operations in the PRC mainly through Zhaoyan. We have effective control over Zhaoyan through a series of contractual arrangements by and among Dayin, Zhaoyan and Zhaoyan’s shareholders. These contractual arrangements collectively allow us to (1) exercise effective control over </w:t>
      </w:r>
    </w:p>
    <w:p>
      <w:pPr>
        <w:pStyle w:val="HorizontalLine"/>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385445"/>
                <wp:effectExtent l="0" t="0" r="0" b="0"/>
                <wp:wrapNone/>
                <wp:docPr id="70" name="Frame70"/>
                <a:graphic xmlns:a="http://schemas.openxmlformats.org/drawingml/2006/main">
                  <a:graphicData uri="http://schemas.microsoft.com/office/word/2010/wordprocessingShape">
                    <wps:wsp>
                      <wps:cNvSpPr txBox="1"/>
                      <wps:spPr>
                        <a:xfrm>
                          <a:off x="0" y="0"/>
                          <a:ext cx="6480175" cy="385445"/>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66</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66</w:t>
                      </w:r>
                    </w:p>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lineRule="auto" w:line="319"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Zhaoyan, (2) receive substantially all of the economic benefits of Zhaoyan and (3) purchase all or part of the equity interests in Zhaoyan pursuant to exclusive call option exercisable when so permitted under PRC laws. For more details, including risks associated with the VIE structure, see “Item 3. Key Information—D. Risk Factors—Risks Related to Our Corporate Structure.” </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a result of our contractual arrangements with Zhaoyan and Zhaoyan’s shareholders, we are the primary beneficiary of Zhaoyan, and, therefore, have consolidated the financial results of Zhaoyan in our consolidated financial statements in accordance with U.S. GAAP.</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ADSs have been listed for trading on the NASDAQ Global Select Market under the symbol “API” since June 26, 2020. We raised approximately US$483.6 million in net proceeds from the issuance of new shares from the initial public offering and concurrent private placement after deducting underwriting commissions and the offering expenses payable by us.</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principal executive offices are located at Floor 8, Building 12, Phase III of ChuangZhiTianDi, 333 Songhu Road, Yangpu District, Shanghai, People’s Republic of China. Our telephone number at this address is +86-400-632-6626. We maintain a second headquarter located at 2804 Mission College Blvd, Santa Clara, California 95054, United States. Our telephone number at this address is +1-408-879-5885.</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registered office in the Cayman Islands is located at the offices of Maples Corporate Services Limited, PO Box 309, Ugland House, Grand Cayman, KY1-1104, Cayman Islands. </w:t>
      </w:r>
    </w:p>
    <w:p>
      <w:pPr>
        <w:pStyle w:val="TextBody"/>
        <w:spacing w:lineRule="auto" w:line="319" w:before="0" w:after="240"/>
        <w:ind w:left="0" w:right="0" w:firstLine="720"/>
        <w:jc w:val="both"/>
        <w:rPr/>
      </w:pPr>
      <w:r>
        <w:rPr>
          <w:rFonts w:ascii="Times New Roman;sans-serif" w:hAnsi="Times New Roman;sans-serif"/>
          <w:b w:val="false"/>
          <w:color w:val="000000"/>
          <w:sz w:val="20"/>
        </w:rPr>
        <w:t xml:space="preserve">Our main website is </w:t>
      </w:r>
      <w:r>
        <w:rPr>
          <w:rFonts w:ascii="Times New Roman;sans-serif" w:hAnsi="Times New Roman;sans-serif"/>
          <w:b w:val="false"/>
          <w:i/>
          <w:color w:val="000000"/>
          <w:sz w:val="20"/>
        </w:rPr>
        <w:t>www.agora.io</w:t>
      </w:r>
      <w:r>
        <w:rPr>
          <w:rFonts w:ascii="Times New Roman;sans-serif" w:hAnsi="Times New Roman;sans-serif"/>
          <w:b w:val="false"/>
          <w:color w:val="000000"/>
          <w:sz w:val="20"/>
        </w:rPr>
        <w:t>. The information contained on, or that can be accessed through, our main website is not a part of, and is not incorporated by reference into, this annual report.</w:t>
      </w:r>
    </w:p>
    <w:p>
      <w:pPr>
        <w:pStyle w:val="TextBody"/>
        <w:spacing w:lineRule="auto" w:line="319" w:before="0" w:after="240"/>
        <w:jc w:val="both"/>
        <w:rPr>
          <w:rFonts w:ascii="Times New Roman;sans-serif" w:hAnsi="Times New Roman;sans-serif"/>
          <w:b/>
          <w:i/>
          <w:color w:val="000000"/>
          <w:sz w:val="20"/>
        </w:rPr>
      </w:pPr>
      <w:r>
        <w:rPr>
          <w:rFonts w:ascii="Times New Roman;sans-serif" w:hAnsi="Times New Roman;sans-serif"/>
          <w:b/>
          <w:i/>
          <w:color w:val="000000"/>
          <w:sz w:val="20"/>
        </w:rPr>
        <w:t>B. Business Overview</w:t>
      </w:r>
    </w:p>
    <w:p>
      <w:pPr>
        <w:pStyle w:val="TextBody"/>
        <w:spacing w:lineRule="auto" w:line="319" w:before="10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People increasingly use real-time video or voice to interact and engage with others online. Traditionally, such engagement happens as standalone experiences in dedicated communication applications. However, in more and more cases users are looking for contextual real-time video or voice engagement embedded in the application they are already using, rather than having to use another application for that functionality. For example, students in an education application want to see their classmates and work on a group assignment together; players in a poker application want to see each other’s faces to pick up on visual tells; users in a dating application want to see their potential partners as they get to know one another; and buyers in a shopping application want to talk to sellers. The potential opportunities for such contextual real-time video or voice engagement are only limited by one’s imagination.</w:t>
      </w:r>
    </w:p>
    <w:p>
      <w:pPr>
        <w:pStyle w:val="TextBody"/>
        <w:spacing w:lineRule="auto" w:line="319" w:before="10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However, for many application developers, real-time video and voice engagement functionalities are too difficult and expensive to build. Real-time video or voice engagement requires reliable multi-way transmission of large amounts of data between users at millisecond latency. The public internet, however, is an open and best effort network with no assurance of service quality. Network conditions vary across time of day, geographies and network operators, often causing significant data packet loss and high latency. Furthermore, hardware and software proliferation and fragmentation have exacerbated the challenge developers face in providing broadly compatible solutions.</w:t>
      </w:r>
    </w:p>
    <w:p>
      <w:pPr>
        <w:pStyle w:val="TextBody"/>
        <w:spacing w:lineRule="auto" w:line="319" w:before="10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founded Agora to solve these problems.</w:t>
      </w:r>
    </w:p>
    <w:p>
      <w:pPr>
        <w:pStyle w:val="TextBody"/>
        <w:spacing w:lineRule="auto" w:line="319" w:before="10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want to empower every developer—whether working as a solo entrepreneur or as part of a larger organization—to leverage real-time engagement to create innovative products, elevate user experiences and differentiate themselves from competition.</w:t>
      </w:r>
    </w:p>
    <w:p>
      <w:pPr>
        <w:pStyle w:val="HorizontalLine"/>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385445"/>
                <wp:effectExtent l="0" t="0" r="0" b="0"/>
                <wp:wrapNone/>
                <wp:docPr id="71" name="Frame71"/>
                <a:graphic xmlns:a="http://schemas.openxmlformats.org/drawingml/2006/main">
                  <a:graphicData uri="http://schemas.microsoft.com/office/word/2010/wordprocessingShape">
                    <wps:wsp>
                      <wps:cNvSpPr txBox="1"/>
                      <wps:spPr>
                        <a:xfrm>
                          <a:off x="0" y="0"/>
                          <a:ext cx="6480175" cy="385445"/>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67</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67</w:t>
                      </w:r>
                    </w:p>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lineRule="auto" w:line="319" w:before="10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pioneered Real-Time Engagement Platform-as-a-Service, or RTE-PaaS, and we are the global leader by market share in this rapidly growing industry. Our platform provides developers simple-to-use, highly customizable and widely compatible APIs to embed real-time video and voice functionalities into their applications without the need to develop the technology or build the underlying infrastructure themselves. The real-time data transmission is handled by our Software-Defined Real-Time Network, or SD-RTN, which is a virtual network overlay on top of the public internet running on more than 200 co-located data centers worldwide. Using sophisticated algorithms, the SD-RTN continually monitors and optimizes data transmission paths through the network to minimize latency and packet loss, enabling high quality real-time engagement across millions of concurrent users.</w:t>
      </w:r>
    </w:p>
    <w:p>
      <w:pPr>
        <w:pStyle w:val="TextBody"/>
        <w:spacing w:lineRule="auto" w:line="319" w:before="100" w:after="240"/>
        <w:ind w:left="0" w:right="0" w:firstLine="720"/>
        <w:jc w:val="both"/>
        <w:rPr/>
      </w:pPr>
      <w:r>
        <w:rPr>
          <w:rFonts w:ascii="Times New Roman;sans-serif" w:hAnsi="Times New Roman;sans-serif"/>
          <w:b w:val="false"/>
          <w:color w:val="000000"/>
          <w:sz w:val="20"/>
        </w:rPr>
        <w:t>Our business employs a freemium model, offering 10,000 free minutes of real-time engagement per month per account, to encourage adoption and innovation by developers and proliferation of real-time engagement use cases. As usage exceeds the allotted free minutes, we charge based on usage and developers become customers. In 2020, we powered more than 500 billion minutes of real-time engagement for end users in more than 100 countries through more than 10,000 active applications. We define an active application as an application that uses one of our video or voice products for at least one minute in a given month. These applications cover a wide range of industries, including social, education, entertainment, gaming, e-commerce, financial services and healthcare. As of December 31, 2020, we had 2,095</w:t>
      </w:r>
      <w:r>
        <w:rPr>
          <w:color w:val="000000"/>
        </w:rPr>
        <w:t xml:space="preserve"> </w:t>
      </w:r>
      <w:r>
        <w:rPr>
          <w:rFonts w:ascii="Times New Roman;sans-serif" w:hAnsi="Times New Roman;sans-serif"/>
          <w:b w:val="false"/>
          <w:color w:val="000000"/>
          <w:sz w:val="20"/>
        </w:rPr>
        <w:t>active customers, which we define as customers who generate more than US$100 of revenue during the preceding 12 months. As our customers succeed, we share in their success through our usage-based revenue model. We believe a useful indicator of the increased activity from our customers is our Constant Currency Dollar-Based Net Expansion Rate, which was 133%, 131% and 179% for 2018, 2019 and 2020 respectively. See the section of this annual report captioned “Item 5. Operating and Financial Review and Prospects—Key Operating and Financial Metrics.”</w:t>
      </w:r>
    </w:p>
    <w:p>
      <w:pPr>
        <w:pStyle w:val="TextBody"/>
        <w:spacing w:lineRule="auto" w:line="319" w:before="10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For 2018, 2019 and 2020, our total revenue was US$43.7 million, US$64.4 million, and US$133.6 million respectively, an increase of 47.6%, and 107.3% respectively. For 2018, 2019 and 2020, our net income (loss) was US$0.4 million, US$(6.2) million and US$(3.1) million, respectively, and our Adjusted EBITDA was US$4.0 million, US$31.0 thousand and US$11.2 million respectively. Adjusted EBITDA is a non-GAAP measure. See the section of this annual report captioned “Item 3. Key Information—A. Selected Financial Data—Non-GAAP Financial Measure” for a discussion of the limitations of Adjusted EBITDA and a reconciliation of Adjusted EBITDA to net income (loss), the most comparable GAAP measurement, for the periods presented.</w:t>
      </w:r>
    </w:p>
    <w:p>
      <w:pPr>
        <w:pStyle w:val="TextBody"/>
        <w:spacing w:lineRule="auto" w:line="319" w:before="100" w:after="240"/>
        <w:jc w:val="both"/>
        <w:rPr>
          <w:rFonts w:ascii="Times New Roman;sans-serif" w:hAnsi="Times New Roman;sans-serif"/>
          <w:b/>
          <w:i/>
          <w:color w:val="000000"/>
          <w:sz w:val="20"/>
        </w:rPr>
      </w:pPr>
      <w:r>
        <w:rPr>
          <w:rFonts w:ascii="Times New Roman;sans-serif" w:hAnsi="Times New Roman;sans-serif"/>
          <w:b/>
          <w:i/>
          <w:color w:val="000000"/>
          <w:sz w:val="20"/>
        </w:rPr>
        <w:t>The Agora Platform</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cloud-native platform enables real-time engagement for millions of concurrent users worldwide. The key components of our platform are our SDK and the SD-RTN, which are the foundation of the products we offer developers such as Real-Time Video, Real-Time Voice, Real-Time Messaging and Real-Time Recording, among others. These products can be accessed through simple APIs and are fully programmable.</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Agora SDK contains all the software modules a developer needs to embed real-time engagement capabilities into an application, such as video and audio capturing, rendering, pre- and post-processing, encoding and decoding, packet loss compensation, as well as first- and last-mile transmission. The Agora SDK is customizable based on the functionalities needed by the developer and runs on end users’ devices as part of the developer’s application.</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SD-RTN is a virtual network overlay on top of the public internet that runs on more than 200 co-located data centers worldwide and handles real-time data transmission between end-user devices when using the Agora SDK. The SD-RTN uses a full-mesh architecture and continually measures the transmission performance between each of the data centers. Because we have total control over every data center within the SD-RTN, we are able to use sophisticated algorithms to plan traffic and optimize routing within the SD-RTN with the local </w:t>
      </w:r>
    </w:p>
    <w:p>
      <w:pPr>
        <w:pStyle w:val="HorizontalLine"/>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385445"/>
                <wp:effectExtent l="0" t="0" r="0" b="0"/>
                <wp:wrapNone/>
                <wp:docPr id="72" name="Frame72"/>
                <a:graphic xmlns:a="http://schemas.openxmlformats.org/drawingml/2006/main">
                  <a:graphicData uri="http://schemas.microsoft.com/office/word/2010/wordprocessingShape">
                    <wps:wsp>
                      <wps:cNvSpPr txBox="1"/>
                      <wps:spPr>
                        <a:xfrm>
                          <a:off x="0" y="0"/>
                          <a:ext cx="6480175" cy="385445"/>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68</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68</w:t>
                      </w:r>
                    </w:p>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lineRule="auto" w:line="319"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transmission situation taken into account. Such global routing optimization is not directly available on the public internet, as it is decentralized and managed by disparate network operators. As a result, the SD-RTN is able to achieve superior performance compared to the public internet in terms of latency and packet loss, which ultimately translates into superior end-user experience. </w:t>
      </w:r>
    </w:p>
    <w:p>
      <w:pPr>
        <w:pStyle w:val="TextBody"/>
        <w:spacing w:lineRule="auto" w:line="319" w:before="100" w:after="240"/>
        <w:jc w:val="both"/>
        <w:rPr>
          <w:rFonts w:ascii="Times New Roman;sans-serif" w:hAnsi="Times New Roman;sans-serif"/>
          <w:b/>
          <w:color w:val="000000"/>
          <w:sz w:val="20"/>
        </w:rPr>
      </w:pPr>
      <w:r>
        <w:rPr>
          <w:rFonts w:ascii="Times New Roman;sans-serif" w:hAnsi="Times New Roman;sans-serif"/>
          <w:b/>
          <w:color w:val="000000"/>
          <w:sz w:val="20"/>
        </w:rPr>
        <w:t xml:space="preserve">Our Products </w:t>
      </w:r>
    </w:p>
    <w:p>
      <w:pPr>
        <w:pStyle w:val="TextBody"/>
        <w:spacing w:lineRule="auto" w:line="319" w:before="10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enterprise-grade products include Real-Time Video, Real-Time Voice, Live Interactive Video and Audio Streaming, Real-Time Messaging, Real-Time Recording, Real-Time Streaming Acceleration, Agora Analytics and various use case products, which serve as building blocks for developers to embed the respective functions in their applications.</w:t>
      </w:r>
    </w:p>
    <w:p>
      <w:pPr>
        <w:pStyle w:val="TextBody"/>
        <w:spacing w:lineRule="auto" w:line="319" w:before="100" w:after="240"/>
        <w:jc w:val="both"/>
        <w:rPr>
          <w:rFonts w:ascii="Times New Roman;sans-serif" w:hAnsi="Times New Roman;sans-serif"/>
          <w:b/>
          <w:i/>
          <w:color w:val="000000"/>
          <w:sz w:val="20"/>
        </w:rPr>
      </w:pPr>
      <w:r>
        <w:rPr>
          <w:rFonts w:ascii="Times New Roman;sans-serif" w:hAnsi="Times New Roman;sans-serif"/>
          <w:b/>
          <w:i/>
          <w:color w:val="000000"/>
          <w:sz w:val="20"/>
        </w:rPr>
        <w:t>Video Products</w:t>
      </w:r>
    </w:p>
    <w:p>
      <w:pPr>
        <w:pStyle w:val="TextBody"/>
        <w:spacing w:lineRule="auto" w:line="319" w:before="0" w:after="240"/>
        <w:ind w:left="0" w:right="0" w:hanging="360"/>
        <w:jc w:val="both"/>
        <w:rPr/>
      </w:pPr>
      <w:r>
        <w:rPr>
          <w:color w:val="000000"/>
        </w:rPr>
        <w:t>•</w:t>
      </w:r>
      <w:r>
        <w:rPr>
          <w:rFonts w:ascii="Times New Roman;sans-serif" w:hAnsi="Times New Roman;sans-serif"/>
          <w:b w:val="false"/>
          <w:i/>
          <w:color w:val="000000"/>
          <w:sz w:val="20"/>
        </w:rPr>
        <w:t>Real-Time Video</w:t>
      </w:r>
      <w:r>
        <w:rPr>
          <w:rFonts w:ascii="Times New Roman;sans-serif" w:hAnsi="Times New Roman;sans-serif"/>
          <w:b/>
          <w:i/>
          <w:color w:val="000000"/>
          <w:sz w:val="20"/>
        </w:rPr>
        <w:t xml:space="preserve">. </w:t>
      </w:r>
      <w:r>
        <w:rPr>
          <w:rFonts w:ascii="Times New Roman;sans-serif" w:hAnsi="Times New Roman;sans-serif"/>
          <w:b w:val="false"/>
          <w:color w:val="000000"/>
          <w:sz w:val="20"/>
        </w:rPr>
        <w:t>Our Real-Time Video product enables real-time video interactions at up to full high-definition resolution among multiple users. Our Real-Time Video product offers features such as adaptive compression according to network conditions, perceptual video coding and resolution enhancement. The SDK allows for seamless integration with third-party plugins and functions as well as deep customization of video resolution and layout</w:t>
      </w:r>
      <w:r>
        <w:rPr>
          <w:rFonts w:ascii="Times New Roman;sans-serif" w:hAnsi="Times New Roman;sans-serif"/>
          <w:b/>
          <w:i/>
          <w:color w:val="000000"/>
          <w:sz w:val="20"/>
        </w:rPr>
        <w:t>.</w:t>
      </w:r>
    </w:p>
    <w:p>
      <w:pPr>
        <w:pStyle w:val="TextBody"/>
        <w:spacing w:lineRule="auto" w:line="319" w:before="0" w:after="240"/>
        <w:ind w:left="0" w:right="0" w:hanging="360"/>
        <w:jc w:val="both"/>
        <w:rPr/>
      </w:pPr>
      <w:r>
        <w:rPr>
          <w:color w:val="000000"/>
        </w:rPr>
        <w:t>•</w:t>
      </w:r>
      <w:r>
        <w:rPr>
          <w:rFonts w:ascii="Times New Roman;sans-serif" w:hAnsi="Times New Roman;sans-serif"/>
          <w:b w:val="false"/>
          <w:i/>
          <w:color w:val="000000"/>
          <w:sz w:val="20"/>
        </w:rPr>
        <w:t>Live Interactive Video Streaming</w:t>
      </w:r>
      <w:r>
        <w:rPr>
          <w:rFonts w:ascii="Times New Roman;sans-serif" w:hAnsi="Times New Roman;sans-serif"/>
          <w:b/>
          <w:i/>
          <w:color w:val="000000"/>
          <w:sz w:val="20"/>
        </w:rPr>
        <w:t xml:space="preserve">. </w:t>
      </w:r>
      <w:r>
        <w:rPr>
          <w:rFonts w:ascii="Times New Roman;sans-serif" w:hAnsi="Times New Roman;sans-serif"/>
          <w:b w:val="false"/>
          <w:color w:val="000000"/>
          <w:sz w:val="20"/>
        </w:rPr>
        <w:t>Our Live Interactive Video Streaming product enables real-time video interactions that are simultaneously streamed to up to millions of users, offering immersive video streaming experiences.</w:t>
      </w:r>
    </w:p>
    <w:p>
      <w:pPr>
        <w:pStyle w:val="TextBody"/>
        <w:spacing w:lineRule="auto" w:line="319" w:before="100" w:after="240"/>
        <w:jc w:val="both"/>
        <w:rPr>
          <w:rFonts w:ascii="Times New Roman;sans-serif" w:hAnsi="Times New Roman;sans-serif"/>
          <w:b/>
          <w:i/>
          <w:color w:val="000000"/>
          <w:sz w:val="20"/>
        </w:rPr>
      </w:pPr>
      <w:r>
        <w:rPr>
          <w:rFonts w:ascii="Times New Roman;sans-serif" w:hAnsi="Times New Roman;sans-serif"/>
          <w:b/>
          <w:i/>
          <w:color w:val="000000"/>
          <w:sz w:val="20"/>
        </w:rPr>
        <w:t>Audio Products</w:t>
      </w:r>
    </w:p>
    <w:p>
      <w:pPr>
        <w:pStyle w:val="TextBody"/>
        <w:spacing w:lineRule="auto" w:line="319" w:before="0" w:after="240"/>
        <w:ind w:left="0" w:right="0" w:hanging="360"/>
        <w:jc w:val="both"/>
        <w:rPr/>
      </w:pPr>
      <w:r>
        <w:rPr>
          <w:color w:val="000000"/>
        </w:rPr>
        <w:t>•</w:t>
      </w:r>
      <w:r>
        <w:rPr>
          <w:rFonts w:ascii="Times New Roman;sans-serif" w:hAnsi="Times New Roman;sans-serif"/>
          <w:b w:val="false"/>
          <w:i/>
          <w:color w:val="000000"/>
          <w:sz w:val="20"/>
        </w:rPr>
        <w:t xml:space="preserve">Real-Time Voice. </w:t>
      </w:r>
      <w:r>
        <w:rPr>
          <w:rFonts w:ascii="Times New Roman;sans-serif" w:hAnsi="Times New Roman;sans-serif"/>
          <w:b w:val="false"/>
          <w:color w:val="000000"/>
          <w:sz w:val="20"/>
        </w:rPr>
        <w:t>Our Real-Time Voice product enables real-time voice interactions among multiple users. Our Real-Time Voice product offers features such as 3D spatial audio, active speaker detection, audio mixing, noise reduction, echo cancellation, surge control and voice effects.</w:t>
      </w:r>
    </w:p>
    <w:p>
      <w:pPr>
        <w:pStyle w:val="TextBody"/>
        <w:spacing w:lineRule="auto" w:line="319" w:before="0" w:after="240"/>
        <w:ind w:left="0" w:right="0" w:hanging="360"/>
        <w:jc w:val="both"/>
        <w:rPr/>
      </w:pPr>
      <w:r>
        <w:rPr>
          <w:color w:val="000000"/>
        </w:rPr>
        <w:t>•</w:t>
      </w:r>
      <w:r>
        <w:rPr>
          <w:rFonts w:ascii="Times New Roman;sans-serif" w:hAnsi="Times New Roman;sans-serif"/>
          <w:b w:val="false"/>
          <w:i/>
          <w:color w:val="000000"/>
          <w:sz w:val="20"/>
        </w:rPr>
        <w:t xml:space="preserve">Live Interactive Audio Streaming. </w:t>
      </w:r>
      <w:r>
        <w:rPr>
          <w:rFonts w:ascii="Times New Roman;sans-serif" w:hAnsi="Times New Roman;sans-serif"/>
          <w:b w:val="false"/>
          <w:color w:val="000000"/>
          <w:sz w:val="20"/>
        </w:rPr>
        <w:t>Our Live Interactive Audio Streaming product enables real-time audio interactions that are streamed to up to millions of users.</w:t>
      </w:r>
    </w:p>
    <w:p>
      <w:pPr>
        <w:pStyle w:val="TextBody"/>
        <w:spacing w:lineRule="auto" w:line="319" w:before="100" w:after="240"/>
        <w:jc w:val="both"/>
        <w:rPr>
          <w:rFonts w:ascii="Times New Roman;sans-serif" w:hAnsi="Times New Roman;sans-serif"/>
          <w:b/>
          <w:i/>
          <w:color w:val="000000"/>
          <w:sz w:val="20"/>
        </w:rPr>
      </w:pPr>
      <w:r>
        <w:rPr>
          <w:rFonts w:ascii="Times New Roman;sans-serif" w:hAnsi="Times New Roman;sans-serif"/>
          <w:b/>
          <w:i/>
          <w:color w:val="000000"/>
          <w:sz w:val="20"/>
        </w:rPr>
        <w:t>Other Products</w:t>
      </w:r>
    </w:p>
    <w:p>
      <w:pPr>
        <w:pStyle w:val="TextBody"/>
        <w:spacing w:lineRule="auto" w:line="319" w:before="0" w:after="240"/>
        <w:ind w:left="0" w:right="0" w:hanging="360"/>
        <w:jc w:val="both"/>
        <w:rPr/>
      </w:pPr>
      <w:r>
        <w:rPr>
          <w:color w:val="000000"/>
        </w:rPr>
        <w:t>•</w:t>
      </w:r>
      <w:r>
        <w:rPr>
          <w:rFonts w:ascii="Times New Roman;sans-serif" w:hAnsi="Times New Roman;sans-serif"/>
          <w:b w:val="false"/>
          <w:i/>
          <w:color w:val="000000"/>
          <w:sz w:val="20"/>
        </w:rPr>
        <w:t xml:space="preserve">Real-Time Messaging. </w:t>
      </w:r>
      <w:r>
        <w:rPr>
          <w:rFonts w:ascii="Times New Roman;sans-serif" w:hAnsi="Times New Roman;sans-serif"/>
          <w:b w:val="false"/>
          <w:color w:val="000000"/>
          <w:sz w:val="20"/>
        </w:rPr>
        <w:t>Our Real-Time Messaging product provides a highly reliable and low latency messaging service through the SD-RTN, including peer-to-peer messaging as well as channel messaging that can send messages to millions of recipients simultaneously.</w:t>
      </w:r>
    </w:p>
    <w:p>
      <w:pPr>
        <w:pStyle w:val="TextBody"/>
        <w:spacing w:lineRule="auto" w:line="319" w:before="0" w:after="240"/>
        <w:ind w:left="0" w:right="0" w:hanging="360"/>
        <w:jc w:val="both"/>
        <w:rPr/>
      </w:pPr>
      <w:r>
        <w:rPr>
          <w:color w:val="000000"/>
        </w:rPr>
        <w:t>•</w:t>
      </w:r>
      <w:r>
        <w:rPr>
          <w:rFonts w:ascii="Times New Roman;sans-serif" w:hAnsi="Times New Roman;sans-serif"/>
          <w:b w:val="false"/>
          <w:i/>
          <w:color w:val="000000"/>
          <w:sz w:val="20"/>
        </w:rPr>
        <w:t xml:space="preserve">Real-Time Recording. </w:t>
      </w:r>
      <w:r>
        <w:rPr>
          <w:rFonts w:ascii="Times New Roman;sans-serif" w:hAnsi="Times New Roman;sans-serif"/>
          <w:b w:val="false"/>
          <w:color w:val="000000"/>
          <w:sz w:val="20"/>
        </w:rPr>
        <w:t>Real-Time Recording is an add-on service to our Video and Audio products to record and save video and voice interactions and live interactive streaming, either on our platform or on servers designated by our customers. Our Real-Time Recording product enables a wide range of use cases such as course recording, regulatory compliance, record keeping and customer service quality evaluations.</w:t>
      </w:r>
    </w:p>
    <w:p>
      <w:pPr>
        <w:pStyle w:val="TextBody"/>
        <w:spacing w:lineRule="auto" w:line="319" w:before="0" w:after="240"/>
        <w:ind w:left="0" w:right="0" w:hanging="360"/>
        <w:jc w:val="both"/>
        <w:rPr/>
      </w:pPr>
      <w:r>
        <w:rPr>
          <w:color w:val="000000"/>
        </w:rPr>
        <w:t>•</w:t>
      </w:r>
      <w:r>
        <w:rPr>
          <w:rFonts w:ascii="Times New Roman;sans-serif" w:hAnsi="Times New Roman;sans-serif"/>
          <w:b w:val="false"/>
          <w:i/>
          <w:color w:val="000000"/>
          <w:sz w:val="20"/>
        </w:rPr>
        <w:t xml:space="preserve">Real-Time Streaming Acceleration (RTSA). </w:t>
      </w:r>
      <w:r>
        <w:rPr>
          <w:rFonts w:ascii="Times New Roman;sans-serif" w:hAnsi="Times New Roman;sans-serif"/>
          <w:b w:val="false"/>
          <w:color w:val="000000"/>
          <w:sz w:val="20"/>
        </w:rPr>
        <w:t xml:space="preserve">Our Real-Time Streaming Acceleration product facilitates ultra-low latency transmission of streaming content over the internet. It is intended to be used by developers who have developed their own media processing modules that can otherwise be provided by our SDK but would benefit from access to the SD-RTN to accelerate their streaming transmissions. In 2020, we have upgraded our RTSA with two different versions, RTSA Lite and RTSA Pro. RTSA </w:t>
      </w:r>
    </w:p>
    <w:p>
      <w:pPr>
        <w:pStyle w:val="HorizontalLine"/>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385445"/>
                <wp:effectExtent l="0" t="0" r="0" b="0"/>
                <wp:wrapNone/>
                <wp:docPr id="73" name="Frame73"/>
                <a:graphic xmlns:a="http://schemas.openxmlformats.org/drawingml/2006/main">
                  <a:graphicData uri="http://schemas.microsoft.com/office/word/2010/wordprocessingShape">
                    <wps:wsp>
                      <wps:cNvSpPr txBox="1"/>
                      <wps:spPr>
                        <a:xfrm>
                          <a:off x="0" y="0"/>
                          <a:ext cx="6480175" cy="385445"/>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69</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69</w:t>
                      </w:r>
                    </w:p>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lineRule="auto" w:line="319"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Lite has an extremely small device package with ultra-low power consumption. RTSA Pro brings a better overall experience while maintaining a lower power consumption level, suitable for other high-performance device ends.</w:t>
      </w:r>
    </w:p>
    <w:p>
      <w:pPr>
        <w:pStyle w:val="TextBody"/>
        <w:spacing w:lineRule="auto" w:line="319" w:before="0" w:after="240"/>
        <w:ind w:left="0" w:right="0" w:hanging="360"/>
        <w:jc w:val="both"/>
        <w:rPr/>
      </w:pPr>
      <w:r>
        <w:rPr>
          <w:color w:val="000000"/>
        </w:rPr>
        <w:t>•</w:t>
      </w:r>
      <w:r>
        <w:rPr>
          <w:rFonts w:ascii="Times New Roman;sans-serif" w:hAnsi="Times New Roman;sans-serif"/>
          <w:b w:val="false"/>
          <w:i/>
          <w:color w:val="000000"/>
          <w:sz w:val="20"/>
        </w:rPr>
        <w:t xml:space="preserve">Agora Analytics. </w:t>
      </w:r>
      <w:r>
        <w:rPr>
          <w:rFonts w:ascii="Times New Roman;sans-serif" w:hAnsi="Times New Roman;sans-serif"/>
          <w:b w:val="false"/>
          <w:color w:val="000000"/>
          <w:sz w:val="20"/>
        </w:rPr>
        <w:t>Agora Analytics provides customers with the tools to track voice and video quality, performance, and streaming usage. The dashboard enables customers to quickly see trends, monitor issues, and solve problems in real-time.</w:t>
      </w:r>
      <w:r>
        <w:rPr>
          <w:color w:val="000000"/>
        </w:rPr>
        <w:t xml:space="preserve"> </w:t>
      </w:r>
    </w:p>
    <w:p>
      <w:pPr>
        <w:pStyle w:val="TextBody"/>
        <w:spacing w:lineRule="auto" w:line="276" w:before="0" w:after="0"/>
        <w:ind w:left="0" w:right="0" w:hanging="360"/>
        <w:rPr/>
      </w:pPr>
      <w:r>
        <w:rPr>
          <w:color w:val="000000"/>
        </w:rPr>
        <w:t>•</w:t>
      </w:r>
      <w:r>
        <w:rPr>
          <w:rFonts w:ascii="Times New Roman;sans-serif" w:hAnsi="Times New Roman;sans-serif"/>
          <w:b w:val="false"/>
          <w:i/>
          <w:color w:val="000000"/>
          <w:sz w:val="20"/>
        </w:rPr>
        <w:t xml:space="preserve">Use Case Products. </w:t>
      </w:r>
      <w:r>
        <w:rPr>
          <w:rFonts w:ascii="Times New Roman;sans-serif" w:hAnsi="Times New Roman;sans-serif"/>
          <w:b w:val="false"/>
          <w:color w:val="000000"/>
          <w:sz w:val="20"/>
        </w:rPr>
        <w:t>Our use case products provide value-added functionalities for common use cases, such as content moderation to remove inappropriate content in a video stream, interactive whiteboard for education applications and transcription services. In 2020, we introduced the Agora Flexible Classroom, to offer a low-code application Platform as a Service, or aPaaS, solution for education providers. It combines video, voice, messaging, whiteboard and recording functionalities into one cloud-based solution that allows developers to build an online classroom in the matter of minutes. Agora Flexible Classroom allows developers to use their own brands and have complete control of their own user data. It is modular, which means developers can customize their apps to create differentiated user experience.</w:t>
      </w:r>
    </w:p>
    <w:p>
      <w:pPr>
        <w:pStyle w:val="TextBody"/>
        <w:spacing w:lineRule="auto" w:line="319" w:before="10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do not access, share, record or store any of the real-time interactions that are facilitated by our platform other than transmission quality data that enables us to continue to improve our platform and in select cases where developers choose to integrate our Real-Time Recording product, for example to enable content replay or ensure customer service levels.</w:t>
      </w:r>
    </w:p>
    <w:p>
      <w:pPr>
        <w:pStyle w:val="TextBody"/>
        <w:spacing w:lineRule="auto" w:line="319" w:before="100" w:after="240"/>
        <w:jc w:val="both"/>
        <w:rPr>
          <w:rFonts w:ascii="Times New Roman;sans-serif" w:hAnsi="Times New Roman;sans-serif"/>
          <w:b/>
          <w:color w:val="000000"/>
          <w:sz w:val="20"/>
        </w:rPr>
      </w:pPr>
      <w:r>
        <w:rPr>
          <w:rFonts w:ascii="Times New Roman;sans-serif" w:hAnsi="Times New Roman;sans-serif"/>
          <w:b/>
          <w:color w:val="000000"/>
          <w:sz w:val="20"/>
        </w:rPr>
        <w:t>Technology and Infrastructure</w:t>
      </w:r>
    </w:p>
    <w:p>
      <w:pPr>
        <w:pStyle w:val="TextBody"/>
        <w:spacing w:lineRule="auto" w:line="319" w:before="10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built our cloud-native platform to enable worldwide, real-time video and voice engagement and messaging for up to millions of concurrent users. The key components of our platform are the Agora SDK and the SD-RTN.</w:t>
      </w:r>
    </w:p>
    <w:p>
      <w:pPr>
        <w:pStyle w:val="TextBody"/>
        <w:spacing w:lineRule="auto" w:line="319" w:before="0" w:after="240"/>
        <w:ind w:left="0" w:right="0" w:hanging="360"/>
        <w:jc w:val="both"/>
        <w:rPr/>
      </w:pPr>
      <w:r>
        <w:rPr>
          <w:color w:val="000000"/>
        </w:rPr>
        <w:t>•</w:t>
      </w:r>
      <w:r>
        <w:rPr>
          <w:rFonts w:ascii="Times New Roman;sans-serif" w:hAnsi="Times New Roman;sans-serif"/>
          <w:b/>
          <w:i/>
          <w:color w:val="000000"/>
          <w:sz w:val="20"/>
        </w:rPr>
        <w:t xml:space="preserve">Agora SDK. </w:t>
      </w:r>
      <w:r>
        <w:rPr>
          <w:rFonts w:ascii="Times New Roman;sans-serif" w:hAnsi="Times New Roman;sans-serif"/>
          <w:b w:val="false"/>
          <w:color w:val="000000"/>
          <w:sz w:val="20"/>
        </w:rPr>
        <w:t>The Agora SDK contains all the software a developer needs to integrate our real-time engagement products into an application, is customizable by the developer and runs on end users’ devices as part of the developer’s application. The main software modules of the Agora SDK include:</w:t>
      </w:r>
    </w:p>
    <w:p>
      <w:pPr>
        <w:pStyle w:val="TextBody"/>
        <w:spacing w:lineRule="auto" w:line="319" w:before="100" w:after="240"/>
        <w:ind w:left="0" w:right="0" w:hanging="360"/>
        <w:jc w:val="both"/>
        <w:rPr/>
      </w:pPr>
      <w:r>
        <w:rPr>
          <w:color w:val="000000"/>
        </w:rPr>
        <w:t>◦</w:t>
      </w:r>
      <w:r>
        <w:rPr>
          <w:rFonts w:ascii="Times New Roman;sans-serif" w:hAnsi="Times New Roman;sans-serif"/>
          <w:b w:val="false"/>
          <w:color w:val="000000"/>
          <w:sz w:val="20"/>
        </w:rPr>
        <w:t>Capturing modules that capture audio and video streams, and rendering modules that combine and synchronize multiple video or audio streams.</w:t>
      </w:r>
    </w:p>
    <w:p>
      <w:pPr>
        <w:pStyle w:val="TextBody"/>
        <w:spacing w:lineRule="auto" w:line="319" w:before="100" w:after="240"/>
        <w:ind w:left="0" w:right="0" w:hanging="360"/>
        <w:jc w:val="both"/>
        <w:rPr/>
      </w:pPr>
      <w:r>
        <w:rPr>
          <w:color w:val="000000"/>
        </w:rPr>
        <w:t>◦</w:t>
      </w:r>
      <w:r>
        <w:rPr>
          <w:rFonts w:ascii="Times New Roman;sans-serif" w:hAnsi="Times New Roman;sans-serif"/>
          <w:b w:val="false"/>
          <w:color w:val="000000"/>
          <w:sz w:val="20"/>
        </w:rPr>
        <w:t>Pre-processing modules that modify the raw streams to reduce background noise, cancel echo, enable users to “beautify” their video appearance and add a variety of video special effects in real time, among other things, as well as post-processing modules that enhance the received streams, including resolution enhancement, noise reduction, image sharpening, concealment of audio or video defects such as jitter and color blocks, and video frame interpolation.</w:t>
      </w:r>
    </w:p>
    <w:p>
      <w:pPr>
        <w:pStyle w:val="TextBody"/>
        <w:spacing w:lineRule="auto" w:line="319" w:before="100" w:after="240"/>
        <w:ind w:left="0" w:right="0" w:hanging="360"/>
        <w:jc w:val="both"/>
        <w:rPr/>
      </w:pPr>
      <w:r>
        <w:rPr>
          <w:color w:val="000000"/>
        </w:rPr>
        <w:t>◦</w:t>
      </w:r>
      <w:r>
        <w:rPr>
          <w:rFonts w:ascii="Times New Roman;sans-serif" w:hAnsi="Times New Roman;sans-serif"/>
          <w:b w:val="false"/>
          <w:color w:val="000000"/>
          <w:sz w:val="20"/>
        </w:rPr>
        <w:t>Encoding and decoding modules that compress and decompress the streams before and after transmission. Our video and audio codecs dynamically adapt the size of video and audio streams based on network transmission environment and end-user device capabilities.</w:t>
      </w:r>
    </w:p>
    <w:p>
      <w:pPr>
        <w:pStyle w:val="TextBody"/>
        <w:spacing w:lineRule="auto" w:line="319" w:before="100" w:after="240"/>
        <w:ind w:left="0" w:right="0" w:hanging="360"/>
        <w:jc w:val="both"/>
        <w:rPr/>
      </w:pPr>
      <w:r>
        <w:rPr>
          <w:color w:val="000000"/>
        </w:rPr>
        <w:t>◦“</w:t>
      </w:r>
      <w:r>
        <w:rPr>
          <w:rFonts w:ascii="Times New Roman;sans-serif" w:hAnsi="Times New Roman;sans-serif"/>
          <w:b w:val="false"/>
          <w:color w:val="000000"/>
          <w:sz w:val="20"/>
        </w:rPr>
        <w:t xml:space="preserve">First-mile” and “last-mile” transmission modules that transmit data between end-user devices and an edge node of the SD-RTN. Our transmission modules dynamically select the optimal edge nodes based on changes in the network environment, for example, when the end-user device switches from a WiFi to a cellular network connection. Our transmission modules also use </w:t>
      </w:r>
    </w:p>
    <w:p>
      <w:pPr>
        <w:pStyle w:val="HorizontalLine"/>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385445"/>
                <wp:effectExtent l="0" t="0" r="0" b="0"/>
                <wp:wrapNone/>
                <wp:docPr id="74" name="Frame74"/>
                <a:graphic xmlns:a="http://schemas.openxmlformats.org/drawingml/2006/main">
                  <a:graphicData uri="http://schemas.microsoft.com/office/word/2010/wordprocessingShape">
                    <wps:wsp>
                      <wps:cNvSpPr txBox="1"/>
                      <wps:spPr>
                        <a:xfrm>
                          <a:off x="0" y="0"/>
                          <a:ext cx="6480175" cy="385445"/>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70</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70</w:t>
                      </w:r>
                    </w:p>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lineRule="auto" w:line="319" w:before="100" w:after="240"/>
        <w:jc w:val="both"/>
        <w:rPr>
          <w:rFonts w:ascii="Times New Roman;sans-serif" w:hAnsi="Times New Roman;sans-serif"/>
          <w:b w:val="false"/>
          <w:color w:val="000000"/>
          <w:sz w:val="20"/>
        </w:rPr>
      </w:pPr>
      <w:r>
        <w:rPr>
          <w:rFonts w:ascii="Times New Roman;sans-serif" w:hAnsi="Times New Roman;sans-serif"/>
          <w:b w:val="false"/>
          <w:color w:val="000000"/>
          <w:sz w:val="20"/>
        </w:rPr>
        <w:t>adaptive channel coding based on predicted packet-loss rate, as well as other strategies, to compensate for packet loss.</w:t>
      </w:r>
    </w:p>
    <w:p>
      <w:pPr>
        <w:pStyle w:val="TextBody"/>
        <w:spacing w:lineRule="auto" w:line="319" w:before="10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have developed our SDK to overcome hardware and software compatibility issues and to be as compact as possible once embedded within an application. Our SDK is widely compatible with major operating systems, development frameworks and programming languages, and a wide variety of phones, PCs and other connected devices, including relatively older and less sophisticated models.</w:t>
      </w:r>
    </w:p>
    <w:p>
      <w:pPr>
        <w:pStyle w:val="TextBody"/>
        <w:spacing w:lineRule="auto" w:line="319" w:before="0" w:after="240"/>
        <w:ind w:left="0" w:right="0" w:hanging="360"/>
        <w:jc w:val="both"/>
        <w:rPr/>
      </w:pPr>
      <w:r>
        <w:rPr>
          <w:color w:val="000000"/>
        </w:rPr>
        <w:t>•</w:t>
      </w:r>
      <w:r>
        <w:rPr>
          <w:rFonts w:ascii="Times New Roman;sans-serif" w:hAnsi="Times New Roman;sans-serif"/>
          <w:b/>
          <w:i/>
          <w:color w:val="000000"/>
          <w:sz w:val="20"/>
        </w:rPr>
        <w:t xml:space="preserve">SD-RTN. </w:t>
      </w:r>
      <w:r>
        <w:rPr>
          <w:rFonts w:ascii="Times New Roman;sans-serif" w:hAnsi="Times New Roman;sans-serif"/>
          <w:b w:val="false"/>
          <w:color w:val="000000"/>
          <w:sz w:val="20"/>
        </w:rPr>
        <w:t>The SD-RTN is a virtual network overlay on top of the public internet that runs on more than 200 co-located data centers worldwide and handles real-time data transmission between end-user devices when using our SDK. A key distinguishing feature of the SD-RTN is its all-software architecture; we do not own or lease physical or private data transmission lines. We believe our all-software approach is cost-effective, enables highly flexible routing optimization and will continue to improve through iterative development.</w:t>
      </w:r>
    </w:p>
    <w:p>
      <w:pPr>
        <w:pStyle w:val="TextBody"/>
        <w:spacing w:lineRule="auto" w:line="319"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The public internet is an open and best effort network with no assurance of service quality. As data is transmitted, data packets pass through various segments managed by disparate network operators with their own routing protocols that do not always take into account the conditions of the other segments. The SD-RTN compensates for this absence of centralization with its virtual, software overlay. Because we have total control over every data center within the SD-RTN, we are able to optimize routing and plan traffic holistically.</w:t>
      </w:r>
    </w:p>
    <w:p>
      <w:pPr>
        <w:pStyle w:val="TextBody"/>
        <w:spacing w:lineRule="auto" w:line="319"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Using sophisticated proprietary algorithms, the SD-RTN constantly probes the transmission quality across the public internet to determine optimal routes between data centers within the SD-RTN in terms of latency, bandwidth and packet loss. The SD-RTN maintains a real-time routing map to direct data transmission, taking into consideration transmission needs from up to several million concurrent end users, available bandwidth at each data center and other potential constraints such as network operator and infrastructure provider restrictions on data outflow from particular data centers and load balancing among edge nodes and between different routes. We also send redundant data packets through multiple optimized paths and the data packet that arrives to the destination first is used while any lost or subsequently received redundant data packets are ignored. The SD-RTN is based on the User Datagram Protocol, or UDP, for sending data packets, rather than the Transmission Control Protocol, or TCP, because UDP prioritizes lower latency and is more suitable for real-time engagement.</w:t>
      </w:r>
    </w:p>
    <w:p>
      <w:pPr>
        <w:pStyle w:val="TextBody"/>
        <w:spacing w:lineRule="auto" w:line="319" w:before="10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platform uses artificial intelligence, or AI, during encoding, transmission, processing and rendering, among other processes. For example, our AI algorithms predict focal points in a video, such as a person speaking compared to a background detail, to encode and render the video using more or less data, and predict packet loss rate to dynamically compensate for packet loss. They also enable a variety of transmission enhancements, such as identifying and eliminating echoes, distinguishing spoken language from other sounds to prioritize transmission of spoken language, filtering and suppressing noises that end users are more likely to be sensitive to, and enhancing video resolution by predicting and filling in details that have been lost or distorted during transmission due to packet loss.</w:t>
      </w:r>
    </w:p>
    <w:p>
      <w:pPr>
        <w:pStyle w:val="TextBody"/>
        <w:spacing w:lineRule="auto" w:line="319" w:before="10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own and operate a substantial majority of our servers and network equipment that we host at the co-located data centers on which the SD-RTN runs. While we procure and operate our equipment, the premises are maintained by third parties. At each data center in the SD-RTN, the routing and other functions such as recording and data analytics are performed by commodity servers. Because each node and server are independent, self-sufficient and not reliant on other nodes or servers to function, we can quickly expand the SD-RTN’s capacity by </w:t>
      </w:r>
    </w:p>
    <w:p>
      <w:pPr>
        <w:pStyle w:val="HorizontalLine"/>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385445"/>
                <wp:effectExtent l="0" t="0" r="0" b="0"/>
                <wp:wrapNone/>
                <wp:docPr id="75" name="Frame75"/>
                <a:graphic xmlns:a="http://schemas.openxmlformats.org/drawingml/2006/main">
                  <a:graphicData uri="http://schemas.microsoft.com/office/word/2010/wordprocessingShape">
                    <wps:wsp>
                      <wps:cNvSpPr txBox="1"/>
                      <wps:spPr>
                        <a:xfrm>
                          <a:off x="0" y="0"/>
                          <a:ext cx="6480175" cy="385445"/>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71</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71</w:t>
                      </w:r>
                    </w:p>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lineRule="auto" w:line="319" w:before="100" w:after="240"/>
        <w:jc w:val="both"/>
        <w:rPr>
          <w:rFonts w:ascii="Times New Roman;sans-serif" w:hAnsi="Times New Roman;sans-serif"/>
          <w:b w:val="false"/>
          <w:color w:val="000000"/>
          <w:sz w:val="20"/>
        </w:rPr>
      </w:pPr>
      <w:r>
        <w:rPr>
          <w:rFonts w:ascii="Times New Roman;sans-serif" w:hAnsi="Times New Roman;sans-serif"/>
          <w:b w:val="false"/>
          <w:color w:val="000000"/>
          <w:sz w:val="20"/>
        </w:rPr>
        <w:t>adding servers at a local data center, connecting more data centers at the continent level or purchase additional bandwidth to manage customer growth across geographies. If one server goes down, the SD-RTN is able to automatically reroute and re-establish all users in an active session to a different server with little perceptible interruption. In addition, we continually monitor our systems for any signs of problems, and we strive to take preemptive action when necessary. We have not encountered significant service interruptions since our inception. We maintain a formal and comprehensive security program designed to protect against security threats and data breaches.</w:t>
      </w:r>
    </w:p>
    <w:p>
      <w:pPr>
        <w:pStyle w:val="TextBody"/>
        <w:spacing w:lineRule="auto" w:line="319" w:before="100" w:after="240"/>
        <w:jc w:val="both"/>
        <w:rPr>
          <w:rFonts w:ascii="Times New Roman;sans-serif" w:hAnsi="Times New Roman;sans-serif"/>
          <w:b/>
          <w:color w:val="000000"/>
          <w:sz w:val="20"/>
        </w:rPr>
      </w:pPr>
      <w:r>
        <w:rPr>
          <w:rFonts w:ascii="Times New Roman;sans-serif" w:hAnsi="Times New Roman;sans-serif"/>
          <w:b/>
          <w:color w:val="000000"/>
          <w:sz w:val="20"/>
        </w:rPr>
        <w:t>Sales and Marketing</w:t>
      </w:r>
    </w:p>
    <w:p>
      <w:pPr>
        <w:pStyle w:val="TextBody"/>
        <w:spacing w:lineRule="auto" w:line="319" w:before="10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go-to market strategy is focused on building developer community and enthusiasm for our products. We also employ more targeted sales efforts focused on large potential customers with proven use cases that could benefit from our products.</w:t>
      </w:r>
    </w:p>
    <w:p>
      <w:pPr>
        <w:pStyle w:val="TextBody"/>
        <w:spacing w:lineRule="auto" w:line="319" w:before="10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reach developers through brand marketing, developer portals such as GitHub and developer conferences and events including our own RTE Conference both in the United States and China, one of the largest conferences in the world for real-time engagement technology, and the AllThingsRTC Conference in the United States. Once developers are introduced to our platform, we provide them with a low-friction trial experience consisting of 10,000 free minutes per month per account. Developers whose needs grow beyond the free minutes pay based on usage. Our team works directly with developers to help generate ideas and share best practices to ultimately promote new use cases for our technology. As developers innovate with our platform and share their experience with peers, awareness of our platform spreads in the developer community by word of mouth and attracts additional developers, creating a positive flywheel effect. We have built a large and engaged developer community, as evidenced by the more than 270,000 applications that have registered on our platform from our inception through December 31, 2020.</w:t>
      </w:r>
    </w:p>
    <w:p>
      <w:pPr>
        <w:pStyle w:val="TextBody"/>
        <w:spacing w:lineRule="auto" w:line="319" w:before="10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When a use case becomes sufficiently well-established, such as online education using our Real-Time Video product, we deploy our sales team to identify and actively approach similarly situated companies that could benefit from our products. For certain large customers who are developing promising but complex use cases, we deploy our own engineers to assist with the integration of our products into their applications. This is a key element of our strategy to enable new use cases and accelerate usage of our platform and we do not usually charge customers for such services.</w:t>
      </w:r>
    </w:p>
    <w:p>
      <w:pPr>
        <w:pStyle w:val="TextBody"/>
        <w:spacing w:lineRule="auto" w:line="319" w:before="10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2020, we had 142 employees in our global sales and marketing organization.</w:t>
      </w:r>
    </w:p>
    <w:p>
      <w:pPr>
        <w:pStyle w:val="TextBody"/>
        <w:spacing w:lineRule="auto" w:line="319" w:before="100" w:after="240"/>
        <w:jc w:val="both"/>
        <w:rPr>
          <w:rFonts w:ascii="Times New Roman;sans-serif" w:hAnsi="Times New Roman;sans-serif"/>
          <w:b/>
          <w:color w:val="000000"/>
          <w:sz w:val="20"/>
        </w:rPr>
      </w:pPr>
      <w:r>
        <w:rPr>
          <w:rFonts w:ascii="Times New Roman;sans-serif" w:hAnsi="Times New Roman;sans-serif"/>
          <w:b/>
          <w:color w:val="000000"/>
          <w:sz w:val="20"/>
        </w:rPr>
        <w:t>Customer Support</w:t>
      </w:r>
    </w:p>
    <w:p>
      <w:pPr>
        <w:pStyle w:val="TextBody"/>
        <w:spacing w:lineRule="auto" w:line="319" w:before="10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platform is designed to allow developers to self-serve and they typically require minimal individual customer support from us. We provide helper libraries, comprehensive user guides and a wide range of code samples and demos. To supplement our extensive self-help resources, we also engage directly with our developer community in online forums such as Stack Overflow and provide individual customer support by e-mail and phone. We provide developers with a suite of Agora Analytics tools that help them independently monitor and diagnose quality concerns, identify root causes and address issues related to our products to improve their end users’ experience. As customers grow, we assign them to a dedicated service team to ensure their continued satisfaction and for our largest customers we provide ongoing support from our own engineers.</w:t>
      </w:r>
    </w:p>
    <w:p>
      <w:pPr>
        <w:pStyle w:val="TextBody"/>
        <w:spacing w:lineRule="auto" w:line="319" w:before="100" w:after="240"/>
        <w:jc w:val="both"/>
        <w:rPr>
          <w:rFonts w:ascii="Times New Roman;sans-serif" w:hAnsi="Times New Roman;sans-serif"/>
          <w:b/>
          <w:color w:val="000000"/>
          <w:sz w:val="20"/>
        </w:rPr>
      </w:pPr>
      <w:r>
        <w:rPr>
          <w:rFonts w:ascii="Times New Roman;sans-serif" w:hAnsi="Times New Roman;sans-serif"/>
          <w:b/>
          <w:color w:val="000000"/>
          <w:sz w:val="20"/>
        </w:rPr>
        <w:t>Competition</w:t>
      </w:r>
    </w:p>
    <w:p>
      <w:pPr>
        <w:pStyle w:val="HorizontalLine"/>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385445"/>
                <wp:effectExtent l="0" t="0" r="0" b="0"/>
                <wp:wrapNone/>
                <wp:docPr id="76" name="Frame76"/>
                <a:graphic xmlns:a="http://schemas.openxmlformats.org/drawingml/2006/main">
                  <a:graphicData uri="http://schemas.microsoft.com/office/word/2010/wordprocessingShape">
                    <wps:wsp>
                      <wps:cNvSpPr txBox="1"/>
                      <wps:spPr>
                        <a:xfrm>
                          <a:off x="0" y="0"/>
                          <a:ext cx="6480175" cy="385445"/>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72</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72</w:t>
                      </w:r>
                    </w:p>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lineRule="auto" w:line="319" w:before="10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global market for RTE-PaaS is relatively new and rapidly evolving. Currently, our competitors mainly include:</w:t>
      </w:r>
    </w:p>
    <w:p>
      <w:pPr>
        <w:pStyle w:val="TextBody"/>
        <w:spacing w:lineRule="auto" w:line="319" w:before="0" w:after="240"/>
        <w:ind w:left="0" w:right="0" w:hanging="360"/>
        <w:jc w:val="both"/>
        <w:rPr/>
      </w:pPr>
      <w:r>
        <w:rPr>
          <w:color w:val="000000"/>
        </w:rPr>
        <w:t>•</w:t>
      </w:r>
      <w:r>
        <w:rPr>
          <w:rFonts w:ascii="Times New Roman;sans-serif" w:hAnsi="Times New Roman;sans-serif"/>
          <w:b w:val="false"/>
          <w:color w:val="000000"/>
          <w:sz w:val="20"/>
        </w:rPr>
        <w:t>PaaS providers in China and the United States, as well as smaller software companies, which compete with all or portions of our platform and products;</w:t>
      </w:r>
    </w:p>
    <w:p>
      <w:pPr>
        <w:pStyle w:val="TextBody"/>
        <w:spacing w:lineRule="auto" w:line="319" w:before="0" w:after="240"/>
        <w:ind w:left="0" w:right="0" w:hanging="360"/>
        <w:jc w:val="both"/>
        <w:rPr/>
      </w:pPr>
      <w:r>
        <w:rPr>
          <w:color w:val="000000"/>
        </w:rPr>
        <w:t>•</w:t>
      </w:r>
      <w:r>
        <w:rPr>
          <w:rFonts w:ascii="Times New Roman;sans-serif" w:hAnsi="Times New Roman;sans-serif"/>
          <w:b w:val="false"/>
          <w:color w:val="000000"/>
          <w:sz w:val="20"/>
        </w:rPr>
        <w:t>open-source projects, such as WebRTC, which offer capabilities that compete with some of the functionalities in our SDK; and</w:t>
      </w:r>
    </w:p>
    <w:p>
      <w:pPr>
        <w:pStyle w:val="TextBody"/>
        <w:spacing w:lineRule="auto" w:line="319" w:before="0" w:after="240"/>
        <w:ind w:left="0" w:right="0" w:hanging="360"/>
        <w:jc w:val="both"/>
        <w:rPr/>
      </w:pPr>
      <w:r>
        <w:rPr>
          <w:color w:val="000000"/>
        </w:rPr>
        <w:t>•</w:t>
      </w:r>
      <w:r>
        <w:rPr>
          <w:rFonts w:ascii="Times New Roman;sans-serif" w:hAnsi="Times New Roman;sans-serif"/>
          <w:b w:val="false"/>
          <w:color w:val="000000"/>
          <w:sz w:val="20"/>
        </w:rPr>
        <w:t>network operators or cloud providers that offer private lines on which similar functionalities to ours can be built.</w:t>
      </w:r>
    </w:p>
    <w:p>
      <w:pPr>
        <w:pStyle w:val="TextBody"/>
        <w:spacing w:lineRule="auto" w:line="319" w:before="10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many cases, we encounter either custom software developed in-house or by consultants, or legacy solutions repurposed by in-house developers of our potential customers to meet specific use cases.</w:t>
      </w:r>
    </w:p>
    <w:p>
      <w:pPr>
        <w:pStyle w:val="TextBody"/>
        <w:spacing w:lineRule="auto" w:line="319" w:before="10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the principal competitive factors in our market are:</w:t>
      </w:r>
    </w:p>
    <w:p>
      <w:pPr>
        <w:pStyle w:val="TextBody"/>
        <w:spacing w:lineRule="auto" w:line="319" w:before="0" w:after="240"/>
        <w:ind w:left="0" w:right="0" w:hanging="360"/>
        <w:jc w:val="both"/>
        <w:rPr/>
      </w:pPr>
      <w:r>
        <w:rPr>
          <w:color w:val="000000"/>
        </w:rPr>
        <w:t>•</w:t>
      </w:r>
      <w:r>
        <w:rPr>
          <w:rFonts w:ascii="Times New Roman;sans-serif" w:hAnsi="Times New Roman;sans-serif"/>
          <w:b w:val="false"/>
          <w:color w:val="000000"/>
          <w:sz w:val="20"/>
        </w:rPr>
        <w:t>quality of data transmission and user experience;</w:t>
      </w:r>
    </w:p>
    <w:p>
      <w:pPr>
        <w:pStyle w:val="TextBody"/>
        <w:spacing w:lineRule="auto" w:line="319" w:before="0" w:after="240"/>
        <w:ind w:left="0" w:right="0" w:hanging="360"/>
        <w:jc w:val="both"/>
        <w:rPr/>
      </w:pPr>
      <w:r>
        <w:rPr>
          <w:color w:val="000000"/>
        </w:rPr>
        <w:t>•</w:t>
      </w:r>
      <w:r>
        <w:rPr>
          <w:rFonts w:ascii="Times New Roman;sans-serif" w:hAnsi="Times New Roman;sans-serif"/>
          <w:b w:val="false"/>
          <w:color w:val="000000"/>
          <w:sz w:val="20"/>
        </w:rPr>
        <w:t>credibility with developers;</w:t>
      </w:r>
    </w:p>
    <w:p>
      <w:pPr>
        <w:pStyle w:val="TextBody"/>
        <w:spacing w:lineRule="auto" w:line="319" w:before="0" w:after="240"/>
        <w:ind w:left="0" w:right="0" w:hanging="360"/>
        <w:jc w:val="both"/>
        <w:rPr/>
      </w:pPr>
      <w:r>
        <w:rPr>
          <w:color w:val="000000"/>
        </w:rPr>
        <w:t>•</w:t>
      </w:r>
      <w:r>
        <w:rPr>
          <w:rFonts w:ascii="Times New Roman;sans-serif" w:hAnsi="Times New Roman;sans-serif"/>
          <w:b w:val="false"/>
          <w:color w:val="000000"/>
          <w:sz w:val="20"/>
        </w:rPr>
        <w:t>global reach;</w:t>
      </w:r>
    </w:p>
    <w:p>
      <w:pPr>
        <w:pStyle w:val="TextBody"/>
        <w:spacing w:lineRule="auto" w:line="319" w:before="0" w:after="240"/>
        <w:ind w:left="0" w:right="0" w:hanging="360"/>
        <w:jc w:val="both"/>
        <w:rPr/>
      </w:pPr>
      <w:r>
        <w:rPr>
          <w:color w:val="000000"/>
        </w:rPr>
        <w:t>•</w:t>
      </w:r>
      <w:r>
        <w:rPr>
          <w:rFonts w:ascii="Times New Roman;sans-serif" w:hAnsi="Times New Roman;sans-serif"/>
          <w:b w:val="false"/>
          <w:color w:val="000000"/>
          <w:sz w:val="20"/>
        </w:rPr>
        <w:t>ease of integration and programmability;</w:t>
      </w:r>
    </w:p>
    <w:p>
      <w:pPr>
        <w:pStyle w:val="TextBody"/>
        <w:spacing w:lineRule="auto" w:line="319" w:before="0" w:after="240"/>
        <w:ind w:left="0" w:right="0" w:hanging="360"/>
        <w:jc w:val="both"/>
        <w:rPr/>
      </w:pPr>
      <w:r>
        <w:rPr>
          <w:color w:val="000000"/>
        </w:rPr>
        <w:t>•</w:t>
      </w:r>
      <w:r>
        <w:rPr>
          <w:rFonts w:ascii="Times New Roman;sans-serif" w:hAnsi="Times New Roman;sans-serif"/>
          <w:b w:val="false"/>
          <w:color w:val="000000"/>
          <w:sz w:val="20"/>
        </w:rPr>
        <w:t>product features;</w:t>
      </w:r>
    </w:p>
    <w:p>
      <w:pPr>
        <w:pStyle w:val="TextBody"/>
        <w:spacing w:lineRule="auto" w:line="319" w:before="0" w:after="240"/>
        <w:ind w:left="0" w:right="0" w:hanging="360"/>
        <w:jc w:val="both"/>
        <w:rPr/>
      </w:pPr>
      <w:r>
        <w:rPr>
          <w:color w:val="000000"/>
        </w:rPr>
        <w:t>•</w:t>
      </w:r>
      <w:r>
        <w:rPr>
          <w:rFonts w:ascii="Times New Roman;sans-serif" w:hAnsi="Times New Roman;sans-serif"/>
          <w:b w:val="false"/>
          <w:color w:val="000000"/>
          <w:sz w:val="20"/>
        </w:rPr>
        <w:t>platform scalability, reliability, compatibility, security and performance;</w:t>
      </w:r>
    </w:p>
    <w:p>
      <w:pPr>
        <w:pStyle w:val="TextBody"/>
        <w:spacing w:lineRule="auto" w:line="319" w:before="0" w:after="240"/>
        <w:ind w:left="0" w:right="0" w:hanging="360"/>
        <w:jc w:val="both"/>
        <w:rPr/>
      </w:pPr>
      <w:r>
        <w:rPr>
          <w:color w:val="000000"/>
        </w:rPr>
        <w:t>•</w:t>
      </w:r>
      <w:r>
        <w:rPr>
          <w:rFonts w:ascii="Times New Roman;sans-serif" w:hAnsi="Times New Roman;sans-serif"/>
          <w:b w:val="false"/>
          <w:color w:val="000000"/>
          <w:sz w:val="20"/>
        </w:rPr>
        <w:t>brand awareness and reputation;</w:t>
      </w:r>
    </w:p>
    <w:p>
      <w:pPr>
        <w:pStyle w:val="TextBody"/>
        <w:spacing w:lineRule="auto" w:line="319" w:before="0" w:after="240"/>
        <w:ind w:left="0" w:right="0" w:hanging="360"/>
        <w:jc w:val="both"/>
        <w:rPr/>
      </w:pPr>
      <w:r>
        <w:rPr>
          <w:color w:val="000000"/>
        </w:rPr>
        <w:t>•</w:t>
      </w:r>
      <w:r>
        <w:rPr>
          <w:rFonts w:ascii="Times New Roman;sans-serif" w:hAnsi="Times New Roman;sans-serif"/>
          <w:b w:val="false"/>
          <w:color w:val="000000"/>
          <w:sz w:val="20"/>
        </w:rPr>
        <w:t>the strength of sales and marketing efforts;</w:t>
      </w:r>
    </w:p>
    <w:p>
      <w:pPr>
        <w:pStyle w:val="TextBody"/>
        <w:spacing w:lineRule="auto" w:line="319" w:before="0" w:after="240"/>
        <w:ind w:left="0" w:right="0" w:hanging="360"/>
        <w:jc w:val="both"/>
        <w:rPr/>
      </w:pPr>
      <w:r>
        <w:rPr>
          <w:color w:val="000000"/>
        </w:rPr>
        <w:t>•</w:t>
      </w:r>
      <w:r>
        <w:rPr>
          <w:rFonts w:ascii="Times New Roman;sans-serif" w:hAnsi="Times New Roman;sans-serif"/>
          <w:b w:val="false"/>
          <w:color w:val="000000"/>
          <w:sz w:val="20"/>
        </w:rPr>
        <w:t>customer support; and</w:t>
      </w:r>
    </w:p>
    <w:p>
      <w:pPr>
        <w:pStyle w:val="TextBody"/>
        <w:spacing w:lineRule="auto" w:line="319" w:before="0" w:after="240"/>
        <w:ind w:left="0" w:right="0" w:hanging="360"/>
        <w:jc w:val="both"/>
        <w:rPr/>
      </w:pPr>
      <w:r>
        <w:rPr>
          <w:color w:val="000000"/>
        </w:rPr>
        <w:t>•</w:t>
      </w:r>
      <w:r>
        <w:rPr>
          <w:rFonts w:ascii="Times New Roman;sans-serif" w:hAnsi="Times New Roman;sans-serif"/>
          <w:b w:val="false"/>
          <w:color w:val="000000"/>
          <w:sz w:val="20"/>
        </w:rPr>
        <w:t>the cost of deploying and using our products.</w:t>
      </w:r>
    </w:p>
    <w:p>
      <w:pPr>
        <w:pStyle w:val="TextBody"/>
        <w:spacing w:lineRule="auto" w:line="319" w:before="10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we compete effectively on each of the factors listed above; however, we expect competition to intensify in the future. It is possible that the large software vendors or cloud providers who currently do not have an offering in the RTE-PaaS category, some of which operate in adjacent product categories today, may in the future bring such a solution to market through product development, acquisitions or other means. In addition, several of our competitors have greater name recognition, longer operating histories, more and better-established customer relationships, larger sales forces, larger marketing and software development budgets and significantly greater resources than we do. As a result, certain of our competitors may be able to respond more quickly and effectively than we can to new or changing opportunities, technologies, standards or customer requirements. In addition, some competitors may offer products or services that address one or a limited number of functions at lower prices or with greater depth than our products.</w:t>
      </w:r>
    </w:p>
    <w:p>
      <w:pPr>
        <w:pStyle w:val="TextBody"/>
        <w:spacing w:lineRule="auto" w:line="319" w:before="100" w:after="240"/>
        <w:jc w:val="both"/>
        <w:rPr>
          <w:rFonts w:ascii="Times New Roman;sans-serif" w:hAnsi="Times New Roman;sans-serif"/>
          <w:b/>
          <w:color w:val="000000"/>
          <w:sz w:val="20"/>
        </w:rPr>
      </w:pPr>
      <w:r>
        <w:rPr>
          <w:rFonts w:ascii="Times New Roman;sans-serif" w:hAnsi="Times New Roman;sans-serif"/>
          <w:b/>
          <w:color w:val="000000"/>
          <w:sz w:val="20"/>
        </w:rPr>
        <w:t>Research and Development</w:t>
      </w:r>
    </w:p>
    <w:p>
      <w:pPr>
        <w:pStyle w:val="HorizontalLine"/>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385445"/>
                <wp:effectExtent l="0" t="0" r="0" b="0"/>
                <wp:wrapNone/>
                <wp:docPr id="77" name="Frame77"/>
                <a:graphic xmlns:a="http://schemas.openxmlformats.org/drawingml/2006/main">
                  <a:graphicData uri="http://schemas.microsoft.com/office/word/2010/wordprocessingShape">
                    <wps:wsp>
                      <wps:cNvSpPr txBox="1"/>
                      <wps:spPr>
                        <a:xfrm>
                          <a:off x="0" y="0"/>
                          <a:ext cx="6480175" cy="385445"/>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73</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73</w:t>
                      </w:r>
                    </w:p>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lineRule="auto" w:line="319" w:before="10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Innovation is the lifeblood of everything we do at Agora and we intend to continue to invest significant resources in our research and development capabilities. Our ability to deliver leading products in our markets depends on our rapid development of new technologies, features and functionality, and ensuring that our platform continues to deliver a high quality of service at all times. We actively respond to developers’ needs to drive positive user experiences and our engineers aim to stay on the cutting edge of real-time engagement technologies. Our value proposition lies in helping developers bring innovative use cases to reality using our products because we ultimately share in their success.</w:t>
      </w:r>
    </w:p>
    <w:p>
      <w:pPr>
        <w:pStyle w:val="TextBody"/>
        <w:spacing w:lineRule="auto" w:line="319" w:before="10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2020, we had 568 employees in our global research and development organization, representing approximately 67.5% of our total employee base.</w:t>
      </w:r>
    </w:p>
    <w:p>
      <w:pPr>
        <w:pStyle w:val="TextBody"/>
        <w:spacing w:lineRule="auto" w:line="319" w:before="100" w:after="240"/>
        <w:jc w:val="both"/>
        <w:rPr>
          <w:rFonts w:ascii="Times New Roman;sans-serif" w:hAnsi="Times New Roman;sans-serif"/>
          <w:b/>
          <w:color w:val="000000"/>
          <w:sz w:val="20"/>
        </w:rPr>
      </w:pPr>
      <w:r>
        <w:rPr>
          <w:rFonts w:ascii="Times New Roman;sans-serif" w:hAnsi="Times New Roman;sans-serif"/>
          <w:b/>
          <w:color w:val="000000"/>
          <w:sz w:val="20"/>
        </w:rPr>
        <w:t>Intellectual Property</w:t>
      </w:r>
    </w:p>
    <w:p>
      <w:pPr>
        <w:pStyle w:val="TextBody"/>
        <w:spacing w:lineRule="auto" w:line="319" w:before="100" w:after="240"/>
        <w:ind w:left="0" w:right="0" w:firstLine="720"/>
        <w:jc w:val="both"/>
        <w:rPr/>
      </w:pPr>
      <w:r>
        <w:rPr>
          <w:rFonts w:ascii="Times New Roman;sans-serif" w:hAnsi="Times New Roman;sans-serif"/>
          <w:b w:val="false"/>
          <w:color w:val="000000"/>
          <w:sz w:val="20"/>
        </w:rPr>
        <w:t>Intellectual property is an important aspect of our business and we seek protection for our intellectual property as appropriate. To establish and protect our proprietary rights and our brand, we rely on a combination of patent, copyright, trade secret and trademark laws as well as contractual restrictions such as confidentiality agreements, licenses and intellectual property assignment agreements. We also maintain a policy requiring our employees, contractors, consultants and other third parties to enter into confidentiality and proprietary rights agreements to control access to our proprietary information.</w:t>
      </w:r>
      <w:r>
        <w:rPr>
          <w:color w:val="000000"/>
          <w:highlight w:val="white"/>
        </w:rPr>
        <w:t xml:space="preserve"> </w:t>
      </w:r>
      <w:r>
        <w:rPr>
          <w:rFonts w:ascii="Times New Roman;sans-serif" w:hAnsi="Times New Roman;sans-serif"/>
          <w:b w:val="false"/>
          <w:color w:val="000000"/>
          <w:sz w:val="20"/>
          <w:highlight w:val="white"/>
        </w:rPr>
        <w:t>As of the date of this annual report, we had 23 issued patents and 17 pending patent applications in the United States, four issued patents and 17 pending patent applications in China, two issued patents and six pending patent applications in Europe and India. We own 28 and nine trademarks in the United States and China, respectively.</w:t>
      </w:r>
    </w:p>
    <w:p>
      <w:pPr>
        <w:pStyle w:val="TextBody"/>
        <w:spacing w:lineRule="auto" w:line="319" w:before="10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Intellectual property laws, procedures and restrictions provide only limited protection and any of our intellectual property rights may be challenged, invalidated, circumvented, infringed or misappropriated. Moreover, the laws of certain countries do not protect proprietary rights to the same extent as the laws of the United States and we may therefore be unable to protect our proprietary technology in certain jurisdictions. In addition, our products incorporate software components licensed to the general public under open source software licenses, which grant recipients broad permissions to use, copy, modify and redistribute the licensed software components, but which generally do not offer warranties, support, or other similar protections often provided with commercial software. Some open source software licenses include requirements that, under certain circumstances, require the distribution of software based on or derived from the open source software to be made available in source code form under the terms of an open source software license. As a result, inclusion of open source software in our products could limit the value of our intellectual property assets, or expose us to liability. See “Item 3. Key Information—D. Risk Factors—Risks Related to Our Business and Industry—Our use of open source software could negatively affect our ability to sell our products and subject us to possible litigation.”</w:t>
      </w:r>
    </w:p>
    <w:p>
      <w:pPr>
        <w:pStyle w:val="TextBody"/>
        <w:spacing w:lineRule="auto" w:line="319" w:before="0" w:after="240"/>
        <w:jc w:val="both"/>
        <w:rPr>
          <w:rFonts w:ascii="Times New Roman;sans-serif" w:hAnsi="Times New Roman;sans-serif"/>
          <w:b/>
          <w:color w:val="000000"/>
          <w:sz w:val="20"/>
        </w:rPr>
      </w:pPr>
      <w:r>
        <w:rPr>
          <w:rFonts w:ascii="Times New Roman;sans-serif" w:hAnsi="Times New Roman;sans-serif"/>
          <w:b/>
          <w:color w:val="000000"/>
          <w:sz w:val="20"/>
        </w:rPr>
        <w:t xml:space="preserve">Regulations </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This section sets forth a summary of the principal PRC and U.S. laws and regulations relevant to our business and operations in the PRC and the United States, respectively.</w:t>
      </w:r>
    </w:p>
    <w:p>
      <w:pPr>
        <w:pStyle w:val="TextBody"/>
        <w:spacing w:lineRule="auto" w:line="319" w:before="100" w:after="240"/>
        <w:jc w:val="both"/>
        <w:rPr>
          <w:rFonts w:ascii="Times New Roman;sans-serif" w:hAnsi="Times New Roman;sans-serif"/>
          <w:b/>
          <w:i/>
          <w:color w:val="000000"/>
          <w:sz w:val="20"/>
        </w:rPr>
      </w:pPr>
      <w:r>
        <w:rPr>
          <w:rFonts w:ascii="Times New Roman;sans-serif" w:hAnsi="Times New Roman;sans-serif"/>
          <w:b/>
          <w:i/>
          <w:color w:val="000000"/>
          <w:sz w:val="20"/>
        </w:rPr>
        <w:t>PRC Regulation</w:t>
      </w:r>
    </w:p>
    <w:p>
      <w:pPr>
        <w:pStyle w:val="TextBody"/>
        <w:spacing w:lineRule="auto" w:line="319" w:before="10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China has not developed a fully integrated legal system, and recently enacted laws, rules and regulations may not sufficiently cover all aspects of economic activities in China or may be subject to significant degrees of interpretation by PRC regulatory agencies. In particular, because these laws, rules and regulations are relatively new, and because of the limited number of published decisions and the nonbinding nature of such decisions, and because the laws, rules and regulations often give the relevant regulator significant discretion in how to enforce them, the </w:t>
      </w:r>
    </w:p>
    <w:p>
      <w:pPr>
        <w:pStyle w:val="HorizontalLine"/>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385445"/>
                <wp:effectExtent l="0" t="0" r="0" b="0"/>
                <wp:wrapNone/>
                <wp:docPr id="78" name="Frame78"/>
                <a:graphic xmlns:a="http://schemas.openxmlformats.org/drawingml/2006/main">
                  <a:graphicData uri="http://schemas.microsoft.com/office/word/2010/wordprocessingShape">
                    <wps:wsp>
                      <wps:cNvSpPr txBox="1"/>
                      <wps:spPr>
                        <a:xfrm>
                          <a:off x="0" y="0"/>
                          <a:ext cx="6480175" cy="385445"/>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74</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74</w:t>
                      </w:r>
                    </w:p>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lineRule="auto" w:line="319" w:before="100" w:after="240"/>
        <w:jc w:val="both"/>
        <w:rPr>
          <w:rFonts w:ascii="Times New Roman;sans-serif" w:hAnsi="Times New Roman;sans-serif"/>
          <w:b w:val="false"/>
          <w:color w:val="000000"/>
          <w:sz w:val="20"/>
        </w:rPr>
      </w:pPr>
      <w:r>
        <w:rPr>
          <w:rFonts w:ascii="Times New Roman;sans-serif" w:hAnsi="Times New Roman;sans-serif"/>
          <w:b w:val="false"/>
          <w:color w:val="000000"/>
          <w:sz w:val="20"/>
        </w:rPr>
        <w:t>interpretation and enforcement of these laws, rules and regulations involve uncertainties and can be inconsistent and unpredictable. In addition, the PRC legal system is based in part on government policies and internal rules, some of which are not published on a timely basis or at all, and which may have a retroactive effect. As a result, we may not be aware of our violation of these policies and rules until after the occurrence of the violation. Since PRC administrative and court authorities have significant discretion in interpreting and implementing statutory and contractual terms, it may be more difficult to evaluate the outcome of administrative and court proceedings and the level of legal protection we enjoy than in more developed legal systems. These uncertainties may impede our ability to enforce the contracts we have entered into and could adversely affect our business, operating results and financial condition. In particular, the Chinese government heavily regulates the internet industry, including relevant market access restrictions and limitations on foreign investment, license and permit requirements for service providers in the internet industry. Since some of the laws, regulations and legal requirements with respect to the internet are relatively new and evolving, their interpretation and enforcement involve significant uncertainties.</w:t>
      </w:r>
    </w:p>
    <w:p>
      <w:pPr>
        <w:pStyle w:val="TextBody"/>
        <w:spacing w:lineRule="auto" w:line="319" w:before="100" w:after="240"/>
        <w:jc w:val="both"/>
        <w:rPr>
          <w:rFonts w:ascii="Times New Roman;sans-serif" w:hAnsi="Times New Roman;sans-serif"/>
          <w:b w:val="false"/>
          <w:i/>
          <w:color w:val="000000"/>
          <w:sz w:val="20"/>
        </w:rPr>
      </w:pPr>
      <w:r>
        <w:rPr>
          <w:rFonts w:ascii="Times New Roman;sans-serif" w:hAnsi="Times New Roman;sans-serif"/>
          <w:b w:val="false"/>
          <w:i/>
          <w:color w:val="000000"/>
          <w:sz w:val="20"/>
        </w:rPr>
        <w:t>Foreign Investment Law</w:t>
      </w:r>
    </w:p>
    <w:p>
      <w:pPr>
        <w:pStyle w:val="TextBody"/>
        <w:spacing w:lineRule="auto" w:line="319" w:before="100" w:after="240"/>
        <w:ind w:left="0" w:right="0" w:firstLine="720"/>
        <w:jc w:val="both"/>
        <w:rPr/>
      </w:pPr>
      <w:r>
        <w:rPr>
          <w:rFonts w:ascii="Times New Roman;sans-serif" w:hAnsi="Times New Roman;sans-serif"/>
          <w:b w:val="false"/>
          <w:color w:val="000000"/>
          <w:sz w:val="20"/>
        </w:rPr>
        <w:t xml:space="preserve">On March 15, 2019, the National People’s Congress reviewed the submitted draft and approved the </w:t>
      </w:r>
      <w:r>
        <w:rPr>
          <w:rFonts w:ascii="Times New Roman;sans-serif" w:hAnsi="Times New Roman;sans-serif"/>
          <w:b w:val="false"/>
          <w:i/>
          <w:color w:val="000000"/>
          <w:sz w:val="20"/>
        </w:rPr>
        <w:t>Foreign Investment Law</w:t>
      </w:r>
      <w:r>
        <w:rPr>
          <w:rFonts w:ascii="Times New Roman;sans-serif" w:hAnsi="Times New Roman;sans-serif"/>
          <w:b w:val="false"/>
          <w:color w:val="000000"/>
          <w:sz w:val="20"/>
        </w:rPr>
        <w:t>, which came into effect on January 1, 2020. The newly promulgated Foreign Investment Law replaces the three laws on foreign investment (</w:t>
      </w:r>
      <w:r>
        <w:rPr>
          <w:rFonts w:ascii="Times New Roman;sans-serif" w:hAnsi="Times New Roman;sans-serif"/>
          <w:b w:val="false"/>
          <w:i/>
          <w:color w:val="000000"/>
          <w:sz w:val="20"/>
        </w:rPr>
        <w:t>the Wholly Foreign-owned Enterprise Law, the Cooperative Joint Venture Law of the PRC and the Equity Joint Venture Law of the PRC</w:t>
      </w:r>
      <w:r>
        <w:rPr>
          <w:rFonts w:ascii="Times New Roman;sans-serif" w:hAnsi="Times New Roman;sans-serif"/>
          <w:b w:val="false"/>
          <w:color w:val="000000"/>
          <w:sz w:val="20"/>
        </w:rPr>
        <w:t xml:space="preserve">) and the Foreign Investment Law provides a five-year transition period for the existing foreign invested enterprises, or the FIEs, to adjust their business structures. On December 26, 2019, the State Council issued the </w:t>
      </w:r>
      <w:r>
        <w:rPr>
          <w:rFonts w:ascii="Times New Roman;sans-serif" w:hAnsi="Times New Roman;sans-serif"/>
          <w:b w:val="false"/>
          <w:i/>
          <w:color w:val="000000"/>
          <w:sz w:val="20"/>
        </w:rPr>
        <w:t>Implementation Rules of the Foreign Investment Law</w:t>
      </w:r>
      <w:r>
        <w:rPr>
          <w:rFonts w:ascii="Times New Roman;sans-serif" w:hAnsi="Times New Roman;sans-serif"/>
          <w:b w:val="false"/>
          <w:color w:val="000000"/>
          <w:sz w:val="20"/>
        </w:rPr>
        <w:t xml:space="preserve">, which came into effect on January 1, 2020, to clarify and elaborate relevant provisions of the Foreign Investment Law. While silent on specific issues including the discussion on the contractual arrangement with variable interest entities, the Foreign Investment Law and its implementation regulations emphasize the principle of applying “national treatment” to foreign investors. Industries that are not listed in the negative list issued by, amended or released upon approval by the State Council from time to time are permitted areas for foreign investments, and are generally open to foreign investment unless specifically restricted by other PRC regulations. The current effective negative list is the </w:t>
      </w:r>
      <w:r>
        <w:rPr>
          <w:rFonts w:ascii="Times New Roman;sans-serif" w:hAnsi="Times New Roman;sans-serif"/>
          <w:b w:val="false"/>
          <w:i/>
          <w:color w:val="000000"/>
          <w:sz w:val="20"/>
        </w:rPr>
        <w:t>Foreign Investment Catalog or the Special Administrative Measures (Negative List) for Foreign Investment Access</w:t>
      </w:r>
      <w:r>
        <w:rPr>
          <w:rFonts w:ascii="Times New Roman;sans-serif" w:hAnsi="Times New Roman;sans-serif"/>
          <w:b w:val="false"/>
          <w:color w:val="000000"/>
          <w:sz w:val="20"/>
        </w:rPr>
        <w:t>, or the 2020 Negative List, which became effective in July 2020. Foreign investment and domestic investment in industries outside the scope of the negative list would be treated equally.</w:t>
      </w:r>
    </w:p>
    <w:p>
      <w:pPr>
        <w:pStyle w:val="TextBody"/>
        <w:spacing w:lineRule="auto" w:line="319" w:before="100" w:after="240"/>
        <w:jc w:val="both"/>
        <w:rPr>
          <w:rFonts w:ascii="Times New Roman;sans-serif" w:hAnsi="Times New Roman;sans-serif"/>
          <w:b w:val="false"/>
          <w:i/>
          <w:color w:val="000000"/>
          <w:sz w:val="20"/>
        </w:rPr>
      </w:pPr>
      <w:r>
        <w:rPr>
          <w:rFonts w:ascii="Times New Roman;sans-serif" w:hAnsi="Times New Roman;sans-serif"/>
          <w:b w:val="false"/>
          <w:i/>
          <w:color w:val="000000"/>
          <w:sz w:val="20"/>
        </w:rPr>
        <w:t>Regulations on Value-added Telecommunications Services</w:t>
      </w:r>
    </w:p>
    <w:p>
      <w:pPr>
        <w:pStyle w:val="TextBody"/>
        <w:spacing w:lineRule="auto" w:line="319" w:before="100" w:after="240"/>
        <w:ind w:left="0" w:right="0" w:firstLine="720"/>
        <w:jc w:val="both"/>
        <w:rPr/>
      </w:pPr>
      <w:r>
        <w:rPr>
          <w:rFonts w:ascii="Times New Roman;sans-serif" w:hAnsi="Times New Roman;sans-serif"/>
          <w:b w:val="false"/>
          <w:color w:val="000000"/>
          <w:sz w:val="20"/>
        </w:rPr>
        <w:t xml:space="preserve">The </w:t>
      </w:r>
      <w:r>
        <w:rPr>
          <w:rFonts w:ascii="Times New Roman;sans-serif" w:hAnsi="Times New Roman;sans-serif"/>
          <w:b w:val="false"/>
          <w:i/>
          <w:color w:val="000000"/>
          <w:sz w:val="20"/>
        </w:rPr>
        <w:t>Telecommunications Regulations of the PRC</w:t>
      </w:r>
      <w:r>
        <w:rPr>
          <w:rFonts w:ascii="Times New Roman;sans-serif" w:hAnsi="Times New Roman;sans-serif"/>
          <w:b w:val="false"/>
          <w:color w:val="000000"/>
          <w:sz w:val="20"/>
        </w:rPr>
        <w:t>, or the Telecom Regulations, implemented on September 25, 2000 and amended on July 29, 2014 and February 6, 2016, are the primary PRC law governing telecommunication services and set out the general framework for the provision of both “basic telecommunication services” and “value-added telecommunication services” by domestic PRC companies. “Value-added telecommunication services” is defined as telecommunications and information services provided through public networks, and, according to the Telecom Regulations, operators of value-added telecommunications services shall obtain operating licenses prior to commencing operations from the MIIT or its provincial level counterparts.</w:t>
      </w:r>
    </w:p>
    <w:p>
      <w:pPr>
        <w:pStyle w:val="TextBody"/>
        <w:spacing w:lineRule="auto" w:line="319" w:before="10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Catalogue, which was issued as an attachment to the Telecom Regulations and revised and promulgated on June 6, 2019, further categorizes telecommunications services as “basic” or “value-added.”</w:t>
      </w:r>
    </w:p>
    <w:p>
      <w:pPr>
        <w:pStyle w:val="TextBody"/>
        <w:spacing w:lineRule="auto" w:line="319" w:before="100" w:after="240"/>
        <w:ind w:left="0" w:right="0" w:firstLine="720"/>
        <w:jc w:val="both"/>
        <w:rPr/>
      </w:pPr>
      <w:r>
        <w:rPr>
          <w:rFonts w:ascii="Times New Roman;sans-serif" w:hAnsi="Times New Roman;sans-serif"/>
          <w:b w:val="false"/>
          <w:color w:val="000000"/>
          <w:sz w:val="20"/>
        </w:rPr>
        <w:t xml:space="preserve">On March 5, 2009, the MIIT issued the </w:t>
      </w:r>
      <w:r>
        <w:rPr>
          <w:rFonts w:ascii="Times New Roman;sans-serif" w:hAnsi="Times New Roman;sans-serif"/>
          <w:b w:val="false"/>
          <w:i/>
          <w:color w:val="000000"/>
          <w:sz w:val="20"/>
        </w:rPr>
        <w:t>Measures on the Administration of Telecommunications Business Operating Permits</w:t>
      </w:r>
      <w:r>
        <w:rPr>
          <w:rFonts w:ascii="Times New Roman;sans-serif" w:hAnsi="Times New Roman;sans-serif"/>
          <w:b w:val="false"/>
          <w:color w:val="000000"/>
          <w:sz w:val="20"/>
        </w:rPr>
        <w:t xml:space="preserve">, or the Telecom License Measures, which initially became effective on April 10, 2009 and was amended on July 3, 2017, effective on September 1, 2017, to supplement the Telecom Regulations. The Telecom License Measures provide that there are two types of telecommunications operating licenses in China, one for basic </w:t>
      </w:r>
    </w:p>
    <w:p>
      <w:pPr>
        <w:pStyle w:val="HorizontalLine"/>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385445"/>
                <wp:effectExtent l="0" t="0" r="0" b="0"/>
                <wp:wrapNone/>
                <wp:docPr id="79" name="Frame79"/>
                <a:graphic xmlns:a="http://schemas.openxmlformats.org/drawingml/2006/main">
                  <a:graphicData uri="http://schemas.microsoft.com/office/word/2010/wordprocessingShape">
                    <wps:wsp>
                      <wps:cNvSpPr txBox="1"/>
                      <wps:spPr>
                        <a:xfrm>
                          <a:off x="0" y="0"/>
                          <a:ext cx="6480175" cy="385445"/>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75</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75</w:t>
                      </w:r>
                    </w:p>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lineRule="auto" w:line="319" w:before="10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telecommunications services and one for value-added telecommunications services. A distinction is also made to licenses for value-added telecommunications services, or the VAT Licenses as to whether a license is granted for “intra-provincial” or “trans-regional” (inter-provincial) activities. An appendix to each license granted will detail the permitted activities of the enterprise to which it was granted. An approved telecommunication services operator must conduct its business (whether basic or value-added) in accordance with the specifications recorded in its telecommunication license.</w:t>
      </w:r>
    </w:p>
    <w:p>
      <w:pPr>
        <w:pStyle w:val="TextBody"/>
        <w:spacing w:lineRule="auto" w:line="319" w:before="100" w:after="240"/>
        <w:jc w:val="both"/>
        <w:rPr>
          <w:rFonts w:ascii="Times New Roman;sans-serif" w:hAnsi="Times New Roman;sans-serif"/>
          <w:b w:val="false"/>
          <w:i/>
          <w:color w:val="000000"/>
          <w:sz w:val="20"/>
        </w:rPr>
      </w:pPr>
      <w:r>
        <w:rPr>
          <w:rFonts w:ascii="Times New Roman;sans-serif" w:hAnsi="Times New Roman;sans-serif"/>
          <w:b w:val="false"/>
          <w:i/>
          <w:color w:val="000000"/>
          <w:sz w:val="20"/>
        </w:rPr>
        <w:t>Regulations on Foreign Direct Investment in Value-added Telecommunications Companies</w:t>
      </w:r>
    </w:p>
    <w:p>
      <w:pPr>
        <w:pStyle w:val="TextBody"/>
        <w:spacing w:lineRule="auto" w:line="319" w:before="100" w:after="240"/>
        <w:ind w:left="0" w:right="0" w:firstLine="720"/>
        <w:jc w:val="both"/>
        <w:rPr/>
      </w:pPr>
      <w:r>
        <w:rPr>
          <w:rFonts w:ascii="Times New Roman;sans-serif" w:hAnsi="Times New Roman;sans-serif"/>
          <w:b w:val="false"/>
          <w:color w:val="000000"/>
          <w:sz w:val="20"/>
        </w:rPr>
        <w:t xml:space="preserve">Foreign direct investment in telecommunications companies in China is governed by the </w:t>
      </w:r>
      <w:r>
        <w:rPr>
          <w:rFonts w:ascii="Times New Roman;sans-serif" w:hAnsi="Times New Roman;sans-serif"/>
          <w:b w:val="false"/>
          <w:i/>
          <w:color w:val="000000"/>
          <w:sz w:val="20"/>
        </w:rPr>
        <w:t>Provisions on the Administration of Foreign-Invested Telecommunications Enterprises</w:t>
      </w:r>
      <w:r>
        <w:rPr>
          <w:rFonts w:ascii="Times New Roman;sans-serif" w:hAnsi="Times New Roman;sans-serif"/>
          <w:b w:val="false"/>
          <w:color w:val="000000"/>
          <w:sz w:val="20"/>
        </w:rPr>
        <w:t xml:space="preserve">, or the FITE Regulations, which were issued by the State Council on December 11, 2001, became effective on January 1, 2002 and amended and issued on February 6, 2016, and the </w:t>
      </w:r>
      <w:r>
        <w:rPr>
          <w:rFonts w:ascii="Times New Roman;sans-serif" w:hAnsi="Times New Roman;sans-serif"/>
          <w:b w:val="false"/>
          <w:i/>
          <w:color w:val="000000"/>
          <w:sz w:val="20"/>
        </w:rPr>
        <w:t>Industry Guidelines on Encouraged Foreign Investment (Year 2020)</w:t>
      </w:r>
      <w:r>
        <w:rPr>
          <w:rFonts w:ascii="Times New Roman;sans-serif" w:hAnsi="Times New Roman;sans-serif"/>
          <w:b w:val="false"/>
          <w:color w:val="000000"/>
          <w:sz w:val="20"/>
        </w:rPr>
        <w:t>, which were jointly issued by the National Development and Reform Commission, or the NDRC, and the MOFCOM, on December 27, 2020. Under the aforesaid regulations and the 2020 Negative List mentioned above, foreign invested telecommunications enterprises in the PRC, or FITEs, are generally required to be established as Sino-foreign equity joint ventures with limited exceptions. In general, the foreign party to a FITE engaging in value-added telecommunications services may hold up to 50% of the equity of the FITE, of which the geographical area it may conduct telecommunications services is provided by the MIIT in accordance with relevant provisions as mentioned above. In addition, the major foreign investor in a value-added telecommunications business in China must satisfy a number of stringent performance and operational experience requirements, including demonstrating a good track record and experience in operating a value-added telecommunications business overseas.</w:t>
      </w:r>
    </w:p>
    <w:p>
      <w:pPr>
        <w:pStyle w:val="TextBody"/>
        <w:spacing w:lineRule="auto" w:line="319" w:before="100" w:after="240"/>
        <w:ind w:left="0" w:right="0" w:firstLine="720"/>
        <w:jc w:val="both"/>
        <w:rPr/>
      </w:pPr>
      <w:r>
        <w:rPr>
          <w:rFonts w:ascii="Times New Roman;sans-serif" w:hAnsi="Times New Roman;sans-serif"/>
          <w:b w:val="false"/>
          <w:color w:val="000000"/>
          <w:sz w:val="20"/>
        </w:rPr>
        <w:t xml:space="preserve">On June 30, 2016, the MIIT issued an </w:t>
      </w:r>
      <w:r>
        <w:rPr>
          <w:rFonts w:ascii="Times New Roman;sans-serif" w:hAnsi="Times New Roman;sans-serif"/>
          <w:b w:val="false"/>
          <w:i/>
          <w:color w:val="000000"/>
          <w:sz w:val="20"/>
        </w:rPr>
        <w:t>Announcement of the Ministry of Industry and Information Technology on Issues</w:t>
      </w:r>
      <w:r>
        <w:rPr>
          <w:color w:val="000000"/>
        </w:rPr>
        <w:t xml:space="preserve"> </w:t>
      </w:r>
      <w:r>
        <w:rPr>
          <w:rFonts w:ascii="Times New Roman;sans-serif" w:hAnsi="Times New Roman;sans-serif"/>
          <w:b w:val="false"/>
          <w:color w:val="000000"/>
          <w:sz w:val="20"/>
        </w:rPr>
        <w:t xml:space="preserve">concerning the Provision of </w:t>
      </w:r>
      <w:r>
        <w:rPr>
          <w:rFonts w:ascii="Times New Roman;sans-serif" w:hAnsi="Times New Roman;sans-serif"/>
          <w:b w:val="false"/>
          <w:i/>
          <w:color w:val="000000"/>
          <w:sz w:val="20"/>
        </w:rPr>
        <w:t>Telecommunication Services in Mainland China by Service Providers from Hong Kong and Macau,</w:t>
      </w:r>
      <w:r>
        <w:rPr>
          <w:color w:val="000000"/>
        </w:rPr>
        <w:t xml:space="preserve"> </w:t>
      </w:r>
      <w:r>
        <w:rPr>
          <w:rFonts w:ascii="Times New Roman;sans-serif" w:hAnsi="Times New Roman;sans-serif"/>
          <w:b w:val="false"/>
          <w:color w:val="000000"/>
          <w:sz w:val="20"/>
        </w:rPr>
        <w:t>or the MIIT Announcement, which provides that investors from Hong Kong and Macau may hold no more than 50% of the equity in FITEs engaging in certain specified categories of value-added telecommunications services.</w:t>
      </w:r>
    </w:p>
    <w:p>
      <w:pPr>
        <w:pStyle w:val="TextBody"/>
        <w:spacing w:lineRule="auto" w:line="319" w:before="100" w:after="240"/>
        <w:ind w:left="0" w:right="0" w:firstLine="720"/>
        <w:jc w:val="both"/>
        <w:rPr/>
      </w:pPr>
      <w:r>
        <w:rPr>
          <w:rFonts w:ascii="Times New Roman;sans-serif" w:hAnsi="Times New Roman;sans-serif"/>
          <w:b w:val="false"/>
          <w:color w:val="000000"/>
          <w:sz w:val="20"/>
        </w:rPr>
        <w:t xml:space="preserve">On July 13, 2006, the MIIT issued </w:t>
      </w:r>
      <w:r>
        <w:rPr>
          <w:rFonts w:ascii="Times New Roman;sans-serif" w:hAnsi="Times New Roman;sans-serif"/>
          <w:b w:val="false"/>
          <w:i/>
          <w:color w:val="000000"/>
          <w:sz w:val="20"/>
        </w:rPr>
        <w:t>the Notice of the Ministry of Information Industry on Intensifying the Administration of Foreign Investment in Value-added Telecommunications Services</w:t>
      </w:r>
      <w:r>
        <w:rPr>
          <w:rFonts w:ascii="Times New Roman;sans-serif" w:hAnsi="Times New Roman;sans-serif"/>
          <w:b w:val="false"/>
          <w:color w:val="000000"/>
          <w:sz w:val="20"/>
        </w:rPr>
        <w:t>, or the MIIT Notice, which reiterates certain provisions of the FITE Regulations. In addition to the provisions stated in FITE Regulations, the MIIT Notice further provide that a domestic company that holds a value-added telecommunication license, is prohibited from leasing, transferring or selling the value-added telecommunication license to foreign investors in any form, and from providing any assistance, including providing resources, sites or facilities, to foreign investors to conduct value-added telecommunications businesses illegally in China. The MIIT Notice also requires each value-added telecommunication license holder to have appropriate facilities for its approved business operations and to maintain such facilities in the regions covered by its license, and specifically, with regard to the domain names and trademarks, the MIIT Notice required that trademarks and domain names that are used in the provision of internet content services must be owned by the VAT License holder or its shareholders.</w:t>
      </w:r>
    </w:p>
    <w:p>
      <w:pPr>
        <w:pStyle w:val="TextBody"/>
        <w:spacing w:lineRule="auto" w:line="319" w:before="10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Due to a lack of interpretative materials from the relevant PRC governmental authorities, there are uncertainties regarding whether PRC governmental authorities would consider our corporate structure and contractual arrangements to constitute foreign ownership of a value-added telecommunications business. See “Item 3. Key Information—D. Risk Factors—Risks Related to Doing Business in China—We may be adversely affected by the complexity, uncertainties and changes in PRC laws, rules and regulations, particularly of internet businesses.” In order to comply with PRC regulatory requirements, we operate a portion of our business through our VIEs, with which we have contractual relationships but in which we do not have an actual ownership interest. If our current </w:t>
      </w:r>
    </w:p>
    <w:p>
      <w:pPr>
        <w:pStyle w:val="HorizontalLine"/>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385445"/>
                <wp:effectExtent l="0" t="0" r="0" b="0"/>
                <wp:wrapNone/>
                <wp:docPr id="80" name="Frame80"/>
                <a:graphic xmlns:a="http://schemas.openxmlformats.org/drawingml/2006/main">
                  <a:graphicData uri="http://schemas.microsoft.com/office/word/2010/wordprocessingShape">
                    <wps:wsp>
                      <wps:cNvSpPr txBox="1"/>
                      <wps:spPr>
                        <a:xfrm>
                          <a:off x="0" y="0"/>
                          <a:ext cx="6480175" cy="385445"/>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76</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76</w:t>
                      </w:r>
                    </w:p>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lineRule="auto" w:line="319" w:before="100" w:after="240"/>
        <w:jc w:val="both"/>
        <w:rPr>
          <w:rFonts w:ascii="Times New Roman;sans-serif" w:hAnsi="Times New Roman;sans-serif"/>
          <w:b w:val="false"/>
          <w:color w:val="000000"/>
          <w:sz w:val="20"/>
        </w:rPr>
      </w:pPr>
      <w:r>
        <w:rPr>
          <w:rFonts w:ascii="Times New Roman;sans-serif" w:hAnsi="Times New Roman;sans-serif"/>
          <w:b w:val="false"/>
          <w:color w:val="000000"/>
          <w:sz w:val="20"/>
        </w:rPr>
        <w:t>ownership structure is found to be in violation of current or future PRC laws, rules or regulations regarding the legality of foreign investment in the PRC internet sector, we could be subject to severe penalties.</w:t>
      </w:r>
    </w:p>
    <w:p>
      <w:pPr>
        <w:pStyle w:val="TextBody"/>
        <w:spacing w:lineRule="auto" w:line="319" w:before="100" w:after="240"/>
        <w:jc w:val="both"/>
        <w:rPr>
          <w:rFonts w:ascii="Times New Roman;sans-serif" w:hAnsi="Times New Roman;sans-serif"/>
          <w:b w:val="false"/>
          <w:i/>
          <w:color w:val="000000"/>
          <w:sz w:val="20"/>
        </w:rPr>
      </w:pPr>
      <w:r>
        <w:rPr>
          <w:rFonts w:ascii="Times New Roman;sans-serif" w:hAnsi="Times New Roman;sans-serif"/>
          <w:b w:val="false"/>
          <w:i/>
          <w:color w:val="000000"/>
          <w:sz w:val="20"/>
        </w:rPr>
        <w:t>Regulation on Internet Information Services</w:t>
      </w:r>
    </w:p>
    <w:p>
      <w:pPr>
        <w:pStyle w:val="TextBody"/>
        <w:spacing w:lineRule="auto" w:line="319" w:before="100" w:after="240"/>
        <w:ind w:left="0" w:right="0" w:firstLine="720"/>
        <w:jc w:val="both"/>
        <w:rPr/>
      </w:pPr>
      <w:r>
        <w:rPr>
          <w:rFonts w:ascii="Times New Roman;sans-serif" w:hAnsi="Times New Roman;sans-serif"/>
          <w:b w:val="false"/>
          <w:color w:val="000000"/>
          <w:sz w:val="20"/>
        </w:rPr>
        <w:t xml:space="preserve">The </w:t>
      </w:r>
      <w:r>
        <w:rPr>
          <w:rFonts w:ascii="Times New Roman;sans-serif" w:hAnsi="Times New Roman;sans-serif"/>
          <w:b w:val="false"/>
          <w:i/>
          <w:color w:val="000000"/>
          <w:sz w:val="20"/>
        </w:rPr>
        <w:t>Administrative Measures on Internet Information Services</w:t>
      </w:r>
      <w:r>
        <w:rPr>
          <w:rFonts w:ascii="Times New Roman;sans-serif" w:hAnsi="Times New Roman;sans-serif"/>
          <w:b w:val="false"/>
          <w:color w:val="000000"/>
          <w:sz w:val="20"/>
        </w:rPr>
        <w:t>, or the Internet Content Measures, which was promulgated by the State Council on September 25, 2000 and amended on January 8, 2011, set out guidelines on the provision of internet information services. The Internet Content Measures classifies internet information services into commercial internet information services and non-commercial internet information services, and commercial internet information services refer to services that provide information or services to internet users with charge. A provider of commercial internet information services must obtain an internet content provider license, or the ICP License, and, prior to the application for such ICP License from the MIIT or its local branch at the provincial or municipal level, entities providing online information services regarding news, publishing, education, medicine, health, pharmaceuticals and medical equipment must procure the consent of the national authorities responsible for such areas. As a provider of non-commercial internet information services, there is no need for Zhaoyan to obtain an ICP License as mentioned above, which authorize relevant companies’ provision of information services via the internet without charge the internet users.</w:t>
      </w:r>
    </w:p>
    <w:p>
      <w:pPr>
        <w:pStyle w:val="TextBody"/>
        <w:spacing w:lineRule="auto" w:line="319" w:before="100" w:after="240"/>
        <w:ind w:left="0" w:right="0" w:firstLine="720"/>
        <w:jc w:val="both"/>
        <w:rPr/>
      </w:pPr>
      <w:r>
        <w:rPr>
          <w:rFonts w:ascii="Times New Roman;sans-serif" w:hAnsi="Times New Roman;sans-serif"/>
          <w:b w:val="false"/>
          <w:color w:val="000000"/>
          <w:sz w:val="20"/>
        </w:rPr>
        <w:t xml:space="preserve">In addition to the approval and license requirements, various ministries and agencies in the PRC, including the MIIT, the News Office of the State Council, the Ministry of Culture and Tourism and the General Administration of Press and Publication, have promulgated multiple measures relating to internet content, all of which specifically prohibit internet activities that result in the dissemination of any content that infringes the legal rights of others, is found to contain pornography, promote gambling or violence, instigate crimes, undermine public morality or the cultural traditions of the PRC, or compromise State security or secrets. For example, the Internet Content Measures specifies a list of prohibited content. Internet information providers are prohibited from producing, copying, publishing or distributing information that is humiliating or defamatory to others or that infringes the legal rights of others. Internet information providers that violate these measures may face criminal charges or administrative sanctions, such as fines, revoking any relevant business operation licenses. Internet information providers must monitor and control the information posted on their websites. If any prohibited content is found, they must remove the content immediately, keep a record of such content and report to the relevant authorities. On December 15, 2019, Cyberspace Administration of China, or the CAC, promulgated the </w:t>
      </w:r>
      <w:r>
        <w:rPr>
          <w:rFonts w:ascii="Times New Roman;sans-serif" w:hAnsi="Times New Roman;sans-serif"/>
          <w:b w:val="false"/>
          <w:i/>
          <w:color w:val="000000"/>
          <w:sz w:val="20"/>
        </w:rPr>
        <w:t>Provisions on Ecological Governance of Network Information Content</w:t>
      </w:r>
      <w:r>
        <w:rPr>
          <w:rFonts w:ascii="Times New Roman;sans-serif" w:hAnsi="Times New Roman;sans-serif"/>
          <w:b w:val="false"/>
          <w:color w:val="000000"/>
          <w:sz w:val="20"/>
        </w:rPr>
        <w:t>, which became effective on March 1, 2020, to further regulate the network information and content.</w:t>
      </w:r>
    </w:p>
    <w:p>
      <w:pPr>
        <w:pStyle w:val="TextBody"/>
        <w:spacing w:lineRule="auto" w:line="319" w:before="100" w:after="240"/>
        <w:jc w:val="both"/>
        <w:rPr>
          <w:rFonts w:ascii="Times New Roman;sans-serif" w:hAnsi="Times New Roman;sans-serif"/>
          <w:b w:val="false"/>
          <w:i/>
          <w:color w:val="000000"/>
          <w:sz w:val="20"/>
        </w:rPr>
      </w:pPr>
      <w:r>
        <w:rPr>
          <w:rFonts w:ascii="Times New Roman;sans-serif" w:hAnsi="Times New Roman;sans-serif"/>
          <w:b w:val="false"/>
          <w:i/>
          <w:color w:val="000000"/>
          <w:sz w:val="20"/>
        </w:rPr>
        <w:t>Regulation on Information Security and Censorship</w:t>
      </w:r>
    </w:p>
    <w:p>
      <w:pPr>
        <w:pStyle w:val="TextBody"/>
        <w:spacing w:lineRule="auto" w:line="319" w:before="10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SCNPC enacted the Decisions on the Maintenance of Internet Security on December 28, 2000, which was amended in August 27, 2009. Such decision makes it unlawful to: (1) gain improper entry into a computer or system of strategic importance; (2) disseminate politically disruptive information; (3) leak State secrets; (4) spread false commercial information; or (5) infringe intellectual property rights. The Ministry of Public Security has promulgated measures as below that prohibit the use of the internet in ways which, among other things, result in a leakage of State secrets or distribution of socially destabilizing content. The Ministry of Public Security has supervision and inspection rights in this regard.</w:t>
      </w:r>
    </w:p>
    <w:p>
      <w:pPr>
        <w:pStyle w:val="TextBody"/>
        <w:spacing w:lineRule="auto" w:line="319" w:before="100" w:after="240"/>
        <w:ind w:left="0" w:right="0" w:firstLine="720"/>
        <w:jc w:val="both"/>
        <w:rPr/>
      </w:pPr>
      <w:r>
        <w:rPr>
          <w:rFonts w:ascii="Times New Roman;sans-serif" w:hAnsi="Times New Roman;sans-serif"/>
          <w:b w:val="false"/>
          <w:color w:val="000000"/>
          <w:sz w:val="20"/>
        </w:rPr>
        <w:t xml:space="preserve">On December 16, 1997, the Ministry of Public Security issued the </w:t>
      </w:r>
      <w:r>
        <w:rPr>
          <w:rFonts w:ascii="Times New Roman;sans-serif" w:hAnsi="Times New Roman;sans-serif"/>
          <w:b w:val="false"/>
          <w:i/>
          <w:color w:val="000000"/>
          <w:sz w:val="20"/>
        </w:rPr>
        <w:t>Administration Measures on the Security Protection of Computer Information Network with International Connections</w:t>
      </w:r>
      <w:r>
        <w:rPr>
          <w:color w:val="000000"/>
        </w:rPr>
        <w:t xml:space="preserve"> </w:t>
      </w:r>
      <w:r>
        <w:rPr>
          <w:rFonts w:ascii="Times New Roman;sans-serif" w:hAnsi="Times New Roman;sans-serif"/>
          <w:b w:val="false"/>
          <w:color w:val="000000"/>
          <w:sz w:val="20"/>
        </w:rPr>
        <w:t xml:space="preserve">which was amended on January 8, 2011. Such administration measures prohibit using the internet to leak state secrets or to spread socially destabilizing materials. If any operating license holder violates these measures, the PRC government may revoke its operating license and shut down its websites. Pursuant to the </w:t>
      </w:r>
      <w:r>
        <w:rPr>
          <w:rFonts w:ascii="Times New Roman;sans-serif" w:hAnsi="Times New Roman;sans-serif"/>
          <w:b w:val="false"/>
          <w:i/>
          <w:color w:val="000000"/>
          <w:sz w:val="20"/>
        </w:rPr>
        <w:t>Ninth Amendment to the Criminal Law</w:t>
      </w:r>
      <w:r>
        <w:rPr>
          <w:color w:val="000000"/>
        </w:rPr>
        <w:t xml:space="preserve"> </w:t>
      </w:r>
      <w:r>
        <w:rPr>
          <w:rFonts w:ascii="Times New Roman;sans-serif" w:hAnsi="Times New Roman;sans-serif"/>
          <w:b w:val="false"/>
          <w:color w:val="000000"/>
          <w:sz w:val="20"/>
        </w:rPr>
        <w:t xml:space="preserve">issued by the SCNPC on </w:t>
      </w:r>
    </w:p>
    <w:p>
      <w:pPr>
        <w:pStyle w:val="HorizontalLine"/>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385445"/>
                <wp:effectExtent l="0" t="0" r="0" b="0"/>
                <wp:wrapNone/>
                <wp:docPr id="81" name="Frame81"/>
                <a:graphic xmlns:a="http://schemas.openxmlformats.org/drawingml/2006/main">
                  <a:graphicData uri="http://schemas.microsoft.com/office/word/2010/wordprocessingShape">
                    <wps:wsp>
                      <wps:cNvSpPr txBox="1"/>
                      <wps:spPr>
                        <a:xfrm>
                          <a:off x="0" y="0"/>
                          <a:ext cx="6480175" cy="385445"/>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77</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77</w:t>
                      </w:r>
                    </w:p>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lineRule="auto" w:line="319" w:before="100" w:after="240"/>
        <w:jc w:val="both"/>
        <w:rPr>
          <w:rFonts w:ascii="Times New Roman;sans-serif" w:hAnsi="Times New Roman;sans-serif"/>
          <w:b w:val="false"/>
          <w:color w:val="000000"/>
          <w:sz w:val="20"/>
        </w:rPr>
      </w:pPr>
      <w:r>
        <w:rPr>
          <w:rFonts w:ascii="Times New Roman;sans-serif" w:hAnsi="Times New Roman;sans-serif"/>
          <w:b w:val="false"/>
          <w:color w:val="000000"/>
          <w:sz w:val="20"/>
        </w:rPr>
        <w:t>August 29, 2015 and becoming effective on November 1, 2015, any internet services provider that fails to fulfill the obligations related to internet information security administration as required by applicable laws and refuses to rectify upon orders, will be subject to criminal liability for (1) any dissemination of illegal information in large scale, (2) any severe effect due to the leakage of the client’s information, (3) any serious loss of evidence of criminal activities or (4) other severe situations, and any individual or entity that (a) sells or provides personal information to others unlawfully or (b) steals or illegally obtains any personal information, will be subject to criminal liability in severe situations.</w:t>
      </w:r>
    </w:p>
    <w:p>
      <w:pPr>
        <w:pStyle w:val="TextBody"/>
        <w:spacing w:lineRule="auto" w:line="319" w:before="100" w:after="240"/>
        <w:ind w:left="0" w:right="0" w:firstLine="720"/>
        <w:jc w:val="both"/>
        <w:rPr/>
      </w:pPr>
      <w:r>
        <w:rPr>
          <w:rFonts w:ascii="Times New Roman;sans-serif" w:hAnsi="Times New Roman;sans-serif"/>
          <w:b w:val="false"/>
          <w:color w:val="000000"/>
          <w:sz w:val="20"/>
        </w:rPr>
        <w:t xml:space="preserve">The </w:t>
      </w:r>
      <w:r>
        <w:rPr>
          <w:rFonts w:ascii="Times New Roman;sans-serif" w:hAnsi="Times New Roman;sans-serif"/>
          <w:b w:val="false"/>
          <w:i/>
          <w:color w:val="000000"/>
          <w:sz w:val="20"/>
        </w:rPr>
        <w:t>Provisions on Technological Measures for Internet Security Protection</w:t>
      </w:r>
      <w:r>
        <w:rPr>
          <w:rFonts w:ascii="Times New Roman;sans-serif" w:hAnsi="Times New Roman;sans-serif"/>
          <w:b w:val="false"/>
          <w:color w:val="000000"/>
          <w:sz w:val="20"/>
        </w:rPr>
        <w:t>, or the Internet Security Protection Measures, promulgated on December 13, 2005 by the Ministry of Public Security require all internet services providers to keep records of certain information about their users (including user registration information, log-in and log-out time, IP address, content and time of posts by users) for at least 60 days and submit the above information as required by laws and regulations. Under these measures, value-added telecommunications services license holders must regularly update information security and content control systems for their websites and must also report any public dissemination of prohibited content to local public security authorities. If a value-added telecommunications services license holder violates these measures, the Ministry of Public Security and the local security bureaus may revoke its operating license and shut down its websites.</w:t>
      </w:r>
    </w:p>
    <w:p>
      <w:pPr>
        <w:pStyle w:val="TextBody"/>
        <w:spacing w:lineRule="auto" w:line="319" w:before="100" w:after="240"/>
        <w:ind w:left="0" w:right="0" w:firstLine="720"/>
        <w:jc w:val="both"/>
        <w:rPr/>
      </w:pPr>
      <w:r>
        <w:rPr>
          <w:rFonts w:ascii="Times New Roman;sans-serif" w:hAnsi="Times New Roman;sans-serif"/>
          <w:b w:val="false"/>
          <w:color w:val="000000"/>
          <w:sz w:val="20"/>
        </w:rPr>
        <w:t xml:space="preserve">The </w:t>
      </w:r>
      <w:r>
        <w:rPr>
          <w:rFonts w:ascii="Times New Roman;sans-serif" w:hAnsi="Times New Roman;sans-serif"/>
          <w:b w:val="false"/>
          <w:i/>
          <w:color w:val="000000"/>
          <w:sz w:val="20"/>
        </w:rPr>
        <w:t>Communication Network Security Protection Administrative Measures</w:t>
      </w:r>
      <w:r>
        <w:rPr>
          <w:rFonts w:ascii="Times New Roman;sans-serif" w:hAnsi="Times New Roman;sans-serif"/>
          <w:b w:val="false"/>
          <w:color w:val="000000"/>
          <w:sz w:val="20"/>
        </w:rPr>
        <w:t>, which were promulgated by the MIIT on January 21, 2010, require that all communication network operators, including telecommunications service providers and Internet domain name service providers, divide their own communication networks into units. These communication network units shall be rated in accordance with degree of damage to national security, economic operation, social order and public interest in the event a unit is damaged. Communication network operators must file the division and ratings of their communication networks with MIIT or its local counterparts. If a communication network operator violates these measures, the MIIT or its local counterparts may order rectification or impose a fine up to RMB30,000 in case a violation is not duly rectified.</w:t>
      </w:r>
    </w:p>
    <w:p>
      <w:pPr>
        <w:pStyle w:val="TextBody"/>
        <w:spacing w:lineRule="auto" w:line="319" w:before="10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7, 2016, the SCNPC promulgated the PRC Cybersecurity Law, which took effect on June 1, 2017. The PRC Cybersecurity Law applies to the construction, operation, maintenance, and use of networks as well as the supervision and administration of internet security in the PRC. The PRC Cybersecurity Law defines “networks” as systems that are composed of computers or other information terminals and relevant facilities used for the purpose of collecting, storing, transmitting, exchanging, and processing information in accordance with certain rules and procedures. “Network operators,” who are broadly defined as owners and administrator of networks and network service providers, shall meet their cybersecurity obligations and shall take technical measures and other necessary measures to protect the safety and stability of their networks.</w:t>
      </w:r>
    </w:p>
    <w:p>
      <w:pPr>
        <w:pStyle w:val="TextBody"/>
        <w:spacing w:lineRule="auto" w:line="319" w:before="100" w:after="240"/>
        <w:ind w:left="0" w:right="0" w:firstLine="720"/>
        <w:jc w:val="both"/>
        <w:rPr/>
      </w:pPr>
      <w:r>
        <w:rPr>
          <w:rFonts w:ascii="Times New Roman;sans-serif" w:hAnsi="Times New Roman;sans-serif"/>
          <w:b w:val="false"/>
          <w:color w:val="000000"/>
          <w:sz w:val="20"/>
        </w:rPr>
        <w:t xml:space="preserve">On April 13, 2020, the CAC, together with 11 other government agencies, jointly issued the Cybersecurity Review Measures, or the Review Measures. The Review Measures, under which the scope of application, reporting procedures, evaluation factors and legal responsibilities are stipulated, was implemented on June 1, 2020 to replace the </w:t>
      </w:r>
      <w:r>
        <w:rPr>
          <w:rFonts w:ascii="Times New Roman;sans-serif" w:hAnsi="Times New Roman;sans-serif"/>
          <w:b w:val="false"/>
          <w:i/>
          <w:color w:val="000000"/>
          <w:sz w:val="20"/>
        </w:rPr>
        <w:t>Measures for Security Review of Cyber Products and Services (for Trial Implementation)</w:t>
      </w:r>
      <w:r>
        <w:rPr>
          <w:color w:val="000000"/>
        </w:rPr>
        <w:t xml:space="preserve"> </w:t>
      </w:r>
      <w:r>
        <w:rPr>
          <w:rFonts w:ascii="Times New Roman;sans-serif" w:hAnsi="Times New Roman;sans-serif"/>
          <w:b w:val="false"/>
          <w:color w:val="000000"/>
          <w:sz w:val="20"/>
        </w:rPr>
        <w:t>issued by the CAC on May 2, 2017. According to the Review Measures, any operator of critical information infrastructure, which, according to the Reply to Questions on the Review Measures published by the CAC, includes critical network and information system operators in the telecommunications industry, purchases any network product or service that may pose potential risks to or otherwise affect national security, they must apply for a cybersecurity review to be conducted by Cybersecurity Review Office.</w:t>
      </w:r>
    </w:p>
    <w:p>
      <w:pPr>
        <w:pStyle w:val="TextBody"/>
        <w:spacing w:lineRule="auto" w:line="319" w:before="10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CAC is responsible for organizing and implementing cybersecurity reviews, while the competent departments in key industries such as finance, telecommunications, energy, and transport are responsible for organizing and implementing security review of cyber products and services in their respective industries and fields.</w:t>
      </w:r>
    </w:p>
    <w:p>
      <w:pPr>
        <w:pStyle w:val="HorizontalLine"/>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385445"/>
                <wp:effectExtent l="0" t="0" r="0" b="0"/>
                <wp:wrapNone/>
                <wp:docPr id="82" name="Frame82"/>
                <a:graphic xmlns:a="http://schemas.openxmlformats.org/drawingml/2006/main">
                  <a:graphicData uri="http://schemas.microsoft.com/office/word/2010/wordprocessingShape">
                    <wps:wsp>
                      <wps:cNvSpPr txBox="1"/>
                      <wps:spPr>
                        <a:xfrm>
                          <a:off x="0" y="0"/>
                          <a:ext cx="6480175" cy="385445"/>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78</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78</w:t>
                      </w:r>
                    </w:p>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lineRule="auto" w:line="319" w:before="100" w:after="240"/>
        <w:ind w:left="0" w:right="0" w:firstLine="720"/>
        <w:jc w:val="both"/>
        <w:rPr/>
      </w:pPr>
      <w:r>
        <w:rPr>
          <w:rFonts w:ascii="Times New Roman;sans-serif" w:hAnsi="Times New Roman;sans-serif"/>
          <w:b w:val="false"/>
          <w:color w:val="000000"/>
          <w:sz w:val="20"/>
        </w:rPr>
        <w:t xml:space="preserve">On November 15, 2018, the Cyberspace Administration issued the </w:t>
      </w:r>
      <w:r>
        <w:rPr>
          <w:rFonts w:ascii="Times New Roman;sans-serif" w:hAnsi="Times New Roman;sans-serif"/>
          <w:b w:val="false"/>
          <w:i/>
          <w:color w:val="000000"/>
          <w:sz w:val="20"/>
        </w:rPr>
        <w:t>Provisions on Security Assessment of the Internet Information Services with Public Opinion Attributes or Social Mobilization Capacity</w:t>
      </w:r>
      <w:r>
        <w:rPr>
          <w:rFonts w:ascii="Times New Roman;sans-serif" w:hAnsi="Times New Roman;sans-serif"/>
          <w:b w:val="false"/>
          <w:color w:val="000000"/>
          <w:sz w:val="20"/>
        </w:rPr>
        <w:t>, which came into effect on November 30, 2018. The provisions require internet information providers to conduct security assessments on their internet information services if their services include forums, blogs, microblogs, chat rooms, communication groups, public accounts, short-form videos, online live-streaming, information sharing, mini programs or other functions that provide channels for the public to express opinions or have the capability of mobilizing the public to engage in specific activities. Internet information providers must conduct self-assessment on, among other things, the legality of new technology involved in the services and the effectiveness of security risk prevention measures, and file the assessment report with the local competent cyberspace administration authority and public security authority.</w:t>
      </w:r>
    </w:p>
    <w:p>
      <w:pPr>
        <w:pStyle w:val="TextBody"/>
        <w:spacing w:lineRule="auto" w:line="319" w:before="100" w:after="240"/>
        <w:ind w:left="0" w:right="0" w:firstLine="720"/>
        <w:jc w:val="both"/>
        <w:rPr/>
      </w:pPr>
      <w:r>
        <w:rPr>
          <w:rFonts w:ascii="Times New Roman;sans-serif" w:hAnsi="Times New Roman;sans-serif"/>
          <w:b w:val="false"/>
          <w:color w:val="000000"/>
          <w:sz w:val="20"/>
        </w:rPr>
        <w:t xml:space="preserve">Internet security in China is also regulated and restricted from a national security standpoint. On July 1, 2015, the SCNPC promulgated the new </w:t>
      </w:r>
      <w:r>
        <w:rPr>
          <w:rFonts w:ascii="Times New Roman;sans-serif" w:hAnsi="Times New Roman;sans-serif"/>
          <w:b w:val="false"/>
          <w:i/>
          <w:color w:val="000000"/>
          <w:sz w:val="20"/>
        </w:rPr>
        <w:t>National Security Law</w:t>
      </w:r>
      <w:r>
        <w:rPr>
          <w:rFonts w:ascii="Times New Roman;sans-serif" w:hAnsi="Times New Roman;sans-serif"/>
          <w:b w:val="false"/>
          <w:color w:val="000000"/>
          <w:sz w:val="20"/>
        </w:rPr>
        <w:t xml:space="preserve">, which took effect on the same date and replaced the former </w:t>
      </w:r>
      <w:r>
        <w:rPr>
          <w:rFonts w:ascii="Times New Roman;sans-serif" w:hAnsi="Times New Roman;sans-serif"/>
          <w:b w:val="false"/>
          <w:i/>
          <w:color w:val="000000"/>
          <w:sz w:val="20"/>
        </w:rPr>
        <w:t>National Security Law</w:t>
      </w:r>
      <w:r>
        <w:rPr>
          <w:color w:val="000000"/>
        </w:rPr>
        <w:t xml:space="preserve"> </w:t>
      </w:r>
      <w:r>
        <w:rPr>
          <w:rFonts w:ascii="Times New Roman;sans-serif" w:hAnsi="Times New Roman;sans-serif"/>
          <w:b w:val="false"/>
          <w:color w:val="000000"/>
          <w:sz w:val="20"/>
        </w:rPr>
        <w:t xml:space="preserve">promulgated in 1993. According to the new </w:t>
      </w:r>
      <w:r>
        <w:rPr>
          <w:rFonts w:ascii="Times New Roman;sans-serif" w:hAnsi="Times New Roman;sans-serif"/>
          <w:b w:val="false"/>
          <w:i/>
          <w:color w:val="000000"/>
          <w:sz w:val="20"/>
        </w:rPr>
        <w:t>National Security Law,</w:t>
      </w:r>
      <w:r>
        <w:rPr>
          <w:color w:val="000000"/>
        </w:rPr>
        <w:t xml:space="preserve"> </w:t>
      </w:r>
      <w:r>
        <w:rPr>
          <w:rFonts w:ascii="Times New Roman;sans-serif" w:hAnsi="Times New Roman;sans-serif"/>
          <w:b w:val="false"/>
          <w:color w:val="000000"/>
          <w:sz w:val="20"/>
        </w:rPr>
        <w:t xml:space="preserve">the state shall ensure that the information system and data in important areas are secure and controllable. In addition, according to the new </w:t>
      </w:r>
      <w:r>
        <w:rPr>
          <w:rFonts w:ascii="Times New Roman;sans-serif" w:hAnsi="Times New Roman;sans-serif"/>
          <w:b w:val="false"/>
          <w:i/>
          <w:color w:val="000000"/>
          <w:sz w:val="20"/>
        </w:rPr>
        <w:t>National Security Law</w:t>
      </w:r>
      <w:r>
        <w:rPr>
          <w:rFonts w:ascii="Times New Roman;sans-serif" w:hAnsi="Times New Roman;sans-serif"/>
          <w:b w:val="false"/>
          <w:color w:val="000000"/>
          <w:sz w:val="20"/>
        </w:rPr>
        <w:t xml:space="preserve">, the state shall establish national security review and supervision institutions and mechanisms, and conduct national security reviews of key technologies and IT products and services that affect or may affect national security. There are uncertainties on how the new </w:t>
      </w:r>
      <w:r>
        <w:rPr>
          <w:rFonts w:ascii="Times New Roman;sans-serif" w:hAnsi="Times New Roman;sans-serif"/>
          <w:b w:val="false"/>
          <w:i/>
          <w:color w:val="000000"/>
          <w:sz w:val="20"/>
        </w:rPr>
        <w:t xml:space="preserve">National Security Law </w:t>
      </w:r>
      <w:r>
        <w:rPr>
          <w:rFonts w:ascii="Times New Roman;sans-serif" w:hAnsi="Times New Roman;sans-serif"/>
          <w:b w:val="false"/>
          <w:color w:val="000000"/>
          <w:sz w:val="20"/>
        </w:rPr>
        <w:t>will be implemented in practice.</w:t>
      </w:r>
    </w:p>
    <w:p>
      <w:pPr>
        <w:pStyle w:val="TextBody"/>
        <w:spacing w:lineRule="auto" w:line="319" w:before="100" w:after="240"/>
        <w:jc w:val="both"/>
        <w:rPr>
          <w:rFonts w:ascii="Times New Roman;sans-serif" w:hAnsi="Times New Roman;sans-serif"/>
          <w:b w:val="false"/>
          <w:i/>
          <w:color w:val="000000"/>
          <w:sz w:val="20"/>
        </w:rPr>
      </w:pPr>
      <w:r>
        <w:rPr>
          <w:rFonts w:ascii="Times New Roman;sans-serif" w:hAnsi="Times New Roman;sans-serif"/>
          <w:b w:val="false"/>
          <w:i/>
          <w:color w:val="000000"/>
          <w:sz w:val="20"/>
        </w:rPr>
        <w:t>Regulation on Privacy Protection</w:t>
      </w:r>
    </w:p>
    <w:p>
      <w:pPr>
        <w:pStyle w:val="TextBody"/>
        <w:spacing w:lineRule="auto" w:line="319" w:before="100" w:after="240"/>
        <w:ind w:left="0" w:right="0" w:firstLine="720"/>
        <w:jc w:val="both"/>
        <w:rPr/>
      </w:pPr>
      <w:r>
        <w:rPr>
          <w:rFonts w:ascii="Times New Roman;sans-serif" w:hAnsi="Times New Roman;sans-serif"/>
          <w:b w:val="false"/>
          <w:color w:val="000000"/>
          <w:sz w:val="20"/>
        </w:rPr>
        <w:t xml:space="preserve">On December 28, 2012, the SCNPC enacted the </w:t>
      </w:r>
      <w:r>
        <w:rPr>
          <w:rFonts w:ascii="Times New Roman;sans-serif" w:hAnsi="Times New Roman;sans-serif"/>
          <w:b w:val="false"/>
          <w:i/>
          <w:color w:val="000000"/>
          <w:sz w:val="20"/>
        </w:rPr>
        <w:t>Decision to Enhance the Protection of Network Information</w:t>
      </w:r>
      <w:r>
        <w:rPr>
          <w:rFonts w:ascii="Times New Roman;sans-serif" w:hAnsi="Times New Roman;sans-serif"/>
          <w:b w:val="false"/>
          <w:color w:val="000000"/>
          <w:sz w:val="20"/>
        </w:rPr>
        <w:t>, or the Information Protection Decision, to enhance the protection of user personal information in electronic form. The Information Protection Decision provides that internet services providers must expressly inform their users of the purpose, manner and scope of the internet services providers’ collection and use of user personal information, publish the internet services providers’ standards for their collection and use of user personal information, and collect and use user personal information only with the consent of the users and only within the scope of such consent. The Information Protection Decision also mandates that internet services providers and their employees must keep strictly confidential user personal information that they collect, and that internet services providers must take such technical and other measures as are necessary to safeguard the information against disclosure.</w:t>
      </w:r>
    </w:p>
    <w:p>
      <w:pPr>
        <w:pStyle w:val="TextBody"/>
        <w:spacing w:lineRule="auto" w:line="319" w:before="100" w:after="240"/>
        <w:ind w:left="0" w:right="0" w:firstLine="720"/>
        <w:jc w:val="both"/>
        <w:rPr/>
      </w:pPr>
      <w:r>
        <w:rPr>
          <w:rFonts w:ascii="Times New Roman;sans-serif" w:hAnsi="Times New Roman;sans-serif"/>
          <w:b w:val="false"/>
          <w:color w:val="000000"/>
          <w:sz w:val="20"/>
        </w:rPr>
        <w:t xml:space="preserve">On July 16, 2013, the MIIT issued </w:t>
      </w:r>
      <w:r>
        <w:rPr>
          <w:rFonts w:ascii="Times New Roman;sans-serif" w:hAnsi="Times New Roman;sans-serif"/>
          <w:b w:val="false"/>
          <w:i/>
          <w:color w:val="000000"/>
          <w:sz w:val="20"/>
        </w:rPr>
        <w:t>the Order for the Protection of Telecommunication and Internet User Personal Information</w:t>
      </w:r>
      <w:r>
        <w:rPr>
          <w:rFonts w:ascii="Times New Roman;sans-serif" w:hAnsi="Times New Roman;sans-serif"/>
          <w:b w:val="false"/>
          <w:color w:val="000000"/>
          <w:sz w:val="20"/>
        </w:rPr>
        <w:t>, or the Order. Most of the requirements under the Order that are relevant to internet services providers are consistent with the requirements already established under the MIIT provisions discussed above, except that under the Order the requirements are often more strict and have a wider scope. If an internet services provider wishes to collect or use personal information, it may do so only if such collection is necessary for the services it provides. Further, it must disclose to its users the purpose, method and scope of any such collection or use, and must obtain consent from the users whose information is being collected or used. Internet services providers are also required to establish and publish their protocols relating to personal information collection or use, keep any collected information strictly confidential, and take technological and other measures to maintain the security of such information. Internet services providers are also required to cease any collection or use of the user personal information, and de-register the relevant user account, when a given user stops using the relevant internet service. Internet services providers are further prohibited from divulging, distorting or destroying any such personal information, or selling or providing such information unlawfully to other parties. The Order states, in broad terms, that violators may face warnings, fines, and disclosure to the public and, in the most severe cases, criminal liability.</w:t>
      </w:r>
    </w:p>
    <w:p>
      <w:pPr>
        <w:pStyle w:val="HorizontalLine"/>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385445"/>
                <wp:effectExtent l="0" t="0" r="0" b="0"/>
                <wp:wrapNone/>
                <wp:docPr id="83" name="Frame83"/>
                <a:graphic xmlns:a="http://schemas.openxmlformats.org/drawingml/2006/main">
                  <a:graphicData uri="http://schemas.microsoft.com/office/word/2010/wordprocessingShape">
                    <wps:wsp>
                      <wps:cNvSpPr txBox="1"/>
                      <wps:spPr>
                        <a:xfrm>
                          <a:off x="0" y="0"/>
                          <a:ext cx="6480175" cy="385445"/>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79</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79</w:t>
                      </w:r>
                    </w:p>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lineRule="auto" w:line="319" w:before="100" w:after="240"/>
        <w:ind w:left="0" w:right="0" w:firstLine="720"/>
        <w:jc w:val="both"/>
        <w:rPr/>
      </w:pPr>
      <w:r>
        <w:rPr>
          <w:rFonts w:ascii="Times New Roman;sans-serif" w:hAnsi="Times New Roman;sans-serif"/>
          <w:b w:val="false"/>
          <w:color w:val="000000"/>
          <w:sz w:val="20"/>
        </w:rPr>
        <w:t xml:space="preserve">On January 5, 2015, the SAIC promulgated the </w:t>
      </w:r>
      <w:r>
        <w:rPr>
          <w:rFonts w:ascii="Times New Roman;sans-serif" w:hAnsi="Times New Roman;sans-serif"/>
          <w:b w:val="false"/>
          <w:i/>
          <w:color w:val="000000"/>
          <w:sz w:val="20"/>
        </w:rPr>
        <w:t>Measures on Punishment for Infringement of Consumer Rights</w:t>
      </w:r>
      <w:r>
        <w:rPr>
          <w:color w:val="000000"/>
        </w:rPr>
        <w:t xml:space="preserve"> </w:t>
      </w:r>
      <w:r>
        <w:rPr>
          <w:rFonts w:ascii="Times New Roman;sans-serif" w:hAnsi="Times New Roman;sans-serif"/>
          <w:b w:val="false"/>
          <w:color w:val="000000"/>
          <w:sz w:val="20"/>
        </w:rPr>
        <w:t>and recently amended on October 23, 2020, pursuant to which business operators collecting and using personal information of consumers must comply with the principles of legitimacy, propriety and necessity, specify the purpose, method and scope of collection and use of the information, and obtain the consent of the consumers whose personal information is to be collected. Business operators may not (1) collect or use personal information of consumers without their consent, (2) unlawfully divulge, sell or provide personal information of consumers to others or (3) send commercial information to consumers without their consent or request, or when a consumer has explicitly declined to receive such information.</w:t>
      </w:r>
    </w:p>
    <w:p>
      <w:pPr>
        <w:pStyle w:val="TextBody"/>
        <w:spacing w:lineRule="auto" w:line="319" w:before="100" w:after="240"/>
        <w:jc w:val="both"/>
        <w:rPr>
          <w:rFonts w:ascii="Times New Roman;sans-serif" w:hAnsi="Times New Roman;sans-serif"/>
          <w:b w:val="false"/>
          <w:i/>
          <w:color w:val="000000"/>
          <w:sz w:val="20"/>
        </w:rPr>
      </w:pPr>
      <w:r>
        <w:rPr>
          <w:rFonts w:ascii="Times New Roman;sans-serif" w:hAnsi="Times New Roman;sans-serif"/>
          <w:b w:val="false"/>
          <w:i/>
          <w:color w:val="000000"/>
          <w:sz w:val="20"/>
        </w:rPr>
        <w:t>Regulations Related to Intellectual Property Rights</w:t>
      </w:r>
    </w:p>
    <w:p>
      <w:pPr>
        <w:pStyle w:val="TextBody"/>
        <w:spacing w:lineRule="auto" w:line="319" w:before="100" w:after="24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Trademarks</w:t>
      </w:r>
    </w:p>
    <w:p>
      <w:pPr>
        <w:pStyle w:val="TextBody"/>
        <w:spacing w:lineRule="auto" w:line="319" w:before="100" w:after="240"/>
        <w:ind w:left="0" w:right="0" w:firstLine="720"/>
        <w:jc w:val="both"/>
        <w:rPr/>
      </w:pPr>
      <w:r>
        <w:rPr>
          <w:rFonts w:ascii="Times New Roman;sans-serif" w:hAnsi="Times New Roman;sans-serif"/>
          <w:b w:val="false"/>
          <w:color w:val="000000"/>
          <w:sz w:val="20"/>
        </w:rPr>
        <w:t xml:space="preserve">On August 23, 1982, the SCNPC promulgated the </w:t>
      </w:r>
      <w:r>
        <w:rPr>
          <w:rFonts w:ascii="Times New Roman;sans-serif" w:hAnsi="Times New Roman;sans-serif"/>
          <w:b w:val="false"/>
          <w:i/>
          <w:color w:val="000000"/>
          <w:sz w:val="20"/>
        </w:rPr>
        <w:t>Trademark Law of the PRC</w:t>
      </w:r>
      <w:r>
        <w:rPr>
          <w:rFonts w:ascii="Times New Roman;sans-serif" w:hAnsi="Times New Roman;sans-serif"/>
          <w:b w:val="false"/>
          <w:color w:val="000000"/>
          <w:sz w:val="20"/>
        </w:rPr>
        <w:t xml:space="preserve">, or the Trademark Law, which was amended in 1993, 2001, 2013 and 2019. The </w:t>
      </w:r>
      <w:r>
        <w:rPr>
          <w:rFonts w:ascii="Times New Roman;sans-serif" w:hAnsi="Times New Roman;sans-serif"/>
          <w:b w:val="false"/>
          <w:i/>
          <w:color w:val="000000"/>
          <w:sz w:val="20"/>
        </w:rPr>
        <w:t xml:space="preserve">Implementation Regulation for the Trademark Law </w:t>
      </w:r>
      <w:r>
        <w:rPr>
          <w:rFonts w:ascii="Times New Roman;sans-serif" w:hAnsi="Times New Roman;sans-serif"/>
          <w:b w:val="false"/>
          <w:color w:val="000000"/>
          <w:sz w:val="20"/>
        </w:rPr>
        <w:t>promulgated by the State Council came into effect on September 15, 2002 and was further amended on April 29, 2014.</w:t>
      </w:r>
    </w:p>
    <w:p>
      <w:pPr>
        <w:pStyle w:val="TextBody"/>
        <w:spacing w:lineRule="auto" w:line="319" w:before="10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Under the Trademark Law and the implementing regulation, the Trademark Office of the State Administration for Market Regulation, or the Trademark Office, is responsible for the registration and administration of trademarks. The Trademark Office handles trademark registrations. As with patents, China has adopted a “first-to-file” principle for trademark registration. If two or more applicants apply for registration of identical or similar trademarks for the same or similar commodities, the application that was filed first will receive preliminary approval and will be publicly announced. Registered trademarks are valid for ten years from the date the registration is approved. A registrant may apply to renew a registration within 12 months before the expiration date of the registration. If the registrant fails to apply in a timely manner, a grace period of six additional months may be granted. If the registrant fails to apply before the grace period expires, the registered trademark shall be deregistered. Renewed registrations are valid for ten years.</w:t>
      </w:r>
    </w:p>
    <w:p>
      <w:pPr>
        <w:pStyle w:val="TextBody"/>
        <w:spacing w:lineRule="auto" w:line="319" w:before="10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the above, the SAIC has established a Trademark Review and Adjudication Board for resolving trademark disputes. According to the Trademark Law, within three months since the date of the announcement of a preliminarily validated trademark, if a titleholder is of the view that is such trademark in application is identical or similar to its registered trademark for the same type of commodities or similar commodities which violates relevant provisions of the Trademark Law, such titleholder may raise an objection to the Trademark Office within the aforesaid period. In such event, the Trademark Office shall consider the facts and grounds submitted by both the dissenting party and the party being challenged and shall decide on whether the registration is allowed within 12 months upon the expiration of the announcement after investigation and verification, and notify the dissenting party and the person challenged in writing.</w:t>
      </w:r>
    </w:p>
    <w:p>
      <w:pPr>
        <w:pStyle w:val="HorizontalLine"/>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385445"/>
                <wp:effectExtent l="0" t="0" r="0" b="0"/>
                <wp:wrapNone/>
                <wp:docPr id="84" name="Frame84"/>
                <a:graphic xmlns:a="http://schemas.openxmlformats.org/drawingml/2006/main">
                  <a:graphicData uri="http://schemas.microsoft.com/office/word/2010/wordprocessingShape">
                    <wps:wsp>
                      <wps:cNvSpPr txBox="1"/>
                      <wps:spPr>
                        <a:xfrm>
                          <a:off x="0" y="0"/>
                          <a:ext cx="6480175" cy="385445"/>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80</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80</w:t>
                      </w:r>
                    </w:p>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lineRule="auto" w:line="319" w:before="100" w:after="24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Patents</w:t>
      </w:r>
    </w:p>
    <w:p>
      <w:pPr>
        <w:pStyle w:val="TextBody"/>
        <w:spacing w:lineRule="auto" w:line="319" w:before="100" w:after="240"/>
        <w:ind w:left="0" w:right="0" w:firstLine="720"/>
        <w:jc w:val="both"/>
        <w:rPr/>
      </w:pPr>
      <w:r>
        <w:rPr>
          <w:rFonts w:ascii="Times New Roman;sans-serif" w:hAnsi="Times New Roman;sans-serif"/>
          <w:b w:val="false"/>
          <w:color w:val="000000"/>
          <w:sz w:val="20"/>
        </w:rPr>
        <w:t xml:space="preserve">The National People’s Congress adopted </w:t>
      </w:r>
      <w:r>
        <w:rPr>
          <w:rFonts w:ascii="Times New Roman;sans-serif" w:hAnsi="Times New Roman;sans-serif"/>
          <w:b w:val="false"/>
          <w:i/>
          <w:color w:val="000000"/>
          <w:sz w:val="20"/>
        </w:rPr>
        <w:t>the Patent Law of the People’s Republic of China</w:t>
      </w:r>
      <w:r>
        <w:rPr>
          <w:color w:val="000000"/>
        </w:rPr>
        <w:t xml:space="preserve"> </w:t>
      </w:r>
      <w:r>
        <w:rPr>
          <w:rFonts w:ascii="Times New Roman;sans-serif" w:hAnsi="Times New Roman;sans-serif"/>
          <w:b w:val="false"/>
          <w:color w:val="000000"/>
          <w:sz w:val="20"/>
        </w:rPr>
        <w:t>in 1984 and amended it in 1992, 2000, 2008 and 2020, respectively. Under the newly issued version of the Patent Law, which will come into effect on June 1, 2021, a patentable invention or utility model must meet three conditions: novelty, inventiveness and practical applicability. A patentable design shall not be an existing design, nor shall any entity or individual has filed an application for the same design with the competent authorities prior to the filing date and recorded in the patent documents published after the filing date. Patents cannot be granted for scientific discoveries, rules and methods for intellectual activities, methods used to diagnose or treat diseases, animal and plant breeds, means of nuclear transformation or substances obtained by means of nuclear transformation, etc. The Patent Office under the State Intellectual Property Office is responsible for receiving, examining and approving patent applications. A patent is valid for a twenty-year term for an invention, a ten-year term for a utility model and a fifteen-year term for a design, starting from the application date. Except under certain specific circumstances provided by law, any third party user must obtain consent or a proper license from the patent owner to use the patent, or else the use will constitute an infringement of the rights of the patent holder.</w:t>
      </w:r>
    </w:p>
    <w:p>
      <w:pPr>
        <w:pStyle w:val="TextBody"/>
        <w:spacing w:lineRule="auto" w:line="319" w:before="100" w:after="24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Copyrights</w:t>
      </w:r>
    </w:p>
    <w:p>
      <w:pPr>
        <w:pStyle w:val="TextBody"/>
        <w:spacing w:lineRule="auto" w:line="319" w:before="100" w:after="240"/>
        <w:ind w:left="0" w:right="0" w:firstLine="720"/>
        <w:jc w:val="both"/>
        <w:rPr/>
      </w:pPr>
      <w:r>
        <w:rPr>
          <w:rFonts w:ascii="Times New Roman;sans-serif" w:hAnsi="Times New Roman;sans-serif"/>
          <w:b w:val="false"/>
          <w:color w:val="000000"/>
          <w:sz w:val="20"/>
        </w:rPr>
        <w:t xml:space="preserve">On September 7, 1990, the SCNPC promulgated the </w:t>
      </w:r>
      <w:r>
        <w:rPr>
          <w:rFonts w:ascii="Times New Roman;sans-serif" w:hAnsi="Times New Roman;sans-serif"/>
          <w:b w:val="false"/>
          <w:i/>
          <w:color w:val="000000"/>
          <w:sz w:val="20"/>
        </w:rPr>
        <w:t>Copyright Law</w:t>
      </w:r>
      <w:r>
        <w:rPr>
          <w:rFonts w:ascii="Times New Roman;sans-serif" w:hAnsi="Times New Roman;sans-serif"/>
          <w:b w:val="false"/>
          <w:color w:val="000000"/>
          <w:sz w:val="20"/>
        </w:rPr>
        <w:t>, which took effect on June 1, 1991 and was amended in 2001, in 2010, and in 2020 (the 2020 amendment will come into effect on June 1, 2021). The Copyright Law extends copyright protection to internet activities, products disseminated over the internet and software products. In addition, there is a voluntary registration system administered by the China Copyright Protection Center.</w:t>
      </w:r>
    </w:p>
    <w:p>
      <w:pPr>
        <w:pStyle w:val="TextBody"/>
        <w:spacing w:lineRule="auto" w:line="319" w:before="100" w:after="240"/>
        <w:ind w:left="0" w:right="0" w:firstLine="720"/>
        <w:jc w:val="both"/>
        <w:rPr/>
      </w:pPr>
      <w:r>
        <w:rPr>
          <w:rFonts w:ascii="Times New Roman;sans-serif" w:hAnsi="Times New Roman;sans-serif"/>
          <w:b w:val="false"/>
          <w:color w:val="000000"/>
          <w:sz w:val="20"/>
        </w:rPr>
        <w:t xml:space="preserve">In order to further implement the </w:t>
      </w:r>
      <w:r>
        <w:rPr>
          <w:rFonts w:ascii="Times New Roman;sans-serif" w:hAnsi="Times New Roman;sans-serif"/>
          <w:b w:val="false"/>
          <w:i/>
          <w:color w:val="000000"/>
          <w:sz w:val="20"/>
        </w:rPr>
        <w:t>Computer Software Protection Regulations</w:t>
      </w:r>
      <w:r>
        <w:rPr>
          <w:rFonts w:ascii="Times New Roman;sans-serif" w:hAnsi="Times New Roman;sans-serif"/>
          <w:b w:val="false"/>
          <w:color w:val="000000"/>
          <w:sz w:val="20"/>
        </w:rPr>
        <w:t xml:space="preserve">, promulgated by the State Council on June 4, 1991 and amended on January 30, 2013, the National Copyright Administration, or the NCA, issued the </w:t>
      </w:r>
      <w:r>
        <w:rPr>
          <w:rFonts w:ascii="Times New Roman;sans-serif" w:hAnsi="Times New Roman;sans-serif"/>
          <w:b w:val="false"/>
          <w:i/>
          <w:color w:val="000000"/>
          <w:sz w:val="20"/>
        </w:rPr>
        <w:t>Computer Software Copyright Registration Procedures</w:t>
      </w:r>
      <w:r>
        <w:rPr>
          <w:color w:val="000000"/>
        </w:rPr>
        <w:t xml:space="preserve"> </w:t>
      </w:r>
      <w:r>
        <w:rPr>
          <w:rFonts w:ascii="Times New Roman;sans-serif" w:hAnsi="Times New Roman;sans-serif"/>
          <w:b w:val="false"/>
          <w:color w:val="000000"/>
          <w:sz w:val="20"/>
        </w:rPr>
        <w:t>on April 6, 1992 and amended on February 20, 2002, which specify detailed procedures and requirements with respect to the registration of software copyrights. The China Copyright Protection Center shall grant registration certificates to the computer software copyrights applicants which meet the requirements of both the software copyright registration procedures and the computer software protection regulations.</w:t>
      </w:r>
    </w:p>
    <w:p>
      <w:pPr>
        <w:pStyle w:val="TextBody"/>
        <w:spacing w:lineRule="auto" w:line="319" w:before="100" w:after="24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Domain Names</w:t>
      </w:r>
    </w:p>
    <w:p>
      <w:pPr>
        <w:pStyle w:val="TextBody"/>
        <w:spacing w:lineRule="auto" w:line="319" w:before="100" w:after="240"/>
        <w:ind w:left="0" w:right="0" w:firstLine="720"/>
        <w:jc w:val="both"/>
        <w:rPr/>
      </w:pPr>
      <w:r>
        <w:rPr>
          <w:rFonts w:ascii="Times New Roman;sans-serif" w:hAnsi="Times New Roman;sans-serif"/>
          <w:b w:val="false"/>
          <w:color w:val="000000"/>
          <w:sz w:val="20"/>
        </w:rPr>
        <w:t xml:space="preserve">The MIIT promulgated the </w:t>
      </w:r>
      <w:r>
        <w:rPr>
          <w:rFonts w:ascii="Times New Roman;sans-serif" w:hAnsi="Times New Roman;sans-serif"/>
          <w:b w:val="false"/>
          <w:i/>
          <w:color w:val="000000"/>
          <w:sz w:val="20"/>
        </w:rPr>
        <w:t>Measures on Administration of Internet Domain Names</w:t>
      </w:r>
      <w:r>
        <w:rPr>
          <w:rFonts w:ascii="Times New Roman;sans-serif" w:hAnsi="Times New Roman;sans-serif"/>
          <w:b w:val="false"/>
          <w:color w:val="000000"/>
          <w:sz w:val="20"/>
        </w:rPr>
        <w:t xml:space="preserve">, or the Domain Name Measures, on August 24, 2017, which took effect on November 1, 2017 and replaced the </w:t>
      </w:r>
      <w:r>
        <w:rPr>
          <w:rFonts w:ascii="Times New Roman;sans-serif" w:hAnsi="Times New Roman;sans-serif"/>
          <w:b w:val="false"/>
          <w:i/>
          <w:color w:val="000000"/>
          <w:sz w:val="20"/>
        </w:rPr>
        <w:t>Administrative Measures on China Internet Domain Name</w:t>
      </w:r>
      <w:r>
        <w:rPr>
          <w:color w:val="000000"/>
        </w:rPr>
        <w:t xml:space="preserve"> </w:t>
      </w:r>
      <w:r>
        <w:rPr>
          <w:rFonts w:ascii="Times New Roman;sans-serif" w:hAnsi="Times New Roman;sans-serif"/>
          <w:b w:val="false"/>
          <w:color w:val="000000"/>
          <w:sz w:val="20"/>
        </w:rPr>
        <w:t>promulgated by MIIT on November 5, 2004. According to the Domain Name Measures, the MIIT is in charge of the administration of PRC internet domain names. The domain name registration follows a first-to-file principle. Applicants for registration of domain names shall provide the true, accurate and complete information of their identifications to domain name registration service institutions. The applicants will become the holder of such domain names upon the completion of the registration procedure.</w:t>
      </w:r>
    </w:p>
    <w:p>
      <w:pPr>
        <w:pStyle w:val="TextBody"/>
        <w:spacing w:lineRule="auto" w:line="319" w:before="100" w:after="240"/>
        <w:jc w:val="both"/>
        <w:rPr>
          <w:rFonts w:ascii="Times New Roman;sans-serif" w:hAnsi="Times New Roman;sans-serif"/>
          <w:b w:val="false"/>
          <w:i/>
          <w:color w:val="000000"/>
          <w:sz w:val="20"/>
        </w:rPr>
      </w:pPr>
      <w:r>
        <w:rPr>
          <w:rFonts w:ascii="Times New Roman;sans-serif" w:hAnsi="Times New Roman;sans-serif"/>
          <w:b w:val="false"/>
          <w:i/>
          <w:color w:val="000000"/>
          <w:sz w:val="20"/>
        </w:rPr>
        <w:t>Regulations on Foreign Exchange</w:t>
      </w:r>
    </w:p>
    <w:p>
      <w:pPr>
        <w:pStyle w:val="TextBody"/>
        <w:spacing w:lineRule="auto" w:line="319" w:before="100" w:after="240"/>
        <w:ind w:left="0" w:right="0" w:firstLine="720"/>
        <w:jc w:val="both"/>
        <w:rPr/>
      </w:pPr>
      <w:r>
        <w:rPr>
          <w:rFonts w:ascii="Times New Roman;sans-serif" w:hAnsi="Times New Roman;sans-serif"/>
          <w:b w:val="false"/>
          <w:color w:val="000000"/>
          <w:sz w:val="20"/>
        </w:rPr>
        <w:t xml:space="preserve">Under the </w:t>
      </w:r>
      <w:r>
        <w:rPr>
          <w:rFonts w:ascii="Times New Roman;sans-serif" w:hAnsi="Times New Roman;sans-serif"/>
          <w:b w:val="false"/>
          <w:i/>
          <w:color w:val="000000"/>
          <w:sz w:val="20"/>
        </w:rPr>
        <w:t>Foreign Currency Administration Rules of the PRC</w:t>
      </w:r>
      <w:r>
        <w:rPr>
          <w:color w:val="000000"/>
        </w:rPr>
        <w:t xml:space="preserve"> </w:t>
      </w:r>
      <w:r>
        <w:rPr>
          <w:rFonts w:ascii="Times New Roman;sans-serif" w:hAnsi="Times New Roman;sans-serif"/>
          <w:b w:val="false"/>
          <w:color w:val="000000"/>
          <w:sz w:val="20"/>
        </w:rPr>
        <w:t xml:space="preserve">promulgated by the State Council on January 29, 1996 and amended on August 5, 2008 and various regulations issued by the State Administration of Foreign Exchange, or the SAFE, and other relevant PRC government authorities, Renminbi is convertible into other currencies for current account items, such as trade-related receipts and payments and payment of interest and dividends. The conversion of Renminbi into other currencies and remittance of the converted foreign currency </w:t>
      </w:r>
    </w:p>
    <w:p>
      <w:pPr>
        <w:pStyle w:val="HorizontalLine"/>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385445"/>
                <wp:effectExtent l="0" t="0" r="0" b="0"/>
                <wp:wrapNone/>
                <wp:docPr id="85" name="Frame85"/>
                <a:graphic xmlns:a="http://schemas.openxmlformats.org/drawingml/2006/main">
                  <a:graphicData uri="http://schemas.microsoft.com/office/word/2010/wordprocessingShape">
                    <wps:wsp>
                      <wps:cNvSpPr txBox="1"/>
                      <wps:spPr>
                        <a:xfrm>
                          <a:off x="0" y="0"/>
                          <a:ext cx="6480175" cy="385445"/>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81</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81</w:t>
                      </w:r>
                    </w:p>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lineRule="auto" w:line="319" w:before="100" w:after="240"/>
        <w:jc w:val="both"/>
        <w:rPr>
          <w:rFonts w:ascii="Times New Roman;sans-serif" w:hAnsi="Times New Roman;sans-serif"/>
          <w:b w:val="false"/>
          <w:color w:val="000000"/>
          <w:sz w:val="20"/>
        </w:rPr>
      </w:pPr>
      <w:r>
        <w:rPr>
          <w:rFonts w:ascii="Times New Roman;sans-serif" w:hAnsi="Times New Roman;sans-serif"/>
          <w:b w:val="false"/>
          <w:color w:val="000000"/>
          <w:sz w:val="20"/>
        </w:rPr>
        <w:t>outside the PRC for of capital account items, such as direct equity investments, loans and repatriation of investment, requires the prior approval from the SAFE or its local office. Payments for transactions that take place within the PRC must be made in Renminbi. Unless otherwise approved, PRC companies may not repatriate foreign currency payments received from abroad or retain the same abroad. FIEs may retain foreign exchange in accounts with designated foreign exchange banks under the current account items subject to a cap set by the SAFE or its local office. Foreign exchange proceeds under the current accounts may be either retained or sold to a financial institution engaged in settlement and sale of foreign exchange pursuant to relevant SAFE rules and regulations. For foreign exchange proceeds under the capital accounts, approval from the SAFE is generally required for the retention or sale of such proceeds to a financial institution engaged in settlement and sale of foreign exchange.</w:t>
      </w:r>
    </w:p>
    <w:p>
      <w:pPr>
        <w:pStyle w:val="TextBody"/>
        <w:spacing w:lineRule="auto" w:line="319" w:before="100" w:after="240"/>
        <w:ind w:left="0" w:right="0" w:firstLine="720"/>
        <w:jc w:val="both"/>
        <w:rPr/>
      </w:pPr>
      <w:r>
        <w:rPr>
          <w:rFonts w:ascii="Times New Roman;sans-serif" w:hAnsi="Times New Roman;sans-serif"/>
          <w:b w:val="false"/>
          <w:color w:val="000000"/>
          <w:sz w:val="20"/>
        </w:rPr>
        <w:t xml:space="preserve">Pursuant to the </w:t>
      </w:r>
      <w:r>
        <w:rPr>
          <w:rFonts w:ascii="Times New Roman;sans-serif" w:hAnsi="Times New Roman;sans-serif"/>
          <w:b w:val="false"/>
          <w:i/>
          <w:color w:val="000000"/>
          <w:sz w:val="20"/>
        </w:rPr>
        <w:t>Circular of the SAFE on Further Improving and Adjusting Foreign Exchange Administration Policies for Direct Investment</w:t>
      </w:r>
      <w:r>
        <w:rPr>
          <w:rFonts w:ascii="Times New Roman;sans-serif" w:hAnsi="Times New Roman;sans-serif"/>
          <w:b w:val="false"/>
          <w:color w:val="000000"/>
          <w:sz w:val="20"/>
        </w:rPr>
        <w:t>, or the SAFE Circular 59 promulgated by SAFE on November 19, 2012, which became effective on December 17, 2012 and was further amended on May 4, 2015, October 10, 2018 and December 30, 2019, approval is not required for opening a foreign exchange account and depositing foreign exchange into the accounts relating to the direct investments. SAFE Circular 59 also simplified foreign exchange-related registration required for the foreign investors to acquire the equity interests of PRC companies and further improve the administration on foreign exchange settlement for FIEs.</w:t>
      </w:r>
    </w:p>
    <w:p>
      <w:pPr>
        <w:pStyle w:val="TextBody"/>
        <w:spacing w:lineRule="auto" w:line="319" w:before="100" w:after="240"/>
        <w:ind w:left="0" w:right="0" w:firstLine="720"/>
        <w:jc w:val="both"/>
        <w:rPr/>
      </w:pPr>
      <w:r>
        <w:rPr>
          <w:rFonts w:ascii="Times New Roman;sans-serif" w:hAnsi="Times New Roman;sans-serif"/>
          <w:b w:val="false"/>
          <w:color w:val="000000"/>
          <w:sz w:val="20"/>
        </w:rPr>
        <w:t xml:space="preserve">The SAFE promulgated the </w:t>
      </w:r>
      <w:r>
        <w:rPr>
          <w:rFonts w:ascii="Times New Roman;sans-serif" w:hAnsi="Times New Roman;sans-serif"/>
          <w:b w:val="false"/>
          <w:i/>
          <w:color w:val="000000"/>
          <w:sz w:val="20"/>
        </w:rPr>
        <w:t>Circular on Printing and Distributing the Provisions on Foreign Exchange Administration over Domestic Direct Investment by Foreign Investors and the Supporting Documents</w:t>
      </w:r>
      <w:r>
        <w:rPr>
          <w:color w:val="000000"/>
        </w:rPr>
        <w:t xml:space="preserve"> </w:t>
      </w:r>
      <w:r>
        <w:rPr>
          <w:rFonts w:ascii="Times New Roman;sans-serif" w:hAnsi="Times New Roman;sans-serif"/>
          <w:b w:val="false"/>
          <w:color w:val="000000"/>
          <w:sz w:val="20"/>
        </w:rPr>
        <w:t>in May 2013, which was amended on October 10, 2018 and December 30, 2019, which specifies that the administration by SAFE or its local branches over direct investment by foreign investors in the PRC shall be conducted by way of registration and banks shall process foreign exchange business relating to the direct investment in the PRC based on the registration information provided by SAFE and its branches. On February 13, 2015, the SAFE promulgated the Circular on Simplifying and Improving the Foreign Currency Management Policy on Direct Investment, or the SAFE Circular 13, effective from June 1, 2015, which was amended on December 30, 2019. SAFE Circular 13 cancels the administrative approvals of foreign exchange registration of foreign direct investment and overseas direct investment. In addition, SAFE Circular 13 simplifies the procedure of foreign exchange-related registration, under which investors shall register with banks for foreign direct investment and overseas direct investment.</w:t>
      </w:r>
    </w:p>
    <w:p>
      <w:pPr>
        <w:pStyle w:val="TextBody"/>
        <w:spacing w:lineRule="auto" w:line="319" w:before="100" w:after="240"/>
        <w:jc w:val="both"/>
        <w:rPr>
          <w:rFonts w:ascii="Times New Roman;sans-serif" w:hAnsi="Times New Roman;sans-serif"/>
          <w:b w:val="false"/>
          <w:i/>
          <w:color w:val="000000"/>
          <w:sz w:val="20"/>
        </w:rPr>
      </w:pPr>
      <w:r>
        <w:rPr>
          <w:rFonts w:ascii="Times New Roman;sans-serif" w:hAnsi="Times New Roman;sans-serif"/>
          <w:b w:val="false"/>
          <w:i/>
          <w:color w:val="000000"/>
          <w:sz w:val="20"/>
        </w:rPr>
        <w:t>Regulations on Dividend Distribution</w:t>
      </w:r>
    </w:p>
    <w:p>
      <w:pPr>
        <w:pStyle w:val="TextBody"/>
        <w:spacing w:lineRule="auto" w:line="319" w:before="10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principal laws and regulations regulating the dividend distribution of dividends by FIEs in the PRC include the Company Law of the PRC, as amended in 2018 and Foreign Investment Law promulgated by SCNPC on March 15, 2019 and came into effect on January 1, 2020 and its implementation regulations that took effect the same day.</w:t>
      </w:r>
    </w:p>
    <w:p>
      <w:pPr>
        <w:pStyle w:val="TextBody"/>
        <w:spacing w:lineRule="auto" w:line="319" w:before="10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Under the current regulatory regime in the PRC, FIEs in the PRC may pay dividends only out of their retained earnings, if any, determined in accordance with PRC accounting standards and regulations. A PRC company is required to set aside as statutory reserve funds at least 10% of its after-tax profit, until the cumulative amount of such reserve funds reaches 50% of its registered capital unless laws regarding foreign investment provide otherwise. A PRC company shall not distribute any profits until any losses from prior fiscal years have been offset. Profits retained from prior fiscal years may be distributed together with distributable profits from the current fiscal year. In addition, failure to comply with the registration procedures set forth in the SAFE Circular 37 may result in bans on the foreign exchange activities of the relevant onshore company, including the payment of dividends and other distributions to its offshore parent or affiliates. See the section of this annual report captioned “Regulation—PRC Regulation—Regulations Related to Mergers and Acquisitions and Overseas Listings.”</w:t>
      </w:r>
    </w:p>
    <w:p>
      <w:pPr>
        <w:pStyle w:val="HorizontalLine"/>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385445"/>
                <wp:effectExtent l="0" t="0" r="0" b="0"/>
                <wp:wrapNone/>
                <wp:docPr id="86" name="Frame86"/>
                <a:graphic xmlns:a="http://schemas.openxmlformats.org/drawingml/2006/main">
                  <a:graphicData uri="http://schemas.microsoft.com/office/word/2010/wordprocessingShape">
                    <wps:wsp>
                      <wps:cNvSpPr txBox="1"/>
                      <wps:spPr>
                        <a:xfrm>
                          <a:off x="0" y="0"/>
                          <a:ext cx="6480175" cy="385445"/>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82</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82</w:t>
                      </w:r>
                    </w:p>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lineRule="auto" w:line="319" w:before="100" w:after="240"/>
        <w:jc w:val="both"/>
        <w:rPr>
          <w:rFonts w:ascii="Times New Roman;sans-serif" w:hAnsi="Times New Roman;sans-serif"/>
          <w:b w:val="false"/>
          <w:i/>
          <w:color w:val="000000"/>
          <w:sz w:val="20"/>
        </w:rPr>
      </w:pPr>
      <w:r>
        <w:rPr>
          <w:rFonts w:ascii="Times New Roman;sans-serif" w:hAnsi="Times New Roman;sans-serif"/>
          <w:b w:val="false"/>
          <w:i/>
          <w:color w:val="000000"/>
          <w:sz w:val="20"/>
        </w:rPr>
        <w:t>Regulations on Taxation</w:t>
      </w:r>
    </w:p>
    <w:p>
      <w:pPr>
        <w:pStyle w:val="TextBody"/>
        <w:spacing w:lineRule="auto" w:line="319" w:before="100" w:after="24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Enterprise Income Tax</w:t>
      </w:r>
    </w:p>
    <w:p>
      <w:pPr>
        <w:pStyle w:val="TextBody"/>
        <w:spacing w:lineRule="auto" w:line="319" w:before="100" w:after="240"/>
        <w:ind w:left="0" w:right="0" w:firstLine="720"/>
        <w:jc w:val="both"/>
        <w:rPr/>
      </w:pPr>
      <w:r>
        <w:rPr>
          <w:rFonts w:ascii="Times New Roman;sans-serif" w:hAnsi="Times New Roman;sans-serif"/>
          <w:b w:val="false"/>
          <w:color w:val="000000"/>
          <w:sz w:val="20"/>
        </w:rPr>
        <w:t xml:space="preserve">On March 16, 2007, the SCNPC promulgated the </w:t>
      </w:r>
      <w:r>
        <w:rPr>
          <w:rFonts w:ascii="Times New Roman;sans-serif" w:hAnsi="Times New Roman;sans-serif"/>
          <w:b w:val="false"/>
          <w:i/>
          <w:color w:val="000000"/>
          <w:sz w:val="20"/>
        </w:rPr>
        <w:t>Law of the PRC on Enterprise Income Tax</w:t>
      </w:r>
      <w:r>
        <w:rPr>
          <w:rFonts w:ascii="Times New Roman;sans-serif" w:hAnsi="Times New Roman;sans-serif"/>
          <w:b w:val="false"/>
          <w:color w:val="000000"/>
          <w:sz w:val="20"/>
        </w:rPr>
        <w:t xml:space="preserve">, which was amended on December 29, 2018 and on December 6, 2007, the State Council enacted the </w:t>
      </w:r>
      <w:r>
        <w:rPr>
          <w:rFonts w:ascii="Times New Roman;sans-serif" w:hAnsi="Times New Roman;sans-serif"/>
          <w:b w:val="false"/>
          <w:i/>
          <w:color w:val="000000"/>
          <w:sz w:val="20"/>
        </w:rPr>
        <w:t>Regulations for the Implementation of the Law on Enterprise Income Tax</w:t>
      </w:r>
      <w:r>
        <w:rPr>
          <w:rFonts w:ascii="Times New Roman;sans-serif" w:hAnsi="Times New Roman;sans-serif"/>
          <w:b w:val="false"/>
          <w:color w:val="000000"/>
          <w:sz w:val="20"/>
        </w:rPr>
        <w:t>, collectively, the EIT Law, which was amended on April 23, 2019. Under the EIT Law, both resident enterprises and non-resident enterprises are subject to tax in the PRC. Resident enterprises are defined as enterprises that are established in China in accordance with PRC laws, or that are established in accordance with the laws of foreign countries but are actually or in effect controlled from within the PRC. Non-resident enterprises are defined as enterprises that are organized under the laws of foreign countries and whose actual management is conducted outside the PRC, but have established institutions or premises in the PRC, or have no such established institutions or premises but have income generated from inside the PRC. Under the EIT Law and relevant implementing regulations, a uniform corporate income tax rate of 25% is applied. However, if non-resident enterprises have not formed permanent establishments or premises in the PRC, or if they have formed permanent establishment or premises in the PRC but there is no actual relationship between the relevant income derived in the PRC and the established institutions or premises set up by them, enterprise income tax is set at the rate of 20% with respect to their income sourced from inside the PRC.</w:t>
      </w:r>
    </w:p>
    <w:p>
      <w:pPr>
        <w:pStyle w:val="TextBody"/>
        <w:spacing w:lineRule="auto" w:line="319" w:before="100" w:after="24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Withholding Tax</w:t>
      </w:r>
    </w:p>
    <w:p>
      <w:pPr>
        <w:pStyle w:val="TextBody"/>
        <w:spacing w:lineRule="auto" w:line="319" w:before="10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EIT Law provides that since January 1, 2008, an income tax rate of 10% will normally be applicable to dividends declared to non-PRC resident enterprise investors which do not have an establishment or place of business in the PRC, or which have such establishment or place of business but the relevant income is not effectively connected with the establishment or place of business, to the extent such dividends are derived from sources within the PRC.</w:t>
      </w:r>
    </w:p>
    <w:p>
      <w:pPr>
        <w:pStyle w:val="TextBody"/>
        <w:spacing w:lineRule="auto" w:line="319" w:before="100" w:after="240"/>
        <w:ind w:left="0" w:right="0" w:firstLine="720"/>
        <w:jc w:val="both"/>
        <w:rPr/>
      </w:pPr>
      <w:r>
        <w:rPr>
          <w:rFonts w:ascii="Times New Roman;sans-serif" w:hAnsi="Times New Roman;sans-serif"/>
          <w:b w:val="false"/>
          <w:color w:val="000000"/>
          <w:sz w:val="20"/>
        </w:rPr>
        <w:t xml:space="preserve">Pursuant to an </w:t>
      </w:r>
      <w:r>
        <w:rPr>
          <w:rFonts w:ascii="Times New Roman;sans-serif" w:hAnsi="Times New Roman;sans-serif"/>
          <w:b w:val="false"/>
          <w:i/>
          <w:color w:val="000000"/>
          <w:sz w:val="20"/>
        </w:rPr>
        <w:t>Arrangement Between the Mainland of China and the Hong Kong Special Administrative Region for the Avoidance of Double Taxation and the Prevention of Fiscal Evasion with respect to Taxes on Income</w:t>
      </w:r>
      <w:r>
        <w:rPr>
          <w:rFonts w:ascii="Times New Roman;sans-serif" w:hAnsi="Times New Roman;sans-serif"/>
          <w:b w:val="false"/>
          <w:color w:val="000000"/>
          <w:sz w:val="20"/>
        </w:rPr>
        <w:t xml:space="preserve">, or the Double Tax Avoidance Arrangement, promulgated by the SAT on August 21, 2006, and other applicable PRC laws, if a Hong Kong resident enterprise is determined by the competent PRC tax authority to have satisfied the relevant conditions and requirements under such Double Tax Avoidance Arrangement and other applicable laws, the 10% withholding tax on the dividends the Hong Kong resident enterprise receives from a PRC resident enterprise may be reduced to 5%. However, based on the </w:t>
      </w:r>
      <w:r>
        <w:rPr>
          <w:rFonts w:ascii="Times New Roman;sans-serif" w:hAnsi="Times New Roman;sans-serif"/>
          <w:b w:val="false"/>
          <w:i/>
          <w:color w:val="000000"/>
          <w:sz w:val="20"/>
        </w:rPr>
        <w:t>Circular on Certain Issues with Respect to the Enforcement of Dividend Provisions in Tax Treaties,</w:t>
      </w:r>
      <w:r>
        <w:rPr>
          <w:color w:val="000000"/>
        </w:rPr>
        <w:t xml:space="preserve"> </w:t>
      </w:r>
      <w:r>
        <w:rPr>
          <w:rFonts w:ascii="Times New Roman;sans-serif" w:hAnsi="Times New Roman;sans-serif"/>
          <w:b w:val="false"/>
          <w:color w:val="000000"/>
          <w:sz w:val="20"/>
        </w:rPr>
        <w:t>or the SAT Circular 81, issued on February 20, 2009 by the SAT, if the relevant PRC tax authorities determine, in their discretion, that a company benefits from such reduced income tax rate due to a structure or arrangement that is primarily tax-driven, such PRC tax authorities may adjust the preferential tax treatment.</w:t>
      </w:r>
    </w:p>
    <w:p>
      <w:pPr>
        <w:pStyle w:val="TextBody"/>
        <w:spacing w:lineRule="auto" w:line="319" w:before="100" w:after="24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Value-added Tax</w:t>
      </w:r>
    </w:p>
    <w:p>
      <w:pPr>
        <w:pStyle w:val="TextBody"/>
        <w:spacing w:lineRule="auto" w:line="319" w:before="100" w:after="240"/>
        <w:ind w:left="0" w:right="0" w:firstLine="720"/>
        <w:jc w:val="both"/>
        <w:rPr/>
      </w:pPr>
      <w:r>
        <w:rPr>
          <w:rFonts w:ascii="Times New Roman;sans-serif" w:hAnsi="Times New Roman;sans-serif"/>
          <w:b w:val="false"/>
          <w:color w:val="000000"/>
          <w:sz w:val="20"/>
        </w:rPr>
        <w:t xml:space="preserve">The </w:t>
      </w:r>
      <w:r>
        <w:rPr>
          <w:rFonts w:ascii="Times New Roman;sans-serif" w:hAnsi="Times New Roman;sans-serif"/>
          <w:b w:val="false"/>
          <w:i/>
          <w:color w:val="000000"/>
          <w:sz w:val="20"/>
        </w:rPr>
        <w:t>Provisional Regulations of the PRC on Value-added Tax</w:t>
      </w:r>
      <w:r>
        <w:rPr>
          <w:rFonts w:ascii="Times New Roman;sans-serif" w:hAnsi="Times New Roman;sans-serif"/>
          <w:b w:val="false"/>
          <w:color w:val="000000"/>
          <w:sz w:val="20"/>
        </w:rPr>
        <w:t xml:space="preserve">, or the VAT Regulations, were promulgated by the State Council on December 13, 1993 and were most recently amended on November 19, 2017. The </w:t>
      </w:r>
      <w:r>
        <w:rPr>
          <w:rFonts w:ascii="Times New Roman;sans-serif" w:hAnsi="Times New Roman;sans-serif"/>
          <w:b w:val="false"/>
          <w:i/>
          <w:color w:val="000000"/>
          <w:sz w:val="20"/>
        </w:rPr>
        <w:t>Detailed Rules for the Implementation of the Provisional Regulations of the PRC on Value-added Tax</w:t>
      </w:r>
      <w:r>
        <w:rPr>
          <w:color w:val="000000"/>
        </w:rPr>
        <w:t xml:space="preserve"> </w:t>
      </w:r>
      <w:r>
        <w:rPr>
          <w:rFonts w:ascii="Times New Roman;sans-serif" w:hAnsi="Times New Roman;sans-serif"/>
          <w:b w:val="false"/>
          <w:color w:val="000000"/>
          <w:sz w:val="20"/>
        </w:rPr>
        <w:t xml:space="preserve">(Revised in 2011) were promulgated by the MOF on December 25, 1993 and amended on October 28, 2011, collectively with the VAT Regulations, the VAT Law. According to the VAT Law, all enterprises and individuals engaged in the sale of goods, the provision of processing, repair and replacement services, and the importation of goods within the territory of the PRC must pay value-added tax. For taxpayers providing value-added telecommunication services, a rate of 6% applies, according to the </w:t>
      </w:r>
      <w:r>
        <w:rPr>
          <w:rFonts w:ascii="Times New Roman;sans-serif" w:hAnsi="Times New Roman;sans-serif"/>
          <w:b w:val="false"/>
          <w:i/>
          <w:color w:val="000000"/>
          <w:sz w:val="20"/>
        </w:rPr>
        <w:t>Notice on Fully Promoting the Pilot Plan for Replacing Business Tax by Value-Added Tax</w:t>
      </w:r>
      <w:r>
        <w:rPr>
          <w:rFonts w:ascii="Times New Roman;sans-serif" w:hAnsi="Times New Roman;sans-serif"/>
          <w:b w:val="false"/>
          <w:color w:val="000000"/>
          <w:sz w:val="20"/>
        </w:rPr>
        <w:t xml:space="preserve">, </w:t>
      </w:r>
    </w:p>
    <w:p>
      <w:pPr>
        <w:pStyle w:val="HorizontalLine"/>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385445"/>
                <wp:effectExtent l="0" t="0" r="0" b="0"/>
                <wp:wrapNone/>
                <wp:docPr id="87" name="Frame87"/>
                <a:graphic xmlns:a="http://schemas.openxmlformats.org/drawingml/2006/main">
                  <a:graphicData uri="http://schemas.microsoft.com/office/word/2010/wordprocessingShape">
                    <wps:wsp>
                      <wps:cNvSpPr txBox="1"/>
                      <wps:spPr>
                        <a:xfrm>
                          <a:off x="0" y="0"/>
                          <a:ext cx="6480175" cy="385445"/>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83</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83</w:t>
                      </w:r>
                    </w:p>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lineRule="auto" w:line="319" w:before="100" w:after="240"/>
        <w:jc w:val="both"/>
        <w:rPr>
          <w:rFonts w:ascii="Times New Roman;sans-serif" w:hAnsi="Times New Roman;sans-serif"/>
          <w:b w:val="false"/>
          <w:color w:val="000000"/>
          <w:sz w:val="20"/>
        </w:rPr>
      </w:pPr>
      <w:r>
        <w:rPr>
          <w:rFonts w:ascii="Times New Roman;sans-serif" w:hAnsi="Times New Roman;sans-serif"/>
          <w:b w:val="false"/>
          <w:color w:val="000000"/>
          <w:sz w:val="20"/>
        </w:rPr>
        <w:t>which was jointly promulgated by the MOF and the SAT on March 23, 2016 and became effective on May 1, 2016, as amended.</w:t>
      </w:r>
    </w:p>
    <w:p>
      <w:pPr>
        <w:pStyle w:val="TextBody"/>
        <w:spacing w:lineRule="auto" w:line="319" w:before="100" w:after="240"/>
        <w:ind w:left="0" w:right="0" w:firstLine="720"/>
        <w:jc w:val="both"/>
        <w:rPr/>
      </w:pPr>
      <w:r>
        <w:rPr>
          <w:rFonts w:ascii="Times New Roman;sans-serif" w:hAnsi="Times New Roman;sans-serif"/>
          <w:b w:val="false"/>
          <w:color w:val="000000"/>
          <w:sz w:val="20"/>
        </w:rPr>
        <w:t xml:space="preserve">On April 4, 2018, the MOF and the SAT issued the </w:t>
      </w:r>
      <w:r>
        <w:rPr>
          <w:rFonts w:ascii="Times New Roman;sans-serif" w:hAnsi="Times New Roman;sans-serif"/>
          <w:b w:val="false"/>
          <w:i/>
          <w:color w:val="000000"/>
          <w:sz w:val="20"/>
        </w:rPr>
        <w:t>Notice on Adjustment of VAT Rates</w:t>
      </w:r>
      <w:r>
        <w:rPr>
          <w:rFonts w:ascii="Times New Roman;sans-serif" w:hAnsi="Times New Roman;sans-serif"/>
          <w:b w:val="false"/>
          <w:color w:val="000000"/>
          <w:sz w:val="20"/>
        </w:rPr>
        <w:t>, which came into effect on May 1, 2018. According to the notice, the taxable goods previously subject to VAT rates of 17% and 11% become subject to lower VAT rates of 16% and 10% starting from May 1, 2018.</w:t>
      </w:r>
    </w:p>
    <w:p>
      <w:pPr>
        <w:pStyle w:val="TextBody"/>
        <w:spacing w:lineRule="auto" w:line="319" w:before="100" w:after="240"/>
        <w:jc w:val="both"/>
        <w:rPr>
          <w:rFonts w:ascii="Times New Roman;sans-serif" w:hAnsi="Times New Roman;sans-serif"/>
          <w:b w:val="false"/>
          <w:i/>
          <w:color w:val="000000"/>
          <w:sz w:val="20"/>
        </w:rPr>
      </w:pPr>
      <w:r>
        <w:rPr>
          <w:rFonts w:ascii="Times New Roman;sans-serif" w:hAnsi="Times New Roman;sans-serif"/>
          <w:b w:val="false"/>
          <w:i/>
          <w:color w:val="000000"/>
          <w:sz w:val="20"/>
        </w:rPr>
        <w:t>Regulations on Employment</w:t>
      </w:r>
    </w:p>
    <w:p>
      <w:pPr>
        <w:pStyle w:val="TextBody"/>
        <w:spacing w:lineRule="auto" w:line="319" w:before="100" w:after="24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Labor Law and Labor Contract Law</w:t>
      </w:r>
    </w:p>
    <w:p>
      <w:pPr>
        <w:pStyle w:val="TextBody"/>
        <w:spacing w:lineRule="auto" w:line="319" w:before="100" w:after="240"/>
        <w:ind w:left="0" w:right="0" w:firstLine="720"/>
        <w:jc w:val="both"/>
        <w:rPr/>
      </w:pPr>
      <w:r>
        <w:rPr>
          <w:rFonts w:ascii="Times New Roman;sans-serif" w:hAnsi="Times New Roman;sans-serif"/>
          <w:b w:val="false"/>
          <w:color w:val="000000"/>
          <w:sz w:val="20"/>
        </w:rPr>
        <w:t xml:space="preserve">The </w:t>
      </w:r>
      <w:r>
        <w:rPr>
          <w:rFonts w:ascii="Times New Roman;sans-serif" w:hAnsi="Times New Roman;sans-serif"/>
          <w:b w:val="false"/>
          <w:i/>
          <w:color w:val="000000"/>
          <w:sz w:val="20"/>
        </w:rPr>
        <w:t>Labor Law</w:t>
      </w:r>
      <w:r>
        <w:rPr>
          <w:rFonts w:ascii="Times New Roman;sans-serif" w:hAnsi="Times New Roman;sans-serif"/>
          <w:b w:val="false"/>
          <w:color w:val="000000"/>
          <w:sz w:val="20"/>
        </w:rPr>
        <w:t>, which was promulgated on July 5, 1994 and most recently amended on December 29, 2018 and the Labor Contract Law of the PRC, or the Labor Contract Law, which took effect on January 1, 2008 and was amended on December 28, 2012, are primarily regulating rights and obligations of employer and employee relationships, including the establishment, performance and termination of labor contracts. Pursuant to the Labor Contract Law, labor contracts shall be concluded in writing if labor relationships are to be or have been established between employers and the employees. Employers are prohibited from forcing employees to work above certain time limit and employers shall pay employees for overtime work in accordance to national regulations. In addition, employee wages shall be no lower than local standards on minimum wages and shall be paid to employees timely. Violations of the Labor Contract Law and the Labor Law may result in the imposition of fines and other administrative and criminal liability in the case of serious violations.</w:t>
      </w:r>
    </w:p>
    <w:p>
      <w:pPr>
        <w:pStyle w:val="TextBody"/>
        <w:spacing w:lineRule="auto" w:line="319" w:before="100" w:after="240"/>
        <w:jc w:val="both"/>
        <w:rPr>
          <w:rFonts w:ascii="Times New Roman;sans-serif" w:hAnsi="Times New Roman;sans-serif"/>
          <w:b w:val="false"/>
          <w:i/>
          <w:color w:val="000000"/>
          <w:sz w:val="20"/>
        </w:rPr>
      </w:pPr>
      <w:r>
        <w:rPr>
          <w:rFonts w:ascii="Times New Roman;sans-serif" w:hAnsi="Times New Roman;sans-serif"/>
          <w:b w:val="false"/>
          <w:i/>
          <w:color w:val="000000"/>
          <w:sz w:val="20"/>
        </w:rPr>
        <w:t>Regulations on Social Insurance and Housing Fund</w:t>
      </w:r>
    </w:p>
    <w:p>
      <w:pPr>
        <w:pStyle w:val="TextBody"/>
        <w:spacing w:lineRule="auto" w:line="319" w:before="100" w:after="240"/>
        <w:ind w:left="0" w:right="0" w:firstLine="720"/>
        <w:jc w:val="both"/>
        <w:rPr/>
      </w:pPr>
      <w:r>
        <w:rPr>
          <w:rFonts w:ascii="Times New Roman;sans-serif" w:hAnsi="Times New Roman;sans-serif"/>
          <w:b w:val="false"/>
          <w:color w:val="000000"/>
          <w:sz w:val="20"/>
        </w:rPr>
        <w:t xml:space="preserve">Under the </w:t>
      </w:r>
      <w:r>
        <w:rPr>
          <w:rFonts w:ascii="Times New Roman;sans-serif" w:hAnsi="Times New Roman;sans-serif"/>
          <w:b w:val="false"/>
          <w:i/>
          <w:color w:val="000000"/>
          <w:sz w:val="20"/>
        </w:rPr>
        <w:t>Social Insurance Law of the PRC</w:t>
      </w:r>
      <w:r>
        <w:rPr>
          <w:color w:val="000000"/>
        </w:rPr>
        <w:t xml:space="preserve"> </w:t>
      </w:r>
      <w:r>
        <w:rPr>
          <w:rFonts w:ascii="Times New Roman;sans-serif" w:hAnsi="Times New Roman;sans-serif"/>
          <w:b w:val="false"/>
          <w:color w:val="000000"/>
          <w:sz w:val="20"/>
        </w:rPr>
        <w:t xml:space="preserve">that was promulgated by the SCNPC on October 28, 2010, came into force as of July 1, 2011 and amended on December 29, 2018 and the </w:t>
      </w:r>
      <w:r>
        <w:rPr>
          <w:rFonts w:ascii="Times New Roman;sans-serif" w:hAnsi="Times New Roman;sans-serif"/>
          <w:b w:val="false"/>
          <w:i/>
          <w:color w:val="000000"/>
          <w:sz w:val="20"/>
        </w:rPr>
        <w:t>Interim Regulations on the Collection and Payment of Social Insurance Premiums</w:t>
      </w:r>
      <w:r>
        <w:rPr>
          <w:color w:val="000000"/>
        </w:rPr>
        <w:t xml:space="preserve"> </w:t>
      </w:r>
      <w:r>
        <w:rPr>
          <w:rFonts w:ascii="Times New Roman;sans-serif" w:hAnsi="Times New Roman;sans-serif"/>
          <w:b w:val="false"/>
          <w:color w:val="000000"/>
          <w:sz w:val="20"/>
        </w:rPr>
        <w:t>that was promulgated by the State Council on January 22, 1999 and was amended on March 24, 2019, employers are required to pay basic endowment insurance, unemployment insurance, basic medical insurance, employment injury insurance, maternity insurance and other social insurance for its employees at specified percentages of the salaries of the employees, up to a maximum amount specified by the local government regulations from time to time. Where an employer fails to fully pay social insurance premiums, relevant social insurance collection agency shall order it to make up for any shortfall within a prescribed time limit, and may impose a late payment fee at the rate of 0.05% per day of the outstanding amount from the due date. If such employer still fails to make up for the shortfalls within the prescribed time limit, the relevant administrative authorities shall impose a fine of one to three times the outstanding amount upon such employer.</w:t>
      </w:r>
    </w:p>
    <w:p>
      <w:pPr>
        <w:pStyle w:val="TextBody"/>
        <w:spacing w:lineRule="auto" w:line="319" w:before="100" w:after="240"/>
        <w:ind w:left="0" w:right="0" w:firstLine="720"/>
        <w:jc w:val="both"/>
        <w:rPr/>
      </w:pPr>
      <w:r>
        <w:rPr>
          <w:rFonts w:ascii="Times New Roman;sans-serif" w:hAnsi="Times New Roman;sans-serif"/>
          <w:b w:val="false"/>
          <w:color w:val="000000"/>
          <w:sz w:val="20"/>
        </w:rPr>
        <w:t xml:space="preserve">In accordance with the </w:t>
      </w:r>
      <w:r>
        <w:rPr>
          <w:rFonts w:ascii="Times New Roman;sans-serif" w:hAnsi="Times New Roman;sans-serif"/>
          <w:b w:val="false"/>
          <w:i/>
          <w:color w:val="000000"/>
          <w:sz w:val="20"/>
        </w:rPr>
        <w:t>Regulations on the Management of Housing Fund</w:t>
      </w:r>
      <w:r>
        <w:rPr>
          <w:color w:val="000000"/>
        </w:rPr>
        <w:t xml:space="preserve"> </w:t>
      </w:r>
      <w:r>
        <w:rPr>
          <w:rFonts w:ascii="Times New Roman;sans-serif" w:hAnsi="Times New Roman;sans-serif"/>
          <w:b w:val="false"/>
          <w:color w:val="000000"/>
          <w:sz w:val="20"/>
        </w:rPr>
        <w:t>which was promulgated by the State Council in 1999 and amended in 2002 and 2019, employers must register at the designated administrative centers and open bank accounts for depositing employees’ housing funds. Employer and employee are also required to pay and deposit housing funds, with an amount no less than 5% of the monthly average salary of the employee in the preceding year in full and on time.</w:t>
      </w:r>
    </w:p>
    <w:p>
      <w:pPr>
        <w:pStyle w:val="HorizontalLine"/>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385445"/>
                <wp:effectExtent l="0" t="0" r="0" b="0"/>
                <wp:wrapNone/>
                <wp:docPr id="88" name="Frame88"/>
                <a:graphic xmlns:a="http://schemas.openxmlformats.org/drawingml/2006/main">
                  <a:graphicData uri="http://schemas.microsoft.com/office/word/2010/wordprocessingShape">
                    <wps:wsp>
                      <wps:cNvSpPr txBox="1"/>
                      <wps:spPr>
                        <a:xfrm>
                          <a:off x="0" y="0"/>
                          <a:ext cx="6480175" cy="385445"/>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84</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84</w:t>
                      </w:r>
                    </w:p>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lineRule="auto" w:line="319" w:before="100" w:after="240"/>
        <w:jc w:val="both"/>
        <w:rPr>
          <w:rFonts w:ascii="Times New Roman;sans-serif" w:hAnsi="Times New Roman;sans-serif"/>
          <w:b w:val="false"/>
          <w:i/>
          <w:color w:val="000000"/>
          <w:sz w:val="20"/>
        </w:rPr>
      </w:pPr>
      <w:r>
        <w:rPr>
          <w:rFonts w:ascii="Times New Roman;sans-serif" w:hAnsi="Times New Roman;sans-serif"/>
          <w:b w:val="false"/>
          <w:i/>
          <w:color w:val="000000"/>
          <w:sz w:val="20"/>
        </w:rPr>
        <w:t>Regulations on Employee Share Incentive Plans</w:t>
      </w:r>
    </w:p>
    <w:p>
      <w:pPr>
        <w:pStyle w:val="TextBody"/>
        <w:spacing w:lineRule="auto" w:line="319" w:before="100" w:after="240"/>
        <w:ind w:left="0" w:right="0" w:firstLine="720"/>
        <w:jc w:val="both"/>
        <w:rPr/>
      </w:pPr>
      <w:r>
        <w:rPr>
          <w:rFonts w:ascii="Times New Roman;sans-serif" w:hAnsi="Times New Roman;sans-serif"/>
          <w:b w:val="false"/>
          <w:color w:val="000000"/>
          <w:sz w:val="20"/>
        </w:rPr>
        <w:t xml:space="preserve">Pursuant to SAFE Circular 37, PRC residents who participate in share incentive plans in overseas non-publicly-listed companies may submit applications to SAFE or its local branches for the foreign exchange registration with respect to offshore special purpose companies. In addition, pursuant to the </w:t>
      </w:r>
      <w:r>
        <w:rPr>
          <w:rFonts w:ascii="Times New Roman;sans-serif" w:hAnsi="Times New Roman;sans-serif"/>
          <w:b w:val="false"/>
          <w:i/>
          <w:color w:val="000000"/>
          <w:sz w:val="20"/>
        </w:rPr>
        <w:t>Notice of Issues Related to the Foreign Exchange Administration for Domestic Individuals Participating in Stock Incentive Plan of Overseas Listed Company</w:t>
      </w:r>
      <w:r>
        <w:rPr>
          <w:rFonts w:ascii="Times New Roman;sans-serif" w:hAnsi="Times New Roman;sans-serif"/>
          <w:b w:val="false"/>
          <w:color w:val="000000"/>
          <w:sz w:val="20"/>
        </w:rPr>
        <w:t>, or SAFE Circular 7, which was issued by the SAFE on February 15, 2012, employees, directors, supervisors, and other senior management participating in any share incentive plan of an overseas publicly-listed company who are PRC citizens or who are non-PRC citizens residing in China for a continuous period of not less than one year, subject to a few exceptions, are required to register with SAFE through a domestic agency as regulated in SAFE Circular 7.</w:t>
      </w:r>
    </w:p>
    <w:p>
      <w:pPr>
        <w:pStyle w:val="TextBody"/>
        <w:spacing w:lineRule="auto" w:line="319" w:before="100" w:after="240"/>
        <w:ind w:left="0" w:right="0" w:firstLine="720"/>
        <w:jc w:val="both"/>
        <w:rPr/>
      </w:pPr>
      <w:r>
        <w:rPr>
          <w:rFonts w:ascii="Times New Roman;sans-serif" w:hAnsi="Times New Roman;sans-serif"/>
          <w:b w:val="false"/>
          <w:color w:val="000000"/>
          <w:sz w:val="20"/>
        </w:rPr>
        <w:t xml:space="preserve">In addition, the SAT has issued certain circulars concerning employee stock options and restricted shares, including the </w:t>
      </w:r>
      <w:r>
        <w:rPr>
          <w:rFonts w:ascii="Times New Roman;sans-serif" w:hAnsi="Times New Roman;sans-serif"/>
          <w:b w:val="false"/>
          <w:i/>
          <w:color w:val="000000"/>
          <w:sz w:val="20"/>
        </w:rPr>
        <w:t>Circular on Issues Concerning the Individual Income Tax on Share-option Incentives</w:t>
      </w:r>
      <w:r>
        <w:rPr>
          <w:rFonts w:ascii="Times New Roman;sans-serif" w:hAnsi="Times New Roman;sans-serif"/>
          <w:b w:val="false"/>
          <w:color w:val="000000"/>
          <w:sz w:val="20"/>
        </w:rPr>
        <w:t>, or the Circular 461, which was promulgated and took effective on August 24, 2009. Under Circular 461 and other relevant laws and regulations, employees working in the PRC who exercise stock options or are granted restricted shares will be subject to PRC individual income tax. The PRC subsidiaries of an overseas listed company are required to file documents related to employee stock options and restricted shares with relevant tax authorities and to withhold individual income taxes of employees who exercise their stock option or purchase restricted shares. If the employees fail to pay or the PRC subsidiaries fail to withhold income tax in accordance with relevant laws and regulations, the PRC subsidiary may face sanctions imposed by the tax authorities or other PRC governmental authorities.</w:t>
      </w:r>
    </w:p>
    <w:p>
      <w:pPr>
        <w:pStyle w:val="TextBody"/>
        <w:spacing w:lineRule="auto" w:line="319" w:before="100" w:after="240"/>
        <w:jc w:val="both"/>
        <w:rPr>
          <w:rFonts w:ascii="Times New Roman;sans-serif" w:hAnsi="Times New Roman;sans-serif"/>
          <w:b w:val="false"/>
          <w:i/>
          <w:color w:val="000000"/>
          <w:sz w:val="20"/>
        </w:rPr>
      </w:pPr>
      <w:r>
        <w:rPr>
          <w:rFonts w:ascii="Times New Roman;sans-serif" w:hAnsi="Times New Roman;sans-serif"/>
          <w:b w:val="false"/>
          <w:i/>
          <w:color w:val="000000"/>
          <w:sz w:val="20"/>
        </w:rPr>
        <w:t>Regulations Related to Mergers and Acquisitions and Overseas Listings</w:t>
      </w:r>
    </w:p>
    <w:p>
      <w:pPr>
        <w:pStyle w:val="TextBody"/>
        <w:spacing w:lineRule="auto" w:line="319" w:before="100" w:after="24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M&amp;A Rules</w:t>
      </w:r>
    </w:p>
    <w:p>
      <w:pPr>
        <w:pStyle w:val="TextBody"/>
        <w:spacing w:lineRule="auto" w:line="319" w:before="100" w:after="240"/>
        <w:ind w:left="0" w:right="0" w:firstLine="720"/>
        <w:jc w:val="both"/>
        <w:rPr/>
      </w:pPr>
      <w:r>
        <w:rPr>
          <w:rFonts w:ascii="Times New Roman;sans-serif" w:hAnsi="Times New Roman;sans-serif"/>
          <w:b w:val="false"/>
          <w:color w:val="000000"/>
          <w:sz w:val="20"/>
        </w:rPr>
        <w:t xml:space="preserve">On August 8, 2006, six PRC governmental and regulatory agencies, including MOFCOM and the China Securities Regulatory Commission, or the CSRC, promulgated the </w:t>
      </w:r>
      <w:r>
        <w:rPr>
          <w:rFonts w:ascii="Times New Roman;sans-serif" w:hAnsi="Times New Roman;sans-serif"/>
          <w:b w:val="false"/>
          <w:i/>
          <w:color w:val="000000"/>
          <w:sz w:val="20"/>
        </w:rPr>
        <w:t>Regulations on Mergers and Acquisitions of Domestic Enterprises by Foreign Investors</w:t>
      </w:r>
      <w:r>
        <w:rPr>
          <w:rFonts w:ascii="Times New Roman;sans-serif" w:hAnsi="Times New Roman;sans-serif"/>
          <w:b w:val="false"/>
          <w:color w:val="000000"/>
          <w:sz w:val="20"/>
        </w:rPr>
        <w:t>, or the M&amp;A Rules, governing the mergers and acquisitions of domestic enterprises by foreign investors that became effective on September 8, 2006 and was revised on June 22, 2009. The M&amp;A Rules, among other things, requires that offshore special purpose vehicles that are controlled by PRC companies or individuals and that have been formed for overseas listing purposes through acquisitions of PRC domestic interest held by such PRC companies or individuals, to obtain the approval of the CSRC prior to publicly listing their securities on an overseas stock exchange.</w:t>
      </w:r>
    </w:p>
    <w:p>
      <w:pPr>
        <w:pStyle w:val="TextBody"/>
        <w:spacing w:lineRule="auto" w:line="319" w:before="100" w:after="24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SAFE Circular 37</w:t>
      </w:r>
    </w:p>
    <w:p>
      <w:pPr>
        <w:pStyle w:val="TextBody"/>
        <w:spacing w:lineRule="auto" w:line="319" w:before="10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Under the Circular of the State Administration of Foreign Exchange on Issues Concerning the Foreign Exchange Administration over the Overseas Investment and Financing and Round-trip Investment by Domestic Residents via Special Purpose Vehicles, or the SAFE Circular 37, issued by the SAFE and effective on July 4, 2014, PRC residents are required to register with the local SAFE branch prior to the establishment or control of an offshore special purpose vehicle, or the SPV, which is defined as offshore enterprises directly established or indirectly controlled by PRC residents for offshore equity financing of the enterprise assets or interests they hold in China. An amendment to registration or subsequent filing with the local SAFE branch by such PRC resident is also required if there is any change in basic information of the offshore company or any material change with respect to the capital of the offshore company. At the same time, the SAFE has issued the Operation Guidance for the Issues Concerning Foreign Exchange Administration over Round-trip Investment regarding the procedures for SAFE registration under the SAFE Circular 37, which became effective on July 4, 2014 as an attachment of Circular 37.</w:t>
      </w:r>
    </w:p>
    <w:p>
      <w:pPr>
        <w:pStyle w:val="HorizontalLine"/>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385445"/>
                <wp:effectExtent l="0" t="0" r="0" b="0"/>
                <wp:wrapNone/>
                <wp:docPr id="89" name="Frame89"/>
                <a:graphic xmlns:a="http://schemas.openxmlformats.org/drawingml/2006/main">
                  <a:graphicData uri="http://schemas.microsoft.com/office/word/2010/wordprocessingShape">
                    <wps:wsp>
                      <wps:cNvSpPr txBox="1"/>
                      <wps:spPr>
                        <a:xfrm>
                          <a:off x="0" y="0"/>
                          <a:ext cx="6480175" cy="385445"/>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85</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85</w:t>
                      </w:r>
                    </w:p>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lineRule="auto" w:line="319" w:before="10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Under the relevant rules, failure to comply with the registration procedures set forth in the SAFE Circular 37 may result in bans on the foreign exchange activities of the relevant onshore company, including the payment of dividends and other distributions to its offshore parent or affiliates, and may also subject relevant PRC residents to penalties under PRC foreign exchange administration regulations.</w:t>
      </w:r>
    </w:p>
    <w:p>
      <w:pPr>
        <w:pStyle w:val="TextBody"/>
        <w:spacing w:lineRule="auto" w:line="319" w:before="100" w:after="100"/>
        <w:jc w:val="both"/>
        <w:rPr>
          <w:rFonts w:ascii="Times New Roman;sans-serif" w:hAnsi="Times New Roman;sans-serif"/>
          <w:b/>
          <w:i/>
          <w:color w:val="000000"/>
          <w:sz w:val="20"/>
        </w:rPr>
      </w:pPr>
      <w:r>
        <w:rPr>
          <w:rFonts w:ascii="Times New Roman;sans-serif" w:hAnsi="Times New Roman;sans-serif"/>
          <w:b/>
          <w:i/>
          <w:color w:val="000000"/>
          <w:sz w:val="20"/>
        </w:rPr>
        <w:t>U.S. Regulation</w:t>
      </w:r>
    </w:p>
    <w:p>
      <w:pPr>
        <w:pStyle w:val="TextBody"/>
        <w:spacing w:lineRule="auto" w:line="319" w:before="10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are subject to a number of U.S. federal and state laws and regulations that involve matters central to our business. These laws and regulations may involve privacy, cybersecurity, data protection, intellectual property, competition, consumer protection, export taxation, telecommunications or other subjects. For example, as a provider of products used in communications applications, we may be indirectly or directly subject to existing or potential Federal Communications Commission, or FCC, regulations relating to the Twenty-First Century Communications and Video Accessibility Act, Telecommunications Relay Service fund contributions and other requirements. These laws require providers of certain advanced communications services to make those services accessible to parties with disabilities, including the hardware or software applications they provide, and to keep records of their compliance obligations. These laws may also require service providers to pay certain fees to support FCC accessibility initiatives. If requirements under these laws were imposed on us indirectly by our customers or directly upon us by the FCC, we would be subject to certain product design, recordkeeping or fee contribution obligations. FCC classification of our internet voice communications products as telecommunications services could result in additional federal and state regulatory obligations. If we do not comply with FCC rules and regulations, we could be subject to FCC enforcement actions, fines, and possibly restrictions on our ability to operate or offer certain of our products. Any enforcement action by the FCC, which may be a public process, could hurt our reputation in the industry, possibly impair our ability to sell our products to customers and could adversely affect our business, operating results and financial condition.</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Many of the laws and regulations to which we are subject are still evolving and being tested in courts and could be interpreted in ways that could harm our business. In addition, the application and interpretation of these laws and regulations often are uncertain, particularly in the new and rapidly evolving industry in which we operate. Because these laws and regulations have continued to develop and evolve rapidly, it is possible that we may not be, or may not have been, compliant with each such applicable law or regulation.</w:t>
      </w:r>
    </w:p>
    <w:p>
      <w:pPr>
        <w:pStyle w:val="TextBody"/>
        <w:spacing w:lineRule="auto" w:line="319" w:before="0" w:after="240"/>
        <w:jc w:val="both"/>
        <w:rPr>
          <w:rFonts w:ascii="Times New Roman;sans-serif" w:hAnsi="Times New Roman;sans-serif"/>
          <w:b/>
          <w:i/>
          <w:color w:val="000000"/>
          <w:sz w:val="20"/>
        </w:rPr>
      </w:pPr>
      <w:r>
        <w:rPr>
          <w:rFonts w:ascii="Times New Roman;sans-serif" w:hAnsi="Times New Roman;sans-serif"/>
          <w:b/>
          <w:i/>
          <w:color w:val="000000"/>
          <w:sz w:val="20"/>
        </w:rPr>
        <w:t>C. Organizational Structure</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conduct our operations in the PRC mainly through Zhaoyan. We have effective control over Zhaoyan through a series of contractual arrangements by and among Dayin, Zhaoyan and Zhaoyan’s shareholders. These contractual arrangements, as described in more detail below, collectively allow us to (1) exercise effective control over Zhaoyan, (2) receive substantially all of the economic benefits of Zhaoyan and (3) purchase all or part of the equity interests in Zhaoyan pursuant to exclusive call option exercisable when so permitted under PRC laws. For more information, see “—Our Contractual Arrangements.”</w:t>
      </w:r>
    </w:p>
    <w:p>
      <w:pPr>
        <w:pStyle w:val="TextBody"/>
        <w:spacing w:lineRule="auto" w:line="319" w:before="0" w:after="240"/>
        <w:ind w:left="0" w:right="0" w:firstLine="720"/>
        <w:jc w:val="both"/>
        <w:rPr/>
      </w:pPr>
      <w:r>
        <w:rPr>
          <w:rFonts w:ascii="Times New Roman;sans-serif" w:hAnsi="Times New Roman;sans-serif"/>
          <w:b w:val="false"/>
          <w:color w:val="000000"/>
          <w:sz w:val="20"/>
        </w:rPr>
        <w:t>The following diagram illustrates our corporate structure as of the date of this annual report, including primarily our significant subsidiaries and VIE:</w:t>
      </w:r>
      <w:r>
        <w:rPr>
          <w:color w:val="000000"/>
        </w:rPr>
        <w:t xml:space="preserve"> </w:t>
      </w:r>
    </w:p>
    <w:p>
      <w:pPr>
        <w:pStyle w:val="HorizontalLine"/>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385445"/>
                <wp:effectExtent l="0" t="0" r="0" b="0"/>
                <wp:wrapNone/>
                <wp:docPr id="90" name="Frame90"/>
                <a:graphic xmlns:a="http://schemas.openxmlformats.org/drawingml/2006/main">
                  <a:graphicData uri="http://schemas.microsoft.com/office/word/2010/wordprocessingShape">
                    <wps:wsp>
                      <wps:cNvSpPr txBox="1"/>
                      <wps:spPr>
                        <a:xfrm>
                          <a:off x="0" y="0"/>
                          <a:ext cx="6480175" cy="385445"/>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86</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86</w:t>
                      </w:r>
                    </w:p>
                    <w:p>
                      <w:pPr>
                        <w:pStyle w:val="TextBody"/>
                        <w:spacing w:before="0" w:after="0"/>
                        <w:jc w:val="center"/>
                        <w:rPr/>
                      </w:pPr>
                      <w:r>
                        <w:rPr/>
                      </w:r>
                    </w:p>
                  </w:txbxContent>
                </v:textbox>
              </v:rect>
            </w:pict>
          </mc:Fallback>
        </mc:AlternateContent>
      </w:r>
    </w:p>
    <w:p>
      <w:pPr>
        <w:pStyle w:val="TextBody"/>
        <w:spacing w:before="0" w:after="0"/>
        <w:rPr/>
      </w:pPr>
      <w:r>
        <w:rPr/>
      </w:r>
    </w:p>
    <w:tbl>
      <w:tblPr>
        <w:tblW w:w="9615" w:type="dxa"/>
        <w:jc w:val="center"/>
        <w:tblInd w:w="0" w:type="dxa"/>
        <w:tblCellMar>
          <w:top w:w="28" w:type="dxa"/>
          <w:left w:w="28" w:type="dxa"/>
          <w:bottom w:w="28" w:type="dxa"/>
          <w:right w:w="28" w:type="dxa"/>
        </w:tblCellMar>
      </w:tblPr>
      <w:tblGrid>
        <w:gridCol w:w="711"/>
        <w:gridCol w:w="624"/>
        <w:gridCol w:w="624"/>
        <w:gridCol w:w="624"/>
        <w:gridCol w:w="624"/>
        <w:gridCol w:w="624"/>
        <w:gridCol w:w="624"/>
        <w:gridCol w:w="624"/>
        <w:gridCol w:w="624"/>
        <w:gridCol w:w="624"/>
        <w:gridCol w:w="624"/>
        <w:gridCol w:w="624"/>
        <w:gridCol w:w="624"/>
        <w:gridCol w:w="624"/>
        <w:gridCol w:w="638"/>
        <w:gridCol w:w="154"/>
      </w:tblGrid>
      <w:tr>
        <w:trPr/>
        <w:tc>
          <w:tcPr>
            <w:tcW w:w="711" w:type="dxa"/>
            <w:tcBorders/>
            <w:shd w:fill="auto" w:val="clear"/>
            <w:vAlign w:val="center"/>
          </w:tcPr>
          <w:p>
            <w:pPr>
              <w:pStyle w:val="TableContents"/>
              <w:spacing w:before="0" w:after="283"/>
              <w:rPr>
                <w:sz w:val="4"/>
                <w:szCs w:val="4"/>
              </w:rPr>
            </w:pPr>
            <w:r>
              <w:rPr>
                <w:sz w:val="4"/>
                <w:szCs w:val="4"/>
              </w:rPr>
            </w:r>
          </w:p>
        </w:tc>
        <w:tc>
          <w:tcPr>
            <w:tcW w:w="624" w:type="dxa"/>
            <w:tcBorders/>
            <w:shd w:fill="auto" w:val="clear"/>
            <w:vAlign w:val="center"/>
          </w:tcPr>
          <w:p>
            <w:pPr>
              <w:pStyle w:val="TableContents"/>
              <w:spacing w:before="0" w:after="283"/>
              <w:rPr>
                <w:sz w:val="4"/>
                <w:szCs w:val="4"/>
              </w:rPr>
            </w:pPr>
            <w:r>
              <w:rPr>
                <w:sz w:val="4"/>
                <w:szCs w:val="4"/>
              </w:rPr>
            </w:r>
          </w:p>
        </w:tc>
        <w:tc>
          <w:tcPr>
            <w:tcW w:w="624" w:type="dxa"/>
            <w:tcBorders/>
            <w:shd w:fill="auto" w:val="clear"/>
            <w:vAlign w:val="center"/>
          </w:tcPr>
          <w:p>
            <w:pPr>
              <w:pStyle w:val="TableContents"/>
              <w:spacing w:before="0" w:after="283"/>
              <w:rPr>
                <w:sz w:val="4"/>
                <w:szCs w:val="4"/>
              </w:rPr>
            </w:pPr>
            <w:r>
              <w:rPr>
                <w:sz w:val="4"/>
                <w:szCs w:val="4"/>
              </w:rPr>
            </w:r>
          </w:p>
        </w:tc>
        <w:tc>
          <w:tcPr>
            <w:tcW w:w="624" w:type="dxa"/>
            <w:tcBorders/>
            <w:shd w:fill="auto" w:val="clear"/>
            <w:vAlign w:val="center"/>
          </w:tcPr>
          <w:p>
            <w:pPr>
              <w:pStyle w:val="TableContents"/>
              <w:spacing w:before="0" w:after="283"/>
              <w:rPr>
                <w:sz w:val="4"/>
                <w:szCs w:val="4"/>
              </w:rPr>
            </w:pPr>
            <w:r>
              <w:rPr>
                <w:sz w:val="4"/>
                <w:szCs w:val="4"/>
              </w:rPr>
            </w:r>
          </w:p>
        </w:tc>
        <w:tc>
          <w:tcPr>
            <w:tcW w:w="624" w:type="dxa"/>
            <w:tcBorders/>
            <w:shd w:fill="auto" w:val="clear"/>
            <w:vAlign w:val="center"/>
          </w:tcPr>
          <w:p>
            <w:pPr>
              <w:pStyle w:val="TableContents"/>
              <w:spacing w:before="0" w:after="283"/>
              <w:rPr>
                <w:sz w:val="4"/>
                <w:szCs w:val="4"/>
              </w:rPr>
            </w:pPr>
            <w:r>
              <w:rPr>
                <w:sz w:val="4"/>
                <w:szCs w:val="4"/>
              </w:rPr>
            </w:r>
          </w:p>
        </w:tc>
        <w:tc>
          <w:tcPr>
            <w:tcW w:w="624" w:type="dxa"/>
            <w:tcBorders/>
            <w:shd w:fill="auto" w:val="clear"/>
            <w:vAlign w:val="center"/>
          </w:tcPr>
          <w:p>
            <w:pPr>
              <w:pStyle w:val="TableContents"/>
              <w:spacing w:before="0" w:after="283"/>
              <w:rPr>
                <w:sz w:val="4"/>
                <w:szCs w:val="4"/>
              </w:rPr>
            </w:pPr>
            <w:r>
              <w:rPr>
                <w:sz w:val="4"/>
                <w:szCs w:val="4"/>
              </w:rPr>
            </w:r>
          </w:p>
        </w:tc>
        <w:tc>
          <w:tcPr>
            <w:tcW w:w="624" w:type="dxa"/>
            <w:tcBorders/>
            <w:shd w:fill="auto" w:val="clear"/>
            <w:vAlign w:val="center"/>
          </w:tcPr>
          <w:p>
            <w:pPr>
              <w:pStyle w:val="TableContents"/>
              <w:spacing w:before="0" w:after="283"/>
              <w:rPr>
                <w:sz w:val="4"/>
                <w:szCs w:val="4"/>
              </w:rPr>
            </w:pPr>
            <w:r>
              <w:rPr>
                <w:sz w:val="4"/>
                <w:szCs w:val="4"/>
              </w:rPr>
            </w:r>
          </w:p>
        </w:tc>
        <w:tc>
          <w:tcPr>
            <w:tcW w:w="624" w:type="dxa"/>
            <w:tcBorders/>
            <w:shd w:fill="auto" w:val="clear"/>
            <w:vAlign w:val="center"/>
          </w:tcPr>
          <w:p>
            <w:pPr>
              <w:pStyle w:val="TableContents"/>
              <w:spacing w:before="0" w:after="283"/>
              <w:rPr>
                <w:sz w:val="4"/>
                <w:szCs w:val="4"/>
              </w:rPr>
            </w:pPr>
            <w:r>
              <w:rPr>
                <w:sz w:val="4"/>
                <w:szCs w:val="4"/>
              </w:rPr>
            </w:r>
          </w:p>
        </w:tc>
        <w:tc>
          <w:tcPr>
            <w:tcW w:w="624" w:type="dxa"/>
            <w:tcBorders/>
            <w:shd w:fill="auto" w:val="clear"/>
            <w:vAlign w:val="center"/>
          </w:tcPr>
          <w:p>
            <w:pPr>
              <w:pStyle w:val="TableContents"/>
              <w:spacing w:before="0" w:after="283"/>
              <w:rPr>
                <w:sz w:val="4"/>
                <w:szCs w:val="4"/>
              </w:rPr>
            </w:pPr>
            <w:r>
              <w:rPr>
                <w:sz w:val="4"/>
                <w:szCs w:val="4"/>
              </w:rPr>
            </w:r>
          </w:p>
        </w:tc>
        <w:tc>
          <w:tcPr>
            <w:tcW w:w="624" w:type="dxa"/>
            <w:tcBorders/>
            <w:shd w:fill="auto" w:val="clear"/>
            <w:vAlign w:val="center"/>
          </w:tcPr>
          <w:p>
            <w:pPr>
              <w:pStyle w:val="TableContents"/>
              <w:spacing w:before="0" w:after="283"/>
              <w:rPr>
                <w:sz w:val="4"/>
                <w:szCs w:val="4"/>
              </w:rPr>
            </w:pPr>
            <w:r>
              <w:rPr>
                <w:sz w:val="4"/>
                <w:szCs w:val="4"/>
              </w:rPr>
            </w:r>
          </w:p>
        </w:tc>
        <w:tc>
          <w:tcPr>
            <w:tcW w:w="624" w:type="dxa"/>
            <w:tcBorders/>
            <w:shd w:fill="auto" w:val="clear"/>
            <w:vAlign w:val="center"/>
          </w:tcPr>
          <w:p>
            <w:pPr>
              <w:pStyle w:val="TableContents"/>
              <w:spacing w:before="0" w:after="283"/>
              <w:rPr>
                <w:sz w:val="4"/>
                <w:szCs w:val="4"/>
              </w:rPr>
            </w:pPr>
            <w:r>
              <w:rPr>
                <w:sz w:val="4"/>
                <w:szCs w:val="4"/>
              </w:rPr>
            </w:r>
          </w:p>
        </w:tc>
        <w:tc>
          <w:tcPr>
            <w:tcW w:w="624" w:type="dxa"/>
            <w:tcBorders/>
            <w:shd w:fill="auto" w:val="clear"/>
            <w:vAlign w:val="center"/>
          </w:tcPr>
          <w:p>
            <w:pPr>
              <w:pStyle w:val="TableContents"/>
              <w:spacing w:before="0" w:after="283"/>
              <w:rPr>
                <w:sz w:val="4"/>
                <w:szCs w:val="4"/>
              </w:rPr>
            </w:pPr>
            <w:r>
              <w:rPr>
                <w:sz w:val="4"/>
                <w:szCs w:val="4"/>
              </w:rPr>
            </w:r>
          </w:p>
        </w:tc>
        <w:tc>
          <w:tcPr>
            <w:tcW w:w="624" w:type="dxa"/>
            <w:tcBorders/>
            <w:shd w:fill="auto" w:val="clear"/>
            <w:vAlign w:val="center"/>
          </w:tcPr>
          <w:p>
            <w:pPr>
              <w:pStyle w:val="TableContents"/>
              <w:spacing w:before="0" w:after="283"/>
              <w:rPr>
                <w:sz w:val="4"/>
                <w:szCs w:val="4"/>
              </w:rPr>
            </w:pPr>
            <w:r>
              <w:rPr>
                <w:sz w:val="4"/>
                <w:szCs w:val="4"/>
              </w:rPr>
            </w:r>
          </w:p>
        </w:tc>
        <w:tc>
          <w:tcPr>
            <w:tcW w:w="624" w:type="dxa"/>
            <w:tcBorders/>
            <w:shd w:fill="auto" w:val="clear"/>
            <w:vAlign w:val="center"/>
          </w:tcPr>
          <w:p>
            <w:pPr>
              <w:pStyle w:val="TableContents"/>
              <w:spacing w:before="0" w:after="283"/>
              <w:rPr>
                <w:sz w:val="4"/>
                <w:szCs w:val="4"/>
              </w:rPr>
            </w:pPr>
            <w:r>
              <w:rPr>
                <w:sz w:val="4"/>
                <w:szCs w:val="4"/>
              </w:rPr>
            </w:r>
          </w:p>
        </w:tc>
        <w:tc>
          <w:tcPr>
            <w:tcW w:w="638"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tcPr>
          <w:p>
            <w:pPr>
              <w:pStyle w:val="TableContents"/>
              <w:spacing w:before="0" w:after="283"/>
              <w:rPr>
                <w:sz w:val="4"/>
                <w:szCs w:val="4"/>
              </w:rPr>
            </w:pPr>
            <w:r>
              <w:rPr>
                <w:sz w:val="4"/>
                <w:szCs w:val="4"/>
              </w:rPr>
            </w:r>
          </w:p>
        </w:tc>
      </w:tr>
      <w:tr>
        <w:trPr/>
        <w:tc>
          <w:tcPr>
            <w:tcW w:w="9461" w:type="dxa"/>
            <w:gridSpan w:val="15"/>
            <w:vMerge w:val="restart"/>
            <w:tcBorders/>
            <w:shd w:fill="auto" w:val="clear"/>
            <w:tcMar>
              <w:top w:w="0" w:type="dxa"/>
              <w:left w:w="0" w:type="dxa"/>
              <w:bottom w:w="0" w:type="dxa"/>
              <w:right w:w="0" w:type="dxa"/>
            </w:tcMar>
            <w:vAlign w:val="center"/>
          </w:tcPr>
          <w:p>
            <w:pPr>
              <w:pStyle w:val="TableContents"/>
              <w:spacing w:before="0" w:after="0"/>
              <w:jc w:val="center"/>
              <w:rPr/>
            </w:pPr>
            <w:r>
              <w:rPr/>
              <w:drawing>
                <wp:inline distT="0" distB="63500" distL="0" distR="0">
                  <wp:extent cx="5943600" cy="4133850"/>
                  <wp:effectExtent l="0" t="0" r="0" b="0"/>
                  <wp:docPr id="9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1" descr=""/>
                          <pic:cNvPicPr>
                            <a:picLocks noChangeAspect="1" noChangeArrowheads="1"/>
                          </pic:cNvPicPr>
                        </pic:nvPicPr>
                        <pic:blipFill>
                          <a:blip r:embed="rId2"/>
                          <a:stretch>
                            <a:fillRect/>
                          </a:stretch>
                        </pic:blipFill>
                        <pic:spPr bwMode="auto">
                          <a:xfrm>
                            <a:off x="0" y="0"/>
                            <a:ext cx="5943600" cy="4133850"/>
                          </a:xfrm>
                          <a:prstGeom prst="rect">
                            <a:avLst/>
                          </a:prstGeom>
                        </pic:spPr>
                      </pic:pic>
                    </a:graphicData>
                  </a:graphic>
                </wp:inline>
              </w:drawing>
            </w:r>
          </w:p>
        </w:tc>
        <w:tc>
          <w:tcPr>
            <w:tcW w:w="154" w:type="dxa"/>
            <w:tcBorders/>
            <w:shd w:fill="auto" w:val="clear"/>
          </w:tcPr>
          <w:p>
            <w:pPr>
              <w:pStyle w:val="TableContents"/>
              <w:spacing w:before="0" w:after="283"/>
              <w:rPr>
                <w:sz w:val="4"/>
                <w:szCs w:val="4"/>
              </w:rPr>
            </w:pPr>
            <w:r>
              <w:rPr>
                <w:sz w:val="4"/>
                <w:szCs w:val="4"/>
              </w:rPr>
            </w:r>
          </w:p>
        </w:tc>
      </w:tr>
      <w:tr>
        <w:trPr/>
        <w:tc>
          <w:tcPr>
            <w:tcW w:w="9461" w:type="dxa"/>
            <w:gridSpan w:val="15"/>
            <w:vMerge w:val="continue"/>
            <w:tcBorders/>
            <w:shd w:fill="auto" w:val="clear"/>
            <w:tcMar>
              <w:top w:w="0" w:type="dxa"/>
              <w:left w:w="0" w:type="dxa"/>
              <w:bottom w:w="0" w:type="dxa"/>
              <w:right w:w="0" w:type="dxa"/>
            </w:tcMar>
            <w:vAlign w:val="center"/>
          </w:tcPr>
          <w:p>
            <w:pPr>
              <w:pStyle w:val="Normal"/>
              <w:rPr/>
            </w:pPr>
            <w:r>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9461" w:type="dxa"/>
            <w:gridSpan w:val="15"/>
            <w:vMerge w:val="continue"/>
            <w:tcBorders/>
            <w:shd w:fill="auto" w:val="clear"/>
            <w:tcMar>
              <w:top w:w="0" w:type="dxa"/>
              <w:left w:w="0" w:type="dxa"/>
              <w:bottom w:w="0" w:type="dxa"/>
              <w:right w:w="0" w:type="dxa"/>
            </w:tcMar>
            <w:vAlign w:val="center"/>
          </w:tcPr>
          <w:p>
            <w:pPr>
              <w:pStyle w:val="Normal"/>
              <w:rPr/>
            </w:pPr>
            <w:r>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9461" w:type="dxa"/>
            <w:gridSpan w:val="15"/>
            <w:vMerge w:val="continue"/>
            <w:tcBorders/>
            <w:shd w:fill="auto" w:val="clear"/>
            <w:tcMar>
              <w:top w:w="0" w:type="dxa"/>
              <w:left w:w="0" w:type="dxa"/>
              <w:bottom w:w="0" w:type="dxa"/>
              <w:right w:w="0" w:type="dxa"/>
            </w:tcMar>
            <w:vAlign w:val="center"/>
          </w:tcPr>
          <w:p>
            <w:pPr>
              <w:pStyle w:val="Normal"/>
              <w:rPr/>
            </w:pPr>
            <w:r>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9461" w:type="dxa"/>
            <w:gridSpan w:val="15"/>
            <w:vMerge w:val="continue"/>
            <w:tcBorders/>
            <w:shd w:fill="auto" w:val="clear"/>
            <w:tcMar>
              <w:top w:w="0" w:type="dxa"/>
              <w:left w:w="0" w:type="dxa"/>
              <w:bottom w:w="0" w:type="dxa"/>
              <w:right w:w="0" w:type="dxa"/>
            </w:tcMar>
            <w:vAlign w:val="center"/>
          </w:tcPr>
          <w:p>
            <w:pPr>
              <w:pStyle w:val="Normal"/>
              <w:rPr/>
            </w:pPr>
            <w:r>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9461" w:type="dxa"/>
            <w:gridSpan w:val="15"/>
            <w:vMerge w:val="continue"/>
            <w:tcBorders/>
            <w:shd w:fill="auto" w:val="clear"/>
            <w:tcMar>
              <w:top w:w="0" w:type="dxa"/>
              <w:left w:w="0" w:type="dxa"/>
              <w:bottom w:w="0" w:type="dxa"/>
              <w:right w:w="0" w:type="dxa"/>
            </w:tcMar>
            <w:vAlign w:val="center"/>
          </w:tcPr>
          <w:p>
            <w:pPr>
              <w:pStyle w:val="Normal"/>
              <w:rPr/>
            </w:pPr>
            <w:r>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9461" w:type="dxa"/>
            <w:gridSpan w:val="15"/>
            <w:vMerge w:val="continue"/>
            <w:tcBorders/>
            <w:shd w:fill="auto" w:val="clear"/>
            <w:tcMar>
              <w:top w:w="0" w:type="dxa"/>
              <w:left w:w="0" w:type="dxa"/>
              <w:bottom w:w="0" w:type="dxa"/>
              <w:right w:w="0" w:type="dxa"/>
            </w:tcMar>
            <w:vAlign w:val="center"/>
          </w:tcPr>
          <w:p>
            <w:pPr>
              <w:pStyle w:val="Normal"/>
              <w:rPr/>
            </w:pPr>
            <w:r>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9461" w:type="dxa"/>
            <w:gridSpan w:val="15"/>
            <w:vMerge w:val="continue"/>
            <w:tcBorders/>
            <w:shd w:fill="auto" w:val="clear"/>
            <w:tcMar>
              <w:top w:w="0" w:type="dxa"/>
              <w:left w:w="0" w:type="dxa"/>
              <w:bottom w:w="0" w:type="dxa"/>
              <w:right w:w="0" w:type="dxa"/>
            </w:tcMar>
            <w:vAlign w:val="center"/>
          </w:tcPr>
          <w:p>
            <w:pPr>
              <w:pStyle w:val="Normal"/>
              <w:rPr/>
            </w:pPr>
            <w:r>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9461" w:type="dxa"/>
            <w:gridSpan w:val="15"/>
            <w:vMerge w:val="continue"/>
            <w:tcBorders/>
            <w:shd w:fill="auto" w:val="clear"/>
            <w:tcMar>
              <w:top w:w="0" w:type="dxa"/>
              <w:left w:w="0" w:type="dxa"/>
              <w:bottom w:w="0" w:type="dxa"/>
              <w:right w:w="0" w:type="dxa"/>
            </w:tcMar>
            <w:vAlign w:val="center"/>
          </w:tcPr>
          <w:p>
            <w:pPr>
              <w:pStyle w:val="Normal"/>
              <w:rPr/>
            </w:pPr>
            <w:r>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9461" w:type="dxa"/>
            <w:gridSpan w:val="15"/>
            <w:vMerge w:val="continue"/>
            <w:tcBorders/>
            <w:shd w:fill="auto" w:val="clear"/>
            <w:tcMar>
              <w:top w:w="0" w:type="dxa"/>
              <w:left w:w="0" w:type="dxa"/>
              <w:bottom w:w="0" w:type="dxa"/>
              <w:right w:w="0" w:type="dxa"/>
            </w:tcMar>
            <w:vAlign w:val="center"/>
          </w:tcPr>
          <w:p>
            <w:pPr>
              <w:pStyle w:val="Normal"/>
              <w:rPr/>
            </w:pPr>
            <w:r>
              <w:rPr/>
            </w:r>
          </w:p>
        </w:tc>
        <w:tc>
          <w:tcPr>
            <w:tcW w:w="154" w:type="dxa"/>
            <w:tcBorders/>
            <w:shd w:fill="auto" w:val="clear"/>
            <w:vAlign w:val="center"/>
          </w:tcPr>
          <w:p>
            <w:pPr>
              <w:pStyle w:val="TableContents"/>
              <w:spacing w:before="0" w:after="283"/>
              <w:rPr>
                <w:sz w:val="4"/>
                <w:szCs w:val="4"/>
              </w:rPr>
            </w:pPr>
            <w:r>
              <w:rPr>
                <w:sz w:val="4"/>
                <w:szCs w:val="4"/>
              </w:rPr>
            </w:r>
          </w:p>
        </w:tc>
      </w:tr>
    </w:tbl>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(1)Mr. Zhao, our founder, chief executive officer and chairman, holds 90% of the equity interests in Zhaoyan, and Ms. Yan Chen, an employee and a nominee shareholder, holds the remaining 10%.</w:t>
      </w:r>
    </w:p>
    <w:p>
      <w:pPr>
        <w:pStyle w:val="TextBody"/>
        <w:spacing w:before="0" w:after="0"/>
        <w:rPr/>
      </w:pPr>
      <w:r>
        <w:rPr/>
      </w:r>
    </w:p>
    <w:p>
      <w:pPr>
        <w:pStyle w:val="TextBody"/>
        <w:spacing w:lineRule="auto" w:line="556" w:before="0" w:after="0"/>
        <w:rPr>
          <w:rFonts w:ascii="Times New Roman;sans-serif" w:hAnsi="Times New Roman;sans-serif"/>
          <w:b/>
          <w:color w:val="000000"/>
          <w:sz w:val="20"/>
        </w:rPr>
      </w:pPr>
      <w:r>
        <w:rPr>
          <w:rFonts w:ascii="Times New Roman;sans-serif" w:hAnsi="Times New Roman;sans-serif"/>
          <w:b/>
          <w:color w:val="000000"/>
          <w:sz w:val="20"/>
        </w:rPr>
        <w:t>Contractual Arrangements among Dayin, Zhaoyan and Zhaoyan’s Shareholders</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Below is a summary of the currently effective contractual arrangements by and among Dayin, Zhaoyan and Zhaoyan’s shareholders.</w:t>
      </w:r>
    </w:p>
    <w:p>
      <w:pPr>
        <w:pStyle w:val="TextBody"/>
        <w:spacing w:lineRule="auto" w:line="319" w:before="0" w:after="240"/>
        <w:jc w:val="both"/>
        <w:rPr>
          <w:rFonts w:ascii="Times New Roman;sans-serif" w:hAnsi="Times New Roman;sans-serif"/>
          <w:b/>
          <w:i/>
          <w:color w:val="000000"/>
          <w:sz w:val="20"/>
        </w:rPr>
      </w:pPr>
      <w:r>
        <w:rPr>
          <w:rFonts w:ascii="Times New Roman;sans-serif" w:hAnsi="Times New Roman;sans-serif"/>
          <w:b/>
          <w:i/>
          <w:color w:val="000000"/>
          <w:sz w:val="20"/>
        </w:rPr>
        <w:t>Agreements that Provide us with Effective Control over Zhaoyan</w:t>
      </w:r>
    </w:p>
    <w:p>
      <w:pPr>
        <w:pStyle w:val="TextBody"/>
        <w:spacing w:lineRule="auto" w:line="319" w:before="0" w:after="240"/>
        <w:ind w:left="0" w:right="0" w:firstLine="720"/>
        <w:jc w:val="both"/>
        <w:rPr/>
      </w:pPr>
      <w:r>
        <w:rPr>
          <w:rFonts w:ascii="Times New Roman;sans-serif" w:hAnsi="Times New Roman;sans-serif"/>
          <w:b w:val="false"/>
          <w:i/>
          <w:color w:val="000000"/>
          <w:sz w:val="20"/>
        </w:rPr>
        <w:t>Share Pledge Agreement</w:t>
      </w:r>
      <w:r>
        <w:rPr>
          <w:rFonts w:ascii="Times New Roman;sans-serif" w:hAnsi="Times New Roman;sans-serif"/>
          <w:b w:val="false"/>
          <w:color w:val="000000"/>
          <w:sz w:val="20"/>
        </w:rPr>
        <w:t xml:space="preserve">. Pursuant to the Share Pledge Agreement, dated June 18, 2015, by and among Dayin, Zhaoyan and Zhaoyan’s then shareholders, and a joinder agreement entered into by and among Ms. Yan Chen, Dayin and Zhaoyan on January 19, 2021, each of Zhaoyan’s shareholders pledged and the joinder shareholder agrees to pledge all of their equity interests in Zhaoyan to Dayin to guarantee their and Zhaoyan’s performance of their obligations under the contractual arrangements. In the event of a breach by Zhaoyan or Zhaoyan’s shareholders of contractual obligations under these agreements, Dayin, as pledgee, will be entitled to dispose of the pledged equity interests in Zhaoyan. The shareholders of Zhaoyan also undertake that, during the term of the share pledge agreement, without the prior written consent of Dayin, they shall not dispose of the pledged equity interests, create or allow any encumbrance on the pledged equity interests or increase the registered capital of Zhaoyan. If there is any increased registered capital pursuant to the terms of this agreement, such increased registered capital would also be deemed as pledged equity interest. Following the terms of the Share Pledge Agreement, the shareholders of </w:t>
      </w:r>
    </w:p>
    <w:p>
      <w:pPr>
        <w:pStyle w:val="HorizontalLine"/>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385445"/>
                <wp:effectExtent l="0" t="0" r="0" b="0"/>
                <wp:wrapNone/>
                <wp:docPr id="92" name="Frame91"/>
                <a:graphic xmlns:a="http://schemas.openxmlformats.org/drawingml/2006/main">
                  <a:graphicData uri="http://schemas.microsoft.com/office/word/2010/wordprocessingShape">
                    <wps:wsp>
                      <wps:cNvSpPr txBox="1"/>
                      <wps:spPr>
                        <a:xfrm>
                          <a:off x="0" y="0"/>
                          <a:ext cx="6480175" cy="385445"/>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87</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87</w:t>
                      </w:r>
                    </w:p>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lineRule="auto" w:line="319"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Zhaoyan, except for the joinder shareholder, have registered the pledge at the State Administration for Market Regulation on July 29, 2015. The joinder shareholder shall register the pledge in the future. </w:t>
      </w:r>
    </w:p>
    <w:p>
      <w:pPr>
        <w:pStyle w:val="TextBody"/>
        <w:spacing w:lineRule="auto" w:line="319" w:before="0" w:after="240"/>
        <w:ind w:left="0" w:right="0" w:firstLine="720"/>
        <w:jc w:val="both"/>
        <w:rPr/>
      </w:pPr>
      <w:r>
        <w:rPr>
          <w:rFonts w:ascii="Times New Roman;sans-serif" w:hAnsi="Times New Roman;sans-serif"/>
          <w:b w:val="false"/>
          <w:i/>
          <w:color w:val="000000"/>
          <w:sz w:val="20"/>
        </w:rPr>
        <w:t>Voting Rights Proxy Agreement and Irrevocable Powers of Attorney</w:t>
      </w:r>
      <w:r>
        <w:rPr>
          <w:rFonts w:ascii="Times New Roman;sans-serif" w:hAnsi="Times New Roman;sans-serif"/>
          <w:b w:val="false"/>
          <w:color w:val="000000"/>
          <w:sz w:val="20"/>
        </w:rPr>
        <w:t>. Under the Voting Rights Proxy Agreement, dated as of June 18, 2015, by and among Dayin, Zhaoyan and Zhaoyan’s then shareholders, the related irrevocable powers of attorney executed by Zhaoyan’s then shareholders on the same date pursuant to the Voting Rights Proxy Agreement, and a joinder agreement entered into by and among Ms. Yan Chen, Dayin and Zhaoyan on January 19, 2021, each of Zhaoyan’s shareholders irrevocably granted Dayin’s designated representative full power of attorney to exercise his or her rights as a shareholder of Zhaoyan, including rights to convene and attend shareholders’ meetings, nominate and elect directors, and appoint and dismiss the senior management of Zhaoyan. Unless otherwise agreed pursuant to the Voting Rights Proxy Agreement, it will remain effective until the earlier of: (1) the end of a ten-year term, which will automatically extend annually unless Dayin provides 30 days’ prior written notice to Zhaoyan and Zhaoyan’s shareholders; and (2) the termination of the term of operation of Zhaoyan. The related irrevocable powers of attorney will remain effective until the expiration or early termination of the Voting Rights Proxy Agreement.</w:t>
      </w:r>
    </w:p>
    <w:p>
      <w:pPr>
        <w:pStyle w:val="TextBody"/>
        <w:spacing w:lineRule="auto" w:line="319" w:before="0" w:after="240"/>
        <w:jc w:val="both"/>
        <w:rPr>
          <w:rFonts w:ascii="Times New Roman;sans-serif" w:hAnsi="Times New Roman;sans-serif"/>
          <w:b/>
          <w:i/>
          <w:color w:val="000000"/>
          <w:sz w:val="20"/>
        </w:rPr>
      </w:pPr>
      <w:r>
        <w:rPr>
          <w:rFonts w:ascii="Times New Roman;sans-serif" w:hAnsi="Times New Roman;sans-serif"/>
          <w:b/>
          <w:i/>
          <w:color w:val="000000"/>
          <w:sz w:val="20"/>
        </w:rPr>
        <w:t>Agreement that Allows us to Receive Economic Benefits from Zhaoyan</w:t>
      </w:r>
    </w:p>
    <w:p>
      <w:pPr>
        <w:pStyle w:val="TextBody"/>
        <w:spacing w:lineRule="auto" w:line="319" w:before="0" w:after="240"/>
        <w:ind w:left="0" w:right="0" w:firstLine="720"/>
        <w:jc w:val="both"/>
        <w:rPr/>
      </w:pPr>
      <w:r>
        <w:rPr>
          <w:rFonts w:ascii="Times New Roman;sans-serif" w:hAnsi="Times New Roman;sans-serif"/>
          <w:b w:val="false"/>
          <w:i/>
          <w:color w:val="000000"/>
          <w:sz w:val="20"/>
        </w:rPr>
        <w:t>Exclusive Technology Consulting and Services Agreement</w:t>
      </w:r>
      <w:r>
        <w:rPr>
          <w:rFonts w:ascii="Times New Roman;sans-serif" w:hAnsi="Times New Roman;sans-serif"/>
          <w:b w:val="false"/>
          <w:color w:val="000000"/>
          <w:sz w:val="20"/>
        </w:rPr>
        <w:t>. Under the Exclusive Technology Consulting and Services Agreement, dated as of June 18, 2015, by and between Dayin and Zhaoyan, and a joinder agreement entered into by and among Ms. Yan Chen, Dayin and Zhaoyan on January 19, 2021, Dayin has the exclusive right to provide to Zhaoyan consulting and services related to, among other things, information consulting, assisting in information collection and market research, and providing training to personnel. Dayin has the exclusive ownership of intellectual property rights created as a result of the performance of this agreement. Zhaoyan shall pay Dayin an annual service fee, which may only be adjusted with the approval of Dayin and Agora HK. Unless otherwise agreed pursuant to the agreement, this agreement will remain effective until the earlier of: (1) the end of a ten-year term, which will automatically extend annually unless Dayin provides 30 days’ prior written notice to Zhaoyan; (2) Dayin terminates the agreement because of Zhaoyan’s breach of the agreement; and (3) the termination of the term of operation of Zhaoyan.</w:t>
      </w:r>
    </w:p>
    <w:p>
      <w:pPr>
        <w:pStyle w:val="TextBody"/>
        <w:spacing w:lineRule="auto" w:line="319" w:before="0" w:after="240"/>
        <w:jc w:val="both"/>
        <w:rPr>
          <w:rFonts w:ascii="Times New Roman;sans-serif" w:hAnsi="Times New Roman;sans-serif"/>
          <w:b/>
          <w:i/>
          <w:color w:val="000000"/>
          <w:sz w:val="20"/>
        </w:rPr>
      </w:pPr>
      <w:r>
        <w:rPr>
          <w:rFonts w:ascii="Times New Roman;sans-serif" w:hAnsi="Times New Roman;sans-serif"/>
          <w:b/>
          <w:i/>
          <w:color w:val="000000"/>
          <w:sz w:val="20"/>
        </w:rPr>
        <w:t>Agreement that Provides us with the Option to Purchase the Equity Interest in Zhaoyan</w:t>
      </w:r>
    </w:p>
    <w:p>
      <w:pPr>
        <w:pStyle w:val="TextBody"/>
        <w:spacing w:lineRule="auto" w:line="319" w:before="0" w:after="240"/>
        <w:ind w:left="0" w:right="0" w:firstLine="720"/>
        <w:jc w:val="both"/>
        <w:rPr/>
      </w:pPr>
      <w:r>
        <w:rPr>
          <w:rFonts w:ascii="Times New Roman;sans-serif" w:hAnsi="Times New Roman;sans-serif"/>
          <w:b w:val="false"/>
          <w:i/>
          <w:color w:val="000000"/>
          <w:sz w:val="20"/>
        </w:rPr>
        <w:t>Exclusive Option Agreement.</w:t>
      </w:r>
      <w:r>
        <w:rPr>
          <w:color w:val="000000"/>
        </w:rPr>
        <w:t xml:space="preserve"> </w:t>
      </w:r>
      <w:r>
        <w:rPr>
          <w:rFonts w:ascii="Times New Roman;sans-serif" w:hAnsi="Times New Roman;sans-serif"/>
          <w:b w:val="false"/>
          <w:color w:val="000000"/>
          <w:sz w:val="20"/>
        </w:rPr>
        <w:t>Pursuant to the Exclusive Option Agreement, dated as of June 18, 2015, by and among Dayin, Zhaoyan and Zhaoyan’s then shareholders, and a joinder agreement entered into by and among Ms. Yan Chen, Dayin and Zhaoyan on January 19, 2021, each of Zhaoyan’s shareholders irrevocably granted Dayin an exclusive option to purchase, or have its designated person to purchase, at its discretion, to the extent permitted under PRC law, all or part of their equity interests in Zhaoyan, and the purchase price shall be the registered capital of Zhaoyan pro rata to Zhaoyan’s shareholders’ shareholdings or the lowest price permitted by applicable PRC law, as applicable. The shareholders of Zhaoyan undertake that, without the prior written consent of Dayin or us, they shall not, among other things, increase or decrease the registered capital of Zhaoyan, dispose of its assets, incur any debts or guarantee any liabilities, terminate any material agreements or enter into any agreements that are in conflict with any of the existing material agreements, distribute or vote to distribute any profits, interests or dividends, amend its articles of association or provide any loans to third parties. Unless otherwise agreed pursuant to the agreement, the Exclusive Option Agreement will remain effective until the earliest of: (1) the end of a ten-year term that is automatically extended annually unless Dayin gives Zhaoyan a termination notice 30 days before the term ends; (2) all equity interests in Zhaoyan held by Zhaoyan’s shareholders are transferred or assigned to Dayin or its designated representatives; and (3) the termination of the term of operation of Zhaoyan.</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the opinion of King &amp; Wood Mallesons, our PRC legal counsel:</w:t>
      </w:r>
    </w:p>
    <w:p>
      <w:pPr>
        <w:pStyle w:val="HorizontalLine"/>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385445"/>
                <wp:effectExtent l="0" t="0" r="0" b="0"/>
                <wp:wrapNone/>
                <wp:docPr id="93" name="Frame92"/>
                <a:graphic xmlns:a="http://schemas.openxmlformats.org/drawingml/2006/main">
                  <a:graphicData uri="http://schemas.microsoft.com/office/word/2010/wordprocessingShape">
                    <wps:wsp>
                      <wps:cNvSpPr txBox="1"/>
                      <wps:spPr>
                        <a:xfrm>
                          <a:off x="0" y="0"/>
                          <a:ext cx="6480175" cy="385445"/>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88</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88</w:t>
                      </w:r>
                    </w:p>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lineRule="auto" w:line="319" w:before="0" w:after="240"/>
        <w:ind w:left="0" w:right="0" w:hanging="360"/>
        <w:jc w:val="both"/>
        <w:rPr/>
      </w:pPr>
      <w:r>
        <w:rPr>
          <w:color w:val="000000"/>
        </w:rPr>
        <w:t>•</w:t>
      </w:r>
      <w:r>
        <w:rPr>
          <w:rFonts w:ascii="Times New Roman;sans-serif" w:hAnsi="Times New Roman;sans-serif"/>
          <w:b w:val="false"/>
          <w:color w:val="000000"/>
          <w:sz w:val="20"/>
        </w:rPr>
        <w:t>the ownership structures of Dayin and Zhaoyan in China do not and will not violate any applicable PRC law, regulation or rule currently in effect; and</w:t>
      </w:r>
    </w:p>
    <w:p>
      <w:pPr>
        <w:pStyle w:val="TextBody"/>
        <w:spacing w:lineRule="auto" w:line="319" w:before="0" w:after="240"/>
        <w:ind w:left="0" w:right="0" w:hanging="360"/>
        <w:jc w:val="both"/>
        <w:rPr/>
      </w:pPr>
      <w:r>
        <w:rPr>
          <w:color w:val="000000"/>
        </w:rPr>
        <w:t>•</w:t>
      </w:r>
      <w:r>
        <w:rPr>
          <w:rFonts w:ascii="Times New Roman;sans-serif" w:hAnsi="Times New Roman;sans-serif"/>
          <w:b w:val="false"/>
          <w:color w:val="000000"/>
          <w:sz w:val="20"/>
        </w:rPr>
        <w:t>the contractual arrangements among Dayin, Zhaoyan and Zhaoyan’s shareholders governed by PRC laws are valid, binding and enforceable in accordance with their terms and applicable PRC laws, rules and regulations currently in effect, and will not violate any applicable PRC law, regulation or rule currently in effect.</w:t>
      </w:r>
    </w:p>
    <w:p>
      <w:pPr>
        <w:pStyle w:val="TextBody"/>
        <w:spacing w:lineRule="auto" w:line="319" w:before="0" w:after="240"/>
        <w:ind w:left="0" w:right="0" w:firstLine="720"/>
        <w:jc w:val="both"/>
        <w:rPr/>
      </w:pPr>
      <w:r>
        <w:rPr>
          <w:rFonts w:ascii="Times New Roman;sans-serif" w:hAnsi="Times New Roman;sans-serif"/>
          <w:b w:val="false"/>
          <w:color w:val="000000"/>
          <w:sz w:val="20"/>
        </w:rPr>
        <w:t xml:space="preserve">However, we have been further advised by King &amp; Wood Mallesons that there are substantial uncertainties regarding the interpretation and application of current and future PRC laws, rules and regulations. In particular, in January 2015, the Ministry of Commerce of the PRC published a discussion draft of the proposed </w:t>
      </w:r>
      <w:r>
        <w:rPr>
          <w:rFonts w:ascii="Times New Roman;sans-serif" w:hAnsi="Times New Roman;sans-serif"/>
          <w:b w:val="false"/>
          <w:i/>
          <w:color w:val="000000"/>
          <w:sz w:val="20"/>
        </w:rPr>
        <w:t>Foreign Investment Law</w:t>
      </w:r>
      <w:r>
        <w:rPr>
          <w:color w:val="000000"/>
        </w:rPr>
        <w:t xml:space="preserve"> </w:t>
      </w:r>
      <w:r>
        <w:rPr>
          <w:rFonts w:ascii="Times New Roman;sans-serif" w:hAnsi="Times New Roman;sans-serif"/>
          <w:b w:val="false"/>
          <w:color w:val="000000"/>
          <w:sz w:val="20"/>
        </w:rPr>
        <w:t xml:space="preserve">(2015), or the 2015 Draft, for public review and comments. The 2015 Draft was replaced by the draft </w:t>
      </w:r>
      <w:r>
        <w:rPr>
          <w:rFonts w:ascii="Times New Roman;sans-serif" w:hAnsi="Times New Roman;sans-serif"/>
          <w:b w:val="false"/>
          <w:i/>
          <w:color w:val="000000"/>
          <w:sz w:val="20"/>
        </w:rPr>
        <w:t>Foreign Investment Law</w:t>
      </w:r>
      <w:r>
        <w:rPr>
          <w:color w:val="000000"/>
        </w:rPr>
        <w:t xml:space="preserve"> </w:t>
      </w:r>
      <w:r>
        <w:rPr>
          <w:rFonts w:ascii="Times New Roman;sans-serif" w:hAnsi="Times New Roman;sans-serif"/>
          <w:b w:val="false"/>
          <w:color w:val="000000"/>
          <w:sz w:val="20"/>
        </w:rPr>
        <w:t xml:space="preserve">(2018), which was published by the SCNPC in December 2018 and further amended in January 2019. The new </w:t>
      </w:r>
      <w:r>
        <w:rPr>
          <w:rFonts w:ascii="Times New Roman;sans-serif" w:hAnsi="Times New Roman;sans-serif"/>
          <w:b w:val="false"/>
          <w:i/>
          <w:color w:val="000000"/>
          <w:sz w:val="20"/>
        </w:rPr>
        <w:t>Foreign Investment Law</w:t>
      </w:r>
      <w:r>
        <w:rPr>
          <w:color w:val="000000"/>
        </w:rPr>
        <w:t xml:space="preserve"> </w:t>
      </w:r>
      <w:r>
        <w:rPr>
          <w:rFonts w:ascii="Times New Roman;sans-serif" w:hAnsi="Times New Roman;sans-serif"/>
          <w:b w:val="false"/>
          <w:color w:val="000000"/>
          <w:sz w:val="20"/>
        </w:rPr>
        <w:t xml:space="preserve">was approved by the National People’s Congress on March 15, 2019 and came into effect on January 1, 2020. Among other things, the 2015 Draft expands the definition of foreign investment and introduces the principle of “actual control” in determining whether a company is considered a foreign-invested enterprise, or FIE. Under the 2015 Draft, VIEs would also be deemed as FIEs, if they are ultimately “controlled” by foreign investors, and be subject to restrictions on foreign investments. However, the relevant terms with regard to the VIE structure in the 2015 Draft have been removed in their entirety in the newly effective </w:t>
      </w:r>
      <w:r>
        <w:rPr>
          <w:rFonts w:ascii="Times New Roman;sans-serif" w:hAnsi="Times New Roman;sans-serif"/>
          <w:b w:val="false"/>
          <w:i/>
          <w:color w:val="000000"/>
          <w:sz w:val="20"/>
        </w:rPr>
        <w:t>Foreign Investment Law</w:t>
      </w:r>
      <w:r>
        <w:rPr>
          <w:color w:val="000000"/>
        </w:rPr>
        <w:t xml:space="preserve"> </w:t>
      </w:r>
      <w:r>
        <w:rPr>
          <w:rFonts w:ascii="Times New Roman;sans-serif" w:hAnsi="Times New Roman;sans-serif"/>
          <w:b w:val="false"/>
          <w:color w:val="000000"/>
          <w:sz w:val="20"/>
        </w:rPr>
        <w:t>and there are significant uncertainties as to how the control status of Zhaoyan would be determined under the Foreign Investment Law, and furthermore, whether any of the businesses that we currently operate or plan to operate in the future through Zhaoyan would be subject to any foreign investment restrictions or prohibitions under the “negative list” then effective.</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Accordingly, the PRC regulatory authorities may in the future take a view that is contrary to the opinion of our PRC legal counsel. We have been further advised by King &amp; Wood Mallesons that if the PRC government finds that the agreements that establish the structure for operating our business do not comply with PRC government restrictions on foreign investment in the aforesaid business we engage in, we could be subject to severe penalties including being prohibited from continuing operations. See “Item 3. Key Information—D. Risk Factors—Risks Related to Our Corporate Structure.”</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All the agreements under our contractual arrangements are governed by PRC laws and provide for the resolution of disputes through arbitration in China. See “Item 3. Key Information—D. Risk Factors—Risks Related to Our Corporate Structure—We rely on contractual arrangements with our VIEs and their respective shareholders to operate our business, which may not be as effective as direct ownership in providing operational control and could adversely affect our business, operating results and financial condition.” Such arbitration provisions have no effect on the rights of our shareholders to pursue claims against us under United States federal securities laws.</w:t>
      </w:r>
    </w:p>
    <w:p>
      <w:pPr>
        <w:pStyle w:val="TextBody"/>
        <w:spacing w:lineRule="auto" w:line="319" w:before="0" w:after="240"/>
        <w:jc w:val="both"/>
        <w:rPr>
          <w:rFonts w:ascii="Times New Roman;sans-serif" w:hAnsi="Times New Roman;sans-serif"/>
          <w:b/>
          <w:i/>
          <w:color w:val="000000"/>
          <w:sz w:val="20"/>
        </w:rPr>
      </w:pPr>
      <w:r>
        <w:rPr>
          <w:rFonts w:ascii="Times New Roman;sans-serif" w:hAnsi="Times New Roman;sans-serif"/>
          <w:b/>
          <w:i/>
          <w:color w:val="000000"/>
          <w:sz w:val="20"/>
        </w:rPr>
        <w:t>D. Property, Plant and Equipment</w:t>
      </w:r>
    </w:p>
    <w:p>
      <w:pPr>
        <w:pStyle w:val="TextBody"/>
        <w:spacing w:lineRule="auto" w:line="319" w:before="10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maintain dual headquarters in Shanghai, China and Santa Clara, California, where we lease office space with an area of approximately 9,199 and 525 square meters, respectively.</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lease all of our facilities and do not own any real property. We believe our facilities are adequate and suitable for our current needs and that, should it be needed, suitable additional or alternative space will be available to accommodate our operations.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19" w:before="0" w:after="240"/>
        <w:jc w:val="both"/>
        <w:rPr>
          <w:rFonts w:ascii="Times New Roman;sans-serif" w:hAnsi="Times New Roman;sans-serif"/>
          <w:b/>
          <w:color w:val="000000"/>
          <w:sz w:val="20"/>
        </w:rPr>
      </w:pPr>
      <w:r>
        <w:rPr>
          <w:rFonts w:ascii="Times New Roman;sans-serif" w:hAnsi="Times New Roman;sans-serif"/>
          <w:b/>
          <w:color w:val="000000"/>
          <w:sz w:val="20"/>
        </w:rPr>
        <w:t>ITEM 4A. UNRESOLVED STAFF COMMENTS</w:t>
      </w:r>
    </w:p>
    <w:p>
      <w:pPr>
        <w:pStyle w:val="HorizontalLine"/>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385445"/>
                <wp:effectExtent l="0" t="0" r="0" b="0"/>
                <wp:wrapNone/>
                <wp:docPr id="94" name="Frame93"/>
                <a:graphic xmlns:a="http://schemas.openxmlformats.org/drawingml/2006/main">
                  <a:graphicData uri="http://schemas.microsoft.com/office/word/2010/wordprocessingShape">
                    <wps:wsp>
                      <wps:cNvSpPr txBox="1"/>
                      <wps:spPr>
                        <a:xfrm>
                          <a:off x="0" y="0"/>
                          <a:ext cx="6480175" cy="385445"/>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89</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89</w:t>
                      </w:r>
                    </w:p>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19" w:before="0" w:after="240"/>
        <w:jc w:val="both"/>
        <w:rPr>
          <w:rFonts w:ascii="Times New Roman;sans-serif" w:hAnsi="Times New Roman;sans-serif"/>
          <w:b/>
          <w:color w:val="000000"/>
          <w:sz w:val="20"/>
        </w:rPr>
      </w:pPr>
      <w:r>
        <w:rPr>
          <w:rFonts w:ascii="Times New Roman;sans-serif" w:hAnsi="Times New Roman;sans-serif"/>
          <w:b/>
          <w:color w:val="000000"/>
          <w:sz w:val="20"/>
        </w:rPr>
        <w:t>ITEM 5. OPERATING AND FINANCIAL REVIEW AND PROSPECTS</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You should read the following discussion and analysis of our financial condition and results of operations together with the consolidated financial statements and related notes included elsewhere in this annual report. This discussion contains forward-looking statements based upon current plans, expectations and beliefs that involve risks and uncertainties. Our actual results may differ materially from those anticipated in these forward-looking statements as a result of various factors, including those set forth in the section of this annual report captioned “Item 3. Key Information—D. Risk Factors” and in other parts of this annual report. Our fiscal year ends on December 31.</w:t>
      </w:r>
    </w:p>
    <w:p>
      <w:pPr>
        <w:pStyle w:val="TextBody"/>
        <w:spacing w:lineRule="auto" w:line="319" w:before="0" w:after="240"/>
        <w:jc w:val="both"/>
        <w:rPr>
          <w:rFonts w:ascii="Times New Roman;sans-serif" w:hAnsi="Times New Roman;sans-serif"/>
          <w:b/>
          <w:i/>
          <w:color w:val="000000"/>
          <w:sz w:val="20"/>
        </w:rPr>
      </w:pPr>
      <w:r>
        <w:rPr>
          <w:rFonts w:ascii="Times New Roman;sans-serif" w:hAnsi="Times New Roman;sans-serif"/>
          <w:b/>
          <w:i/>
          <w:color w:val="000000"/>
          <w:sz w:val="20"/>
        </w:rPr>
        <w:t>A. Operating Results</w:t>
      </w:r>
    </w:p>
    <w:p>
      <w:pPr>
        <w:pStyle w:val="TextBody"/>
        <w:spacing w:lineRule="auto" w:line="319" w:before="0" w:after="240"/>
        <w:jc w:val="both"/>
        <w:rPr>
          <w:rFonts w:ascii="Times New Roman;sans-serif" w:hAnsi="Times New Roman;sans-serif"/>
          <w:b/>
          <w:color w:val="000000"/>
          <w:sz w:val="20"/>
        </w:rPr>
      </w:pPr>
      <w:r>
        <w:rPr>
          <w:rFonts w:ascii="Times New Roman;sans-serif" w:hAnsi="Times New Roman;sans-serif"/>
          <w:b/>
          <w:color w:val="000000"/>
          <w:sz w:val="20"/>
        </w:rPr>
        <w:t xml:space="preserve">Overview </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pioneered Real-Time Engagement Platform-as-a-Service, or RTE-PaaS, and we are the global leader by market share in this rapidly growing industry. Our platform provides developers simple-to-use, highly customizable and widely compatible Application Programming Interfaces, or APIs, to embed real-time video, voice and messaging functionalities into their applications without the need to develop the technology or build the underlying infrastructure themselves. The real-time data transmission is handled by our Software-Defined Real-Time Network, or SD-RTN, which is a virtual network overlay on top of the public internet running on more than 200 co-located data centers worldwide. Using sophisticated algorithms, the SD-RTN continually monitors and optimizes data transmission paths through the network to minimize latency and packet loss, enabling high quality real-time engagement across millions of concurrent users.</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business employs a freemium model, offering 10,000 free minutes of real-time engagement per month per account, to encourage adoption and innovation by developers and proliferation of real-time engagement use cases. As usage exceeds the allotted free minutes, we charge based on usage and developers become paying customers. In each of the periods presented, the vast majority of the minutes of real-time engagement on our platform were attributable to paid usage. Our platform is designed for developers to self-serve, and they typically require minimal individual customer support to deploy our products. Once customers reach a certain spending level with us, we support them with a dedicated account manager who coordinates internal resources to drive customer success. For certain large customers, who are developing promising but complex use cases, we deploy our own engineers to assist with the integration of our products into their applications. This is a key element of our strategy to enable new use cases and accelerate usage of our platform and we do not usually charge customers for such services. When a use case becomes sufficiently well-established, such as online education using our Real-Time Video product, we deploy our sales team to identify and actively approach similar companies that could also benefit from our products. We also generate a slight portion of our sales through our revenue-sharing relationships with channel partners, such as referral partners, resellers and integration partners. Revenue generated through our channel partners may become a more meaningful contributor over time.</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generate substantially all of our revenue from usage of our platform. Generally, customers enter into 12-month contracts and are invoiced monthly in arrears based on usage. In some cases, we offer tiered, volume-based discounts to our largest customers in return for minimum revenue commitments. Most customers with a minimum revenue commitment contract generate a significant amount of revenue in excess of their minimum revenue commitment in any period. Historically, the aggregate minimum commitment revenue from customers with which we have contracts has constituted a small portion of our revenue in any period, and we expect this to continue in the future.</w:t>
      </w:r>
    </w:p>
    <w:p>
      <w:pPr>
        <w:pStyle w:val="HorizontalLine"/>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385445"/>
                <wp:effectExtent l="0" t="0" r="0" b="0"/>
                <wp:wrapNone/>
                <wp:docPr id="95" name="Frame94"/>
                <a:graphic xmlns:a="http://schemas.openxmlformats.org/drawingml/2006/main">
                  <a:graphicData uri="http://schemas.microsoft.com/office/word/2010/wordprocessingShape">
                    <wps:wsp>
                      <wps:cNvSpPr txBox="1"/>
                      <wps:spPr>
                        <a:xfrm>
                          <a:off x="0" y="0"/>
                          <a:ext cx="6480175" cy="385445"/>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90</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90</w:t>
                      </w:r>
                    </w:p>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use our SD-RTN, a virtual network overlay on top of the public internet, to handle the real-time data transmission for our products. We own the majority of our servers and network equipment that we host at the more than 200 co-located data centers on which the SD-RTN runs. Our network architecture design allows us to quickly add server capacity at the local data center, connect more data centers at the continent level or purchase additional bandwidth to manage customer growth. We have arrangements with network operators and cloud providers around the world from which we purchase bandwidth. These arrangements are typically one-year renewable agreements with monthly payments due at a fixed unit price based on periodically sampled peak bandwidth usage, and a smaller number of the agreements contain minimum usage commitments or maximum limits on available bandwidth, or both. Historically, a majority of our cost of revenue has been bandwidth, co-location space and cost of our customer management and services teams. We seek to optimize our network coverage and connectivity through continuous improvements in routing and sourcing. In the past, as usage volume has increased, we have been able to achieve lower pricing for bandwidth and co-location services. Additionally, as our customer base has diversified, we have improved bandwidth and server utilization as peak usage of customers usually occur at different times. To date, we have chosen to pass on the cost savings from lower pricing and higher utilization to our customers in the form of lower prices to drive increased usage of our platform while maintaining gross margin. We intend to continue this pricing strategy in the near term. This strategy may not result in increased revenue or the growth of our business and may delay or otherwise impair our ability to achieve profitability. Over the longer term, we may leverage these costs savings to expand gross margin.</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2018, 2019 and 2020, our total revenue was US$43.7 million, US $64.4 million and US$133.6 million, respectively, an increase of 47.6% and 107.3%, respectively. For 2018, 2019 and 2020, our net income (loss) was US$0.4 million, US$(6.2) million and US$(3.1) million, respectively, and our Adjusted EBITDA was US$4.0 million, US$31.0 thousand and US$11.2 million. Adjusted EBITDA is a non-GAAP measure. </w:t>
      </w:r>
    </w:p>
    <w:p>
      <w:pPr>
        <w:pStyle w:val="TextBody"/>
        <w:spacing w:lineRule="auto" w:line="319" w:before="0" w:after="240"/>
        <w:jc w:val="both"/>
        <w:rPr>
          <w:rFonts w:ascii="Times New Roman;sans-serif" w:hAnsi="Times New Roman;sans-serif"/>
          <w:b/>
          <w:color w:val="000000"/>
          <w:sz w:val="20"/>
        </w:rPr>
      </w:pPr>
      <w:r>
        <w:rPr>
          <w:rFonts w:ascii="Times New Roman;sans-serif" w:hAnsi="Times New Roman;sans-serif"/>
          <w:b/>
          <w:color w:val="000000"/>
          <w:sz w:val="20"/>
        </w:rPr>
        <w:t>Major Factors Affecting Our Results of Operations</w:t>
      </w:r>
    </w:p>
    <w:p>
      <w:pPr>
        <w:pStyle w:val="TextBody"/>
        <w:spacing w:lineRule="auto" w:line="319" w:before="0" w:after="240"/>
        <w:jc w:val="both"/>
        <w:rPr>
          <w:rFonts w:ascii="Times New Roman;sans-serif" w:hAnsi="Times New Roman;sans-serif"/>
          <w:b/>
          <w:i/>
          <w:color w:val="000000"/>
          <w:sz w:val="20"/>
        </w:rPr>
      </w:pPr>
      <w:r>
        <w:rPr>
          <w:rFonts w:ascii="Times New Roman;sans-serif" w:hAnsi="Times New Roman;sans-serif"/>
          <w:b/>
          <w:i/>
          <w:color w:val="000000"/>
          <w:sz w:val="20"/>
        </w:rPr>
        <w:t>Product and Market Leadership</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are committed to delivering market-leading products to continue to build and maintain credibility with the global software developer community. We believe we must maintain our technology, product and market leadership position and the strength of our brand to drive further revenue growth. We intend to continue to invest in our engineering capabilities and marketing activities to maintain our strong position in the developer community. Our results of operations may reflect sustained high levels of investments to drive increased customer adoption and usage.</w:t>
      </w:r>
    </w:p>
    <w:p>
      <w:pPr>
        <w:pStyle w:val="TextBody"/>
        <w:spacing w:lineRule="auto" w:line="319" w:before="0" w:after="240"/>
        <w:jc w:val="both"/>
        <w:rPr>
          <w:rFonts w:ascii="Times New Roman;sans-serif" w:hAnsi="Times New Roman;sans-serif"/>
          <w:b/>
          <w:i/>
          <w:color w:val="000000"/>
          <w:sz w:val="20"/>
        </w:rPr>
      </w:pPr>
      <w:r>
        <w:rPr>
          <w:rFonts w:ascii="Times New Roman;sans-serif" w:hAnsi="Times New Roman;sans-serif"/>
          <w:b/>
          <w:i/>
          <w:color w:val="000000"/>
          <w:sz w:val="20"/>
        </w:rPr>
        <w:t>Acquiring New Customers</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are focused on continuing to grow the number of customers that use our platform. Our operating results and growth prospects will depend in part on our ability to attract new developers and convert them into active customers.</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self-service model allows us to more efficiently leverage our investments in sales and marketing activities. In order to maintain our efficient customer acquisition, we must maintain and expand our grassroots developer outreach and targeted sales efforts to larger organizations that could potentially benefit from our products, both of which will require significant investments in advance of realizing revenue growth resulting from such investments.</w:t>
      </w:r>
    </w:p>
    <w:p>
      <w:pPr>
        <w:pStyle w:val="TextBody"/>
        <w:spacing w:lineRule="auto" w:line="319" w:before="0" w:after="240"/>
        <w:jc w:val="both"/>
        <w:rPr>
          <w:rFonts w:ascii="Times New Roman;sans-serif" w:hAnsi="Times New Roman;sans-serif"/>
          <w:b/>
          <w:i/>
          <w:color w:val="000000"/>
          <w:sz w:val="20"/>
        </w:rPr>
      </w:pPr>
      <w:r>
        <w:rPr>
          <w:rFonts w:ascii="Times New Roman;sans-serif" w:hAnsi="Times New Roman;sans-serif"/>
          <w:b/>
          <w:i/>
          <w:color w:val="000000"/>
          <w:sz w:val="20"/>
        </w:rPr>
        <w:t>Expanding Usage of Existing Customers</w:t>
      </w:r>
    </w:p>
    <w:p>
      <w:pPr>
        <w:pStyle w:val="HorizontalLine"/>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385445"/>
                <wp:effectExtent l="0" t="0" r="0" b="0"/>
                <wp:wrapNone/>
                <wp:docPr id="96" name="Frame95"/>
                <a:graphic xmlns:a="http://schemas.openxmlformats.org/drawingml/2006/main">
                  <a:graphicData uri="http://schemas.microsoft.com/office/word/2010/wordprocessingShape">
                    <wps:wsp>
                      <wps:cNvSpPr txBox="1"/>
                      <wps:spPr>
                        <a:xfrm>
                          <a:off x="0" y="0"/>
                          <a:ext cx="6480175" cy="385445"/>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91</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91</w:t>
                      </w:r>
                    </w:p>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there is a significant opportunity for growth with many of our existing customers. Many customers adopt our products through self-managed deployments and often materially expand their usage over time. In order for us to continue to expand usage within our customer base we will need to maintain engineering-level customer support and continue to introduce new products and features as well as innovative new use cases that are tailored to our customers’ needs. Given our usage-based model, we depend on the success of our customers and their applications.</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quantify our expansion across existing customers through our Constant Currency Dollar-Based Net Expansion Rate. Our Constant Currency Dollar-Based Net Expansion Rate reflects adoption and usage within our customers, as our revenue is primarily driven by the customers’ usage of our video and voice products, while removing the impact of currency translations which we do not believe reflect our core operating performance. Constant Currency Dollar-Based Net Expansion Rate may fluctuate as a result of several factors, including the level of penetration within our customer base, expansion of products and features, the mix of use cases and products adopted by customers, fluctuations in the usage of our customers’ applications by their end users and our ability to retain our customers.</w:t>
      </w:r>
    </w:p>
    <w:p>
      <w:pPr>
        <w:pStyle w:val="TextBody"/>
        <w:spacing w:lineRule="auto" w:line="319" w:before="0" w:after="240"/>
        <w:jc w:val="both"/>
        <w:rPr>
          <w:rFonts w:ascii="Times New Roman;sans-serif" w:hAnsi="Times New Roman;sans-serif"/>
          <w:b/>
          <w:i/>
          <w:color w:val="000000"/>
          <w:sz w:val="20"/>
        </w:rPr>
      </w:pPr>
      <w:r>
        <w:rPr>
          <w:rFonts w:ascii="Times New Roman;sans-serif" w:hAnsi="Times New Roman;sans-serif"/>
          <w:b/>
          <w:i/>
          <w:color w:val="000000"/>
          <w:sz w:val="20"/>
        </w:rPr>
        <w:t>Innovation and Enhancement of Our Platform</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continue to invest resources to enhance the capabilities of our platform and release product updates. For example, in 2020, we introduced our Agora Flexible Classroom, to offer an aPaaS solution for education providers. We believe that the more developers and other third parties use our platform and integrate it with third-party applications, the more we become the ubiquitous platform for real-time engagement. We will need to expend additional resources to continue introducing new products, features and functionality, and to continue supporting the integration efforts of third parties that enhance the value of our platform.</w:t>
      </w:r>
    </w:p>
    <w:p>
      <w:pPr>
        <w:pStyle w:val="TextBody"/>
        <w:spacing w:lineRule="auto" w:line="319" w:before="0" w:after="240"/>
        <w:jc w:val="both"/>
        <w:rPr>
          <w:rFonts w:ascii="Times New Roman;sans-serif" w:hAnsi="Times New Roman;sans-serif"/>
          <w:b/>
          <w:i/>
          <w:color w:val="000000"/>
          <w:sz w:val="20"/>
        </w:rPr>
      </w:pPr>
      <w:r>
        <w:rPr>
          <w:rFonts w:ascii="Times New Roman;sans-serif" w:hAnsi="Times New Roman;sans-serif"/>
          <w:b/>
          <w:i/>
          <w:color w:val="000000"/>
          <w:sz w:val="20"/>
        </w:rPr>
        <w:t>International Growth</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products serve end users in over 100 countries. A majority of our revenue was generated from customers operating primarily in the PRC in each of the periods presented. Although we believe that adoption of real-time engagement solutions in China is still in the early stages, it is further advanced there than in other countries, especially for consumer-oriented applications. Currently, we maintain dual headquarters in the PRC and the United States as well as a small presence in other countries. We expect to continue to expand our international go-to-market efforts in the future. The expansion of the reach of our platform and our global sales efforts will add increased complexity and cost to our business.</w:t>
      </w:r>
    </w:p>
    <w:p>
      <w:pPr>
        <w:pStyle w:val="TextBody"/>
        <w:spacing w:lineRule="auto" w:line="319" w:before="0" w:after="240"/>
        <w:jc w:val="both"/>
        <w:rPr>
          <w:rFonts w:ascii="Times New Roman;sans-serif" w:hAnsi="Times New Roman;sans-serif"/>
          <w:b/>
          <w:i/>
          <w:color w:val="000000"/>
          <w:sz w:val="20"/>
        </w:rPr>
      </w:pPr>
      <w:r>
        <w:rPr>
          <w:rFonts w:ascii="Times New Roman;sans-serif" w:hAnsi="Times New Roman;sans-serif"/>
          <w:b/>
          <w:i/>
          <w:color w:val="000000"/>
          <w:sz w:val="20"/>
        </w:rPr>
        <w:t>Effect of Currency Translations</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a result of our international operations, primarily in the PRC and the United States, we are exposed to currency translation impacts. Our reporting and functional currency is the U.S. dollar. The functional currency of our subsidiaries and VIEs in the PRC, which generate the majority of our revenue, is the Renminbi. The financial statements of our entities using functional currencies other than the U.S. dollar are translated to the U.S. dollar. Revenue and expense items are translated at average exchange rates prevailing during the fiscal year. As a result, as the Renminbi depreciates or appreciates against the U.S. dollar, our revenue presented in U.S. dollars, as well as our Dollar-Based Net Expansion Rate, will be negatively or positively affected. Constant Currency Dollar-Based Net Expansion Rate is calculated using fixed exchange rates to remove the impact of foreign currency translations.</w:t>
      </w:r>
    </w:p>
    <w:p>
      <w:pPr>
        <w:pStyle w:val="TextBody"/>
        <w:spacing w:lineRule="auto" w:line="319" w:before="100" w:after="240"/>
        <w:jc w:val="both"/>
        <w:rPr>
          <w:rFonts w:ascii="Times New Roman;sans-serif" w:hAnsi="Times New Roman;sans-serif"/>
          <w:b/>
          <w:i/>
          <w:color w:val="000000"/>
          <w:sz w:val="20"/>
        </w:rPr>
      </w:pPr>
      <w:r>
        <w:rPr>
          <w:rFonts w:ascii="Times New Roman;sans-serif" w:hAnsi="Times New Roman;sans-serif"/>
          <w:b/>
          <w:i/>
          <w:color w:val="000000"/>
          <w:sz w:val="20"/>
        </w:rPr>
        <w:t>Impact of COVID-19</w:t>
      </w:r>
    </w:p>
    <w:p>
      <w:pPr>
        <w:pStyle w:val="HorizontalLine"/>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385445"/>
                <wp:effectExtent l="0" t="0" r="0" b="0"/>
                <wp:wrapNone/>
                <wp:docPr id="97" name="Frame96"/>
                <a:graphic xmlns:a="http://schemas.openxmlformats.org/drawingml/2006/main">
                  <a:graphicData uri="http://schemas.microsoft.com/office/word/2010/wordprocessingShape">
                    <wps:wsp>
                      <wps:cNvSpPr txBox="1"/>
                      <wps:spPr>
                        <a:xfrm>
                          <a:off x="0" y="0"/>
                          <a:ext cx="6480175" cy="385445"/>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92</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92</w:t>
                      </w:r>
                    </w:p>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January 30, 2020, the International Health Regulations Emergency Committee of the World Health Organization declared the COVID-19 pandemic a public health emergency of international concern, and on March 11, 2020 the World Health Organization declared the global COVID-19 a pandemic. The COVID-19 virus continues to impact countries worldwide, including where our end users and customers are located and Shanghai, China and Santa Clara, California where we have business operations. During the COVID-19 pandemic, government authorities around the world have ordered schools and businesses to close, imposed restrictions on non-essential activities and required people to remain at home while imposing significant restrictions on traveling and social gatherings.</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While the long-term impact of the COVID-19 pandemic is uncertain, during the first half of 2020 we experienced significant usage and revenue growth, as people spent more time learning, gaming and otherwise interacting online due to work, school, travel and other restrictions. This dynamic was particularly pronounced in China, our largest market and one that was impacted by government-imposed restrictions designed to slow the pandemic for a significant portion of the quarter. In the second quarter of 2020, we have continued to observe higher usage than the same period in the prior year; however, the pace of usage growth has moderated sequentially, as restrictions in China have been eased. We also observed increases in numbers of developers and active applications. While we may continue to observe increases in usage and developer adoption of our products to meet end-user demand for RTE, we do not anticipate that we will experience the same level of revenue growth we did in the first half of 2020.</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first half of 2020, we benefited from increase in the number of minutes our video products were used, as well as a trend of shifting towards higher resolution video products. On the other hand, the increased online activity generated higher demand for bandwidth and servers in general, which led to increases in their prices, which offset the mix shift towards higher priced products and resulted in relatively flat gross margin. Although we were able to scale our network infrastructure despite the COVID-19 related headwinds, failure to contain the further spread, or any resurgence, of COVID-19 may affect our ability to cost-effectively maintain and expand our network infrastructure, which could severely disrupt our business and operations and adversely affect our operating results and financial condition.</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Stay-at-home restrictions were imposed on our Shanghai headquarters beginning in February 2020 (which have subsequently been removed) and Santa Clara, California headquarters beginning in March 2020 (which remain in place). Even prior to the imposition of such restrictions, we conducted significant portion of our sales and customer support activities remotely, although certain marketing activities that have historically occurred offline, such as our AllThingsRTC Conference in the United States, have been canceled, postponed or moved online. In addition, our research and development personnel remained productive despite requirements to work from home. While COVID-19 has not materially adversely impacted our operations through the date of this annual report, the impact of COVID-19 on our ability to attract, serve, retain or upsell customers is inherently uncertain and depends on the duration, severity or potential resurgence of the pandemic and its impact on end users, customers and the macroeconomic environment as a whole. Existing and potential customers may choose to reduce or delay technology investments in response to the COVID-19 pandemic, or attempt to renegotiate contracts and obtain concessions, which may materially and negatively impact our operating results, financial condition and prospects.</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the COVID-19 pandemic will accelerate end users’ shift towards RTE applications. To capture the market opportunity, we intend to continue to invest in the development of market-leading products, maintaining and expanding our grassroots developer outreach and targeted sales efforts to larger organizations, customer support, our platform and international expansion. However, there continues to be significant uncertainties associated with the COVID-19 pandemic, including with respect to the ultimate spread of the virus, the severity of the disease, the duration of the pandemic and further actions that may be taken by governmental authorities around the world to contain the virus or to treat its impact, and these investments may not generate the expected results.</w:t>
      </w:r>
    </w:p>
    <w:p>
      <w:pPr>
        <w:pStyle w:val="HorizontalLine"/>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385445"/>
                <wp:effectExtent l="0" t="0" r="0" b="0"/>
                <wp:wrapNone/>
                <wp:docPr id="98" name="Frame97"/>
                <a:graphic xmlns:a="http://schemas.openxmlformats.org/drawingml/2006/main">
                  <a:graphicData uri="http://schemas.microsoft.com/office/word/2010/wordprocessingShape">
                    <wps:wsp>
                      <wps:cNvSpPr txBox="1"/>
                      <wps:spPr>
                        <a:xfrm>
                          <a:off x="0" y="0"/>
                          <a:ext cx="6480175" cy="385445"/>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93</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93</w:t>
                      </w:r>
                    </w:p>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Except for the impact discussed above, we do not anticipate any prolonged material adverse impact on our business, results of operations and financial condition from the COVID-19 pandemic. The government has gradually lifted the restrictions and other quarantine measures in China and economic activities have begun to recover and return to normal nationwide. We are nonetheless closely monitoring the development of the COVID-19 pandemic and continuously evaluating any potential impact on our business, results of operations and financial condition. See “Item 3. Key Information—D. Risk Factors—Risks Related to Our Business and Industry—The COVID-19 pandemic has severely disrupted our business and operations and it, or any future health epidemic or other adverse public health developments, may continue to do so.”</w:t>
      </w:r>
    </w:p>
    <w:p>
      <w:pPr>
        <w:pStyle w:val="TextBody"/>
        <w:spacing w:lineRule="auto" w:line="319" w:before="0" w:after="240"/>
        <w:jc w:val="both"/>
        <w:rPr>
          <w:rFonts w:ascii="Times New Roman;sans-serif" w:hAnsi="Times New Roman;sans-serif"/>
          <w:b/>
          <w:color w:val="000000"/>
          <w:sz w:val="20"/>
        </w:rPr>
      </w:pPr>
      <w:r>
        <w:rPr>
          <w:rFonts w:ascii="Times New Roman;sans-serif" w:hAnsi="Times New Roman;sans-serif"/>
          <w:b/>
          <w:color w:val="000000"/>
          <w:sz w:val="20"/>
        </w:rPr>
        <w:t>Key Operating and Financial Metrics</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measure our business using both financial and operating metrics. We use these metrics to assess the progress of our business, make decisions on where to allocate capital, time and technology investments and assess the near-term and long-term performance of our business. The key financial and operating metrics we use are:</w:t>
      </w:r>
    </w:p>
    <w:tbl>
      <w:tblPr>
        <w:tblW w:w="8673" w:type="dxa"/>
        <w:jc w:val="left"/>
        <w:tblInd w:w="0" w:type="dxa"/>
        <w:tblCellMar>
          <w:top w:w="28" w:type="dxa"/>
          <w:left w:w="28" w:type="dxa"/>
          <w:bottom w:w="28" w:type="dxa"/>
          <w:right w:w="28" w:type="dxa"/>
        </w:tblCellMar>
      </w:tblPr>
      <w:tblGrid>
        <w:gridCol w:w="1604"/>
        <w:gridCol w:w="1407"/>
        <w:gridCol w:w="1414"/>
        <w:gridCol w:w="211"/>
        <w:gridCol w:w="691"/>
        <w:gridCol w:w="271"/>
        <w:gridCol w:w="109"/>
        <w:gridCol w:w="109"/>
        <w:gridCol w:w="109"/>
        <w:gridCol w:w="211"/>
        <w:gridCol w:w="691"/>
        <w:gridCol w:w="271"/>
        <w:gridCol w:w="109"/>
        <w:gridCol w:w="109"/>
        <w:gridCol w:w="109"/>
        <w:gridCol w:w="211"/>
        <w:gridCol w:w="721"/>
        <w:gridCol w:w="316"/>
      </w:tblGrid>
      <w:tr>
        <w:trPr/>
        <w:tc>
          <w:tcPr>
            <w:tcW w:w="1604" w:type="dxa"/>
            <w:tcBorders/>
            <w:shd w:fill="auto" w:val="clear"/>
            <w:vAlign w:val="center"/>
          </w:tcPr>
          <w:p>
            <w:pPr>
              <w:pStyle w:val="TableContents"/>
              <w:spacing w:before="0" w:after="283"/>
              <w:rPr>
                <w:sz w:val="4"/>
                <w:szCs w:val="4"/>
              </w:rPr>
            </w:pPr>
            <w:r>
              <w:rPr>
                <w:sz w:val="4"/>
                <w:szCs w:val="4"/>
              </w:rPr>
            </w:r>
          </w:p>
        </w:tc>
        <w:tc>
          <w:tcPr>
            <w:tcW w:w="1407" w:type="dxa"/>
            <w:tcBorders/>
            <w:shd w:fill="auto" w:val="clear"/>
            <w:vAlign w:val="center"/>
          </w:tcPr>
          <w:p>
            <w:pPr>
              <w:pStyle w:val="TableContents"/>
              <w:spacing w:before="0" w:after="283"/>
              <w:rPr>
                <w:sz w:val="4"/>
                <w:szCs w:val="4"/>
              </w:rPr>
            </w:pPr>
            <w:r>
              <w:rPr>
                <w:sz w:val="4"/>
                <w:szCs w:val="4"/>
              </w:rPr>
            </w:r>
          </w:p>
        </w:tc>
        <w:tc>
          <w:tcPr>
            <w:tcW w:w="141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44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48"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44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2018</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73"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2019</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48"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2020</w:t>
            </w:r>
          </w:p>
        </w:tc>
      </w:tr>
      <w:tr>
        <w:trPr/>
        <w:tc>
          <w:tcPr>
            <w:tcW w:w="44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48"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(US$ in thousands)</w:t>
            </w:r>
          </w:p>
        </w:tc>
      </w:tr>
      <w:tr>
        <w:trPr/>
        <w:tc>
          <w:tcPr>
            <w:tcW w:w="44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Dollar-Based Net Expansion Rate</w:t>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179 </w:t>
            </w:r>
          </w:p>
        </w:tc>
        <w:tc>
          <w:tcPr>
            <w:tcW w:w="31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4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Constant Currency Dollar-Based Net Expansion Rate</w:t>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179 </w:t>
            </w:r>
          </w:p>
        </w:tc>
        <w:tc>
          <w:tcPr>
            <w:tcW w:w="31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4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Active customers</w:t>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1,041 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2,095 </w:t>
            </w:r>
          </w:p>
        </w:tc>
        <w:tc>
          <w:tcPr>
            <w:tcW w:w="3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4,035 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11,243 </w:t>
            </w:r>
          </w:p>
        </w:tc>
        <w:tc>
          <w:tcPr>
            <w:tcW w:w="3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Free cash flow</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(1,725)</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(4,096)</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(6,314)</w:t>
            </w:r>
          </w:p>
        </w:tc>
        <w:tc>
          <w:tcPr>
            <w:tcW w:w="3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319" w:before="0" w:after="240"/>
        <w:jc w:val="both"/>
        <w:rPr>
          <w:rFonts w:ascii="Times New Roman;sans-serif" w:hAnsi="Times New Roman;sans-serif"/>
          <w:b/>
          <w:i/>
          <w:color w:val="000000"/>
          <w:sz w:val="20"/>
        </w:rPr>
      </w:pPr>
      <w:r>
        <w:rPr>
          <w:rFonts w:ascii="Times New Roman;sans-serif" w:hAnsi="Times New Roman;sans-serif"/>
          <w:b/>
          <w:i/>
          <w:color w:val="000000"/>
          <w:sz w:val="20"/>
        </w:rPr>
        <w:t>Dollar-Based Net Expansion Rate</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ability to drive growth and generate incremental revenue depends, in part, on our ability to maintain and grow our relationships with customers and to increase their usage of our platform. An important way in which we track our performance in this area is by measuring the Dollar-Based Net Expansion Rate for our customers. Our Dollar-Based Net Expansion Rate increases when our customers increase usage of a product, extend usage of a product to new applications or adopt a new product. Our Dollar-Based Net Expansion Rate decreases when our customers cease or reduce usage of a product or when we lower prices.</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Dollar-Based Net Expansion Rate measures our ability to increase revenue generated from our existing customer base. To calculate Dollar-Based Net Expansion Rate for a given year, we first identify all customers in the prior year, then calculate the quotient from dividing the revenue generated from such customers in the given year by the revenue generated from the same group of customers in the prior year.</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calculate our Dollar-Based Net Expansion Rate on a year-over-year basis because our revenue is subject to fluctuations from quarter to quarter, such as in the first half of 2020 when we experienced a spike in the usage of our products as a result of demand for online real-time engagement spurred by the COVID-19 pandemic.</w:t>
      </w:r>
    </w:p>
    <w:p>
      <w:pPr>
        <w:pStyle w:val="TextBody"/>
        <w:spacing w:lineRule="auto" w:line="319" w:before="0" w:after="240"/>
        <w:jc w:val="both"/>
        <w:rPr>
          <w:rFonts w:ascii="Times New Roman;sans-serif" w:hAnsi="Times New Roman;sans-serif"/>
          <w:b/>
          <w:i/>
          <w:color w:val="000000"/>
          <w:sz w:val="20"/>
        </w:rPr>
      </w:pPr>
      <w:r>
        <w:rPr>
          <w:rFonts w:ascii="Times New Roman;sans-serif" w:hAnsi="Times New Roman;sans-serif"/>
          <w:b/>
          <w:i/>
          <w:color w:val="000000"/>
          <w:sz w:val="20"/>
        </w:rPr>
        <w:t>Constant Currency Dollar-Based Net Expansion Rate</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generate the majority of our revenue in Renminbi and for financial-reporting purposes translate our Renminbi and other non U.S.-dollar denominated revenue into U.S. dollars at average exchange rates prevailing during the fiscal year. As a result, as the Renminbi depreciates or appreciates against the U.S. dollar, our revenue presented in U.S. dollars, as well as our Dollar-Based Net Expansion Rate, will be negatively or positively affected. </w:t>
      </w:r>
    </w:p>
    <w:p>
      <w:pPr>
        <w:pStyle w:val="HorizontalLine"/>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385445"/>
                <wp:effectExtent l="0" t="0" r="0" b="0"/>
                <wp:wrapNone/>
                <wp:docPr id="99" name="Frame98"/>
                <a:graphic xmlns:a="http://schemas.openxmlformats.org/drawingml/2006/main">
                  <a:graphicData uri="http://schemas.microsoft.com/office/word/2010/wordprocessingShape">
                    <wps:wsp>
                      <wps:cNvSpPr txBox="1"/>
                      <wps:spPr>
                        <a:xfrm>
                          <a:off x="0" y="0"/>
                          <a:ext cx="6480175" cy="385445"/>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94</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94</w:t>
                      </w:r>
                    </w:p>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lineRule="auto" w:line="319"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See the section of this annual report captioned “Item 5. Operating and Financial Review and Prospects—A. Operating Results—Major Factors Affecting Our Results of Operations—Effect of Currency Translations” for additional information. Constant Currency Dollar-Based Net Expansion Rate is calculated the same way as our Dollar-Based Net Expansion Rate but using fixed exchange rates based on the daily average exchange rates prevailing during the prior year to remove the impact of foreign currency translations. We believe Constant Currency Dollar-Based Net Expansion Rate facilitates operating performance comparisons on a period-to-period basis as we do not consider the impact of foreign currency fluctuations to be indicative of our core operating performance.</w:t>
      </w:r>
    </w:p>
    <w:p>
      <w:pPr>
        <w:pStyle w:val="TextBody"/>
        <w:spacing w:lineRule="auto" w:line="319" w:before="0" w:after="240"/>
        <w:jc w:val="both"/>
        <w:rPr>
          <w:rFonts w:ascii="Times New Roman;sans-serif" w:hAnsi="Times New Roman;sans-serif"/>
          <w:b/>
          <w:i/>
          <w:color w:val="000000"/>
          <w:sz w:val="20"/>
        </w:rPr>
      </w:pPr>
      <w:r>
        <w:rPr>
          <w:rFonts w:ascii="Times New Roman;sans-serif" w:hAnsi="Times New Roman;sans-serif"/>
          <w:b/>
          <w:i/>
          <w:color w:val="000000"/>
          <w:sz w:val="20"/>
        </w:rPr>
        <w:t>Active Customers</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our ability to expand our customer base is an important indicator of market acceptance of our platform, the growth of our business, and future business opportunities. We define an active customer at the end of any particular period as an organization or individual developer from which we generated more than US$100 of revenue during the preceding 12 months. We count customers based on unique customer account identifiers. Generally, one software application uses the same customer account identifier throughout its life cycle while one account may be used for multiple applications. In each of the periods presented, revenue from active customers represented substantially all of our revenue.</w:t>
      </w:r>
    </w:p>
    <w:p>
      <w:pPr>
        <w:pStyle w:val="TextBody"/>
        <w:spacing w:lineRule="auto" w:line="319" w:before="0" w:after="240"/>
        <w:jc w:val="both"/>
        <w:rPr>
          <w:rFonts w:ascii="Times New Roman;sans-serif" w:hAnsi="Times New Roman;sans-serif"/>
          <w:b/>
          <w:i/>
          <w:color w:val="000000"/>
          <w:sz w:val="20"/>
        </w:rPr>
      </w:pPr>
      <w:r>
        <w:rPr>
          <w:rFonts w:ascii="Times New Roman;sans-serif" w:hAnsi="Times New Roman;sans-serif"/>
          <w:b/>
          <w:i/>
          <w:color w:val="000000"/>
          <w:sz w:val="20"/>
        </w:rPr>
        <w:t>Adjusted EBITDA</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Adjusted EBITDA is a non-GAAP financial measure that we calculate as net income (loss) before exchange gain (loss), interest and investment income, income taxes, depreciation and amortization, and adjusted to exclude the effects of share-based compensation expense. Adjusted EBITDA is a key measure used by management to evaluate our operating performance, generate future operating plans and make strategic decisions regarding the allocation of capital. In particular, the exclusion of share-based compensation expense in calculating Adjusted EBITDA facilitates operating performance comparisons on a period-to-period basis and excludes an item that we do not consider to be indicative of our core operating performance. Adjusted EBITDA is not a measure calculated in accordance with GAAP. See the section of this annual report captioned “—Non-GAAP Financial Measure” for a discussion of the limitations of Adjusted EBITDA and a reconciliation of Adjusted EBITDA to net income (loss), the most comparable GAAP measurement, for the periods presented.</w:t>
      </w:r>
    </w:p>
    <w:p>
      <w:pPr>
        <w:pStyle w:val="TextBody"/>
        <w:spacing w:lineRule="auto" w:line="319" w:before="0" w:after="240"/>
        <w:jc w:val="both"/>
        <w:rPr>
          <w:rFonts w:ascii="Times New Roman;sans-serif" w:hAnsi="Times New Roman;sans-serif"/>
          <w:b/>
          <w:i/>
          <w:color w:val="000000"/>
          <w:sz w:val="20"/>
        </w:rPr>
      </w:pPr>
      <w:r>
        <w:rPr>
          <w:rFonts w:ascii="Times New Roman;sans-serif" w:hAnsi="Times New Roman;sans-serif"/>
          <w:b/>
          <w:i/>
          <w:color w:val="000000"/>
          <w:sz w:val="20"/>
        </w:rPr>
        <w:t>Free Cash Flow</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Free cash flow is a non-GAAP financial measure that we calculate as net cash generated from (used in) operating activities less purchases of property and equipment. We believe this is a useful indicator of liquidity that provides information to management and investors about the amount of cash generated from our core operations that, after the purchases of property and equipment, can be used for strategic initiatives, including investing in our business and strengthening our balance sheet. We expect our free cash flow to fluctuate in future periods as we invest in our business to support our plans for growth. Free cash flow is not a measure calculated in accordance with GAAP. See the section of this annual report captioned “—Non-GAAP Financial Measure” for a discussion of the limitations of free cash flow and a reconciliation of free cash flow to as net cash generated from (used in) operating activities, the most comparable GAAP measurement, for the periods presented.</w:t>
      </w:r>
    </w:p>
    <w:p>
      <w:pPr>
        <w:pStyle w:val="HorizontalLine"/>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385445"/>
                <wp:effectExtent l="0" t="0" r="0" b="0"/>
                <wp:wrapNone/>
                <wp:docPr id="100" name="Frame99"/>
                <a:graphic xmlns:a="http://schemas.openxmlformats.org/drawingml/2006/main">
                  <a:graphicData uri="http://schemas.microsoft.com/office/word/2010/wordprocessingShape">
                    <wps:wsp>
                      <wps:cNvSpPr txBox="1"/>
                      <wps:spPr>
                        <a:xfrm>
                          <a:off x="0" y="0"/>
                          <a:ext cx="6480175" cy="385445"/>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95</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95</w:t>
                      </w:r>
                    </w:p>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lineRule="auto" w:line="319" w:before="100" w:after="240"/>
        <w:jc w:val="both"/>
        <w:rPr>
          <w:rFonts w:ascii="Times New Roman;sans-serif" w:hAnsi="Times New Roman;sans-serif"/>
          <w:b/>
          <w:color w:val="000000"/>
          <w:sz w:val="20"/>
        </w:rPr>
      </w:pPr>
      <w:r>
        <w:rPr>
          <w:rFonts w:ascii="Times New Roman;sans-serif" w:hAnsi="Times New Roman;sans-serif"/>
          <w:b/>
          <w:color w:val="000000"/>
          <w:sz w:val="20"/>
        </w:rPr>
        <w:t>Non-GAAP Financial Measure</w:t>
      </w:r>
    </w:p>
    <w:p>
      <w:pPr>
        <w:pStyle w:val="TextBody"/>
        <w:spacing w:lineRule="auto" w:line="319" w:before="0" w:after="240"/>
        <w:jc w:val="both"/>
        <w:rPr>
          <w:rFonts w:ascii="Times New Roman;sans-serif" w:hAnsi="Times New Roman;sans-serif"/>
          <w:b/>
          <w:i/>
          <w:color w:val="000000"/>
          <w:sz w:val="20"/>
        </w:rPr>
      </w:pPr>
      <w:r>
        <w:rPr>
          <w:rFonts w:ascii="Times New Roman;sans-serif" w:hAnsi="Times New Roman;sans-serif"/>
          <w:b/>
          <w:i/>
          <w:color w:val="000000"/>
          <w:sz w:val="20"/>
        </w:rPr>
        <w:t>Adjusted EBITDA</w:t>
      </w:r>
    </w:p>
    <w:p>
      <w:pPr>
        <w:pStyle w:val="TextBody"/>
        <w:spacing w:lineRule="auto" w:line="319" w:before="10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To provide investors with additional information regarding our financial results, we have disclosed in the table above Adjusted EBITDA, a non-GAAP financial measure that we calculate as net income (loss) before exchange gain (loss), interest and investment income, income taxes, depreciation and amortization, and adjusted to exclude the effects of share-based compensation expense. We have provided a reconciliation below of Adjusted EBITDA to net income (loss), the most directly comparable GAAP financial measure.</w:t>
      </w:r>
    </w:p>
    <w:p>
      <w:pPr>
        <w:pStyle w:val="TextBody"/>
        <w:spacing w:lineRule="auto" w:line="319" w:before="10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have included Adjusted EBITDA in this annual report because it is a key measure used by management to evaluate our operating performance, generate future operating plans and make strategic decisions regarding the allocation of capital. In particular, the exclusion of share-based compensation expense in calculating Adjusted EBITDA facilitates operating performance comparisons on a period-to-period basis and excludes an item that we do not consider to be indicative of our core operating performance. Accordingly, we believe that Adjusted EBITDA provides useful information to investors and others in understanding and evaluating our operating results in the same manner as our management and board of directors.</w:t>
      </w:r>
    </w:p>
    <w:p>
      <w:pPr>
        <w:pStyle w:val="TextBody"/>
        <w:spacing w:lineRule="auto" w:line="319" w:before="10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Adjusted EBITDA has limitations as an analytical tool, and it should not be considered in isolation or as a substitute for analysis of our results as reported under GAAP. Some of these limitations are:</w:t>
      </w:r>
    </w:p>
    <w:p>
      <w:pPr>
        <w:pStyle w:val="TextBody"/>
        <w:spacing w:lineRule="auto" w:line="319" w:before="0" w:after="240"/>
        <w:ind w:left="0" w:right="0" w:hanging="180"/>
        <w:jc w:val="both"/>
        <w:rPr/>
      </w:pPr>
      <w:r>
        <w:rPr>
          <w:color w:val="000000"/>
        </w:rPr>
        <w:t>•</w:t>
      </w:r>
      <w:r>
        <w:rPr>
          <w:rFonts w:ascii="Times New Roman;sans-serif" w:hAnsi="Times New Roman;sans-serif"/>
          <w:b w:val="false"/>
          <w:color w:val="000000"/>
          <w:sz w:val="20"/>
        </w:rPr>
        <w:t>although depreciation and amortization are non-cash charges, the assets being depreciated and amortized may have to be replaced in the future, and Adjusted EBITDA does not reflect cash capital expenditure requirements for such replacements or for new capital expenditure requirements;</w:t>
      </w:r>
    </w:p>
    <w:p>
      <w:pPr>
        <w:pStyle w:val="TextBody"/>
        <w:spacing w:lineRule="auto" w:line="319" w:before="0" w:after="240"/>
        <w:ind w:left="0" w:right="0" w:hanging="180"/>
        <w:jc w:val="both"/>
        <w:rPr/>
      </w:pPr>
      <w:r>
        <w:rPr>
          <w:color w:val="000000"/>
        </w:rPr>
        <w:t>•</w:t>
      </w:r>
      <w:r>
        <w:rPr>
          <w:rFonts w:ascii="Times New Roman;sans-serif" w:hAnsi="Times New Roman;sans-serif"/>
          <w:b w:val="false"/>
          <w:color w:val="000000"/>
          <w:sz w:val="20"/>
        </w:rPr>
        <w:t>Adjusted EBITDA does not reflect changes in exchange gain (loss);</w:t>
      </w:r>
    </w:p>
    <w:p>
      <w:pPr>
        <w:pStyle w:val="TextBody"/>
        <w:spacing w:lineRule="auto" w:line="319" w:before="0" w:after="240"/>
        <w:ind w:left="0" w:right="0" w:hanging="180"/>
        <w:jc w:val="both"/>
        <w:rPr/>
      </w:pPr>
      <w:r>
        <w:rPr>
          <w:color w:val="000000"/>
        </w:rPr>
        <w:t>•</w:t>
      </w:r>
      <w:r>
        <w:rPr>
          <w:rFonts w:ascii="Times New Roman;sans-serif" w:hAnsi="Times New Roman;sans-serif"/>
          <w:b w:val="false"/>
          <w:color w:val="000000"/>
          <w:sz w:val="20"/>
        </w:rPr>
        <w:t>Adjusted EBITDA does not reflect changes in, or cash requirements for, our working capital needs;</w:t>
      </w:r>
    </w:p>
    <w:p>
      <w:pPr>
        <w:pStyle w:val="TextBody"/>
        <w:spacing w:lineRule="auto" w:line="319" w:before="0" w:after="240"/>
        <w:ind w:left="0" w:right="0" w:hanging="180"/>
        <w:jc w:val="both"/>
        <w:rPr/>
      </w:pPr>
      <w:r>
        <w:rPr>
          <w:color w:val="000000"/>
        </w:rPr>
        <w:t>•</w:t>
      </w:r>
      <w:r>
        <w:rPr>
          <w:rFonts w:ascii="Times New Roman;sans-serif" w:hAnsi="Times New Roman;sans-serif"/>
          <w:b w:val="false"/>
          <w:color w:val="000000"/>
          <w:sz w:val="20"/>
        </w:rPr>
        <w:t>Adjusted EBITDA does not consider the potentially dilutive impact of share-based compensation;</w:t>
      </w:r>
    </w:p>
    <w:p>
      <w:pPr>
        <w:pStyle w:val="TextBody"/>
        <w:spacing w:lineRule="auto" w:line="319" w:before="0" w:after="240"/>
        <w:ind w:left="0" w:right="0" w:hanging="180"/>
        <w:jc w:val="both"/>
        <w:rPr/>
      </w:pPr>
      <w:r>
        <w:rPr>
          <w:color w:val="000000"/>
        </w:rPr>
        <w:t>•</w:t>
      </w:r>
      <w:r>
        <w:rPr>
          <w:rFonts w:ascii="Times New Roman;sans-serif" w:hAnsi="Times New Roman;sans-serif"/>
          <w:b w:val="false"/>
          <w:color w:val="000000"/>
          <w:sz w:val="20"/>
        </w:rPr>
        <w:t>Adjusted EBITDA does not reflect tax payments that may represent a reduction in cash available to us; and</w:t>
      </w:r>
    </w:p>
    <w:p>
      <w:pPr>
        <w:pStyle w:val="TextBody"/>
        <w:spacing w:lineRule="auto" w:line="319" w:before="0" w:after="240"/>
        <w:ind w:left="0" w:right="0" w:hanging="180"/>
        <w:jc w:val="both"/>
        <w:rPr/>
      </w:pPr>
      <w:r>
        <w:rPr>
          <w:color w:val="000000"/>
        </w:rPr>
        <w:t>•</w:t>
      </w:r>
      <w:r>
        <w:rPr>
          <w:rFonts w:ascii="Times New Roman;sans-serif" w:hAnsi="Times New Roman;sans-serif"/>
          <w:b w:val="false"/>
          <w:color w:val="000000"/>
          <w:sz w:val="20"/>
        </w:rPr>
        <w:t>other companies, including companies in our industry, may calculate Adjusted EBITDA differently, which reduces its usefulness as a comparative measure.</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Because of these limitations, you should consider Adjusted EBITDA alongside other financial performance measures, including various cash flow metrics, net income and our other GAAP results.</w:t>
      </w:r>
    </w:p>
    <w:p>
      <w:pPr>
        <w:pStyle w:val="HorizontalLine"/>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385445"/>
                <wp:effectExtent l="0" t="0" r="0" b="0"/>
                <wp:wrapNone/>
                <wp:docPr id="101" name="Frame100"/>
                <a:graphic xmlns:a="http://schemas.openxmlformats.org/drawingml/2006/main">
                  <a:graphicData uri="http://schemas.microsoft.com/office/word/2010/wordprocessingShape">
                    <wps:wsp>
                      <wps:cNvSpPr txBox="1"/>
                      <wps:spPr>
                        <a:xfrm>
                          <a:off x="0" y="0"/>
                          <a:ext cx="6480175" cy="385445"/>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96</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96</w:t>
                      </w:r>
                    </w:p>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 reconciliation of non-GAAP Adjusted EBITDA to net income (loss) is as follows:</w:t>
      </w:r>
    </w:p>
    <w:tbl>
      <w:tblPr>
        <w:tblW w:w="6672" w:type="dxa"/>
        <w:jc w:val="left"/>
        <w:tblInd w:w="0" w:type="dxa"/>
        <w:tblCellMar>
          <w:top w:w="28" w:type="dxa"/>
          <w:left w:w="28" w:type="dxa"/>
          <w:bottom w:w="28" w:type="dxa"/>
          <w:right w:w="28" w:type="dxa"/>
        </w:tblCellMar>
      </w:tblPr>
      <w:tblGrid>
        <w:gridCol w:w="1081"/>
        <w:gridCol w:w="948"/>
        <w:gridCol w:w="956"/>
        <w:gridCol w:w="211"/>
        <w:gridCol w:w="616"/>
        <w:gridCol w:w="109"/>
        <w:gridCol w:w="109"/>
        <w:gridCol w:w="109"/>
        <w:gridCol w:w="109"/>
        <w:gridCol w:w="211"/>
        <w:gridCol w:w="691"/>
        <w:gridCol w:w="109"/>
        <w:gridCol w:w="109"/>
        <w:gridCol w:w="109"/>
        <w:gridCol w:w="109"/>
        <w:gridCol w:w="211"/>
        <w:gridCol w:w="721"/>
        <w:gridCol w:w="154"/>
      </w:tblGrid>
      <w:tr>
        <w:trPr/>
        <w:tc>
          <w:tcPr>
            <w:tcW w:w="1081" w:type="dxa"/>
            <w:tcBorders/>
            <w:shd w:fill="auto" w:val="clear"/>
            <w:vAlign w:val="center"/>
          </w:tcPr>
          <w:p>
            <w:pPr>
              <w:pStyle w:val="TableContents"/>
              <w:spacing w:before="0" w:after="283"/>
              <w:rPr>
                <w:sz w:val="4"/>
                <w:szCs w:val="4"/>
              </w:rPr>
            </w:pPr>
            <w:r>
              <w:rPr>
                <w:sz w:val="4"/>
                <w:szCs w:val="4"/>
              </w:rPr>
            </w:r>
          </w:p>
        </w:tc>
        <w:tc>
          <w:tcPr>
            <w:tcW w:w="948" w:type="dxa"/>
            <w:tcBorders/>
            <w:shd w:fill="auto" w:val="clear"/>
            <w:vAlign w:val="center"/>
          </w:tcPr>
          <w:p>
            <w:pPr>
              <w:pStyle w:val="TableContents"/>
              <w:spacing w:before="0" w:after="283"/>
              <w:rPr>
                <w:sz w:val="4"/>
                <w:szCs w:val="4"/>
              </w:rPr>
            </w:pPr>
            <w:r>
              <w:rPr>
                <w:sz w:val="4"/>
                <w:szCs w:val="4"/>
              </w:rPr>
            </w:r>
          </w:p>
        </w:tc>
        <w:tc>
          <w:tcPr>
            <w:tcW w:w="95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87"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29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2018</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2019</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2020</w:t>
            </w:r>
          </w:p>
        </w:tc>
      </w:tr>
      <w:tr>
        <w:trPr/>
        <w:tc>
          <w:tcPr>
            <w:tcW w:w="29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87"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(US$ in thousands)</w:t>
            </w:r>
          </w:p>
        </w:tc>
      </w:tr>
      <w:tr>
        <w:trPr/>
        <w:tc>
          <w:tcPr>
            <w:tcW w:w="29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(3,114)</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Excluding:</w:t>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Exchange gain (loss)</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taxes</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 expense</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11,974 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11,243 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319" w:before="0" w:after="240"/>
        <w:jc w:val="both"/>
        <w:rPr>
          <w:rFonts w:ascii="Times New Roman;sans-serif" w:hAnsi="Times New Roman;sans-serif"/>
          <w:b/>
          <w:i/>
          <w:color w:val="000000"/>
          <w:sz w:val="20"/>
        </w:rPr>
      </w:pPr>
      <w:r>
        <w:rPr>
          <w:rFonts w:ascii="Times New Roman;sans-serif" w:hAnsi="Times New Roman;sans-serif"/>
          <w:b/>
          <w:i/>
          <w:color w:val="000000"/>
          <w:sz w:val="20"/>
        </w:rPr>
        <w:t>Free Cash Flow</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To provide investors with additional information regarding our financial results, we have also disclosed in the table above and elsewhere in this annual report free cash flow, a non-GAAP financial measure that we calculate as net cash generated from (used in) operating activities less cash used in purchases of property and equipment. We have provided a reconciliation of free cash flow to net cash generated from (used in) operating activities, the most directly comparable GAAP financial measure.</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have included free cash flow in this annual report because we believe it is a useful indicator of liquidity that provides information to management and investors about the amount of cash generated from our core operations that, after the purchases of property and equipment, can be used for strategic initiatives, including investing in our business, making strategic acquisitions, and strengthening our balance sheet.</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Free cash flow has limitations as an analytical tool, and it should not be considered in isolation or as a substitute for analysis of our results as reported under GAAP. There are limitations to using non-GAAP financial measures, including that other companies, including companies in our industry, may calculate free cash flow differently. Because of these limitations, you should consider free cash flow alongside other financial performance measures, including net cash generated from (used in) operating activities, purchases of property and equipment and our other GAAP results.</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a reconciliation of free cash flow to net cash generated from operating activities, as well as information regarding net cash used in investing activities and net cash provided by financing activities, for each of the periods indicated:</w:t>
      </w:r>
    </w:p>
    <w:tbl>
      <w:tblPr>
        <w:tblW w:w="7026" w:type="dxa"/>
        <w:jc w:val="left"/>
        <w:tblInd w:w="0" w:type="dxa"/>
        <w:tblCellMar>
          <w:top w:w="28" w:type="dxa"/>
          <w:left w:w="28" w:type="dxa"/>
          <w:bottom w:w="28" w:type="dxa"/>
          <w:right w:w="28" w:type="dxa"/>
        </w:tblCellMar>
      </w:tblPr>
      <w:tblGrid>
        <w:gridCol w:w="1337"/>
        <w:gridCol w:w="1172"/>
        <w:gridCol w:w="1180"/>
        <w:gridCol w:w="224"/>
        <w:gridCol w:w="497"/>
        <w:gridCol w:w="109"/>
        <w:gridCol w:w="109"/>
        <w:gridCol w:w="109"/>
        <w:gridCol w:w="109"/>
        <w:gridCol w:w="215"/>
        <w:gridCol w:w="475"/>
        <w:gridCol w:w="109"/>
        <w:gridCol w:w="109"/>
        <w:gridCol w:w="109"/>
        <w:gridCol w:w="109"/>
        <w:gridCol w:w="229"/>
        <w:gridCol w:w="671"/>
        <w:gridCol w:w="154"/>
      </w:tblGrid>
      <w:tr>
        <w:trPr/>
        <w:tc>
          <w:tcPr>
            <w:tcW w:w="1337" w:type="dxa"/>
            <w:tcBorders/>
            <w:shd w:fill="auto" w:val="clear"/>
            <w:vAlign w:val="center"/>
          </w:tcPr>
          <w:p>
            <w:pPr>
              <w:pStyle w:val="TableContents"/>
              <w:spacing w:before="0" w:after="283"/>
              <w:rPr>
                <w:sz w:val="4"/>
                <w:szCs w:val="4"/>
              </w:rPr>
            </w:pPr>
            <w:r>
              <w:rPr>
                <w:sz w:val="4"/>
                <w:szCs w:val="4"/>
              </w:rPr>
            </w:r>
          </w:p>
        </w:tc>
        <w:tc>
          <w:tcPr>
            <w:tcW w:w="1172" w:type="dxa"/>
            <w:tcBorders/>
            <w:shd w:fill="auto" w:val="clear"/>
            <w:vAlign w:val="center"/>
          </w:tcPr>
          <w:p>
            <w:pPr>
              <w:pStyle w:val="TableContents"/>
              <w:spacing w:before="0" w:after="283"/>
              <w:rPr>
                <w:sz w:val="4"/>
                <w:szCs w:val="4"/>
              </w:rPr>
            </w:pPr>
            <w:r>
              <w:rPr>
                <w:sz w:val="4"/>
                <w:szCs w:val="4"/>
              </w:rPr>
            </w:r>
          </w:p>
        </w:tc>
        <w:tc>
          <w:tcPr>
            <w:tcW w:w="1180"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49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47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67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7"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36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2018</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99"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2019</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54"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2020</w:t>
            </w:r>
          </w:p>
        </w:tc>
      </w:tr>
      <w:tr>
        <w:trPr/>
        <w:tc>
          <w:tcPr>
            <w:tcW w:w="36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7"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(US$ in thousands)</w:t>
            </w:r>
          </w:p>
        </w:tc>
      </w:tr>
      <w:tr>
        <w:trPr/>
        <w:tc>
          <w:tcPr>
            <w:tcW w:w="36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generated from operating activities</w:t>
            </w:r>
          </w:p>
        </w:tc>
        <w:tc>
          <w:tcPr>
            <w:tcW w:w="22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property and equipment</w:t>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(12,878)</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Free cash flow</w:t>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(6,314)</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color w:val="000000"/>
                <w:sz w:val="20"/>
              </w:rPr>
              <w:t>Net cash used in investing activities</w:t>
            </w:r>
            <w:r>
              <w:rPr>
                <w:rFonts w:ascii="Times New Roman;sans-serif" w:hAnsi="Times New Roman;sans-serif"/>
                <w:b w:val="false"/>
                <w:color w:val="000000"/>
                <w:sz w:val="13"/>
              </w:rPr>
              <w:t>(1)</w:t>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(535,052)</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w:t>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65,772 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533,638 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(1)Net cash used in investing activities includes payments for purchases of property and equipment, which is also included in our calculation of free cash flow.</w:t>
      </w:r>
    </w:p>
    <w:p>
      <w:pPr>
        <w:pStyle w:val="TextBody"/>
        <w:spacing w:before="0" w:after="0"/>
        <w:ind w:left="0" w:right="0" w:hanging="360"/>
        <w:rPr/>
      </w:pPr>
      <w:r>
        <w:rPr/>
      </w:r>
    </w:p>
    <w:p>
      <w:pPr>
        <w:pStyle w:val="HorizontalLine"/>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385445"/>
                <wp:effectExtent l="0" t="0" r="0" b="0"/>
                <wp:wrapNone/>
                <wp:docPr id="102" name="Frame101"/>
                <a:graphic xmlns:a="http://schemas.openxmlformats.org/drawingml/2006/main">
                  <a:graphicData uri="http://schemas.microsoft.com/office/word/2010/wordprocessingShape">
                    <wps:wsp>
                      <wps:cNvSpPr txBox="1"/>
                      <wps:spPr>
                        <a:xfrm>
                          <a:off x="0" y="0"/>
                          <a:ext cx="6480175" cy="385445"/>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97</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97</w:t>
                      </w:r>
                    </w:p>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Components of Our Results of Operations</w:t>
      </w:r>
    </w:p>
    <w:p>
      <w:pPr>
        <w:pStyle w:val="TextBody"/>
        <w:spacing w:lineRule="auto" w:line="319" w:before="100" w:after="240"/>
        <w:jc w:val="both"/>
        <w:rPr>
          <w:rFonts w:ascii="Times New Roman;sans-serif" w:hAnsi="Times New Roman;sans-serif"/>
          <w:b/>
          <w:i/>
          <w:color w:val="000000"/>
          <w:sz w:val="20"/>
        </w:rPr>
      </w:pPr>
      <w:r>
        <w:rPr>
          <w:rFonts w:ascii="Times New Roman;sans-serif" w:hAnsi="Times New Roman;sans-serif"/>
          <w:b/>
          <w:i/>
          <w:color w:val="000000"/>
          <w:sz w:val="20"/>
        </w:rPr>
        <w:t>Revenue</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derive substantially all of our revenue from usage-based fees earned from customers using video, voice, and other products. A majority of the minutes used by our customers are for voice products, but we generate a majority of our revenue from usage of video products, which we sell for a higher price given the higher bandwidth cost and technical sophistication required. Our product mix is impacted by the relative contribution of various use cases. In 2018, 2019 and 2020, we have seen increasing revenue contribution from our video products, mainly driven by the emergence of education use cases, where the majority of usage is video and in certain cases high definition video, for which we charge a higher price. We expect that product and use case mix and their impact on revenue will vary from period to period.</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Generally, customers enter into 12-month contracts and are invoiced monthly in arrears based on usage. Historically, we have not experienced any significant recoverability issues with respect to our accounts receivable. We offer tiered, volume-based discounts to our largest customers, in some cases in return for some level of minimum revenue commitment.</w:t>
      </w:r>
    </w:p>
    <w:p>
      <w:pPr>
        <w:pStyle w:val="TextBody"/>
        <w:spacing w:lineRule="auto" w:line="319" w:before="0" w:after="240"/>
        <w:jc w:val="both"/>
        <w:rPr>
          <w:rFonts w:ascii="Times New Roman;sans-serif" w:hAnsi="Times New Roman;sans-serif"/>
          <w:b/>
          <w:i/>
          <w:color w:val="000000"/>
          <w:sz w:val="20"/>
        </w:rPr>
      </w:pPr>
      <w:r>
        <w:rPr>
          <w:rFonts w:ascii="Times New Roman;sans-serif" w:hAnsi="Times New Roman;sans-serif"/>
          <w:b/>
          <w:i/>
          <w:color w:val="000000"/>
          <w:sz w:val="20"/>
        </w:rPr>
        <w:t>Cost of Revenue and Gross Margin</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Cost of revenue consists primarily of costs of bandwidth purchased from network operators and cloud providers, data center co-location costs, depreciation of servers and network equipment and personnel costs for customer management and services employees.</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Gross profit is equal to our total revenues less cost of revenues. Gross profit as a percentage of our total revenues is referred to as gross margin. Our gross margin has been and will continue to be affected by a number of factors, including the timing and extent of our investments in our operations, our ability to manage our bandwidth, co-location and server costs, the mix of video and voice usage and the extent to which we periodically choose to pass on the cost savings from lower pricing and higher utilization to our customers in the form of lower prices as well as our efforts to drive greater usage of our products through attractive pricing.</w:t>
      </w:r>
    </w:p>
    <w:p>
      <w:pPr>
        <w:pStyle w:val="TextBody"/>
        <w:spacing w:lineRule="auto" w:line="319" w:before="0" w:after="240"/>
        <w:jc w:val="both"/>
        <w:rPr>
          <w:rFonts w:ascii="Times New Roman;sans-serif" w:hAnsi="Times New Roman;sans-serif"/>
          <w:b/>
          <w:i/>
          <w:color w:val="000000"/>
          <w:sz w:val="20"/>
        </w:rPr>
      </w:pPr>
      <w:r>
        <w:rPr>
          <w:rFonts w:ascii="Times New Roman;sans-serif" w:hAnsi="Times New Roman;sans-serif"/>
          <w:b/>
          <w:i/>
          <w:color w:val="000000"/>
          <w:sz w:val="20"/>
        </w:rPr>
        <w:t>Operating Expenses</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most significant components of operating expenses are personnel costs, which consist of salaries, benefits, bonuses, and share-based compensation. We also incur other non-personnel costs related to our general overhead expenses.</w:t>
      </w:r>
    </w:p>
    <w:p>
      <w:pPr>
        <w:pStyle w:val="TextBody"/>
        <w:spacing w:lineRule="auto" w:line="319" w:before="0" w:after="240"/>
        <w:jc w:val="both"/>
        <w:rPr>
          <w:rFonts w:ascii="Times New Roman;sans-serif" w:hAnsi="Times New Roman;sans-serif"/>
          <w:b w:val="false"/>
          <w:i/>
          <w:color w:val="000000"/>
          <w:sz w:val="20"/>
        </w:rPr>
      </w:pPr>
      <w:r>
        <w:rPr>
          <w:rFonts w:ascii="Times New Roman;sans-serif" w:hAnsi="Times New Roman;sans-serif"/>
          <w:b w:val="false"/>
          <w:i/>
          <w:color w:val="000000"/>
          <w:sz w:val="20"/>
        </w:rPr>
        <w:t>Research and Development</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expenses consist primarily of personnel costs for research and development personnel, cloud infrastructure fees for staging and development, third-party software testing services, and an allocation of general overhead expenses. Because the amount of research and development expenses qualifying for capitalization has been immaterial, all development costs have been expensed as incurred.</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continued investment in our products is important for our future growth, and we expect to continue to focus our research and development efforts on improving the quality of the end-user experience, adding new features and functionalities to our products and introducing new products. We expect our research and development expenses to continue to increase in absolute dollars for the foreseeable future. Although these expenses may fluctuate as a percentage of total revenue from period to period, over the longer term, we expect research and development expenses to decline as a percentage of revenue as we scale our business.</w:t>
      </w:r>
    </w:p>
    <w:p>
      <w:pPr>
        <w:pStyle w:val="HorizontalLine"/>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385445"/>
                <wp:effectExtent l="0" t="0" r="0" b="0"/>
                <wp:wrapNone/>
                <wp:docPr id="103" name="Frame102"/>
                <a:graphic xmlns:a="http://schemas.openxmlformats.org/drawingml/2006/main">
                  <a:graphicData uri="http://schemas.microsoft.com/office/word/2010/wordprocessingShape">
                    <wps:wsp>
                      <wps:cNvSpPr txBox="1"/>
                      <wps:spPr>
                        <a:xfrm>
                          <a:off x="0" y="0"/>
                          <a:ext cx="6480175" cy="385445"/>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98</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98</w:t>
                      </w:r>
                    </w:p>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lineRule="auto" w:line="319" w:before="0" w:after="240"/>
        <w:jc w:val="both"/>
        <w:rPr>
          <w:rFonts w:ascii="Times New Roman;sans-serif" w:hAnsi="Times New Roman;sans-serif"/>
          <w:b w:val="false"/>
          <w:i/>
          <w:color w:val="000000"/>
          <w:sz w:val="20"/>
        </w:rPr>
      </w:pPr>
      <w:r>
        <w:rPr>
          <w:rFonts w:ascii="Times New Roman;sans-serif" w:hAnsi="Times New Roman;sans-serif"/>
          <w:b w:val="false"/>
          <w:i/>
          <w:color w:val="000000"/>
          <w:sz w:val="20"/>
        </w:rPr>
        <w:t>Sales and Marketing</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Sales and marketing expenses consist primarily of advertising-related expenditures, marketing costs related to our developer conferences and event, personnel costs of our sales and marketing team and an allocation of our general overhead expenses.</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go-to market strategy is focused on building developer community and enthusiasm for our products. We also employ more targeted sales efforts focused on large potential customers with proven use cases that could benefit from our products. We plan to continue investing in sales and marketing by increasing our sales and marketing headcount, expanding our sales channels, building our brand awareness and sponsoring additional marketing events. We expect our sales and marketing expenses to continue to increase in absolute dollars for the foreseeable future as we expand our sales and marketing efforts and continue to build our brand, although these expenses may fluctuate as a percentage of our total revenue from period to period depending on the timing of these expenses and, over the longer term, we expect them to decline as a percentage of revenue as we scale our business.</w:t>
      </w:r>
    </w:p>
    <w:p>
      <w:pPr>
        <w:pStyle w:val="TextBody"/>
        <w:spacing w:lineRule="auto" w:line="319" w:before="0" w:after="240"/>
        <w:jc w:val="both"/>
        <w:rPr>
          <w:rFonts w:ascii="Times New Roman;sans-serif" w:hAnsi="Times New Roman;sans-serif"/>
          <w:b w:val="false"/>
          <w:i/>
          <w:color w:val="000000"/>
          <w:sz w:val="20"/>
        </w:rPr>
      </w:pPr>
      <w:r>
        <w:rPr>
          <w:rFonts w:ascii="Times New Roman;sans-serif" w:hAnsi="Times New Roman;sans-serif"/>
          <w:b w:val="false"/>
          <w:i/>
          <w:color w:val="000000"/>
          <w:sz w:val="20"/>
        </w:rPr>
        <w:t>General and Administrative</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 consist primarily of personnel costs for our accounting, finance, legal, human resources and administrative support personnel and executives. General and administrative expenses also include costs related to legal and other professional services fees, sales and other taxes, depreciation and amortization of property and equipment and an allocation of our general overhead expenses.</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expect to incur additional expenses as a result of operating as a public company, including costs to comply with the rules and regulations applicable to companies listed on a national securities exchange, costs related to compliance and reporting obligations pursuant to the rules and regulations of the SEC and increased expenses for insurance, investor relations and professional services. We expect our general and administrative expenses to continue to increase in absolute dollars for the foreseeable future. Although these expenses may fluctuate as a percentage of our total revenue from period to period, over the long term, we expect general and administrative expense to gradually decline as a percentage of revenue as we scale our business.</w:t>
      </w:r>
    </w:p>
    <w:p>
      <w:pPr>
        <w:pStyle w:val="TextBody"/>
        <w:spacing w:lineRule="auto" w:line="319" w:before="0" w:after="240"/>
        <w:jc w:val="both"/>
        <w:rPr>
          <w:rFonts w:ascii="Times New Roman;sans-serif" w:hAnsi="Times New Roman;sans-serif"/>
          <w:b/>
          <w:color w:val="000000"/>
          <w:sz w:val="20"/>
        </w:rPr>
      </w:pPr>
      <w:r>
        <w:rPr>
          <w:rFonts w:ascii="Times New Roman;sans-serif" w:hAnsi="Times New Roman;sans-serif"/>
          <w:b/>
          <w:color w:val="000000"/>
          <w:sz w:val="20"/>
        </w:rPr>
        <w:t xml:space="preserve">Taxation </w:t>
      </w:r>
    </w:p>
    <w:p>
      <w:pPr>
        <w:pStyle w:val="TextBody"/>
        <w:spacing w:lineRule="auto" w:line="319" w:before="100" w:after="240"/>
        <w:jc w:val="both"/>
        <w:rPr>
          <w:rFonts w:ascii="Times New Roman;sans-serif" w:hAnsi="Times New Roman;sans-serif"/>
          <w:b/>
          <w:i/>
          <w:color w:val="000000"/>
          <w:sz w:val="20"/>
        </w:rPr>
      </w:pPr>
      <w:r>
        <w:rPr>
          <w:rFonts w:ascii="Times New Roman;sans-serif" w:hAnsi="Times New Roman;sans-serif"/>
          <w:b/>
          <w:i/>
          <w:color w:val="000000"/>
          <w:sz w:val="20"/>
        </w:rPr>
        <w:t>Cayman Islands</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Cayman Islands currently levies no taxes on individuals or corporations based upon profits, income, gains or appreciation and there is no taxation in the nature of inheritance tax or estate duty. There are no other taxes likely to be material to us levied by the government of the Cayman Islands except for stamp duties which may be applicable on instruments executed in, or, after execution, brought within the jurisdiction of the Cayman Islands. The Cayman Islands is not party to any double tax treaties that are applicable to any payments made to or by our company. There are no exchange control regulations or currency restrictions in the Cayman Islands.</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Payments of dividends and capital in respect of our ordinary shares will not be subject to taxation in the Cayman Islands and no withholding will be required on the payment of a dividend or capital to any holder of our ordinary shares, nor will gains derived from the disposal of our ordinary shares or ADSs be subject to Cayman Islands income or corporation tax.</w:t>
      </w:r>
    </w:p>
    <w:p>
      <w:pPr>
        <w:pStyle w:val="TextBody"/>
        <w:spacing w:lineRule="auto" w:line="319" w:before="100" w:after="240"/>
        <w:jc w:val="both"/>
        <w:rPr>
          <w:rFonts w:ascii="Times New Roman;sans-serif" w:hAnsi="Times New Roman;sans-serif"/>
          <w:b/>
          <w:i/>
          <w:color w:val="000000"/>
          <w:sz w:val="20"/>
        </w:rPr>
      </w:pPr>
      <w:r>
        <w:rPr>
          <w:rFonts w:ascii="Times New Roman;sans-serif" w:hAnsi="Times New Roman;sans-serif"/>
          <w:b/>
          <w:i/>
          <w:color w:val="000000"/>
          <w:sz w:val="20"/>
        </w:rPr>
        <w:t>Hong Kong</w:t>
      </w:r>
    </w:p>
    <w:p>
      <w:pPr>
        <w:pStyle w:val="HorizontalLine"/>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385445"/>
                <wp:effectExtent l="0" t="0" r="0" b="0"/>
                <wp:wrapNone/>
                <wp:docPr id="104" name="Frame103"/>
                <a:graphic xmlns:a="http://schemas.openxmlformats.org/drawingml/2006/main">
                  <a:graphicData uri="http://schemas.microsoft.com/office/word/2010/wordprocessingShape">
                    <wps:wsp>
                      <wps:cNvSpPr txBox="1"/>
                      <wps:spPr>
                        <a:xfrm>
                          <a:off x="0" y="0"/>
                          <a:ext cx="6480175" cy="385445"/>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99</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99</w:t>
                      </w:r>
                    </w:p>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subsidiary, Agora IO Hongkong Limited, is incorporated in Hong Kong and is subject to Hong Kong profit tax at the rate of 8.25% for profit of up to HK$2.0 million and 16.5% for the remainder of taxable income. Hong Kong does not impose a withholding tax on dividends.</w:t>
      </w:r>
    </w:p>
    <w:p>
      <w:pPr>
        <w:pStyle w:val="TextBody"/>
        <w:spacing w:lineRule="auto" w:line="319" w:before="100" w:after="240"/>
        <w:jc w:val="both"/>
        <w:rPr>
          <w:rFonts w:ascii="Times New Roman;sans-serif" w:hAnsi="Times New Roman;sans-serif"/>
          <w:b/>
          <w:i/>
          <w:color w:val="000000"/>
          <w:sz w:val="20"/>
        </w:rPr>
      </w:pPr>
      <w:r>
        <w:rPr>
          <w:rFonts w:ascii="Times New Roman;sans-serif" w:hAnsi="Times New Roman;sans-serif"/>
          <w:b/>
          <w:i/>
          <w:color w:val="000000"/>
          <w:sz w:val="20"/>
        </w:rPr>
        <w:t>People’s Republic of China</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Generally, our subsidiaries and consolidated VIEs and their subsidiaries in China are subject to enterprise income tax on their taxable income in China at a rate of 25%. The enterprise income tax is calculated based on the entity’s global income as determined under PRC tax laws and accounting standards. </w:t>
      </w:r>
    </w:p>
    <w:p>
      <w:pPr>
        <w:pStyle w:val="TextBody"/>
        <w:spacing w:lineRule="auto" w:line="319" w:before="100" w:after="240"/>
        <w:ind w:left="0" w:right="0" w:firstLine="720"/>
        <w:jc w:val="both"/>
        <w:rPr/>
      </w:pPr>
      <w:r>
        <w:rPr>
          <w:rFonts w:ascii="Times New Roman;sans-serif" w:hAnsi="Times New Roman;sans-serif"/>
          <w:b w:val="false"/>
          <w:color w:val="000000"/>
          <w:sz w:val="20"/>
        </w:rPr>
        <w:t xml:space="preserve">Our revenues are subject to value-added tax at a rate of approximately 6%. The provision of advertising services in China is subject to a cultural development fee. The fee was charged at an applicable rate of 3% of the net advertising revenues prior to June 30, 2019, which was reduced to 1.5% commencing on July 1, 2019, according to a preferential tax policy issued on June 12, 2019 by the government of Shanghai. The preferential policy is said to be in effect until December 31, 2024. Moreover, pursuant to the </w:t>
      </w:r>
      <w:r>
        <w:rPr>
          <w:rFonts w:ascii="Times New Roman;sans-serif" w:hAnsi="Times New Roman;sans-serif"/>
          <w:b w:val="false"/>
          <w:i/>
          <w:color w:val="000000"/>
          <w:sz w:val="20"/>
        </w:rPr>
        <w:t xml:space="preserve">Announcement on the Supporting Tax and Fee Policy for Film Industry and Other Industries </w:t>
      </w:r>
      <w:r>
        <w:rPr>
          <w:rFonts w:ascii="Times New Roman;sans-serif" w:hAnsi="Times New Roman;sans-serif"/>
          <w:b w:val="false"/>
          <w:color w:val="000000"/>
          <w:sz w:val="20"/>
        </w:rPr>
        <w:t>issued by MOF and SAT on May 13, 2020, the cultural development fee was waived from January 1, 2020 until December 31, 2020.</w:t>
      </w:r>
    </w:p>
    <w:p>
      <w:pPr>
        <w:pStyle w:val="TextBody"/>
        <w:spacing w:lineRule="auto" w:line="319" w:before="10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Any dividends paid by our wholly foreign-owned subsidiaries in China to our intermediary holding company in Hong Kong will be subject to a withholding tax rate of 10%, unless the relevant Hong Kong entity satisfies all the requirements under the Arrangement between the Mainland of China and the Hong Kong Special Administrative Region for the Avoidance of Double Taxation and the Prevention of Fiscal Evasion with respect to Taxes on Income and receives approval from the relevant tax authority, in which case the dividends paid to the Hong Kong subsidiary would be subject to withholding tax at the standard rate of 5%.</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If our holding company in the Cayman Islands or any of our subsidiaries outside of China were deemed to be a “resident enterprise” under the PRC Enterprise Income Tax Law, it would be subject to enterprise income tax on its worldwide income at a rate of 25%.</w:t>
      </w:r>
    </w:p>
    <w:p>
      <w:pPr>
        <w:pStyle w:val="TextBody"/>
        <w:spacing w:lineRule="auto" w:line="319" w:before="0" w:after="240"/>
        <w:jc w:val="both"/>
        <w:rPr>
          <w:rFonts w:ascii="Times New Roman;sans-serif" w:hAnsi="Times New Roman;sans-serif"/>
          <w:b/>
          <w:color w:val="000000"/>
          <w:sz w:val="20"/>
        </w:rPr>
      </w:pPr>
      <w:r>
        <w:rPr>
          <w:rFonts w:ascii="Times New Roman;sans-serif" w:hAnsi="Times New Roman;sans-serif"/>
          <w:b/>
          <w:color w:val="000000"/>
          <w:sz w:val="20"/>
        </w:rPr>
        <w:t>U.S. Federal Income Tax Considerations</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subsidiaries incorporated in the United States are subject to income tax at a rate up to 21% for taxation income earned in the United States. On December 22, 2017, the Tax Cuts and Jobs Act of 2017 was signed into law making significant changes to the Internal Revenue Code. Changes include a reduction in the federal corporate tax rates, changes to operating loss carry-forwards and carrybacks, and a repeal of the corporate alternative minimum tax. This legislation reduces the U.S. federal corporate income tax rates, to which our subsidiaries incorporated in the United States are subject, from a maximum of 35% to 21%.</w:t>
      </w:r>
    </w:p>
    <w:p>
      <w:pPr>
        <w:pStyle w:val="TextBody"/>
        <w:spacing w:lineRule="auto" w:line="319" w:before="0" w:after="240"/>
        <w:jc w:val="both"/>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set forth our results of operations for the periods presented and express the relationship of certain line items as a percentage of total revenue for those periods. The period-to-period comparison of financial results is not necessarily indicative of future results.</w:t>
      </w:r>
    </w:p>
    <w:tbl>
      <w:tblPr>
        <w:tblW w:w="7257" w:type="dxa"/>
        <w:jc w:val="left"/>
        <w:tblInd w:w="0" w:type="dxa"/>
        <w:tblCellMar>
          <w:top w:w="28" w:type="dxa"/>
          <w:left w:w="28" w:type="dxa"/>
          <w:bottom w:w="28" w:type="dxa"/>
          <w:right w:w="28" w:type="dxa"/>
        </w:tblCellMar>
      </w:tblPr>
      <w:tblGrid>
        <w:gridCol w:w="1205"/>
        <w:gridCol w:w="1061"/>
        <w:gridCol w:w="1064"/>
        <w:gridCol w:w="211"/>
        <w:gridCol w:w="721"/>
        <w:gridCol w:w="109"/>
        <w:gridCol w:w="109"/>
        <w:gridCol w:w="109"/>
        <w:gridCol w:w="109"/>
        <w:gridCol w:w="211"/>
        <w:gridCol w:w="721"/>
        <w:gridCol w:w="109"/>
        <w:gridCol w:w="109"/>
        <w:gridCol w:w="109"/>
        <w:gridCol w:w="109"/>
        <w:gridCol w:w="211"/>
        <w:gridCol w:w="826"/>
        <w:gridCol w:w="154"/>
      </w:tblGrid>
      <w:tr>
        <w:trPr/>
        <w:tc>
          <w:tcPr>
            <w:tcW w:w="1205" w:type="dxa"/>
            <w:tcBorders/>
            <w:shd w:fill="auto" w:val="clear"/>
            <w:vAlign w:val="center"/>
          </w:tcPr>
          <w:p>
            <w:pPr>
              <w:pStyle w:val="TableContents"/>
              <w:spacing w:before="0" w:after="283"/>
              <w:rPr>
                <w:sz w:val="4"/>
                <w:szCs w:val="4"/>
              </w:rPr>
            </w:pPr>
            <w:r>
              <w:rPr>
                <w:sz w:val="4"/>
                <w:szCs w:val="4"/>
              </w:rPr>
            </w:r>
          </w:p>
        </w:tc>
        <w:tc>
          <w:tcPr>
            <w:tcW w:w="1061" w:type="dxa"/>
            <w:tcBorders/>
            <w:shd w:fill="auto" w:val="clear"/>
            <w:vAlign w:val="center"/>
          </w:tcPr>
          <w:p>
            <w:pPr>
              <w:pStyle w:val="TableContents"/>
              <w:spacing w:before="0" w:after="283"/>
              <w:rPr>
                <w:sz w:val="4"/>
                <w:szCs w:val="4"/>
              </w:rPr>
            </w:pPr>
            <w:r>
              <w:rPr>
                <w:sz w:val="4"/>
                <w:szCs w:val="4"/>
              </w:rPr>
            </w:r>
          </w:p>
        </w:tc>
        <w:tc>
          <w:tcPr>
            <w:tcW w:w="106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27"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33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2018</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2019</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2020</w:t>
            </w:r>
          </w:p>
        </w:tc>
      </w:tr>
      <w:tr>
        <w:trPr/>
        <w:tc>
          <w:tcPr>
            <w:tcW w:w="33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27"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(US$ in thousands)</w:t>
            </w:r>
          </w:p>
        </w:tc>
      </w:tr>
      <w:tr>
        <w:trPr/>
        <w:tc>
          <w:tcPr>
            <w:tcW w:w="33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Real-time engagement service revenues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43,199 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63,925 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131,149 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revenues</w:t>
            </w:r>
          </w:p>
        </w:tc>
        <w:tc>
          <w:tcPr>
            <w:tcW w:w="932" w:type="dxa"/>
            <w:gridSpan w:val="2"/>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bottom w:val="single" w:sz="8" w:space="0" w:color="000000"/>
            </w:tcBorders>
            <w:shd w:fill="FFFFFF" w:val="clear"/>
            <w:tcMar>
              <w:top w:w="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2,415 </w:t>
            </w:r>
          </w:p>
        </w:tc>
        <w:tc>
          <w:tcPr>
            <w:tcW w:w="154" w:type="dxa"/>
            <w:tcBorders>
              <w:bottom w:val="sing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385445"/>
                <wp:effectExtent l="0" t="0" r="0" b="0"/>
                <wp:wrapNone/>
                <wp:docPr id="105" name="Frame104"/>
                <a:graphic xmlns:a="http://schemas.openxmlformats.org/drawingml/2006/main">
                  <a:graphicData uri="http://schemas.microsoft.com/office/word/2010/wordprocessingShape">
                    <wps:wsp>
                      <wps:cNvSpPr txBox="1"/>
                      <wps:spPr>
                        <a:xfrm>
                          <a:off x="0" y="0"/>
                          <a:ext cx="6480175" cy="385445"/>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100</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100</w:t>
                      </w:r>
                    </w:p>
                    <w:p>
                      <w:pPr>
                        <w:pStyle w:val="TextBody"/>
                        <w:spacing w:before="0" w:after="0"/>
                        <w:jc w:val="center"/>
                        <w:rPr/>
                      </w:pPr>
                      <w:r>
                        <w:rPr/>
                      </w:r>
                    </w:p>
                  </w:txbxContent>
                </v:textbox>
              </v:rect>
            </w:pict>
          </mc:Fallback>
        </mc:AlternateContent>
      </w:r>
    </w:p>
    <w:p>
      <w:pPr>
        <w:pStyle w:val="TextBody"/>
        <w:spacing w:before="0" w:after="0"/>
        <w:rPr/>
      </w:pPr>
      <w:r>
        <w:rPr/>
      </w:r>
    </w:p>
    <w:tbl>
      <w:tblPr>
        <w:tblW w:w="6697" w:type="dxa"/>
        <w:jc w:val="left"/>
        <w:tblInd w:w="0" w:type="dxa"/>
        <w:tblCellMar>
          <w:top w:w="28" w:type="dxa"/>
          <w:left w:w="28" w:type="dxa"/>
          <w:bottom w:w="28" w:type="dxa"/>
          <w:right w:w="28" w:type="dxa"/>
        </w:tblCellMar>
      </w:tblPr>
      <w:tblGrid>
        <w:gridCol w:w="1178"/>
        <w:gridCol w:w="1036"/>
        <w:gridCol w:w="1041"/>
        <w:gridCol w:w="396"/>
        <w:gridCol w:w="399"/>
        <w:gridCol w:w="109"/>
        <w:gridCol w:w="109"/>
        <w:gridCol w:w="109"/>
        <w:gridCol w:w="109"/>
        <w:gridCol w:w="396"/>
        <w:gridCol w:w="399"/>
        <w:gridCol w:w="109"/>
        <w:gridCol w:w="109"/>
        <w:gridCol w:w="109"/>
        <w:gridCol w:w="109"/>
        <w:gridCol w:w="413"/>
        <w:gridCol w:w="413"/>
        <w:gridCol w:w="154"/>
      </w:tblGrid>
      <w:tr>
        <w:trPr/>
        <w:tc>
          <w:tcPr>
            <w:tcW w:w="1178" w:type="dxa"/>
            <w:tcBorders/>
            <w:shd w:fill="auto" w:val="clear"/>
            <w:vAlign w:val="center"/>
          </w:tcPr>
          <w:p>
            <w:pPr>
              <w:pStyle w:val="TableContents"/>
              <w:spacing w:before="0" w:after="283"/>
              <w:rPr>
                <w:sz w:val="4"/>
                <w:szCs w:val="4"/>
              </w:rPr>
            </w:pPr>
            <w:r>
              <w:rPr>
                <w:sz w:val="4"/>
                <w:szCs w:val="4"/>
              </w:rPr>
            </w:r>
          </w:p>
        </w:tc>
        <w:tc>
          <w:tcPr>
            <w:tcW w:w="1036" w:type="dxa"/>
            <w:tcBorders/>
            <w:shd w:fill="auto" w:val="clear"/>
            <w:vAlign w:val="center"/>
          </w:tcPr>
          <w:p>
            <w:pPr>
              <w:pStyle w:val="TableContents"/>
              <w:spacing w:before="0" w:after="283"/>
              <w:rPr>
                <w:sz w:val="4"/>
                <w:szCs w:val="4"/>
              </w:rPr>
            </w:pPr>
            <w:r>
              <w:rPr>
                <w:sz w:val="4"/>
                <w:szCs w:val="4"/>
              </w:rPr>
            </w:r>
          </w:p>
        </w:tc>
        <w:tc>
          <w:tcPr>
            <w:tcW w:w="1041" w:type="dxa"/>
            <w:tcBorders/>
            <w:shd w:fill="auto" w:val="clear"/>
            <w:vAlign w:val="center"/>
          </w:tcPr>
          <w:p>
            <w:pPr>
              <w:pStyle w:val="TableContents"/>
              <w:spacing w:before="0" w:after="283"/>
              <w:rPr>
                <w:sz w:val="4"/>
                <w:szCs w:val="4"/>
              </w:rPr>
            </w:pPr>
            <w:r>
              <w:rPr>
                <w:sz w:val="4"/>
                <w:szCs w:val="4"/>
              </w:rPr>
            </w:r>
          </w:p>
        </w:tc>
        <w:tc>
          <w:tcPr>
            <w:tcW w:w="396" w:type="dxa"/>
            <w:tcBorders/>
            <w:shd w:fill="auto" w:val="clear"/>
            <w:vAlign w:val="center"/>
          </w:tcPr>
          <w:p>
            <w:pPr>
              <w:pStyle w:val="TableContents"/>
              <w:spacing w:before="0" w:after="283"/>
              <w:rPr>
                <w:sz w:val="4"/>
                <w:szCs w:val="4"/>
              </w:rPr>
            </w:pPr>
            <w:r>
              <w:rPr>
                <w:sz w:val="4"/>
                <w:szCs w:val="4"/>
              </w:rPr>
            </w:r>
          </w:p>
        </w:tc>
        <w:tc>
          <w:tcPr>
            <w:tcW w:w="39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96" w:type="dxa"/>
            <w:tcBorders/>
            <w:shd w:fill="auto" w:val="clear"/>
            <w:vAlign w:val="center"/>
          </w:tcPr>
          <w:p>
            <w:pPr>
              <w:pStyle w:val="TableContents"/>
              <w:spacing w:before="0" w:after="283"/>
              <w:rPr>
                <w:sz w:val="4"/>
                <w:szCs w:val="4"/>
              </w:rPr>
            </w:pPr>
            <w:r>
              <w:rPr>
                <w:sz w:val="4"/>
                <w:szCs w:val="4"/>
              </w:rPr>
            </w:r>
          </w:p>
        </w:tc>
        <w:tc>
          <w:tcPr>
            <w:tcW w:w="39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79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64,429 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133,564 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spacing w:lineRule="auto" w:line="288" w:before="0" w:after="0"/>
              <w:ind w:left="0" w:right="0" w:hanging="202"/>
              <w:jc w:val="left"/>
              <w:rPr/>
            </w:pPr>
            <w:r>
              <w:rPr>
                <w:rFonts w:ascii="Times New Roman;sans-serif" w:hAnsi="Times New Roman;sans-serif"/>
                <w:b w:val="false"/>
                <w:color w:val="000000"/>
                <w:sz w:val="20"/>
              </w:rPr>
              <w:t>Cost of revenues</w:t>
            </w:r>
            <w:r>
              <w:rPr>
                <w:rFonts w:ascii="Times New Roman;sans-serif" w:hAnsi="Times New Roman;sans-serif"/>
                <w:b w:val="false"/>
                <w:color w:val="000000"/>
                <w:sz w:val="13"/>
              </w:rPr>
              <w:t>(1)</w:t>
            </w:r>
          </w:p>
        </w:tc>
        <w:tc>
          <w:tcPr>
            <w:tcW w:w="79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(12,635)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(20,417)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(47,199)</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79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86,365 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w:t>
            </w:r>
          </w:p>
        </w:tc>
        <w:tc>
          <w:tcPr>
            <w:tcW w:w="90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spacing w:lineRule="auto" w:line="288" w:before="0" w:after="0"/>
              <w:ind w:left="0" w:right="0" w:hanging="200"/>
              <w:jc w:val="left"/>
              <w:rPr/>
            </w:pPr>
            <w:r>
              <w:rPr>
                <w:rFonts w:ascii="Times New Roman;sans-serif" w:hAnsi="Times New Roman;sans-serif"/>
                <w:b w:val="false"/>
                <w:color w:val="000000"/>
                <w:sz w:val="20"/>
              </w:rPr>
              <w:t>Research and development expenses</w:t>
            </w:r>
            <w:r>
              <w:rPr>
                <w:rFonts w:ascii="Times New Roman;sans-serif" w:hAnsi="Times New Roman;sans-serif"/>
                <w:b w:val="false"/>
                <w:color w:val="000000"/>
                <w:sz w:val="13"/>
              </w:rPr>
              <w:t>(1)</w:t>
            </w:r>
          </w:p>
        </w:tc>
        <w:tc>
          <w:tcPr>
            <w:tcW w:w="79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(14,426)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(23,623)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(49,494)</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spacing w:lineRule="auto" w:line="288" w:before="0" w:after="0"/>
              <w:ind w:left="0" w:right="0" w:hanging="200"/>
              <w:jc w:val="left"/>
              <w:rPr/>
            </w:pPr>
            <w:r>
              <w:rPr>
                <w:rFonts w:ascii="Times New Roman;sans-serif" w:hAnsi="Times New Roman;sans-serif"/>
                <w:b w:val="false"/>
                <w:color w:val="000000"/>
                <w:sz w:val="20"/>
              </w:rPr>
              <w:t>Sales and marketing expenses</w:t>
            </w:r>
            <w:r>
              <w:rPr>
                <w:rFonts w:ascii="Times New Roman;sans-serif" w:hAnsi="Times New Roman;sans-serif"/>
                <w:b w:val="false"/>
                <w:color w:val="000000"/>
                <w:sz w:val="13"/>
              </w:rPr>
              <w:t>(1)</w:t>
            </w:r>
          </w:p>
        </w:tc>
        <w:tc>
          <w:tcPr>
            <w:tcW w:w="79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(11,986)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(19,408)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(25,724)</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spacing w:lineRule="auto" w:line="288" w:before="0" w:after="0"/>
              <w:ind w:left="0" w:right="0" w:hanging="200"/>
              <w:jc w:val="left"/>
              <w:rPr/>
            </w:pPr>
            <w:r>
              <w:rPr>
                <w:rFonts w:ascii="Times New Roman;sans-serif" w:hAnsi="Times New Roman;sans-serif"/>
                <w:b w:val="false"/>
                <w:color w:val="000000"/>
                <w:sz w:val="20"/>
              </w:rPr>
              <w:t>General and administrative expenses</w:t>
            </w:r>
            <w:r>
              <w:rPr>
                <w:rFonts w:ascii="Times New Roman;sans-serif" w:hAnsi="Times New Roman;sans-serif"/>
                <w:b w:val="false"/>
                <w:color w:val="000000"/>
                <w:sz w:val="13"/>
              </w:rPr>
              <w:t>(1)</w:t>
            </w:r>
          </w:p>
        </w:tc>
        <w:tc>
          <w:tcPr>
            <w:tcW w:w="79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(7,177)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(18,010)</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w:t>
            </w:r>
          </w:p>
        </w:tc>
        <w:tc>
          <w:tcPr>
            <w:tcW w:w="79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(31,785)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(50,208)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(93,228)</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operating income</w:t>
            </w:r>
          </w:p>
        </w:tc>
        <w:tc>
          <w:tcPr>
            <w:tcW w:w="79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from operations</w:t>
            </w:r>
          </w:p>
        </w:tc>
        <w:tc>
          <w:tcPr>
            <w:tcW w:w="79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(6,089)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(5,191)</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Exchange gain (loss)</w:t>
            </w:r>
          </w:p>
        </w:tc>
        <w:tc>
          <w:tcPr>
            <w:tcW w:w="79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79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before income taxes</w:t>
            </w:r>
          </w:p>
        </w:tc>
        <w:tc>
          <w:tcPr>
            <w:tcW w:w="79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taxes</w:t>
            </w:r>
          </w:p>
        </w:tc>
        <w:tc>
          <w:tcPr>
            <w:tcW w:w="79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795"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5"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(6,177)</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(3,114)</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(1)Share-based compensation expense was allocated to cost of revenue and operating expenses as follows:</w:t>
      </w:r>
    </w:p>
    <w:p>
      <w:pPr>
        <w:pStyle w:val="TextBody"/>
        <w:spacing w:before="0" w:after="0"/>
        <w:jc w:val="both"/>
        <w:rPr/>
      </w:pPr>
      <w:r>
        <w:rPr/>
      </w:r>
    </w:p>
    <w:tbl>
      <w:tblPr>
        <w:tblW w:w="6372" w:type="dxa"/>
        <w:jc w:val="left"/>
        <w:tblInd w:w="0" w:type="dxa"/>
        <w:tblCellMar>
          <w:top w:w="28" w:type="dxa"/>
          <w:left w:w="28" w:type="dxa"/>
          <w:bottom w:w="28" w:type="dxa"/>
          <w:right w:w="28" w:type="dxa"/>
        </w:tblCellMar>
      </w:tblPr>
      <w:tblGrid>
        <w:gridCol w:w="1087"/>
        <w:gridCol w:w="954"/>
        <w:gridCol w:w="959"/>
        <w:gridCol w:w="196"/>
        <w:gridCol w:w="556"/>
        <w:gridCol w:w="109"/>
        <w:gridCol w:w="109"/>
        <w:gridCol w:w="109"/>
        <w:gridCol w:w="109"/>
        <w:gridCol w:w="196"/>
        <w:gridCol w:w="556"/>
        <w:gridCol w:w="109"/>
        <w:gridCol w:w="109"/>
        <w:gridCol w:w="109"/>
        <w:gridCol w:w="109"/>
        <w:gridCol w:w="196"/>
        <w:gridCol w:w="646"/>
        <w:gridCol w:w="154"/>
      </w:tblGrid>
      <w:tr>
        <w:trPr/>
        <w:tc>
          <w:tcPr>
            <w:tcW w:w="1087" w:type="dxa"/>
            <w:tcBorders/>
            <w:shd w:fill="auto" w:val="clear"/>
            <w:vAlign w:val="center"/>
          </w:tcPr>
          <w:p>
            <w:pPr>
              <w:pStyle w:val="TableContents"/>
              <w:spacing w:before="0" w:after="283"/>
              <w:rPr>
                <w:sz w:val="4"/>
                <w:szCs w:val="4"/>
              </w:rPr>
            </w:pPr>
            <w:r>
              <w:rPr>
                <w:sz w:val="4"/>
                <w:szCs w:val="4"/>
              </w:rPr>
            </w:r>
          </w:p>
        </w:tc>
        <w:tc>
          <w:tcPr>
            <w:tcW w:w="954" w:type="dxa"/>
            <w:tcBorders/>
            <w:shd w:fill="auto" w:val="clear"/>
            <w:vAlign w:val="center"/>
          </w:tcPr>
          <w:p>
            <w:pPr>
              <w:pStyle w:val="TableContents"/>
              <w:spacing w:before="0" w:after="283"/>
              <w:rPr>
                <w:sz w:val="4"/>
                <w:szCs w:val="4"/>
              </w:rPr>
            </w:pPr>
            <w:r>
              <w:rPr>
                <w:sz w:val="4"/>
                <w:szCs w:val="4"/>
              </w:rPr>
            </w:r>
          </w:p>
        </w:tc>
        <w:tc>
          <w:tcPr>
            <w:tcW w:w="95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72"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30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2018</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2019</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2020</w:t>
            </w:r>
          </w:p>
        </w:tc>
      </w:tr>
      <w:tr>
        <w:trPr/>
        <w:tc>
          <w:tcPr>
            <w:tcW w:w="30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72"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(US$ in thousands)</w:t>
            </w:r>
          </w:p>
        </w:tc>
      </w:tr>
      <w:tr>
        <w:trPr/>
        <w:tc>
          <w:tcPr>
            <w:tcW w:w="30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revenues</w:t>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Research and development expenses</w:t>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5,312 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Sales and marketing expenses</w:t>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General and administrative expenses</w:t>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4,244 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share-based compensation expense</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2,850 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4,253 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11,974 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tbl>
      <w:tblPr>
        <w:tblW w:w="6817" w:type="dxa"/>
        <w:jc w:val="left"/>
        <w:tblInd w:w="0" w:type="dxa"/>
        <w:tblCellMar>
          <w:top w:w="28" w:type="dxa"/>
          <w:left w:w="28" w:type="dxa"/>
          <w:bottom w:w="28" w:type="dxa"/>
          <w:right w:w="28" w:type="dxa"/>
        </w:tblCellMar>
      </w:tblPr>
      <w:tblGrid>
        <w:gridCol w:w="1205"/>
        <w:gridCol w:w="1061"/>
        <w:gridCol w:w="1064"/>
        <w:gridCol w:w="307"/>
        <w:gridCol w:w="309"/>
        <w:gridCol w:w="294"/>
        <w:gridCol w:w="118"/>
        <w:gridCol w:w="118"/>
        <w:gridCol w:w="118"/>
        <w:gridCol w:w="307"/>
        <w:gridCol w:w="309"/>
        <w:gridCol w:w="294"/>
        <w:gridCol w:w="118"/>
        <w:gridCol w:w="118"/>
        <w:gridCol w:w="118"/>
        <w:gridCol w:w="307"/>
        <w:gridCol w:w="309"/>
        <w:gridCol w:w="343"/>
      </w:tblGrid>
      <w:tr>
        <w:trPr/>
        <w:tc>
          <w:tcPr>
            <w:tcW w:w="1205" w:type="dxa"/>
            <w:tcBorders/>
            <w:shd w:fill="auto" w:val="clear"/>
            <w:vAlign w:val="center"/>
          </w:tcPr>
          <w:p>
            <w:pPr>
              <w:pStyle w:val="TableContents"/>
              <w:spacing w:before="0" w:after="283"/>
              <w:rPr>
                <w:sz w:val="4"/>
                <w:szCs w:val="4"/>
              </w:rPr>
            </w:pPr>
            <w:r>
              <w:rPr>
                <w:sz w:val="4"/>
                <w:szCs w:val="4"/>
              </w:rPr>
            </w:r>
          </w:p>
        </w:tc>
        <w:tc>
          <w:tcPr>
            <w:tcW w:w="1061" w:type="dxa"/>
            <w:tcBorders/>
            <w:shd w:fill="auto" w:val="clear"/>
            <w:vAlign w:val="center"/>
          </w:tcPr>
          <w:p>
            <w:pPr>
              <w:pStyle w:val="TableContents"/>
              <w:spacing w:before="0" w:after="283"/>
              <w:rPr>
                <w:sz w:val="4"/>
                <w:szCs w:val="4"/>
              </w:rPr>
            </w:pPr>
            <w:r>
              <w:rPr>
                <w:sz w:val="4"/>
                <w:szCs w:val="4"/>
              </w:rPr>
            </w:r>
          </w:p>
        </w:tc>
        <w:tc>
          <w:tcPr>
            <w:tcW w:w="1064"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294"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294"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343" w:type="dxa"/>
            <w:tcBorders/>
            <w:shd w:fill="auto" w:val="clear"/>
            <w:vAlign w:val="center"/>
          </w:tcPr>
          <w:p>
            <w:pPr>
              <w:pStyle w:val="TableContents"/>
              <w:spacing w:before="0" w:after="283"/>
              <w:rPr>
                <w:sz w:val="4"/>
                <w:szCs w:val="4"/>
              </w:rPr>
            </w:pPr>
            <w:r>
              <w:rPr>
                <w:sz w:val="4"/>
                <w:szCs w:val="4"/>
              </w:rPr>
            </w:r>
          </w:p>
        </w:tc>
      </w:tr>
      <w:tr>
        <w:trPr/>
        <w:tc>
          <w:tcPr>
            <w:tcW w:w="33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7"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33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2018</w:t>
            </w:r>
          </w:p>
        </w:tc>
        <w:tc>
          <w:tcPr>
            <w:tcW w:w="35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1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2019</w:t>
            </w:r>
          </w:p>
        </w:tc>
        <w:tc>
          <w:tcPr>
            <w:tcW w:w="35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5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2020</w:t>
            </w:r>
          </w:p>
        </w:tc>
      </w:tr>
      <w:tr>
        <w:trPr/>
        <w:tc>
          <w:tcPr>
            <w:tcW w:w="33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Real-time engagement service revenues</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99.0 </w:t>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99.2 </w:t>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98.2 </w:t>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3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revenues</w:t>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29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29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3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spacing w:lineRule="auto" w:line="288" w:before="0" w:after="0"/>
              <w:ind w:left="0" w:right="0" w:hanging="202"/>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revenues</w:t>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w:t>
            </w:r>
          </w:p>
        </w:tc>
        <w:tc>
          <w:tcPr>
            <w:tcW w:w="29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w:t>
            </w:r>
          </w:p>
        </w:tc>
        <w:tc>
          <w:tcPr>
            <w:tcW w:w="29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w:t>
            </w:r>
          </w:p>
        </w:tc>
        <w:tc>
          <w:tcPr>
            <w:tcW w:w="3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71.1 </w:t>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68.3 </w:t>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64.7 </w:t>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w:t>
            </w:r>
          </w:p>
        </w:tc>
        <w:tc>
          <w:tcPr>
            <w:tcW w:w="91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spacing w:lineRule="auto" w:line="288" w:before="0" w:after="0"/>
              <w:ind w:left="0" w:right="0" w:hanging="200"/>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expenses</w:t>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w:t>
            </w:r>
          </w:p>
        </w:tc>
        <w:tc>
          <w:tcPr>
            <w:tcW w:w="29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w:t>
            </w:r>
          </w:p>
        </w:tc>
        <w:tc>
          <w:tcPr>
            <w:tcW w:w="29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w:t>
            </w:r>
          </w:p>
        </w:tc>
        <w:tc>
          <w:tcPr>
            <w:tcW w:w="3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spacing w:lineRule="auto" w:line="288" w:before="0" w:after="0"/>
              <w:ind w:left="0" w:right="0" w:hanging="200"/>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 expenses</w:t>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w:t>
            </w:r>
          </w:p>
        </w:tc>
        <w:tc>
          <w:tcPr>
            <w:tcW w:w="29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w:t>
            </w:r>
          </w:p>
        </w:tc>
        <w:tc>
          <w:tcPr>
            <w:tcW w:w="29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w:t>
            </w:r>
          </w:p>
        </w:tc>
        <w:tc>
          <w:tcPr>
            <w:tcW w:w="3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spacing w:lineRule="auto" w:line="288" w:before="0" w:after="0"/>
              <w:ind w:left="0" w:right="0" w:hanging="200"/>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w:t>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w:t>
            </w:r>
          </w:p>
        </w:tc>
        <w:tc>
          <w:tcPr>
            <w:tcW w:w="29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w:t>
            </w:r>
          </w:p>
        </w:tc>
        <w:tc>
          <w:tcPr>
            <w:tcW w:w="29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w:t>
            </w:r>
          </w:p>
        </w:tc>
        <w:tc>
          <w:tcPr>
            <w:tcW w:w="3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w:t>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(72.8)</w:t>
            </w:r>
          </w:p>
        </w:tc>
        <w:tc>
          <w:tcPr>
            <w:tcW w:w="29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(77.9)</w:t>
            </w:r>
          </w:p>
        </w:tc>
        <w:tc>
          <w:tcPr>
            <w:tcW w:w="29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(69.8)</w:t>
            </w:r>
          </w:p>
        </w:tc>
        <w:tc>
          <w:tcPr>
            <w:tcW w:w="34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operating income</w:t>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29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29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3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from operations</w:t>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29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w:t>
            </w:r>
          </w:p>
        </w:tc>
        <w:tc>
          <w:tcPr>
            <w:tcW w:w="29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w:t>
            </w:r>
          </w:p>
        </w:tc>
        <w:tc>
          <w:tcPr>
            <w:tcW w:w="34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Exchange gain (loss)</w:t>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9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29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29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29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3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before income taxes</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w:t>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taxes</w:t>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29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29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w:t>
            </w:r>
          </w:p>
        </w:tc>
        <w:tc>
          <w:tcPr>
            <w:tcW w:w="3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61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29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w:t>
            </w:r>
          </w:p>
        </w:tc>
        <w:tc>
          <w:tcPr>
            <w:tcW w:w="29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34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HorizontalLine"/>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385445"/>
                <wp:effectExtent l="0" t="0" r="0" b="0"/>
                <wp:wrapNone/>
                <wp:docPr id="106" name="Frame105"/>
                <a:graphic xmlns:a="http://schemas.openxmlformats.org/drawingml/2006/main">
                  <a:graphicData uri="http://schemas.microsoft.com/office/word/2010/wordprocessingShape">
                    <wps:wsp>
                      <wps:cNvSpPr txBox="1"/>
                      <wps:spPr>
                        <a:xfrm>
                          <a:off x="0" y="0"/>
                          <a:ext cx="6480175" cy="385445"/>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101</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101</w:t>
                      </w:r>
                    </w:p>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lineRule="auto" w:line="319" w:before="100" w:after="240"/>
        <w:jc w:val="both"/>
        <w:rPr>
          <w:rFonts w:ascii="Times New Roman;sans-serif" w:hAnsi="Times New Roman;sans-serif"/>
          <w:b/>
          <w:i/>
          <w:color w:val="000000"/>
          <w:sz w:val="20"/>
        </w:rPr>
      </w:pPr>
      <w:r>
        <w:rPr>
          <w:rFonts w:ascii="Times New Roman;sans-serif" w:hAnsi="Times New Roman;sans-serif"/>
          <w:b/>
          <w:i/>
          <w:color w:val="000000"/>
          <w:sz w:val="20"/>
        </w:rPr>
        <w:t>Comparison of Years Ended December 31, 2019 and 2020</w:t>
      </w:r>
    </w:p>
    <w:p>
      <w:pPr>
        <w:pStyle w:val="TextBody"/>
        <w:spacing w:lineRule="auto" w:line="319" w:before="0" w:after="24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Revenue</w:t>
      </w:r>
    </w:p>
    <w:tbl>
      <w:tblPr>
        <w:tblW w:w="6308" w:type="dxa"/>
        <w:jc w:val="left"/>
        <w:tblInd w:w="0" w:type="dxa"/>
        <w:tblCellMar>
          <w:top w:w="28" w:type="dxa"/>
          <w:left w:w="28" w:type="dxa"/>
          <w:bottom w:w="28" w:type="dxa"/>
          <w:right w:w="28" w:type="dxa"/>
        </w:tblCellMar>
      </w:tblPr>
      <w:tblGrid>
        <w:gridCol w:w="477"/>
        <w:gridCol w:w="420"/>
        <w:gridCol w:w="422"/>
        <w:gridCol w:w="211"/>
        <w:gridCol w:w="721"/>
        <w:gridCol w:w="109"/>
        <w:gridCol w:w="109"/>
        <w:gridCol w:w="109"/>
        <w:gridCol w:w="109"/>
        <w:gridCol w:w="211"/>
        <w:gridCol w:w="826"/>
        <w:gridCol w:w="109"/>
        <w:gridCol w:w="109"/>
        <w:gridCol w:w="109"/>
        <w:gridCol w:w="109"/>
        <w:gridCol w:w="211"/>
        <w:gridCol w:w="721"/>
        <w:gridCol w:w="109"/>
        <w:gridCol w:w="109"/>
        <w:gridCol w:w="109"/>
        <w:gridCol w:w="109"/>
        <w:gridCol w:w="228"/>
        <w:gridCol w:w="228"/>
        <w:gridCol w:w="324"/>
      </w:tblGrid>
      <w:tr>
        <w:trPr/>
        <w:tc>
          <w:tcPr>
            <w:tcW w:w="477" w:type="dxa"/>
            <w:tcBorders/>
            <w:shd w:fill="auto" w:val="clear"/>
            <w:vAlign w:val="center"/>
          </w:tcPr>
          <w:p>
            <w:pPr>
              <w:pStyle w:val="TableContents"/>
              <w:spacing w:before="0" w:after="283"/>
              <w:rPr>
                <w:sz w:val="4"/>
                <w:szCs w:val="4"/>
              </w:rPr>
            </w:pPr>
            <w:r>
              <w:rPr>
                <w:sz w:val="4"/>
                <w:szCs w:val="4"/>
              </w:rPr>
            </w:r>
          </w:p>
        </w:tc>
        <w:tc>
          <w:tcPr>
            <w:tcW w:w="420" w:type="dxa"/>
            <w:tcBorders/>
            <w:shd w:fill="auto" w:val="clear"/>
            <w:vAlign w:val="center"/>
          </w:tcPr>
          <w:p>
            <w:pPr>
              <w:pStyle w:val="TableContents"/>
              <w:spacing w:before="0" w:after="283"/>
              <w:rPr>
                <w:sz w:val="4"/>
                <w:szCs w:val="4"/>
              </w:rPr>
            </w:pPr>
            <w:r>
              <w:rPr>
                <w:sz w:val="4"/>
                <w:szCs w:val="4"/>
              </w:rPr>
            </w:r>
          </w:p>
        </w:tc>
        <w:tc>
          <w:tcPr>
            <w:tcW w:w="422"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324" w:type="dxa"/>
            <w:tcBorders/>
            <w:shd w:fill="auto" w:val="clear"/>
            <w:vAlign w:val="center"/>
          </w:tcPr>
          <w:p>
            <w:pPr>
              <w:pStyle w:val="TableContents"/>
              <w:spacing w:before="0" w:after="283"/>
              <w:rPr>
                <w:sz w:val="4"/>
                <w:szCs w:val="4"/>
              </w:rPr>
            </w:pPr>
            <w:r>
              <w:rPr>
                <w:sz w:val="4"/>
                <w:szCs w:val="4"/>
              </w:rPr>
            </w:r>
          </w:p>
        </w:tc>
      </w:tr>
      <w:tr>
        <w:trPr/>
        <w:tc>
          <w:tcPr>
            <w:tcW w:w="13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8"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r>
      <w:tr>
        <w:trPr/>
        <w:tc>
          <w:tcPr>
            <w:tcW w:w="13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2019</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80"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r>
      <w:tr>
        <w:trPr/>
        <w:tc>
          <w:tcPr>
            <w:tcW w:w="13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89"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(US$ in thousands)</w:t>
            </w:r>
          </w:p>
        </w:tc>
      </w:tr>
      <w:tr>
        <w:trPr/>
        <w:tc>
          <w:tcPr>
            <w:tcW w:w="13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64,429 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133,564 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69,135 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0"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107.3%</w:t>
            </w:r>
          </w:p>
        </w:tc>
      </w:tr>
    </w:tbl>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increase in total revenues was primarily due to the increase in usage of our video and voice products, as a result of our business expansion and empowerment of various use cases, particularly in education and social related applications.</w:t>
      </w:r>
    </w:p>
    <w:p>
      <w:pPr>
        <w:pStyle w:val="TextBody"/>
        <w:spacing w:lineRule="auto" w:line="319" w:before="0" w:after="24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Cost of Revenue; Gross Margin</w:t>
      </w:r>
    </w:p>
    <w:tbl>
      <w:tblPr>
        <w:tblW w:w="6677" w:type="dxa"/>
        <w:jc w:val="left"/>
        <w:tblInd w:w="0" w:type="dxa"/>
        <w:tblCellMar>
          <w:top w:w="28" w:type="dxa"/>
          <w:left w:w="28" w:type="dxa"/>
          <w:bottom w:w="28" w:type="dxa"/>
          <w:right w:w="28" w:type="dxa"/>
        </w:tblCellMar>
      </w:tblPr>
      <w:tblGrid>
        <w:gridCol w:w="531"/>
        <w:gridCol w:w="468"/>
        <w:gridCol w:w="470"/>
        <w:gridCol w:w="211"/>
        <w:gridCol w:w="721"/>
        <w:gridCol w:w="271"/>
        <w:gridCol w:w="109"/>
        <w:gridCol w:w="109"/>
        <w:gridCol w:w="109"/>
        <w:gridCol w:w="211"/>
        <w:gridCol w:w="721"/>
        <w:gridCol w:w="271"/>
        <w:gridCol w:w="109"/>
        <w:gridCol w:w="109"/>
        <w:gridCol w:w="109"/>
        <w:gridCol w:w="211"/>
        <w:gridCol w:w="721"/>
        <w:gridCol w:w="109"/>
        <w:gridCol w:w="109"/>
        <w:gridCol w:w="109"/>
        <w:gridCol w:w="109"/>
        <w:gridCol w:w="228"/>
        <w:gridCol w:w="228"/>
        <w:gridCol w:w="324"/>
      </w:tblGrid>
      <w:tr>
        <w:trPr/>
        <w:tc>
          <w:tcPr>
            <w:tcW w:w="531" w:type="dxa"/>
            <w:tcBorders/>
            <w:shd w:fill="auto" w:val="clear"/>
            <w:vAlign w:val="center"/>
          </w:tcPr>
          <w:p>
            <w:pPr>
              <w:pStyle w:val="TableContents"/>
              <w:spacing w:before="0" w:after="283"/>
              <w:rPr>
                <w:sz w:val="4"/>
                <w:szCs w:val="4"/>
              </w:rPr>
            </w:pPr>
            <w:r>
              <w:rPr>
                <w:sz w:val="4"/>
                <w:szCs w:val="4"/>
              </w:rPr>
            </w:r>
          </w:p>
        </w:tc>
        <w:tc>
          <w:tcPr>
            <w:tcW w:w="468" w:type="dxa"/>
            <w:tcBorders/>
            <w:shd w:fill="auto" w:val="clear"/>
            <w:vAlign w:val="center"/>
          </w:tcPr>
          <w:p>
            <w:pPr>
              <w:pStyle w:val="TableContents"/>
              <w:spacing w:before="0" w:after="283"/>
              <w:rPr>
                <w:sz w:val="4"/>
                <w:szCs w:val="4"/>
              </w:rPr>
            </w:pPr>
            <w:r>
              <w:rPr>
                <w:sz w:val="4"/>
                <w:szCs w:val="4"/>
              </w:rPr>
            </w:r>
          </w:p>
        </w:tc>
        <w:tc>
          <w:tcPr>
            <w:tcW w:w="47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324" w:type="dxa"/>
            <w:tcBorders/>
            <w:shd w:fill="auto" w:val="clear"/>
            <w:vAlign w:val="center"/>
          </w:tcPr>
          <w:p>
            <w:pPr>
              <w:pStyle w:val="TableContents"/>
              <w:spacing w:before="0" w:after="283"/>
              <w:rPr>
                <w:sz w:val="4"/>
                <w:szCs w:val="4"/>
              </w:rPr>
            </w:pPr>
            <w:r>
              <w:rPr>
                <w:sz w:val="4"/>
                <w:szCs w:val="4"/>
              </w:rPr>
            </w:r>
          </w:p>
        </w:tc>
      </w:tr>
      <w:tr>
        <w:trPr/>
        <w:tc>
          <w:tcPr>
            <w:tcW w:w="14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33"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8"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r>
      <w:tr>
        <w:trPr/>
        <w:tc>
          <w:tcPr>
            <w:tcW w:w="14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2019</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80"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r>
      <w:tr>
        <w:trPr/>
        <w:tc>
          <w:tcPr>
            <w:tcW w:w="14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08"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(US$ in thousands)</w:t>
            </w:r>
          </w:p>
        </w:tc>
      </w:tr>
      <w:tr>
        <w:trPr/>
        <w:tc>
          <w:tcPr>
            <w:tcW w:w="14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20,417 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47,199 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26,782 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0"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131.2%</w:t>
            </w:r>
          </w:p>
        </w:tc>
      </w:tr>
      <w:tr>
        <w:trPr/>
        <w:tc>
          <w:tcPr>
            <w:tcW w:w="14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margin</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68.3 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Of the increase in cost of revenues, US$24.0 million was attributable to the increase in bandwidth and co-location costs as we continued to scale our business. Cost of revenue was also impacted by a US$2.2 million increase in depreciation. </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Gross margin decreased from 68.3% in 2019 to 64.7% in 2020, primarily due to our current standard pricing for all regions and international expansion to regions with higher infrastructure costs and capacity expansion in anticipation of future usage growth.</w:t>
      </w:r>
    </w:p>
    <w:p>
      <w:pPr>
        <w:pStyle w:val="TextBody"/>
        <w:spacing w:lineRule="auto" w:line="319" w:before="0" w:after="24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Research and Development Expense</w:t>
      </w:r>
    </w:p>
    <w:tbl>
      <w:tblPr>
        <w:tblW w:w="8297" w:type="dxa"/>
        <w:jc w:val="left"/>
        <w:tblInd w:w="0" w:type="dxa"/>
        <w:tblCellMar>
          <w:top w:w="28" w:type="dxa"/>
          <w:left w:w="28" w:type="dxa"/>
          <w:bottom w:w="28" w:type="dxa"/>
          <w:right w:w="28" w:type="dxa"/>
        </w:tblCellMar>
      </w:tblPr>
      <w:tblGrid>
        <w:gridCol w:w="1120"/>
        <w:gridCol w:w="982"/>
        <w:gridCol w:w="987"/>
        <w:gridCol w:w="211"/>
        <w:gridCol w:w="721"/>
        <w:gridCol w:w="271"/>
        <w:gridCol w:w="109"/>
        <w:gridCol w:w="109"/>
        <w:gridCol w:w="109"/>
        <w:gridCol w:w="211"/>
        <w:gridCol w:w="721"/>
        <w:gridCol w:w="271"/>
        <w:gridCol w:w="109"/>
        <w:gridCol w:w="109"/>
        <w:gridCol w:w="109"/>
        <w:gridCol w:w="211"/>
        <w:gridCol w:w="721"/>
        <w:gridCol w:w="109"/>
        <w:gridCol w:w="109"/>
        <w:gridCol w:w="109"/>
        <w:gridCol w:w="109"/>
        <w:gridCol w:w="228"/>
        <w:gridCol w:w="228"/>
        <w:gridCol w:w="324"/>
      </w:tblGrid>
      <w:tr>
        <w:trPr/>
        <w:tc>
          <w:tcPr>
            <w:tcW w:w="1120" w:type="dxa"/>
            <w:tcBorders/>
            <w:shd w:fill="auto" w:val="clear"/>
            <w:vAlign w:val="center"/>
          </w:tcPr>
          <w:p>
            <w:pPr>
              <w:pStyle w:val="TableContents"/>
              <w:spacing w:before="0" w:after="283"/>
              <w:rPr>
                <w:sz w:val="4"/>
                <w:szCs w:val="4"/>
              </w:rPr>
            </w:pPr>
            <w:r>
              <w:rPr>
                <w:sz w:val="4"/>
                <w:szCs w:val="4"/>
              </w:rPr>
            </w:r>
          </w:p>
        </w:tc>
        <w:tc>
          <w:tcPr>
            <w:tcW w:w="982" w:type="dxa"/>
            <w:tcBorders/>
            <w:shd w:fill="auto" w:val="clear"/>
            <w:vAlign w:val="center"/>
          </w:tcPr>
          <w:p>
            <w:pPr>
              <w:pStyle w:val="TableContents"/>
              <w:spacing w:before="0" w:after="283"/>
              <w:rPr>
                <w:sz w:val="4"/>
                <w:szCs w:val="4"/>
              </w:rPr>
            </w:pPr>
            <w:r>
              <w:rPr>
                <w:sz w:val="4"/>
                <w:szCs w:val="4"/>
              </w:rPr>
            </w:r>
          </w:p>
        </w:tc>
        <w:tc>
          <w:tcPr>
            <w:tcW w:w="98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324" w:type="dxa"/>
            <w:tcBorders/>
            <w:shd w:fill="auto" w:val="clear"/>
            <w:vAlign w:val="center"/>
          </w:tcPr>
          <w:p>
            <w:pPr>
              <w:pStyle w:val="TableContents"/>
              <w:spacing w:before="0" w:after="283"/>
              <w:rPr>
                <w:sz w:val="4"/>
                <w:szCs w:val="4"/>
              </w:rPr>
            </w:pPr>
            <w:r>
              <w:rPr>
                <w:sz w:val="4"/>
                <w:szCs w:val="4"/>
              </w:rPr>
            </w:r>
          </w:p>
        </w:tc>
      </w:tr>
      <w:tr>
        <w:trPr/>
        <w:tc>
          <w:tcPr>
            <w:tcW w:w="30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33"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8"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r>
      <w:tr>
        <w:trPr/>
        <w:tc>
          <w:tcPr>
            <w:tcW w:w="30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2019</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80"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r>
      <w:tr>
        <w:trPr/>
        <w:tc>
          <w:tcPr>
            <w:tcW w:w="30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08"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(US$ in thousands)</w:t>
            </w:r>
          </w:p>
        </w:tc>
      </w:tr>
      <w:tr>
        <w:trPr/>
        <w:tc>
          <w:tcPr>
            <w:tcW w:w="30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23,623 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49,494 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25,871 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0" w:type="dxa"/>
            <w:gridSpan w:val="3"/>
            <w:tcBorders/>
            <w:shd w:fill="CCEEFF" w:val="clear"/>
            <w:tcMar>
              <w:top w:w="0" w:type="dxa"/>
              <w:left w:w="0" w:type="dxa"/>
              <w:bottom w:w="0" w:type="dxa"/>
              <w:right w:w="0" w:type="dxa"/>
            </w:tcMar>
            <w:vAlign w:val="center"/>
          </w:tcPr>
          <w:p>
            <w:pPr>
              <w:pStyle w:val="TableContents"/>
              <w:spacing w:lineRule="auto" w:line="288" w:before="0" w:after="0"/>
              <w:ind w:left="0" w:right="0" w:hanging="202"/>
              <w:jc w:val="right"/>
              <w:rPr>
                <w:rFonts w:ascii="Times New Roman;sans-serif" w:hAnsi="Times New Roman;sans-serif"/>
                <w:b w:val="false"/>
                <w:color w:val="000000"/>
                <w:sz w:val="20"/>
              </w:rPr>
            </w:pPr>
            <w:r>
              <w:rPr>
                <w:rFonts w:ascii="Times New Roman;sans-serif" w:hAnsi="Times New Roman;sans-serif"/>
                <w:b w:val="false"/>
                <w:color w:val="000000"/>
                <w:sz w:val="20"/>
              </w:rPr>
              <w:t>109.5%</w:t>
            </w:r>
          </w:p>
        </w:tc>
      </w:tr>
      <w:tr>
        <w:trPr/>
        <w:tc>
          <w:tcPr>
            <w:tcW w:w="30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Percentage of total revenues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Of the increase in research and development expenses, US$18.8 million was due to increased employee wages and benefits expense as we continued to build our team, and US$3.8 million was due to the increase in share-based compensation.</w:t>
      </w:r>
    </w:p>
    <w:p>
      <w:pPr>
        <w:pStyle w:val="TextBody"/>
        <w:spacing w:lineRule="auto" w:line="319" w:before="0" w:after="24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Selling and Marketing Expenses</w:t>
      </w:r>
    </w:p>
    <w:p>
      <w:pPr>
        <w:pStyle w:val="HorizontalLine"/>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385445"/>
                <wp:effectExtent l="0" t="0" r="0" b="0"/>
                <wp:wrapNone/>
                <wp:docPr id="107" name="Frame106"/>
                <a:graphic xmlns:a="http://schemas.openxmlformats.org/drawingml/2006/main">
                  <a:graphicData uri="http://schemas.microsoft.com/office/word/2010/wordprocessingShape">
                    <wps:wsp>
                      <wps:cNvSpPr txBox="1"/>
                      <wps:spPr>
                        <a:xfrm>
                          <a:off x="0" y="0"/>
                          <a:ext cx="6480175" cy="385445"/>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102</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102</w:t>
                      </w:r>
                    </w:p>
                    <w:p>
                      <w:pPr>
                        <w:pStyle w:val="TextBody"/>
                        <w:spacing w:before="0" w:after="0"/>
                        <w:jc w:val="center"/>
                        <w:rPr/>
                      </w:pPr>
                      <w:r>
                        <w:rPr/>
                      </w:r>
                    </w:p>
                  </w:txbxContent>
                </v:textbox>
              </v:rect>
            </w:pict>
          </mc:Fallback>
        </mc:AlternateContent>
      </w:r>
    </w:p>
    <w:p>
      <w:pPr>
        <w:pStyle w:val="TextBody"/>
        <w:spacing w:before="0" w:after="0"/>
        <w:rPr/>
      </w:pPr>
      <w:r>
        <w:rPr/>
      </w:r>
    </w:p>
    <w:tbl>
      <w:tblPr>
        <w:tblW w:w="7532" w:type="dxa"/>
        <w:jc w:val="left"/>
        <w:tblInd w:w="0" w:type="dxa"/>
        <w:tblCellMar>
          <w:top w:w="28" w:type="dxa"/>
          <w:left w:w="28" w:type="dxa"/>
          <w:bottom w:w="28" w:type="dxa"/>
          <w:right w:w="28" w:type="dxa"/>
        </w:tblCellMar>
      </w:tblPr>
      <w:tblGrid>
        <w:gridCol w:w="916"/>
        <w:gridCol w:w="806"/>
        <w:gridCol w:w="812"/>
        <w:gridCol w:w="211"/>
        <w:gridCol w:w="721"/>
        <w:gridCol w:w="271"/>
        <w:gridCol w:w="109"/>
        <w:gridCol w:w="109"/>
        <w:gridCol w:w="109"/>
        <w:gridCol w:w="211"/>
        <w:gridCol w:w="721"/>
        <w:gridCol w:w="271"/>
        <w:gridCol w:w="109"/>
        <w:gridCol w:w="109"/>
        <w:gridCol w:w="109"/>
        <w:gridCol w:w="211"/>
        <w:gridCol w:w="616"/>
        <w:gridCol w:w="109"/>
        <w:gridCol w:w="109"/>
        <w:gridCol w:w="109"/>
        <w:gridCol w:w="109"/>
        <w:gridCol w:w="198"/>
        <w:gridCol w:w="198"/>
        <w:gridCol w:w="279"/>
      </w:tblGrid>
      <w:tr>
        <w:trPr/>
        <w:tc>
          <w:tcPr>
            <w:tcW w:w="916" w:type="dxa"/>
            <w:tcBorders/>
            <w:shd w:fill="auto" w:val="clear"/>
            <w:vAlign w:val="center"/>
          </w:tcPr>
          <w:p>
            <w:pPr>
              <w:pStyle w:val="TableContents"/>
              <w:spacing w:before="0" w:after="283"/>
              <w:rPr>
                <w:sz w:val="4"/>
                <w:szCs w:val="4"/>
              </w:rPr>
            </w:pPr>
            <w:r>
              <w:rPr>
                <w:sz w:val="4"/>
                <w:szCs w:val="4"/>
              </w:rPr>
            </w:r>
          </w:p>
        </w:tc>
        <w:tc>
          <w:tcPr>
            <w:tcW w:w="806" w:type="dxa"/>
            <w:tcBorders/>
            <w:shd w:fill="auto" w:val="clear"/>
            <w:vAlign w:val="center"/>
          </w:tcPr>
          <w:p>
            <w:pPr>
              <w:pStyle w:val="TableContents"/>
              <w:spacing w:before="0" w:after="283"/>
              <w:rPr>
                <w:sz w:val="4"/>
                <w:szCs w:val="4"/>
              </w:rPr>
            </w:pPr>
            <w:r>
              <w:rPr>
                <w:sz w:val="4"/>
                <w:szCs w:val="4"/>
              </w:rPr>
            </w:r>
          </w:p>
        </w:tc>
        <w:tc>
          <w:tcPr>
            <w:tcW w:w="812"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8" w:type="dxa"/>
            <w:tcBorders/>
            <w:shd w:fill="auto" w:val="clear"/>
            <w:vAlign w:val="center"/>
          </w:tcPr>
          <w:p>
            <w:pPr>
              <w:pStyle w:val="TableContents"/>
              <w:spacing w:before="0" w:after="283"/>
              <w:rPr>
                <w:sz w:val="4"/>
                <w:szCs w:val="4"/>
              </w:rPr>
            </w:pPr>
            <w:r>
              <w:rPr>
                <w:sz w:val="4"/>
                <w:szCs w:val="4"/>
              </w:rPr>
            </w:r>
          </w:p>
        </w:tc>
        <w:tc>
          <w:tcPr>
            <w:tcW w:w="198" w:type="dxa"/>
            <w:tcBorders/>
            <w:shd w:fill="auto" w:val="clear"/>
            <w:vAlign w:val="center"/>
          </w:tcPr>
          <w:p>
            <w:pPr>
              <w:pStyle w:val="TableContents"/>
              <w:spacing w:before="0" w:after="283"/>
              <w:rPr>
                <w:sz w:val="4"/>
                <w:szCs w:val="4"/>
              </w:rPr>
            </w:pPr>
            <w:r>
              <w:rPr>
                <w:sz w:val="4"/>
                <w:szCs w:val="4"/>
              </w:rPr>
            </w:r>
          </w:p>
        </w:tc>
        <w:tc>
          <w:tcPr>
            <w:tcW w:w="279" w:type="dxa"/>
            <w:tcBorders/>
            <w:shd w:fill="auto" w:val="clear"/>
            <w:vAlign w:val="center"/>
          </w:tcPr>
          <w:p>
            <w:pPr>
              <w:pStyle w:val="TableContents"/>
              <w:spacing w:before="0" w:after="283"/>
              <w:rPr>
                <w:sz w:val="4"/>
                <w:szCs w:val="4"/>
              </w:rPr>
            </w:pPr>
            <w:r>
              <w:rPr>
                <w:sz w:val="4"/>
                <w:szCs w:val="4"/>
              </w:rPr>
            </w:r>
          </w:p>
        </w:tc>
      </w:tr>
      <w:tr>
        <w:trPr/>
        <w:tc>
          <w:tcPr>
            <w:tcW w:w="25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33"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38"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r>
      <w:tr>
        <w:trPr/>
        <w:tc>
          <w:tcPr>
            <w:tcW w:w="25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2019</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75"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r>
      <w:tr>
        <w:trPr/>
        <w:tc>
          <w:tcPr>
            <w:tcW w:w="25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98"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(US$ in thousands)</w:t>
            </w:r>
          </w:p>
        </w:tc>
      </w:tr>
      <w:tr>
        <w:trPr/>
        <w:tc>
          <w:tcPr>
            <w:tcW w:w="25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 expenses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19,408 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25,724 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5" w:type="dxa"/>
            <w:gridSpan w:val="3"/>
            <w:tcBorders/>
            <w:shd w:fill="CCEEFF" w:val="clear"/>
            <w:tcMar>
              <w:top w:w="0" w:type="dxa"/>
              <w:left w:w="0" w:type="dxa"/>
              <w:bottom w:w="0" w:type="dxa"/>
              <w:right w:w="0" w:type="dxa"/>
            </w:tcMar>
            <w:vAlign w:val="center"/>
          </w:tcPr>
          <w:p>
            <w:pPr>
              <w:pStyle w:val="TableContents"/>
              <w:spacing w:lineRule="auto" w:line="288" w:before="0" w:after="0"/>
              <w:ind w:left="0" w:right="0" w:hanging="202"/>
              <w:jc w:val="right"/>
              <w:rPr>
                <w:rFonts w:ascii="Times New Roman;sans-serif" w:hAnsi="Times New Roman;sans-serif"/>
                <w:b w:val="false"/>
                <w:color w:val="000000"/>
                <w:sz w:val="20"/>
              </w:rPr>
            </w:pPr>
            <w:r>
              <w:rPr>
                <w:rFonts w:ascii="Times New Roman;sans-serif" w:hAnsi="Times New Roman;sans-serif"/>
                <w:b w:val="false"/>
                <w:color w:val="000000"/>
                <w:sz w:val="20"/>
              </w:rPr>
              <w:t>32.5%</w:t>
            </w:r>
          </w:p>
        </w:tc>
      </w:tr>
      <w:tr>
        <w:trPr/>
        <w:tc>
          <w:tcPr>
            <w:tcW w:w="25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Percentage of total revenues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Of the increase in sales and marketing expenses, US$4.4 million was due to increased employee wages and benefits expense as we continued to build our team and a US$0.6 million increase in share-based compensation. Sales and marketing expenses as a percentage of total revenue decreased as we scaled our business as result of higher demand for online engagement and, to a lesser degree, as a result of reduced costs for in-person marketing.</w:t>
      </w:r>
    </w:p>
    <w:p>
      <w:pPr>
        <w:pStyle w:val="TextBody"/>
        <w:spacing w:lineRule="auto" w:line="319" w:before="0" w:after="24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General and Administrative Expenses</w:t>
      </w:r>
    </w:p>
    <w:tbl>
      <w:tblPr>
        <w:tblW w:w="8193" w:type="dxa"/>
        <w:jc w:val="left"/>
        <w:tblInd w:w="0" w:type="dxa"/>
        <w:tblCellMar>
          <w:top w:w="28" w:type="dxa"/>
          <w:left w:w="28" w:type="dxa"/>
          <w:bottom w:w="28" w:type="dxa"/>
          <w:right w:w="28" w:type="dxa"/>
        </w:tblCellMar>
      </w:tblPr>
      <w:tblGrid>
        <w:gridCol w:w="1120"/>
        <w:gridCol w:w="984"/>
        <w:gridCol w:w="986"/>
        <w:gridCol w:w="211"/>
        <w:gridCol w:w="616"/>
        <w:gridCol w:w="271"/>
        <w:gridCol w:w="109"/>
        <w:gridCol w:w="109"/>
        <w:gridCol w:w="109"/>
        <w:gridCol w:w="211"/>
        <w:gridCol w:w="721"/>
        <w:gridCol w:w="271"/>
        <w:gridCol w:w="109"/>
        <w:gridCol w:w="109"/>
        <w:gridCol w:w="109"/>
        <w:gridCol w:w="211"/>
        <w:gridCol w:w="721"/>
        <w:gridCol w:w="109"/>
        <w:gridCol w:w="109"/>
        <w:gridCol w:w="109"/>
        <w:gridCol w:w="109"/>
        <w:gridCol w:w="228"/>
        <w:gridCol w:w="228"/>
        <w:gridCol w:w="324"/>
      </w:tblGrid>
      <w:tr>
        <w:trPr/>
        <w:tc>
          <w:tcPr>
            <w:tcW w:w="1120" w:type="dxa"/>
            <w:tcBorders/>
            <w:shd w:fill="auto" w:val="clear"/>
            <w:vAlign w:val="center"/>
          </w:tcPr>
          <w:p>
            <w:pPr>
              <w:pStyle w:val="TableContents"/>
              <w:spacing w:before="0" w:after="283"/>
              <w:rPr>
                <w:sz w:val="4"/>
                <w:szCs w:val="4"/>
              </w:rPr>
            </w:pPr>
            <w:r>
              <w:rPr>
                <w:sz w:val="4"/>
                <w:szCs w:val="4"/>
              </w:rPr>
            </w:r>
          </w:p>
        </w:tc>
        <w:tc>
          <w:tcPr>
            <w:tcW w:w="984" w:type="dxa"/>
            <w:tcBorders/>
            <w:shd w:fill="auto" w:val="clear"/>
            <w:vAlign w:val="center"/>
          </w:tcPr>
          <w:p>
            <w:pPr>
              <w:pStyle w:val="TableContents"/>
              <w:spacing w:before="0" w:after="283"/>
              <w:rPr>
                <w:sz w:val="4"/>
                <w:szCs w:val="4"/>
              </w:rPr>
            </w:pPr>
            <w:r>
              <w:rPr>
                <w:sz w:val="4"/>
                <w:szCs w:val="4"/>
              </w:rPr>
            </w:r>
          </w:p>
        </w:tc>
        <w:tc>
          <w:tcPr>
            <w:tcW w:w="98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324" w:type="dxa"/>
            <w:tcBorders/>
            <w:shd w:fill="auto" w:val="clear"/>
            <w:vAlign w:val="center"/>
          </w:tcPr>
          <w:p>
            <w:pPr>
              <w:pStyle w:val="TableContents"/>
              <w:spacing w:before="0" w:after="283"/>
              <w:rPr>
                <w:sz w:val="4"/>
                <w:szCs w:val="4"/>
              </w:rPr>
            </w:pPr>
            <w:r>
              <w:rPr>
                <w:sz w:val="4"/>
                <w:szCs w:val="4"/>
              </w:rPr>
            </w:r>
          </w:p>
        </w:tc>
      </w:tr>
      <w:tr>
        <w:trPr/>
        <w:tc>
          <w:tcPr>
            <w:tcW w:w="30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28"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8"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r>
      <w:tr>
        <w:trPr/>
        <w:tc>
          <w:tcPr>
            <w:tcW w:w="30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2019</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80"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r>
      <w:tr>
        <w:trPr/>
        <w:tc>
          <w:tcPr>
            <w:tcW w:w="30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03"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(US$ in thousands)</w:t>
            </w:r>
          </w:p>
        </w:tc>
      </w:tr>
      <w:tr>
        <w:trPr/>
        <w:tc>
          <w:tcPr>
            <w:tcW w:w="30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7,177 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18,010 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10,833 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0" w:type="dxa"/>
            <w:gridSpan w:val="3"/>
            <w:tcBorders/>
            <w:shd w:fill="CCEEFF" w:val="clear"/>
            <w:tcMar>
              <w:top w:w="0" w:type="dxa"/>
              <w:left w:w="0" w:type="dxa"/>
              <w:bottom w:w="0" w:type="dxa"/>
              <w:right w:w="0" w:type="dxa"/>
            </w:tcMar>
            <w:vAlign w:val="center"/>
          </w:tcPr>
          <w:p>
            <w:pPr>
              <w:pStyle w:val="TableContents"/>
              <w:spacing w:lineRule="auto" w:line="288" w:before="0" w:after="0"/>
              <w:ind w:left="0" w:right="0" w:hanging="202"/>
              <w:jc w:val="right"/>
              <w:rPr>
                <w:rFonts w:ascii="Times New Roman;sans-serif" w:hAnsi="Times New Roman;sans-serif"/>
                <w:b w:val="false"/>
                <w:color w:val="000000"/>
                <w:sz w:val="20"/>
              </w:rPr>
            </w:pPr>
            <w:r>
              <w:rPr>
                <w:rFonts w:ascii="Times New Roman;sans-serif" w:hAnsi="Times New Roman;sans-serif"/>
                <w:b w:val="false"/>
                <w:color w:val="000000"/>
                <w:sz w:val="20"/>
              </w:rPr>
              <w:t>150.9%</w:t>
            </w:r>
          </w:p>
        </w:tc>
      </w:tr>
      <w:tr>
        <w:trPr/>
        <w:tc>
          <w:tcPr>
            <w:tcW w:w="30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Percentage of total revenues</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Of the increase in general and administrative expenses, US$3.4 million was due to an increase in employee wages and benefits expense, US$3.2 million due to share-based compensation and US$1.9 million due to an increase in professional fees.</w:t>
      </w:r>
    </w:p>
    <w:p>
      <w:pPr>
        <w:pStyle w:val="TextBody"/>
        <w:spacing w:lineRule="auto" w:line="319" w:before="100" w:after="24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Other Operating Income</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Other operating income was not material in either 2019 or 2020.</w:t>
      </w:r>
    </w:p>
    <w:p>
      <w:pPr>
        <w:pStyle w:val="TextBody"/>
        <w:spacing w:lineRule="auto" w:line="319" w:before="100" w:after="24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Interest and Investment Income</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US$2.1 million increase in interest and investment income was primarily due to an increase in the average balance of cash and cash equivalents and short-term investments in 2020 compared to 2019, due to proceeds received from the issuance of Series C+ preferred shares and the issuance of new shares from the initial public offering and concurrent private placement.</w:t>
      </w:r>
    </w:p>
    <w:p>
      <w:pPr>
        <w:pStyle w:val="TextBody"/>
        <w:spacing w:lineRule="auto" w:line="319" w:before="100" w:after="24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Income Taxes</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US$0.2 million decrease in income taxes was primarily due to the decrease in pre-tax income generated by our subsidiaries.</w:t>
      </w:r>
    </w:p>
    <w:p>
      <w:pPr>
        <w:pStyle w:val="TextBody"/>
        <w:spacing w:lineRule="auto" w:line="319" w:before="100" w:after="240"/>
        <w:jc w:val="both"/>
        <w:rPr>
          <w:rFonts w:ascii="Times New Roman;sans-serif" w:hAnsi="Times New Roman;sans-serif"/>
          <w:b/>
          <w:i/>
          <w:color w:val="000000"/>
          <w:sz w:val="20"/>
        </w:rPr>
      </w:pPr>
      <w:r>
        <w:rPr>
          <w:rFonts w:ascii="Times New Roman;sans-serif" w:hAnsi="Times New Roman;sans-serif"/>
          <w:b/>
          <w:i/>
          <w:color w:val="000000"/>
          <w:sz w:val="20"/>
        </w:rPr>
        <w:t>Comparison of Years Ended December 31, 2018 and 2019</w:t>
      </w:r>
    </w:p>
    <w:p>
      <w:pPr>
        <w:pStyle w:val="TextBody"/>
        <w:spacing w:lineRule="auto" w:line="319" w:before="0" w:after="24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Revenue</w:t>
      </w:r>
    </w:p>
    <w:tbl>
      <w:tblPr>
        <w:tblW w:w="6098" w:type="dxa"/>
        <w:jc w:val="left"/>
        <w:tblInd w:w="0" w:type="dxa"/>
        <w:tblCellMar>
          <w:top w:w="28" w:type="dxa"/>
          <w:left w:w="28" w:type="dxa"/>
          <w:bottom w:w="28" w:type="dxa"/>
          <w:right w:w="28" w:type="dxa"/>
        </w:tblCellMar>
      </w:tblPr>
      <w:tblGrid>
        <w:gridCol w:w="477"/>
        <w:gridCol w:w="420"/>
        <w:gridCol w:w="422"/>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197"/>
        <w:gridCol w:w="197"/>
        <w:gridCol w:w="281"/>
      </w:tblGrid>
      <w:tr>
        <w:trPr/>
        <w:tc>
          <w:tcPr>
            <w:tcW w:w="477" w:type="dxa"/>
            <w:tcBorders/>
            <w:shd w:fill="auto" w:val="clear"/>
            <w:vAlign w:val="center"/>
          </w:tcPr>
          <w:p>
            <w:pPr>
              <w:pStyle w:val="TableContents"/>
              <w:spacing w:before="0" w:after="283"/>
              <w:rPr>
                <w:sz w:val="4"/>
                <w:szCs w:val="4"/>
              </w:rPr>
            </w:pPr>
            <w:r>
              <w:rPr>
                <w:sz w:val="4"/>
                <w:szCs w:val="4"/>
              </w:rPr>
            </w:r>
          </w:p>
        </w:tc>
        <w:tc>
          <w:tcPr>
            <w:tcW w:w="420" w:type="dxa"/>
            <w:tcBorders/>
            <w:shd w:fill="auto" w:val="clear"/>
            <w:vAlign w:val="center"/>
          </w:tcPr>
          <w:p>
            <w:pPr>
              <w:pStyle w:val="TableContents"/>
              <w:spacing w:before="0" w:after="283"/>
              <w:rPr>
                <w:sz w:val="4"/>
                <w:szCs w:val="4"/>
              </w:rPr>
            </w:pPr>
            <w:r>
              <w:rPr>
                <w:sz w:val="4"/>
                <w:szCs w:val="4"/>
              </w:rPr>
            </w:r>
          </w:p>
        </w:tc>
        <w:tc>
          <w:tcPr>
            <w:tcW w:w="422"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center"/>
          </w:tcPr>
          <w:p>
            <w:pPr>
              <w:pStyle w:val="TableContents"/>
              <w:spacing w:before="0" w:after="283"/>
              <w:rPr>
                <w:sz w:val="4"/>
                <w:szCs w:val="4"/>
              </w:rPr>
            </w:pPr>
            <w:r>
              <w:rPr>
                <w:sz w:val="4"/>
                <w:szCs w:val="4"/>
              </w:rPr>
            </w:r>
          </w:p>
        </w:tc>
      </w:tr>
      <w:tr>
        <w:trPr/>
        <w:tc>
          <w:tcPr>
            <w:tcW w:w="13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43"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r>
      <w:tr>
        <w:trPr/>
        <w:tc>
          <w:tcPr>
            <w:tcW w:w="13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2018</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2019</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75"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r>
      <w:tr>
        <w:trPr/>
        <w:tc>
          <w:tcPr>
            <w:tcW w:w="13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79"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(US$ in thousands)</w:t>
            </w:r>
          </w:p>
        </w:tc>
      </w:tr>
      <w:tr>
        <w:trPr/>
        <w:tc>
          <w:tcPr>
            <w:tcW w:w="13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43,657 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64,429 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20,772 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w:t>
            </w:r>
          </w:p>
        </w:tc>
      </w:tr>
    </w:tbl>
    <w:p>
      <w:pPr>
        <w:pStyle w:val="HorizontalLine"/>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385445"/>
                <wp:effectExtent l="0" t="0" r="0" b="0"/>
                <wp:wrapNone/>
                <wp:docPr id="108" name="Frame107"/>
                <a:graphic xmlns:a="http://schemas.openxmlformats.org/drawingml/2006/main">
                  <a:graphicData uri="http://schemas.microsoft.com/office/word/2010/wordprocessingShape">
                    <wps:wsp>
                      <wps:cNvSpPr txBox="1"/>
                      <wps:spPr>
                        <a:xfrm>
                          <a:off x="0" y="0"/>
                          <a:ext cx="6480175" cy="385445"/>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103</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103</w:t>
                      </w:r>
                    </w:p>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increase in total revenues was primarily due to a 68.4% increase in the number of minutes our products were used in 2019 compared to 2018. This increase in usage was partially offset by a 9.1% decrease in the average price per minute as we passed on the marginal cost savings from our higher bandwidth and server utilization due to a more diversified customer base and lower procurement prices due to our increased scale and sought to drive greater usage of our products. Our total revenues also suffered from a 3.7% foreign exchange translation loss resulting from the depreciation of the Renminbi, in which we receive the majority of our revenue, compared to the U.S. dollar from 2018 to 2019. In 2018, the average Renminbi to U.S. dollar exchange rate was 6.6146 and in 2019 the average Renminbi to U.S. dollar exchange rate was 6.8985, according to the mid-price published by the State Administration of Foreign Exchange of China.</w:t>
      </w:r>
    </w:p>
    <w:p>
      <w:pPr>
        <w:pStyle w:val="TextBody"/>
        <w:spacing w:lineRule="auto" w:line="319" w:before="0" w:after="24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Cost of Revenue; Gross Margin</w:t>
      </w:r>
    </w:p>
    <w:tbl>
      <w:tblPr>
        <w:tblW w:w="6467" w:type="dxa"/>
        <w:jc w:val="left"/>
        <w:tblInd w:w="0" w:type="dxa"/>
        <w:tblCellMar>
          <w:top w:w="28" w:type="dxa"/>
          <w:left w:w="28" w:type="dxa"/>
          <w:bottom w:w="28" w:type="dxa"/>
          <w:right w:w="28" w:type="dxa"/>
        </w:tblCellMar>
      </w:tblPr>
      <w:tblGrid>
        <w:gridCol w:w="531"/>
        <w:gridCol w:w="468"/>
        <w:gridCol w:w="470"/>
        <w:gridCol w:w="211"/>
        <w:gridCol w:w="721"/>
        <w:gridCol w:w="271"/>
        <w:gridCol w:w="109"/>
        <w:gridCol w:w="109"/>
        <w:gridCol w:w="109"/>
        <w:gridCol w:w="211"/>
        <w:gridCol w:w="721"/>
        <w:gridCol w:w="271"/>
        <w:gridCol w:w="109"/>
        <w:gridCol w:w="109"/>
        <w:gridCol w:w="109"/>
        <w:gridCol w:w="211"/>
        <w:gridCol w:w="616"/>
        <w:gridCol w:w="109"/>
        <w:gridCol w:w="109"/>
        <w:gridCol w:w="109"/>
        <w:gridCol w:w="109"/>
        <w:gridCol w:w="197"/>
        <w:gridCol w:w="197"/>
        <w:gridCol w:w="281"/>
      </w:tblGrid>
      <w:tr>
        <w:trPr/>
        <w:tc>
          <w:tcPr>
            <w:tcW w:w="531" w:type="dxa"/>
            <w:tcBorders/>
            <w:shd w:fill="auto" w:val="clear"/>
            <w:vAlign w:val="center"/>
          </w:tcPr>
          <w:p>
            <w:pPr>
              <w:pStyle w:val="TableContents"/>
              <w:spacing w:before="0" w:after="283"/>
              <w:rPr>
                <w:sz w:val="4"/>
                <w:szCs w:val="4"/>
              </w:rPr>
            </w:pPr>
            <w:r>
              <w:rPr>
                <w:sz w:val="4"/>
                <w:szCs w:val="4"/>
              </w:rPr>
            </w:r>
          </w:p>
        </w:tc>
        <w:tc>
          <w:tcPr>
            <w:tcW w:w="468" w:type="dxa"/>
            <w:tcBorders/>
            <w:shd w:fill="auto" w:val="clear"/>
            <w:vAlign w:val="center"/>
          </w:tcPr>
          <w:p>
            <w:pPr>
              <w:pStyle w:val="TableContents"/>
              <w:spacing w:before="0" w:after="283"/>
              <w:rPr>
                <w:sz w:val="4"/>
                <w:szCs w:val="4"/>
              </w:rPr>
            </w:pPr>
            <w:r>
              <w:rPr>
                <w:sz w:val="4"/>
                <w:szCs w:val="4"/>
              </w:rPr>
            </w:r>
          </w:p>
        </w:tc>
        <w:tc>
          <w:tcPr>
            <w:tcW w:w="47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center"/>
          </w:tcPr>
          <w:p>
            <w:pPr>
              <w:pStyle w:val="TableContents"/>
              <w:spacing w:before="0" w:after="283"/>
              <w:rPr>
                <w:sz w:val="4"/>
                <w:szCs w:val="4"/>
              </w:rPr>
            </w:pPr>
            <w:r>
              <w:rPr>
                <w:sz w:val="4"/>
                <w:szCs w:val="4"/>
              </w:rPr>
            </w:r>
          </w:p>
        </w:tc>
      </w:tr>
      <w:tr>
        <w:trPr/>
        <w:tc>
          <w:tcPr>
            <w:tcW w:w="14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33"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38"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r>
      <w:tr>
        <w:trPr/>
        <w:tc>
          <w:tcPr>
            <w:tcW w:w="14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2018</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2019</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75"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r>
      <w:tr>
        <w:trPr/>
        <w:tc>
          <w:tcPr>
            <w:tcW w:w="14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98"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(US$ in thousands)</w:t>
            </w:r>
          </w:p>
        </w:tc>
      </w:tr>
      <w:tr>
        <w:trPr/>
        <w:tc>
          <w:tcPr>
            <w:tcW w:w="14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12,635 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20,417 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7,782 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61.6%</w:t>
            </w:r>
          </w:p>
        </w:tc>
      </w:tr>
      <w:tr>
        <w:trPr/>
        <w:tc>
          <w:tcPr>
            <w:tcW w:w="14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margin</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71.1 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68.3 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Of the increase in cost of revenues, US$5.9 million was attributable to the increase in bandwidth and co-location costs as we continued to scale our business. Cost of revenue was also impacted by a US$0.7 million increase in depreciation. On a percentage basis, cost of revenues increased by 61.6%, compared to the 68.4% increase in number of minutes, due to our greater bandwidth and server utilization and lower procurement prices. Cost of revenues increased at a faster pace than revenue because of the increase in depreciation as we purchased servers ahead of expected customer demand, and because we offered attractive pricing to drive greater adoption and usage of our products.</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Gross margin declined by 2.8 percentage points as a result of the pricing strategy and increase in depreciation discussed above.</w:t>
      </w:r>
    </w:p>
    <w:p>
      <w:pPr>
        <w:pStyle w:val="TextBody"/>
        <w:spacing w:lineRule="auto" w:line="319" w:before="0" w:after="24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Research and Development Expense</w:t>
      </w:r>
    </w:p>
    <w:tbl>
      <w:tblPr>
        <w:tblW w:w="8087" w:type="dxa"/>
        <w:jc w:val="left"/>
        <w:tblInd w:w="0" w:type="dxa"/>
        <w:tblCellMar>
          <w:top w:w="28" w:type="dxa"/>
          <w:left w:w="28" w:type="dxa"/>
          <w:bottom w:w="28" w:type="dxa"/>
          <w:right w:w="28" w:type="dxa"/>
        </w:tblCellMar>
      </w:tblPr>
      <w:tblGrid>
        <w:gridCol w:w="1120"/>
        <w:gridCol w:w="982"/>
        <w:gridCol w:w="987"/>
        <w:gridCol w:w="211"/>
        <w:gridCol w:w="721"/>
        <w:gridCol w:w="271"/>
        <w:gridCol w:w="109"/>
        <w:gridCol w:w="109"/>
        <w:gridCol w:w="109"/>
        <w:gridCol w:w="211"/>
        <w:gridCol w:w="721"/>
        <w:gridCol w:w="271"/>
        <w:gridCol w:w="109"/>
        <w:gridCol w:w="109"/>
        <w:gridCol w:w="109"/>
        <w:gridCol w:w="211"/>
        <w:gridCol w:w="616"/>
        <w:gridCol w:w="109"/>
        <w:gridCol w:w="109"/>
        <w:gridCol w:w="109"/>
        <w:gridCol w:w="109"/>
        <w:gridCol w:w="197"/>
        <w:gridCol w:w="197"/>
        <w:gridCol w:w="281"/>
      </w:tblGrid>
      <w:tr>
        <w:trPr/>
        <w:tc>
          <w:tcPr>
            <w:tcW w:w="1120" w:type="dxa"/>
            <w:tcBorders/>
            <w:shd w:fill="auto" w:val="clear"/>
            <w:vAlign w:val="center"/>
          </w:tcPr>
          <w:p>
            <w:pPr>
              <w:pStyle w:val="TableContents"/>
              <w:spacing w:before="0" w:after="283"/>
              <w:rPr>
                <w:sz w:val="4"/>
                <w:szCs w:val="4"/>
              </w:rPr>
            </w:pPr>
            <w:r>
              <w:rPr>
                <w:sz w:val="4"/>
                <w:szCs w:val="4"/>
              </w:rPr>
            </w:r>
          </w:p>
        </w:tc>
        <w:tc>
          <w:tcPr>
            <w:tcW w:w="982" w:type="dxa"/>
            <w:tcBorders/>
            <w:shd w:fill="auto" w:val="clear"/>
            <w:vAlign w:val="center"/>
          </w:tcPr>
          <w:p>
            <w:pPr>
              <w:pStyle w:val="TableContents"/>
              <w:spacing w:before="0" w:after="283"/>
              <w:rPr>
                <w:sz w:val="4"/>
                <w:szCs w:val="4"/>
              </w:rPr>
            </w:pPr>
            <w:r>
              <w:rPr>
                <w:sz w:val="4"/>
                <w:szCs w:val="4"/>
              </w:rPr>
            </w:r>
          </w:p>
        </w:tc>
        <w:tc>
          <w:tcPr>
            <w:tcW w:w="98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center"/>
          </w:tcPr>
          <w:p>
            <w:pPr>
              <w:pStyle w:val="TableContents"/>
              <w:spacing w:before="0" w:after="283"/>
              <w:rPr>
                <w:sz w:val="4"/>
                <w:szCs w:val="4"/>
              </w:rPr>
            </w:pPr>
            <w:r>
              <w:rPr>
                <w:sz w:val="4"/>
                <w:szCs w:val="4"/>
              </w:rPr>
            </w:r>
          </w:p>
        </w:tc>
      </w:tr>
      <w:tr>
        <w:trPr/>
        <w:tc>
          <w:tcPr>
            <w:tcW w:w="30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33"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38"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r>
      <w:tr>
        <w:trPr/>
        <w:tc>
          <w:tcPr>
            <w:tcW w:w="30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2018</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2019</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75"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r>
      <w:tr>
        <w:trPr/>
        <w:tc>
          <w:tcPr>
            <w:tcW w:w="30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98"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(US$ in thousands)</w:t>
            </w:r>
          </w:p>
        </w:tc>
      </w:tr>
      <w:tr>
        <w:trPr/>
        <w:tc>
          <w:tcPr>
            <w:tcW w:w="30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14,426 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23,623 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9,197 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63.8%</w:t>
            </w:r>
          </w:p>
        </w:tc>
      </w:tr>
      <w:tr>
        <w:trPr/>
        <w:tc>
          <w:tcPr>
            <w:tcW w:w="30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Percentage of total revenues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Of the increase in research and development expenses, US$7.3 million was due to increased employee wages and benefits expense as we continued to build our team and US$0.6 million was due to an increase in share-based compensation.</w:t>
      </w:r>
    </w:p>
    <w:p>
      <w:pPr>
        <w:pStyle w:val="TextBody"/>
        <w:spacing w:lineRule="auto" w:line="319" w:before="0" w:after="24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Selling and Marketing Expenses</w:t>
      </w:r>
    </w:p>
    <w:p>
      <w:pPr>
        <w:pStyle w:val="HorizontalLine"/>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385445"/>
                <wp:effectExtent l="0" t="0" r="0" b="0"/>
                <wp:wrapNone/>
                <wp:docPr id="109" name="Frame108"/>
                <a:graphic xmlns:a="http://schemas.openxmlformats.org/drawingml/2006/main">
                  <a:graphicData uri="http://schemas.microsoft.com/office/word/2010/wordprocessingShape">
                    <wps:wsp>
                      <wps:cNvSpPr txBox="1"/>
                      <wps:spPr>
                        <a:xfrm>
                          <a:off x="0" y="0"/>
                          <a:ext cx="6480175" cy="385445"/>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104</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104</w:t>
                      </w:r>
                    </w:p>
                    <w:p>
                      <w:pPr>
                        <w:pStyle w:val="TextBody"/>
                        <w:spacing w:before="0" w:after="0"/>
                        <w:jc w:val="center"/>
                        <w:rPr/>
                      </w:pPr>
                      <w:r>
                        <w:rPr/>
                      </w:r>
                    </w:p>
                  </w:txbxContent>
                </v:textbox>
              </v:rect>
            </w:pict>
          </mc:Fallback>
        </mc:AlternateContent>
      </w:r>
    </w:p>
    <w:p>
      <w:pPr>
        <w:pStyle w:val="TextBody"/>
        <w:spacing w:before="0" w:after="0"/>
        <w:rPr/>
      </w:pPr>
      <w:r>
        <w:rPr/>
      </w:r>
    </w:p>
    <w:tbl>
      <w:tblPr>
        <w:tblW w:w="7532" w:type="dxa"/>
        <w:jc w:val="left"/>
        <w:tblInd w:w="0" w:type="dxa"/>
        <w:tblCellMar>
          <w:top w:w="28" w:type="dxa"/>
          <w:left w:w="28" w:type="dxa"/>
          <w:bottom w:w="28" w:type="dxa"/>
          <w:right w:w="28" w:type="dxa"/>
        </w:tblCellMar>
      </w:tblPr>
      <w:tblGrid>
        <w:gridCol w:w="916"/>
        <w:gridCol w:w="806"/>
        <w:gridCol w:w="812"/>
        <w:gridCol w:w="211"/>
        <w:gridCol w:w="721"/>
        <w:gridCol w:w="271"/>
        <w:gridCol w:w="109"/>
        <w:gridCol w:w="109"/>
        <w:gridCol w:w="109"/>
        <w:gridCol w:w="211"/>
        <w:gridCol w:w="721"/>
        <w:gridCol w:w="271"/>
        <w:gridCol w:w="109"/>
        <w:gridCol w:w="109"/>
        <w:gridCol w:w="109"/>
        <w:gridCol w:w="211"/>
        <w:gridCol w:w="616"/>
        <w:gridCol w:w="109"/>
        <w:gridCol w:w="109"/>
        <w:gridCol w:w="109"/>
        <w:gridCol w:w="109"/>
        <w:gridCol w:w="197"/>
        <w:gridCol w:w="197"/>
        <w:gridCol w:w="281"/>
      </w:tblGrid>
      <w:tr>
        <w:trPr/>
        <w:tc>
          <w:tcPr>
            <w:tcW w:w="916" w:type="dxa"/>
            <w:tcBorders/>
            <w:shd w:fill="auto" w:val="clear"/>
            <w:vAlign w:val="center"/>
          </w:tcPr>
          <w:p>
            <w:pPr>
              <w:pStyle w:val="TableContents"/>
              <w:spacing w:before="0" w:after="283"/>
              <w:rPr>
                <w:sz w:val="4"/>
                <w:szCs w:val="4"/>
              </w:rPr>
            </w:pPr>
            <w:r>
              <w:rPr>
                <w:sz w:val="4"/>
                <w:szCs w:val="4"/>
              </w:rPr>
            </w:r>
          </w:p>
        </w:tc>
        <w:tc>
          <w:tcPr>
            <w:tcW w:w="806" w:type="dxa"/>
            <w:tcBorders/>
            <w:shd w:fill="auto" w:val="clear"/>
            <w:vAlign w:val="center"/>
          </w:tcPr>
          <w:p>
            <w:pPr>
              <w:pStyle w:val="TableContents"/>
              <w:spacing w:before="0" w:after="283"/>
              <w:rPr>
                <w:sz w:val="4"/>
                <w:szCs w:val="4"/>
              </w:rPr>
            </w:pPr>
            <w:r>
              <w:rPr>
                <w:sz w:val="4"/>
                <w:szCs w:val="4"/>
              </w:rPr>
            </w:r>
          </w:p>
        </w:tc>
        <w:tc>
          <w:tcPr>
            <w:tcW w:w="812"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center"/>
          </w:tcPr>
          <w:p>
            <w:pPr>
              <w:pStyle w:val="TableContents"/>
              <w:spacing w:before="0" w:after="283"/>
              <w:rPr>
                <w:sz w:val="4"/>
                <w:szCs w:val="4"/>
              </w:rPr>
            </w:pPr>
            <w:r>
              <w:rPr>
                <w:sz w:val="4"/>
                <w:szCs w:val="4"/>
              </w:rPr>
            </w:r>
          </w:p>
        </w:tc>
      </w:tr>
      <w:tr>
        <w:trPr/>
        <w:tc>
          <w:tcPr>
            <w:tcW w:w="25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33"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38"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r>
      <w:tr>
        <w:trPr/>
        <w:tc>
          <w:tcPr>
            <w:tcW w:w="25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2018</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2019</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75"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r>
      <w:tr>
        <w:trPr/>
        <w:tc>
          <w:tcPr>
            <w:tcW w:w="25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98"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(US$ in thousands)</w:t>
            </w:r>
          </w:p>
        </w:tc>
      </w:tr>
      <w:tr>
        <w:trPr/>
        <w:tc>
          <w:tcPr>
            <w:tcW w:w="25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 expenses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11,986 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19,408 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7,422 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w:t>
            </w:r>
          </w:p>
        </w:tc>
      </w:tr>
      <w:tr>
        <w:trPr/>
        <w:tc>
          <w:tcPr>
            <w:tcW w:w="25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Percentage of total revenues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Of the increase in sales and marketing expenses, US$4.9 million was due to increased employee wages and benefits expense as we continued to build our team, a US$0.9 million increase in marketing expenses, mainly related to hosting and sponsoring conferences and developer events, a US$0.7 million increase in share-based compensation, and a US$0.6 million increase in advertising expenses.</w:t>
      </w:r>
    </w:p>
    <w:p>
      <w:pPr>
        <w:pStyle w:val="TextBody"/>
        <w:spacing w:lineRule="auto" w:line="319" w:before="0" w:after="24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General and Administrative Expenses</w:t>
      </w:r>
    </w:p>
    <w:tbl>
      <w:tblPr>
        <w:tblW w:w="7878" w:type="dxa"/>
        <w:jc w:val="left"/>
        <w:tblInd w:w="0" w:type="dxa"/>
        <w:tblCellMar>
          <w:top w:w="28" w:type="dxa"/>
          <w:left w:w="28" w:type="dxa"/>
          <w:bottom w:w="28" w:type="dxa"/>
          <w:right w:w="28" w:type="dxa"/>
        </w:tblCellMar>
      </w:tblPr>
      <w:tblGrid>
        <w:gridCol w:w="1120"/>
        <w:gridCol w:w="984"/>
        <w:gridCol w:w="986"/>
        <w:gridCol w:w="211"/>
        <w:gridCol w:w="616"/>
        <w:gridCol w:w="271"/>
        <w:gridCol w:w="109"/>
        <w:gridCol w:w="109"/>
        <w:gridCol w:w="109"/>
        <w:gridCol w:w="211"/>
        <w:gridCol w:w="616"/>
        <w:gridCol w:w="271"/>
        <w:gridCol w:w="109"/>
        <w:gridCol w:w="109"/>
        <w:gridCol w:w="109"/>
        <w:gridCol w:w="211"/>
        <w:gridCol w:w="616"/>
        <w:gridCol w:w="109"/>
        <w:gridCol w:w="109"/>
        <w:gridCol w:w="109"/>
        <w:gridCol w:w="109"/>
        <w:gridCol w:w="197"/>
        <w:gridCol w:w="197"/>
        <w:gridCol w:w="281"/>
      </w:tblGrid>
      <w:tr>
        <w:trPr/>
        <w:tc>
          <w:tcPr>
            <w:tcW w:w="1120" w:type="dxa"/>
            <w:tcBorders/>
            <w:shd w:fill="auto" w:val="clear"/>
            <w:vAlign w:val="center"/>
          </w:tcPr>
          <w:p>
            <w:pPr>
              <w:pStyle w:val="TableContents"/>
              <w:spacing w:before="0" w:after="283"/>
              <w:rPr>
                <w:sz w:val="4"/>
                <w:szCs w:val="4"/>
              </w:rPr>
            </w:pPr>
            <w:r>
              <w:rPr>
                <w:sz w:val="4"/>
                <w:szCs w:val="4"/>
              </w:rPr>
            </w:r>
          </w:p>
        </w:tc>
        <w:tc>
          <w:tcPr>
            <w:tcW w:w="984" w:type="dxa"/>
            <w:tcBorders/>
            <w:shd w:fill="auto" w:val="clear"/>
            <w:vAlign w:val="center"/>
          </w:tcPr>
          <w:p>
            <w:pPr>
              <w:pStyle w:val="TableContents"/>
              <w:spacing w:before="0" w:after="283"/>
              <w:rPr>
                <w:sz w:val="4"/>
                <w:szCs w:val="4"/>
              </w:rPr>
            </w:pPr>
            <w:r>
              <w:rPr>
                <w:sz w:val="4"/>
                <w:szCs w:val="4"/>
              </w:rPr>
            </w:r>
          </w:p>
        </w:tc>
        <w:tc>
          <w:tcPr>
            <w:tcW w:w="98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center"/>
          </w:tcPr>
          <w:p>
            <w:pPr>
              <w:pStyle w:val="TableContents"/>
              <w:spacing w:before="0" w:after="283"/>
              <w:rPr>
                <w:sz w:val="4"/>
                <w:szCs w:val="4"/>
              </w:rPr>
            </w:pPr>
            <w:r>
              <w:rPr>
                <w:sz w:val="4"/>
                <w:szCs w:val="4"/>
              </w:rPr>
            </w:r>
          </w:p>
        </w:tc>
      </w:tr>
      <w:tr>
        <w:trPr/>
        <w:tc>
          <w:tcPr>
            <w:tcW w:w="30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23"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38"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r>
      <w:tr>
        <w:trPr/>
        <w:tc>
          <w:tcPr>
            <w:tcW w:w="30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2018</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8"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2019</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75"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r>
      <w:tr>
        <w:trPr/>
        <w:tc>
          <w:tcPr>
            <w:tcW w:w="30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88"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(US$ in thousands)</w:t>
            </w:r>
          </w:p>
        </w:tc>
      </w:tr>
      <w:tr>
        <w:trPr/>
        <w:tc>
          <w:tcPr>
            <w:tcW w:w="30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5,373 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7,177 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w:t>
            </w:r>
          </w:p>
        </w:tc>
      </w:tr>
      <w:tr>
        <w:trPr/>
        <w:tc>
          <w:tcPr>
            <w:tcW w:w="30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Percentage of total revenues</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Of the increase in general and administrative expenses, US$0.7 million was due to an increase in employee wages and benefits expense, US$0.1 million due to share-based compensation and US$0.6 million due to an increase in professional fees as we prepared to become a public company.</w:t>
      </w:r>
    </w:p>
    <w:p>
      <w:pPr>
        <w:pStyle w:val="TextBody"/>
        <w:spacing w:lineRule="auto" w:line="319" w:before="100" w:after="24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Other Operating Income</w:t>
      </w:r>
    </w:p>
    <w:p>
      <w:pPr>
        <w:pStyle w:val="TextBody"/>
        <w:spacing w:lineRule="auto" w:line="319" w:before="10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US$917 thousand decrease in other operating income was primarily attributable to a US$1.0 million refund we received in 2018 from the Chinese tax bureau for value-added taxes previously paid at a higher rate as Dayin qualified for and obtained its software enterprise certificate in 2018.</w:t>
      </w:r>
    </w:p>
    <w:p>
      <w:pPr>
        <w:pStyle w:val="TextBody"/>
        <w:spacing w:lineRule="auto" w:line="319" w:before="100" w:after="24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Interest and Investment Income</w:t>
      </w:r>
    </w:p>
    <w:p>
      <w:pPr>
        <w:pStyle w:val="TextBody"/>
        <w:spacing w:lineRule="auto" w:line="319" w:before="10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US$387 thousand increase in interest income was primarily due to an increase in the average balance of cash and cash equivalents and short-term investments in 2019 compared to 2018, due to proceeds received from the issuance of Series C preferred shares in October 2018.</w:t>
      </w:r>
    </w:p>
    <w:p>
      <w:pPr>
        <w:pStyle w:val="TextBody"/>
        <w:spacing w:lineRule="auto" w:line="319" w:before="100" w:after="24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Income Taxes</w:t>
      </w:r>
    </w:p>
    <w:p>
      <w:pPr>
        <w:pStyle w:val="TextBody"/>
        <w:spacing w:lineRule="auto" w:line="319" w:before="10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US$696 thousand increase in income taxes was primarily due to a US$2.0 million increase in pre-tax income generated by our PRC entities.</w:t>
      </w:r>
    </w:p>
    <w:p>
      <w:pPr>
        <w:pStyle w:val="TextBody"/>
        <w:spacing w:lineRule="auto" w:line="319" w:before="0" w:after="240"/>
        <w:jc w:val="both"/>
        <w:rPr>
          <w:rFonts w:ascii="Times New Roman;sans-serif" w:hAnsi="Times New Roman;sans-serif"/>
          <w:b/>
          <w:color w:val="000000"/>
          <w:sz w:val="20"/>
        </w:rPr>
      </w:pPr>
      <w:r>
        <w:rPr>
          <w:rFonts w:ascii="Times New Roman;sans-serif" w:hAnsi="Times New Roman;sans-serif"/>
          <w:b/>
          <w:color w:val="000000"/>
          <w:sz w:val="20"/>
        </w:rPr>
        <w:t xml:space="preserve">Critical Accounting Policies, Significant Judgments and Estimates </w:t>
      </w:r>
    </w:p>
    <w:p>
      <w:pPr>
        <w:pStyle w:val="TextBody"/>
        <w:spacing w:lineRule="auto" w:line="319" w:before="10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management’s discussion and analysis of our financial condition and results of operations is based on our consolidated financial statements, which have been prepared in accordance with U.S. GAAP. The preparation of these consolidated financial statements requires us to make estimates and assumptions that affect the reported amounts of assets, liabilities, revenue, expenses and related disclosures. We evaluate our estimates and assumptions on an ongoing basis. Our estimates are based on historical experience and various other assumptions that we believe to be reasonable under the circumstances. Our actual results could differ from these estimates.</w:t>
      </w:r>
    </w:p>
    <w:p>
      <w:pPr>
        <w:pStyle w:val="HorizontalLine"/>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385445"/>
                <wp:effectExtent l="0" t="0" r="0" b="0"/>
                <wp:wrapNone/>
                <wp:docPr id="110" name="Frame109"/>
                <a:graphic xmlns:a="http://schemas.openxmlformats.org/drawingml/2006/main">
                  <a:graphicData uri="http://schemas.microsoft.com/office/word/2010/wordprocessingShape">
                    <wps:wsp>
                      <wps:cNvSpPr txBox="1"/>
                      <wps:spPr>
                        <a:xfrm>
                          <a:off x="0" y="0"/>
                          <a:ext cx="6480175" cy="385445"/>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105</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105</w:t>
                      </w:r>
                    </w:p>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the assumptions and estimates associated with revenue recognition, income taxes and share-based compensation have the greatest potential impact on our consolidated financial statements. Therefore, we consider these to be our critical accounting policies and estimates. For further information on all of our significant accounting policies, please see Note 2 to our audited consolidated financial statements included elsewhere in this annual report.</w:t>
      </w:r>
    </w:p>
    <w:p>
      <w:pPr>
        <w:pStyle w:val="TextBody"/>
        <w:spacing w:lineRule="auto" w:line="319" w:before="0" w:after="240"/>
        <w:jc w:val="both"/>
        <w:rPr>
          <w:rFonts w:ascii="Times New Roman;sans-serif" w:hAnsi="Times New Roman;sans-serif"/>
          <w:b/>
          <w:i/>
          <w:color w:val="000000"/>
          <w:sz w:val="20"/>
        </w:rPr>
      </w:pPr>
      <w:r>
        <w:rPr>
          <w:rFonts w:ascii="Times New Roman;sans-serif" w:hAnsi="Times New Roman;sans-serif"/>
          <w:b/>
          <w:i/>
          <w:color w:val="000000"/>
          <w:sz w:val="20"/>
        </w:rPr>
        <w:t>Revenue Recognition</w:t>
      </w:r>
    </w:p>
    <w:p>
      <w:pPr>
        <w:pStyle w:val="TextBody"/>
        <w:spacing w:lineRule="auto" w:line="319" w:before="0" w:after="240"/>
        <w:ind w:left="0" w:right="0" w:firstLine="720"/>
        <w:jc w:val="both"/>
        <w:rPr/>
      </w:pPr>
      <w:r>
        <w:rPr>
          <w:rFonts w:ascii="Times New Roman;sans-serif" w:hAnsi="Times New Roman;sans-serif"/>
          <w:b w:val="false"/>
          <w:color w:val="000000"/>
          <w:sz w:val="20"/>
        </w:rPr>
        <w:t xml:space="preserve">We early adopted ASC Topic 606, </w:t>
      </w:r>
      <w:r>
        <w:rPr>
          <w:rFonts w:ascii="Times New Roman;sans-serif" w:hAnsi="Times New Roman;sans-serif"/>
          <w:b w:val="false"/>
          <w:i/>
          <w:color w:val="000000"/>
          <w:sz w:val="20"/>
        </w:rPr>
        <w:t>Revenue from Contracts with Customers</w:t>
      </w:r>
      <w:r>
        <w:rPr>
          <w:color w:val="000000"/>
        </w:rPr>
        <w:t xml:space="preserve"> </w:t>
      </w:r>
      <w:r>
        <w:rPr>
          <w:rFonts w:ascii="Times New Roman;sans-serif" w:hAnsi="Times New Roman;sans-serif"/>
          <w:b w:val="false"/>
          <w:color w:val="000000"/>
          <w:sz w:val="20"/>
        </w:rPr>
        <w:t>(ASC 606) for all periods presented. According to ASC 606, revenue is recognized when control of the promised goods or services is transferred to the customers, in an amount that reflects the consideration we expect to be entitled to in exchange for those goods or services. We determine revenue recognition through the following steps: (1) identify the contract(s) with a customer, (2) identify the performance obligations in the contract, (3) determine the transaction price, (4) allocate the transaction price to the performance obligations in the contract, and (5) recognize revenue when (or as) the entity satisfies a performance obligation.</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revenue is primarily derived from real-time engagement services, which are usage-based fees earned from customers accessing our enterprise cloud computing platform. The performance obligation associated with the platform access is a series of distinct services that have the same pattern of transfer, and the usage-based fees are recognized as revenue in the period in which the usage occurs.</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other revenues are comprised primarily of project revenues, which are arrangements with specific customers where we will customize a software development kit to be integrated with our customer’s system based on the customer’s specific requirements. The progress of the project is defined by the readiness of the system integration as specified in the contract. To date, our projects are considered a single performance obligation, as the individual components of the project are not sold on a standalone basis and does not provide benefit to the customer on its own. Revenue is recognized over time as our performance enhances an asset controlled by our customer. Revenue recognition is based on the measurement of progress toward complete satisfaction of the performance obligation, for which we utilize the output method.</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Timing of revenue recognition may differ from the timing of invoicing to customers. We record a contract asset when we have a right to consideration in exchange for goods or services that we have transferred to a customer and when that right is conditioned on something other than the passage of time (for example, the entity’s future performance). Accounts receivables represent amounts invoiced and revenue recognized prior to invoicing, when we have satisfied our performance obligations and have the unconditional right to payment. As of December 31, 2019 and 2020, contract assets recorded in our consolidated balance sheets were immaterial.</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If a customer pays consideration, or we have a right to an amount of consideration that is unconditional (that is, a receivable), before we transfer a good or service to the customer, we present the contract as a contract liability when the payment is made or the payment is due (whichever is earlier). A contract liability is our obligation to transfer goods or services to a customer for which we have received consideration (or an amount of consideration is due) from the customer. Due to the generally short-term duration of the contracts, the majority of the performance obligations are satisfied in the following reporting period. As of December 31, 2019 and 2020, contract liabilities recorded as advances from customers were US$920,925 and US$1,338,516, respectively, in our consolidated balance sheet. Revenue recognized for the years ended December 31, 2018, 2019 and 2020 that was included in the contract liabilities balance at the beginning of the period was US$358,213, US$628,954 and US$920,925, respectively.</w:t>
      </w:r>
    </w:p>
    <w:p>
      <w:pPr>
        <w:pStyle w:val="TextBody"/>
        <w:spacing w:lineRule="auto" w:line="319" w:before="0" w:after="240"/>
        <w:jc w:val="both"/>
        <w:rPr>
          <w:rFonts w:ascii="Times New Roman;sans-serif" w:hAnsi="Times New Roman;sans-serif"/>
          <w:b w:val="false"/>
          <w:i/>
          <w:color w:val="000000"/>
          <w:sz w:val="20"/>
        </w:rPr>
      </w:pPr>
      <w:r>
        <w:rPr>
          <w:rFonts w:ascii="Times New Roman;sans-serif" w:hAnsi="Times New Roman;sans-serif"/>
          <w:b w:val="false"/>
          <w:i/>
          <w:color w:val="000000"/>
          <w:sz w:val="20"/>
        </w:rPr>
        <w:t>Practical Expedients and Exemptions</w:t>
      </w:r>
    </w:p>
    <w:p>
      <w:pPr>
        <w:pStyle w:val="HorizontalLine"/>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385445"/>
                <wp:effectExtent l="0" t="0" r="0" b="0"/>
                <wp:wrapNone/>
                <wp:docPr id="111" name="Frame110"/>
                <a:graphic xmlns:a="http://schemas.openxmlformats.org/drawingml/2006/main">
                  <a:graphicData uri="http://schemas.microsoft.com/office/word/2010/wordprocessingShape">
                    <wps:wsp>
                      <wps:cNvSpPr txBox="1"/>
                      <wps:spPr>
                        <a:xfrm>
                          <a:off x="0" y="0"/>
                          <a:ext cx="6480175" cy="385445"/>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106</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106</w:t>
                      </w:r>
                    </w:p>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Upon the election of the practical expedient under ASC 340-40-25-4, the incremental costs of obtaining a contract are expensed when incurred if the amortization period of the asset that the entity otherwise would have recognized is one year or less. For the years ended December 31, 2019 and 2020, no incremental contract obtaining cost was capitalized as assets due to short term of the amortization period.</w:t>
      </w:r>
    </w:p>
    <w:p>
      <w:pPr>
        <w:pStyle w:val="TextBody"/>
        <w:spacing w:lineRule="auto" w:line="319" w:before="0" w:after="240"/>
        <w:jc w:val="both"/>
        <w:rPr>
          <w:rFonts w:ascii="Times New Roman;sans-serif" w:hAnsi="Times New Roman;sans-serif"/>
          <w:b/>
          <w:i/>
          <w:color w:val="000000"/>
          <w:sz w:val="20"/>
        </w:rPr>
      </w:pPr>
      <w:r>
        <w:rPr>
          <w:rFonts w:ascii="Times New Roman;sans-serif" w:hAnsi="Times New Roman;sans-serif"/>
          <w:b/>
          <w:i/>
          <w:color w:val="000000"/>
          <w:sz w:val="20"/>
        </w:rPr>
        <w:t>Redeemable Preferred Shares</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record all redeemable convertible preferred shares at their respective fair values on the dates of issuance, net of issuance costs. In the event of the voluntary or involuntary liquidation, dissolution or winding up of our company, or a liquidation event such as a merger, acquisition and sale of all or substantially all of our assets, each of which we refer to as a deemed liquidation event, proceeds will be distributed in accordance with the liquidation preferences set forth in the articles and memorandum of association unless the holders of redeemable convertible preferred shares have converted their redeemable convertible preferred shares into ordinary shares. Therefore, the redeemable convertible preferred shares are recorded in mezzanine equity on the consolidated balance sheet as events triggering the liquidation preferences are not solely within our control. For each reporting period, we recorded accretions on the Series C, B+ and B preferred shares to the respective redemption value by using the effective interest rate method from the issuance dates to the earliest redemption dates as set forth in the original issuance. For the Series A preferred shares, the redemption price is recorded at higher of (1) issuance price with 15% compounding annually and (2) fair value of Series A preferred shares on each reporting date.</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All classes of our preferred shares were converted to ordinary shares upon completion of our initial public offering.</w:t>
      </w:r>
    </w:p>
    <w:p>
      <w:pPr>
        <w:pStyle w:val="TextBody"/>
        <w:spacing w:lineRule="auto" w:line="319" w:before="0" w:after="240"/>
        <w:jc w:val="both"/>
        <w:rPr>
          <w:rFonts w:ascii="Times New Roman;sans-serif" w:hAnsi="Times New Roman;sans-serif"/>
          <w:b/>
          <w:i/>
          <w:color w:val="000000"/>
          <w:sz w:val="20"/>
        </w:rPr>
      </w:pPr>
      <w:r>
        <w:rPr>
          <w:rFonts w:ascii="Times New Roman;sans-serif" w:hAnsi="Times New Roman;sans-serif"/>
          <w:b/>
          <w:i/>
          <w:color w:val="000000"/>
          <w:sz w:val="20"/>
        </w:rPr>
        <w:t xml:space="preserve">Share-based Compensation </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All share-based awards are measured at fair value on the grant date. The share-based compensation expenses have been categorized as either cost of revenues, research and development expenses, sales and marketing expenses or general and administrative expenses, depending on the job functions of the grantees.</w:t>
      </w:r>
    </w:p>
    <w:p>
      <w:pPr>
        <w:pStyle w:val="TextBody"/>
        <w:spacing w:lineRule="auto" w:line="319" w:before="0" w:after="240"/>
        <w:jc w:val="both"/>
        <w:rPr>
          <w:rFonts w:ascii="Times New Roman;sans-serif" w:hAnsi="Times New Roman;sans-serif"/>
          <w:b w:val="false"/>
          <w:i/>
          <w:color w:val="000000"/>
          <w:sz w:val="20"/>
        </w:rPr>
      </w:pPr>
      <w:r>
        <w:rPr>
          <w:rFonts w:ascii="Times New Roman;sans-serif" w:hAnsi="Times New Roman;sans-serif"/>
          <w:b w:val="false"/>
          <w:i/>
          <w:color w:val="000000"/>
          <w:sz w:val="20"/>
        </w:rPr>
        <w:t>Share Options Granted</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For the service condition only options granted to employees without a repurchase feature, the compensation expense is recognized using the straight-line method over the requisite service period. We early adopted Accounting Standards Update (“ASU”) 2016-09, Compensation—Share Compensation (Topic 718): Improvements to Employee Share-Based Payment Accounting from the earliest period presented to recognize the effect of forfeiture in compensation cost when they occur. In determining the fair value of our share options, the binomial option pricing model has been applied.</w:t>
      </w:r>
    </w:p>
    <w:p>
      <w:pPr>
        <w:pStyle w:val="TextBody"/>
        <w:spacing w:lineRule="auto" w:line="319" w:before="0" w:after="240"/>
        <w:jc w:val="both"/>
        <w:rPr>
          <w:rFonts w:ascii="Times New Roman;sans-serif" w:hAnsi="Times New Roman;sans-serif"/>
          <w:b w:val="false"/>
          <w:i/>
          <w:color w:val="000000"/>
          <w:sz w:val="20"/>
        </w:rPr>
      </w:pPr>
      <w:r>
        <w:rPr>
          <w:rFonts w:ascii="Times New Roman;sans-serif" w:hAnsi="Times New Roman;sans-serif"/>
          <w:b w:val="false"/>
          <w:i/>
          <w:color w:val="000000"/>
          <w:sz w:val="20"/>
        </w:rPr>
        <w:t>Liability Classified Awards</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November 2020, our management adopted and our board of directors approved our Venture Partners Plan, or the VPP Program, to supplement our equity incentive plans. The VPP Program allows us to grant VPPs to participants in the VPP Program, which entitle them to participate in our annual adjusted profit sharing and retained profit sharing. VPPs can be settled through the issuance of shares or cash to employees in our decision and the number of shares that an employee ultimately receives is variable based on the share price on the settlement date. We account for these VPPs as a liability and will remeasure the liability at each reporting period until the award is settled. For the annual shared profit, compensation is recognized using the straight-line method over the performance period, using the estimated liability of the award on the service inception date to begin to recognize compensation expense. For the accumulated retained profit, if any, compensation is recognized using the straight-</w:t>
      </w:r>
    </w:p>
    <w:p>
      <w:pPr>
        <w:pStyle w:val="HorizontalLine"/>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385445"/>
                <wp:effectExtent l="0" t="0" r="0" b="0"/>
                <wp:wrapNone/>
                <wp:docPr id="112" name="Frame111"/>
                <a:graphic xmlns:a="http://schemas.openxmlformats.org/drawingml/2006/main">
                  <a:graphicData uri="http://schemas.microsoft.com/office/word/2010/wordprocessingShape">
                    <wps:wsp>
                      <wps:cNvSpPr txBox="1"/>
                      <wps:spPr>
                        <a:xfrm>
                          <a:off x="0" y="0"/>
                          <a:ext cx="6480175" cy="385445"/>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107</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107</w:t>
                      </w:r>
                    </w:p>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lineRule="auto" w:line="319"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line method over the requisite service period, using the estimated liability of the award on the service inception date to begin to recognize compensation expense. We will true-up the compensation cost each reporting period for changes in liability prorated for the portion of the requisite service period rendered, if applicable. Once vested (that is, the performance period or the requisite-service period is complete), we will immediately recognize compensation cost for any changes in liability upon settlement. </w:t>
      </w:r>
    </w:p>
    <w:p>
      <w:pPr>
        <w:pStyle w:val="TextBody"/>
        <w:spacing w:lineRule="auto" w:line="319" w:before="0" w:after="240"/>
        <w:jc w:val="both"/>
        <w:rPr>
          <w:rFonts w:ascii="Times New Roman;sans-serif" w:hAnsi="Times New Roman;sans-serif"/>
          <w:b w:val="false"/>
          <w:i/>
          <w:color w:val="000000"/>
          <w:sz w:val="20"/>
        </w:rPr>
      </w:pPr>
      <w:r>
        <w:rPr>
          <w:rFonts w:ascii="Times New Roman;sans-serif" w:hAnsi="Times New Roman;sans-serif"/>
          <w:b w:val="false"/>
          <w:i/>
          <w:color w:val="000000"/>
          <w:sz w:val="20"/>
        </w:rPr>
        <w:t>Restricted Shares and Restricted Share Units (“RSUs”)</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restricted shares and RSUs granted with service conditions, the awards are measured at fair value on the grant date. Share-based compensation expense is recognized using the straight-line method over the requisite service period. The fair value of the restricted shares granted prior to the initial public offering was assessed using the income approaches, with a discount for lack of marketability given that the shares underlying the awards were not publicly traded at the time of grant. This assessment required complex and subjective judgments regarding our projected financial and operating results, our unique business risks, the liquidity of our ordinary shares and our operating history and prospects at the time the grants were made. The fair value of restricted shares and RSU’s granted post-IPO is determined based on the closing quoted price of our ordinary shares on the date of the grant. </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certain restricted shares that have a performance condition, the final number of restricted shares may vest and settle depending on the employee’s performance against performance metrics over predefined performance periods. Over the performance period, the number of restricted shares that may be issued and the related share-based compensation expense that is recognized is adjusted upward or downward based upon the probability of achieving the approved performance targets against the performance metrics. </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Similar to options above, we recognize the effect of forfeitures in compensation costs when they occur. For the restricted shares that we are obligated to repurchase at grantee’s election, they are classified as liability awards and are applied the accounting policy of liability classified awards as mentioned above. For the restricted shares granted by the Founder to our employees, the compensation expense of these awards is pushed down to us and recorded by us based on grant-date fair value with total compensation expense recognized over the grantee’s own requisite service period. </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Cancellation of an award accompanied by the grant of a replacement award is accounted for as a modification of the terms of the canceled award, which we refer to as modification awards. The compensation costs associated with the modification awards are recognized if either the original vesting condition or the new vesting condition has been achieved. If the awards are expected to vest under the original vesting condition, the compensation cost would be recognized regardless of whether the employee satisfies the modified condition. Such compensation costs cannot be less than the grant-date fair value of the original award. The incremental compensation cost is measured as the excess of the fair value of the replacement award over the fair value of the canceled award at the cancellation date. Therefore, in relation to the modification awards, we recognizes share-based compensation over the vesting periods of the new awards, which comprises (1) the amortization of the incremental portion of share-based compensation over the remaining vesting term and (2) any unrecognized compensation cost of original award, using either the original term or the new term, whichever is higher for each reporting period.</w:t>
      </w:r>
    </w:p>
    <w:p>
      <w:pPr>
        <w:pStyle w:val="TextBody"/>
        <w:spacing w:lineRule="auto" w:line="319" w:before="0" w:after="240"/>
        <w:jc w:val="both"/>
        <w:rPr>
          <w:rFonts w:ascii="Times New Roman;sans-serif" w:hAnsi="Times New Roman;sans-serif"/>
          <w:b/>
          <w:color w:val="000000"/>
          <w:sz w:val="20"/>
        </w:rPr>
      </w:pPr>
      <w:r>
        <w:rPr>
          <w:rFonts w:ascii="Times New Roman;sans-serif" w:hAnsi="Times New Roman;sans-serif"/>
          <w:b/>
          <w:color w:val="000000"/>
          <w:sz w:val="20"/>
        </w:rPr>
        <w:t xml:space="preserve">Recent Accounting Policies </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See Note 2(ff) to the audited consolidated financial statements included elsewhere in this annual report for additional information regarding recent accounting pronouncements. </w:t>
      </w:r>
    </w:p>
    <w:p>
      <w:pPr>
        <w:pStyle w:val="TextBody"/>
        <w:spacing w:lineRule="auto" w:line="319" w:before="0" w:after="240"/>
        <w:jc w:val="both"/>
        <w:rPr>
          <w:rFonts w:ascii="Times New Roman;sans-serif" w:hAnsi="Times New Roman;sans-serif"/>
          <w:b/>
          <w:i/>
          <w:color w:val="000000"/>
          <w:sz w:val="20"/>
        </w:rPr>
      </w:pPr>
      <w:r>
        <w:rPr>
          <w:rFonts w:ascii="Times New Roman;sans-serif" w:hAnsi="Times New Roman;sans-serif"/>
          <w:b/>
          <w:i/>
          <w:color w:val="000000"/>
          <w:sz w:val="20"/>
        </w:rPr>
        <w:t>B. Liquidity and Capital Resources</w:t>
      </w:r>
    </w:p>
    <w:p>
      <w:pPr>
        <w:pStyle w:val="HorizontalLine"/>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385445"/>
                <wp:effectExtent l="0" t="0" r="0" b="0"/>
                <wp:wrapNone/>
                <wp:docPr id="113" name="Frame112"/>
                <a:graphic xmlns:a="http://schemas.openxmlformats.org/drawingml/2006/main">
                  <a:graphicData uri="http://schemas.microsoft.com/office/word/2010/wordprocessingShape">
                    <wps:wsp>
                      <wps:cNvSpPr txBox="1"/>
                      <wps:spPr>
                        <a:xfrm>
                          <a:off x="0" y="0"/>
                          <a:ext cx="6480175" cy="385445"/>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108</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108</w:t>
                      </w:r>
                    </w:p>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show our cash and short-term investments, accounts receivable and working capital as of the dates indicated:</w:t>
      </w:r>
    </w:p>
    <w:tbl>
      <w:tblPr>
        <w:tblW w:w="6401" w:type="dxa"/>
        <w:jc w:val="left"/>
        <w:tblInd w:w="0" w:type="dxa"/>
        <w:tblCellMar>
          <w:top w:w="28" w:type="dxa"/>
          <w:left w:w="28" w:type="dxa"/>
          <w:bottom w:w="28" w:type="dxa"/>
          <w:right w:w="28" w:type="dxa"/>
        </w:tblCellMar>
      </w:tblPr>
      <w:tblGrid>
        <w:gridCol w:w="820"/>
        <w:gridCol w:w="720"/>
        <w:gridCol w:w="724"/>
        <w:gridCol w:w="211"/>
        <w:gridCol w:w="826"/>
        <w:gridCol w:w="109"/>
        <w:gridCol w:w="109"/>
        <w:gridCol w:w="109"/>
        <w:gridCol w:w="109"/>
        <w:gridCol w:w="211"/>
        <w:gridCol w:w="826"/>
        <w:gridCol w:w="109"/>
        <w:gridCol w:w="109"/>
        <w:gridCol w:w="109"/>
        <w:gridCol w:w="109"/>
        <w:gridCol w:w="211"/>
        <w:gridCol w:w="826"/>
        <w:gridCol w:w="154"/>
      </w:tblGrid>
      <w:tr>
        <w:trPr/>
        <w:tc>
          <w:tcPr>
            <w:tcW w:w="820" w:type="dxa"/>
            <w:tcBorders/>
            <w:shd w:fill="auto" w:val="clear"/>
            <w:vAlign w:val="center"/>
          </w:tcPr>
          <w:p>
            <w:pPr>
              <w:pStyle w:val="TableContents"/>
              <w:spacing w:before="0" w:after="283"/>
              <w:rPr>
                <w:sz w:val="4"/>
                <w:szCs w:val="4"/>
              </w:rPr>
            </w:pPr>
            <w:r>
              <w:rPr>
                <w:sz w:val="4"/>
                <w:szCs w:val="4"/>
              </w:rPr>
            </w:r>
          </w:p>
        </w:tc>
        <w:tc>
          <w:tcPr>
            <w:tcW w:w="720" w:type="dxa"/>
            <w:tcBorders/>
            <w:shd w:fill="auto" w:val="clear"/>
            <w:vAlign w:val="center"/>
          </w:tcPr>
          <w:p>
            <w:pPr>
              <w:pStyle w:val="TableContents"/>
              <w:spacing w:before="0" w:after="283"/>
              <w:rPr>
                <w:sz w:val="4"/>
                <w:szCs w:val="4"/>
              </w:rPr>
            </w:pPr>
            <w:r>
              <w:rPr>
                <w:sz w:val="4"/>
                <w:szCs w:val="4"/>
              </w:rPr>
            </w:r>
          </w:p>
        </w:tc>
        <w:tc>
          <w:tcPr>
            <w:tcW w:w="72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2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37"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of December 31,</w:t>
            </w:r>
          </w:p>
        </w:tc>
      </w:tr>
      <w:tr>
        <w:trPr/>
        <w:tc>
          <w:tcPr>
            <w:tcW w:w="22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2018</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2019</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2020</w:t>
            </w:r>
          </w:p>
        </w:tc>
      </w:tr>
      <w:tr>
        <w:trPr/>
        <w:tc>
          <w:tcPr>
            <w:tcW w:w="22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37"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(US$ in thousands)</w:t>
            </w:r>
          </w:p>
        </w:tc>
      </w:tr>
      <w:tr>
        <w:trPr/>
        <w:tc>
          <w:tcPr>
            <w:tcW w:w="22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108,518 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105,603 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111,218 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524,220 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11,659 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16,248 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27,840 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6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Working capital</w:t>
            </w:r>
            <w:r>
              <w:rPr>
                <w:rFonts w:ascii="Times New Roman;sans-serif" w:hAnsi="Times New Roman;sans-serif"/>
                <w:b w:val="false"/>
                <w:color w:val="000000"/>
                <w:sz w:val="13"/>
              </w:rPr>
              <w:t>(1)</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111,948 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104,750 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634,430 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319" w:before="0" w:after="24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(1)Working capital is defined as current assets less current liabilities.</w:t>
      </w:r>
    </w:p>
    <w:p>
      <w:pPr>
        <w:pStyle w:val="TextBody"/>
        <w:spacing w:lineRule="auto" w:line="319" w:before="0" w:after="240"/>
        <w:ind w:left="0" w:right="0" w:firstLine="720"/>
        <w:jc w:val="both"/>
        <w:rPr/>
      </w:pPr>
      <w:r>
        <w:rPr>
          <w:rFonts w:ascii="Times New Roman;sans-serif" w:hAnsi="Times New Roman;sans-serif"/>
          <w:b w:val="false"/>
          <w:color w:val="000000"/>
          <w:sz w:val="20"/>
        </w:rPr>
        <w:t>As of December 31, 2020, our cash, cash equivalents and short-term investments primarily include cash and time deposits which have original maturities of three months to one year at the time of purchase and are unrestricted for withdrawal or use and which were held for working capital purposes. We intend to increase our capital expenditures to support the growth in our business and operations. We believe that our existing cash and cash equivalents will be sufficient to meet our anticipated cash needs for at least the next 12 months from the date of issuance of these financial statements.</w:t>
      </w:r>
      <w:r>
        <w:rPr>
          <w:color w:val="000000"/>
        </w:rPr>
        <w:t xml:space="preserve"> </w:t>
      </w:r>
      <w:r>
        <w:rPr>
          <w:rFonts w:ascii="Times New Roman;sans-serif" w:hAnsi="Times New Roman;sans-serif"/>
          <w:b w:val="false"/>
          <w:color w:val="000000"/>
          <w:sz w:val="20"/>
        </w:rPr>
        <w:t>However, our liquidity assumptions may prove to be incorrect, and we could exhaust our available financial resources sooner than we currently expect. We may seek to raise additional funds at any time through equity, equity-linked or debt financing arrangements. Our future capital requirements and the adequacy of available funds will depend on many factors, including those described in the section of this annual report captioned “Item 3. Key Information—D. Risk Factors.” We may not be able to secure additional financing to meet our operating requirements on acceptable terms, or at all.</w:t>
      </w:r>
    </w:p>
    <w:p>
      <w:pPr>
        <w:pStyle w:val="TextBody"/>
        <w:spacing w:lineRule="auto" w:line="319" w:before="0" w:after="240"/>
        <w:jc w:val="both"/>
        <w:rPr>
          <w:rFonts w:ascii="Times New Roman;sans-serif" w:hAnsi="Times New Roman;sans-serif"/>
          <w:b/>
          <w:color w:val="000000"/>
          <w:sz w:val="20"/>
        </w:rPr>
      </w:pPr>
      <w:r>
        <w:rPr>
          <w:rFonts w:ascii="Times New Roman;sans-serif" w:hAnsi="Times New Roman;sans-serif"/>
          <w:b/>
          <w:color w:val="000000"/>
          <w:sz w:val="20"/>
        </w:rPr>
        <w:t>Sources of Liquidity</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Since our inception, we have financed our operations and capital expenditures primarily through cash flows generated by operations and private sales of equity securities. From our inception in 2013 through December 31, 2020, we have raised US$654.0 million of equity capital, net of share and option repurchases, in connection with such financings.</w:t>
      </w:r>
    </w:p>
    <w:p>
      <w:pPr>
        <w:pStyle w:val="TextBody"/>
        <w:spacing w:lineRule="auto" w:line="319" w:before="0" w:after="240"/>
        <w:jc w:val="both"/>
        <w:rPr>
          <w:rFonts w:ascii="Times New Roman;sans-serif" w:hAnsi="Times New Roman;sans-serif"/>
          <w:b/>
          <w:color w:val="000000"/>
          <w:sz w:val="20"/>
        </w:rPr>
      </w:pPr>
      <w:r>
        <w:rPr>
          <w:rFonts w:ascii="Times New Roman;sans-serif" w:hAnsi="Times New Roman;sans-serif"/>
          <w:b/>
          <w:color w:val="000000"/>
          <w:sz w:val="20"/>
        </w:rPr>
        <w:t>Cash Flow</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a summary of our cash flows for the periods indicated. </w:t>
      </w:r>
    </w:p>
    <w:tbl>
      <w:tblPr>
        <w:tblW w:w="9325" w:type="dxa"/>
        <w:jc w:val="left"/>
        <w:tblInd w:w="0" w:type="dxa"/>
        <w:tblCellMar>
          <w:top w:w="28" w:type="dxa"/>
          <w:left w:w="28" w:type="dxa"/>
          <w:bottom w:w="28" w:type="dxa"/>
          <w:right w:w="28" w:type="dxa"/>
        </w:tblCellMar>
      </w:tblPr>
      <w:tblGrid>
        <w:gridCol w:w="2017"/>
        <w:gridCol w:w="1768"/>
        <w:gridCol w:w="1780"/>
        <w:gridCol w:w="211"/>
        <w:gridCol w:w="721"/>
        <w:gridCol w:w="109"/>
        <w:gridCol w:w="109"/>
        <w:gridCol w:w="109"/>
        <w:gridCol w:w="109"/>
        <w:gridCol w:w="211"/>
        <w:gridCol w:w="691"/>
        <w:gridCol w:w="109"/>
        <w:gridCol w:w="109"/>
        <w:gridCol w:w="109"/>
        <w:gridCol w:w="109"/>
        <w:gridCol w:w="229"/>
        <w:gridCol w:w="671"/>
        <w:gridCol w:w="154"/>
      </w:tblGrid>
      <w:tr>
        <w:trPr/>
        <w:tc>
          <w:tcPr>
            <w:tcW w:w="2017" w:type="dxa"/>
            <w:tcBorders/>
            <w:shd w:fill="auto" w:val="clear"/>
            <w:vAlign w:val="center"/>
          </w:tcPr>
          <w:p>
            <w:pPr>
              <w:pStyle w:val="TableContents"/>
              <w:spacing w:before="0" w:after="283"/>
              <w:rPr>
                <w:sz w:val="4"/>
                <w:szCs w:val="4"/>
              </w:rPr>
            </w:pPr>
            <w:r>
              <w:rPr>
                <w:sz w:val="4"/>
                <w:szCs w:val="4"/>
              </w:rPr>
            </w:r>
          </w:p>
        </w:tc>
        <w:tc>
          <w:tcPr>
            <w:tcW w:w="1768" w:type="dxa"/>
            <w:tcBorders/>
            <w:shd w:fill="auto" w:val="clear"/>
            <w:vAlign w:val="center"/>
          </w:tcPr>
          <w:p>
            <w:pPr>
              <w:pStyle w:val="TableContents"/>
              <w:spacing w:before="0" w:after="283"/>
              <w:rPr>
                <w:sz w:val="4"/>
                <w:szCs w:val="4"/>
              </w:rPr>
            </w:pPr>
            <w:r>
              <w:rPr>
                <w:sz w:val="4"/>
                <w:szCs w:val="4"/>
              </w:rPr>
            </w:r>
          </w:p>
        </w:tc>
        <w:tc>
          <w:tcPr>
            <w:tcW w:w="178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67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5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0"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55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2018</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2019</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54"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2020</w:t>
            </w:r>
          </w:p>
        </w:tc>
      </w:tr>
      <w:tr>
        <w:trPr/>
        <w:tc>
          <w:tcPr>
            <w:tcW w:w="55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0"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ind w:left="0" w:right="0" w:hanging="180"/>
              <w:jc w:val="center"/>
              <w:rPr>
                <w:rFonts w:ascii="Times New Roman;sans-serif" w:hAnsi="Times New Roman;sans-serif"/>
                <w:b/>
                <w:color w:val="000000"/>
                <w:sz w:val="20"/>
              </w:rPr>
            </w:pPr>
            <w:r>
              <w:rPr>
                <w:rFonts w:ascii="Times New Roman;sans-serif" w:hAnsi="Times New Roman;sans-serif"/>
                <w:b/>
                <w:color w:val="000000"/>
                <w:sz w:val="20"/>
              </w:rPr>
              <w:t>(US$ in thousands)</w:t>
            </w:r>
          </w:p>
        </w:tc>
      </w:tr>
      <w:tr>
        <w:trPr/>
        <w:tc>
          <w:tcPr>
            <w:tcW w:w="55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generated from operating activities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6,564 </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(535,052)</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65,772 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533,638 </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increase (decrease) in cash, cash equivalents and restricted cash</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61,979 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319" w:before="0" w:after="240"/>
        <w:jc w:val="both"/>
        <w:rPr>
          <w:rFonts w:ascii="Times New Roman;sans-serif" w:hAnsi="Times New Roman;sans-serif"/>
          <w:b/>
          <w:i/>
          <w:color w:val="000000"/>
          <w:sz w:val="20"/>
        </w:rPr>
      </w:pPr>
      <w:r>
        <w:rPr>
          <w:rFonts w:ascii="Times New Roman;sans-serif" w:hAnsi="Times New Roman;sans-serif"/>
          <w:b/>
          <w:i/>
          <w:color w:val="000000"/>
          <w:sz w:val="20"/>
        </w:rPr>
        <w:t>Net Cash Generated from Operating Activities</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used in operating activities was US$6.6 million in 2020, as a result of net loss of US$3.1 million and a US$9.8 million increase in accounts receivable and a US$5.1 million increase in prepayments and other </w:t>
      </w:r>
    </w:p>
    <w:p>
      <w:pPr>
        <w:pStyle w:val="HorizontalLine"/>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385445"/>
                <wp:effectExtent l="0" t="0" r="0" b="0"/>
                <wp:wrapNone/>
                <wp:docPr id="114" name="Frame113"/>
                <a:graphic xmlns:a="http://schemas.openxmlformats.org/drawingml/2006/main">
                  <a:graphicData uri="http://schemas.microsoft.com/office/word/2010/wordprocessingShape">
                    <wps:wsp>
                      <wps:cNvSpPr txBox="1"/>
                      <wps:spPr>
                        <a:xfrm>
                          <a:off x="0" y="0"/>
                          <a:ext cx="6480175" cy="385445"/>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109</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109</w:t>
                      </w:r>
                    </w:p>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lineRule="auto" w:line="319"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current assets, which primarily resulted from the growth of our business and the timing of cash receipts from customers. This was partially offset by a US$12.0 million increase in share-based compensation expense and US$6.8 million increase in accrued expenses and other liabilities, mainly due to an increase in accrued employee wages and benefits expense, US$4.5 million in depreciation and amortization and a US$1.8 million increase in accounts payable.</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Net cash generated from operating activities was US$0.7 million in 2019, as a result of net loss of US$6.2 million and a US$4.8 million increase in accounts receivable, which primarily resulted from the growth of our business and the timing of cash receipts from customers. This was partially offset by a US$4.0 million increase in accrued expenses and other current liabilities, mainly due to an increase in accrued employee wages and benefits expense, US$3.4 million in share-based compensation expense, US$1.9 million in depreciation and amortization, a US$1.2 million increase in taxes payable and a US$1.1 million increase in accounts payable.</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Net cash generated from operating activities was US$0.5 million in 2018, as a result of net income of US$0.4 million, a US$5.6 million increase in accounts receivable, which primarily resulted from the growth of our business and the timing of cash receipts from customers, and a US$1.1 million decrease in taxes payable. This was partially offset by a US$2.7 million increase in accrued expenses and other current liabilities, mainly due to an increase in accrued employee wages and benefits expense, US$2.9 million in share-based compensation expense, US$0.9 million in depreciation and amortization and a US$0.8 million increase in accounts payable.</w:t>
      </w:r>
    </w:p>
    <w:p>
      <w:pPr>
        <w:pStyle w:val="TextBody"/>
        <w:spacing w:lineRule="auto" w:line="319" w:before="0" w:after="240"/>
        <w:jc w:val="both"/>
        <w:rPr>
          <w:rFonts w:ascii="Times New Roman;sans-serif" w:hAnsi="Times New Roman;sans-serif"/>
          <w:b/>
          <w:i/>
          <w:color w:val="000000"/>
          <w:sz w:val="20"/>
        </w:rPr>
      </w:pPr>
      <w:r>
        <w:rPr>
          <w:rFonts w:ascii="Times New Roman;sans-serif" w:hAnsi="Times New Roman;sans-serif"/>
          <w:b/>
          <w:i/>
          <w:color w:val="000000"/>
          <w:sz w:val="20"/>
        </w:rPr>
        <w:t>Net Cash Used in Investing Activities</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primary investing activities have consisted of purchases of property and equipment to support our overall business growth. Purchases of servers, network equipment and other hardware may vary from period-to-period due to timing of our expansion of our operations.</w:t>
      </w:r>
    </w:p>
    <w:p>
      <w:pPr>
        <w:pStyle w:val="TextBody"/>
        <w:spacing w:lineRule="auto" w:line="319" w:before="0" w:after="240"/>
        <w:ind w:left="0" w:right="0" w:firstLine="720"/>
        <w:jc w:val="both"/>
        <w:rPr/>
      </w:pPr>
      <w:r>
        <w:rPr>
          <w:rFonts w:ascii="Times New Roman;sans-serif" w:hAnsi="Times New Roman;sans-serif"/>
          <w:b w:val="false"/>
          <w:color w:val="000000"/>
          <w:sz w:val="20"/>
        </w:rPr>
        <w:t>Net cash used in investing activities was US$535.1</w:t>
      </w:r>
      <w:r>
        <w:rPr>
          <w:color w:val="000000"/>
        </w:rPr>
        <w:t xml:space="preserve"> </w:t>
      </w:r>
      <w:r>
        <w:rPr>
          <w:rFonts w:ascii="Times New Roman;sans-serif" w:hAnsi="Times New Roman;sans-serif"/>
          <w:b w:val="false"/>
          <w:color w:val="000000"/>
          <w:sz w:val="20"/>
        </w:rPr>
        <w:t>million in 2020.</w:t>
      </w:r>
      <w:r>
        <w:rPr>
          <w:color w:val="000000"/>
        </w:rPr>
        <w:t xml:space="preserve"> </w:t>
      </w:r>
      <w:r>
        <w:rPr>
          <w:rFonts w:ascii="Times New Roman;sans-serif" w:hAnsi="Times New Roman;sans-serif"/>
          <w:b w:val="false"/>
          <w:color w:val="000000"/>
          <w:sz w:val="20"/>
        </w:rPr>
        <w:t>This was attributable to US$522.7 million in purchase of short-term investments, primarily time deposits, and US$12.9 million capital expenditures relating to purchase of servers, network equipment and other hardware, offset in part by US$0.6 million in cash received from a business combination.</w:t>
      </w:r>
      <w:r>
        <w:rPr>
          <w:color w:val="000000"/>
        </w:rPr>
        <w:t xml:space="preserve"> </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 was US$3.4 million in 2019. This was attributable to US$4.8 million capital expenditures relating to purchase of servers, network equipment and other hardware, offset in part by US$1.4 million in proceeds from the sale and maturity from short-term investments net of purchases.</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 was US$3.8 million in 2018, primarily attributable to US$2.3 million in capital expenditures relating to purchases of servers, network equipment and other hardware and the remainder from purchases of short-term investments.</w:t>
      </w:r>
    </w:p>
    <w:p>
      <w:pPr>
        <w:pStyle w:val="TextBody"/>
        <w:spacing w:lineRule="auto" w:line="319" w:before="0" w:after="240"/>
        <w:jc w:val="both"/>
        <w:rPr>
          <w:rFonts w:ascii="Times New Roman;sans-serif" w:hAnsi="Times New Roman;sans-serif"/>
          <w:b/>
          <w:i/>
          <w:color w:val="000000"/>
          <w:sz w:val="20"/>
        </w:rPr>
      </w:pPr>
      <w:r>
        <w:rPr>
          <w:rFonts w:ascii="Times New Roman;sans-serif" w:hAnsi="Times New Roman;sans-serif"/>
          <w:b/>
          <w:i/>
          <w:color w:val="000000"/>
          <w:sz w:val="20"/>
        </w:rPr>
        <w:t>Net Cash Provided by Financing Activities</w:t>
      </w:r>
    </w:p>
    <w:p>
      <w:pPr>
        <w:pStyle w:val="TextBody"/>
        <w:spacing w:lineRule="auto" w:line="319" w:before="0" w:after="240"/>
        <w:ind w:left="0" w:right="0" w:firstLine="720"/>
        <w:jc w:val="both"/>
        <w:rPr/>
      </w:pPr>
      <w:r>
        <w:rPr>
          <w:rFonts w:ascii="Times New Roman;sans-serif" w:hAnsi="Times New Roman;sans-serif"/>
          <w:b w:val="false"/>
          <w:color w:val="000000"/>
          <w:sz w:val="20"/>
        </w:rPr>
        <w:t>Net cash provided by financing activities was US$533.6</w:t>
      </w:r>
      <w:r>
        <w:rPr>
          <w:color w:val="000000"/>
        </w:rPr>
        <w:t xml:space="preserve"> </w:t>
      </w:r>
      <w:r>
        <w:rPr>
          <w:rFonts w:ascii="Times New Roman;sans-serif" w:hAnsi="Times New Roman;sans-serif"/>
          <w:b w:val="false"/>
          <w:color w:val="000000"/>
          <w:sz w:val="20"/>
        </w:rPr>
        <w:t>million in 2020. This was attributable to US$483.6 million in proceeds from the initial public offering and concurrent private placement, and US$50.0 million in proceeds from issuance of Series C+ convertible redeemable preferred shares</w:t>
      </w:r>
      <w:r>
        <w:rPr>
          <w:rFonts w:ascii="Times New Roman;sans-serif" w:hAnsi="Times New Roman;sans-serif"/>
          <w:b w:val="false"/>
          <w:color w:val="000000"/>
          <w:sz w:val="24"/>
        </w:rPr>
        <w:t xml:space="preserve">. </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did not have any cash flows from financing activities in 2019.</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 was US$65.8 million in 2018, mainly due to the sale of Series C preferred shares.</w:t>
      </w:r>
    </w:p>
    <w:p>
      <w:pPr>
        <w:pStyle w:val="HorizontalLine"/>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385445"/>
                <wp:effectExtent l="0" t="0" r="0" b="0"/>
                <wp:wrapNone/>
                <wp:docPr id="115" name="Frame114"/>
                <a:graphic xmlns:a="http://schemas.openxmlformats.org/drawingml/2006/main">
                  <a:graphicData uri="http://schemas.microsoft.com/office/word/2010/wordprocessingShape">
                    <wps:wsp>
                      <wps:cNvSpPr txBox="1"/>
                      <wps:spPr>
                        <a:xfrm>
                          <a:off x="0" y="0"/>
                          <a:ext cx="6480175" cy="385445"/>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110</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110</w:t>
                      </w:r>
                    </w:p>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lineRule="auto" w:line="319" w:before="0" w:after="240"/>
        <w:jc w:val="both"/>
        <w:rPr>
          <w:rFonts w:ascii="Times New Roman;sans-serif" w:hAnsi="Times New Roman;sans-serif"/>
          <w:b/>
          <w:color w:val="000000"/>
          <w:sz w:val="20"/>
          <w:highlight w:val="white"/>
        </w:rPr>
      </w:pPr>
      <w:r>
        <w:rPr>
          <w:rFonts w:ascii="Times New Roman;sans-serif" w:hAnsi="Times New Roman;sans-serif"/>
          <w:b/>
          <w:color w:val="000000"/>
          <w:sz w:val="20"/>
          <w:highlight w:val="white"/>
        </w:rPr>
        <w:t>Capital Expenditures</w:t>
      </w:r>
    </w:p>
    <w:p>
      <w:pPr>
        <w:pStyle w:val="TextBody"/>
        <w:spacing w:lineRule="auto" w:line="319" w:before="0" w:after="240"/>
        <w:ind w:left="0" w:right="0" w:firstLine="72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Our capital expenditures were US$2.3 million, US$4.8 million and US$12.9 million in 2018, 2019 and 2020, respectively. Our capital expenditures were mainly used for purchases of servers, network equipment and other hardware. We will continue to make capital expenditures to meet the expected growth of our business.</w:t>
      </w:r>
    </w:p>
    <w:p>
      <w:pPr>
        <w:pStyle w:val="TextBody"/>
        <w:spacing w:lineRule="auto" w:line="319" w:before="0" w:after="240"/>
        <w:jc w:val="both"/>
        <w:rPr>
          <w:rFonts w:ascii="Times New Roman;sans-serif" w:hAnsi="Times New Roman;sans-serif"/>
          <w:b/>
          <w:color w:val="000000"/>
          <w:sz w:val="20"/>
          <w:highlight w:val="white"/>
        </w:rPr>
      </w:pPr>
      <w:r>
        <w:rPr>
          <w:rFonts w:ascii="Times New Roman;sans-serif" w:hAnsi="Times New Roman;sans-serif"/>
          <w:b/>
          <w:color w:val="000000"/>
          <w:sz w:val="20"/>
          <w:highlight w:val="white"/>
        </w:rPr>
        <w:t>Inflation</w:t>
      </w:r>
    </w:p>
    <w:p>
      <w:pPr>
        <w:pStyle w:val="TextBody"/>
        <w:spacing w:lineRule="auto" w:line="319" w:before="0" w:after="240"/>
        <w:ind w:left="0" w:right="0" w:firstLine="72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To date, inflation in China has not materially impacted our results of operations. According to the National Bureau of Statistics of China, the year-over-year percent changes in the consumer price index for 2018, 2019 and 2020 were increases of 2.1%, 2.9% and 2.5%, respectively. Although we have not been materially affected by inflation in recent years, we may be affected if China experiences higher rates of inflation in the future.</w:t>
      </w:r>
    </w:p>
    <w:p>
      <w:pPr>
        <w:pStyle w:val="TextBody"/>
        <w:spacing w:lineRule="auto" w:line="319" w:before="0" w:after="240"/>
        <w:jc w:val="both"/>
        <w:rPr>
          <w:rFonts w:ascii="Times New Roman;sans-serif" w:hAnsi="Times New Roman;sans-serif"/>
          <w:b/>
          <w:color w:val="000000"/>
          <w:sz w:val="20"/>
        </w:rPr>
      </w:pPr>
      <w:r>
        <w:rPr>
          <w:rFonts w:ascii="Times New Roman;sans-serif" w:hAnsi="Times New Roman;sans-serif"/>
          <w:b/>
          <w:color w:val="000000"/>
          <w:sz w:val="20"/>
        </w:rPr>
        <w:t>Holding Company Structure</w:t>
      </w:r>
    </w:p>
    <w:p>
      <w:pPr>
        <w:pStyle w:val="TextBody"/>
        <w:spacing w:lineRule="auto" w:line="31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Agora, Inc. is a holding company with no material operations of its own. We conduct our operations through our subsidiary in the United States, and our subsidiaries and VIEs in the PRC and our other international subsidiaries. As a result, our ability to pay dividends depends on dividends paid by Agora Lab, Dayin and our international subsidiaries. If Agora Lab, Dayin or any newly formed subsidiaries incur debt on their own behalf in the future, the instruments governing their debt may restrict their ability to pay dividends to us. In addition, our subsidiaries in the PRC are permitted to pay dividends to us only out of its retained earnings, if any, as determined in accordance with PRC accounting standards and regulations. Under PRC law, our VIEs and subsidiaries in the PRC are required to set aside at least 10% of their respective after-tax profits each year, if any, to fund certain statutory reserve funds until such reserve funds reach 50% of their respective registered capital. In addition, each of our subsidiaries in the PRC and our VIEs may allocate a portion of its after-tax profits based on PRC accounting standards to a discretionary surplus fund at its discretion. The statutory reserve funds and the discretionary funds are not distributable as cash dividends. Remittance of dividends by a wholly foreign-owned company out of China is subject to examination by the banks designated by SAFE. Our subsidiaries in the PRC have not paid dividends and will not be able to pay dividends until they generate accumulated profits and meet the requirements for statutory reserve funds.</w:t>
      </w:r>
    </w:p>
    <w:p>
      <w:pPr>
        <w:pStyle w:val="TextBody"/>
        <w:spacing w:before="0" w:after="0"/>
        <w:ind w:left="0" w:right="0" w:firstLine="720"/>
        <w:jc w:val="both"/>
        <w:rPr/>
      </w:pPr>
      <w:r>
        <w:rPr/>
      </w:r>
    </w:p>
    <w:p>
      <w:pPr>
        <w:pStyle w:val="TextBody"/>
        <w:spacing w:lineRule="auto" w:line="319" w:before="0" w:after="240"/>
        <w:jc w:val="both"/>
        <w:rPr>
          <w:rFonts w:ascii="Times New Roman;sans-serif" w:hAnsi="Times New Roman;sans-serif"/>
          <w:b/>
          <w:i/>
          <w:color w:val="000000"/>
          <w:sz w:val="20"/>
        </w:rPr>
      </w:pPr>
      <w:r>
        <w:rPr>
          <w:rFonts w:ascii="Times New Roman;sans-serif" w:hAnsi="Times New Roman;sans-serif"/>
          <w:b/>
          <w:i/>
          <w:color w:val="000000"/>
          <w:sz w:val="20"/>
        </w:rPr>
        <w:t>C. Research and Development, Patents and Licenses, etc.</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See “Item 4. Information on the Company—B. Business Overview—Research and Development” and “Item 4. Information on the Company—B. Business Overview—Intellectual Property.”</w:t>
      </w:r>
    </w:p>
    <w:p>
      <w:pPr>
        <w:pStyle w:val="TextBody"/>
        <w:spacing w:lineRule="auto" w:line="319" w:before="0" w:after="240"/>
        <w:jc w:val="both"/>
        <w:rPr>
          <w:rFonts w:ascii="Times New Roman;sans-serif" w:hAnsi="Times New Roman;sans-serif"/>
          <w:b/>
          <w:i/>
          <w:color w:val="000000"/>
          <w:sz w:val="20"/>
        </w:rPr>
      </w:pPr>
      <w:r>
        <w:rPr>
          <w:rFonts w:ascii="Times New Roman;sans-serif" w:hAnsi="Times New Roman;sans-serif"/>
          <w:b/>
          <w:i/>
          <w:color w:val="000000"/>
          <w:sz w:val="20"/>
        </w:rPr>
        <w:t>D. Trend Information</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COVID-19 has resulted in quarantines, travel restrictions, and temporary closure of facilities in China and many other countries since early 2020. Consequently, the COVID-19 pandemic may materially adversely affect our business, results of operations and financial condition for the current fiscal year and beyond, including but not limited to business disturbances, slowdown in revenue growth and delayed collection of accounts receivables from our customers. Because of the significant uncertainties surrounding the COVID-19 pandemic, the extent of business disturbances and related financial impact cannot be reasonably estimated at this time. See “Item 3. Key Information—D. Risk Factors” of this annual report.</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Other than as disclosed in this annual report, we are not aware of any trends, uncertainties, demands, commitments or events for the year of 2020 that are reasonably likely to have a material adverse effect on our net revenues, income, profitability, liquidity or capital resources, or that caused the disclosed financial information to be not necessarily indicative of future operating results or financial condition.</w:t>
      </w:r>
    </w:p>
    <w:p>
      <w:pPr>
        <w:pStyle w:val="HorizontalLine"/>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385445"/>
                <wp:effectExtent l="0" t="0" r="0" b="0"/>
                <wp:wrapNone/>
                <wp:docPr id="116" name="Frame115"/>
                <a:graphic xmlns:a="http://schemas.openxmlformats.org/drawingml/2006/main">
                  <a:graphicData uri="http://schemas.microsoft.com/office/word/2010/wordprocessingShape">
                    <wps:wsp>
                      <wps:cNvSpPr txBox="1"/>
                      <wps:spPr>
                        <a:xfrm>
                          <a:off x="0" y="0"/>
                          <a:ext cx="6480175" cy="385445"/>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111</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111</w:t>
                      </w:r>
                    </w:p>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lineRule="auto" w:line="319" w:before="0" w:after="240"/>
        <w:jc w:val="both"/>
        <w:rPr>
          <w:rFonts w:ascii="Times New Roman;sans-serif" w:hAnsi="Times New Roman;sans-serif"/>
          <w:b/>
          <w:i/>
          <w:color w:val="000000"/>
          <w:sz w:val="20"/>
        </w:rPr>
      </w:pPr>
      <w:r>
        <w:rPr>
          <w:rFonts w:ascii="Times New Roman;sans-serif" w:hAnsi="Times New Roman;sans-serif"/>
          <w:b/>
          <w:i/>
          <w:color w:val="000000"/>
          <w:sz w:val="20"/>
        </w:rPr>
        <w:t>E. Off-Balance Sheet Arrangements</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have not entered into any off-balance sheet financial guarantees or other off-balance sheet commitments to guarantee the payment obligations of any third parties. We have not entered into any derivative contracts that are indexed to our shares and classified as shareholder’s equity, or that are not reflected in our consolidated financial statements. Furthermore, we do not have any retained or contingent interest in assets transferred to an unconsolidated entity that serves as credit, liquidity or market risk support to such entity. We do not have any variable interest in any unconsolidated entity that provides financing, liquidity, market risk or credit support to us or engages in leasing, hedging or research and development services with us.</w:t>
      </w:r>
    </w:p>
    <w:p>
      <w:pPr>
        <w:pStyle w:val="TextBody"/>
        <w:spacing w:lineRule="auto" w:line="319" w:before="0" w:after="240"/>
        <w:jc w:val="both"/>
        <w:rPr>
          <w:rFonts w:ascii="Times New Roman;sans-serif" w:hAnsi="Times New Roman;sans-serif"/>
          <w:b/>
          <w:i/>
          <w:color w:val="000000"/>
          <w:sz w:val="20"/>
        </w:rPr>
      </w:pPr>
      <w:r>
        <w:rPr>
          <w:rFonts w:ascii="Times New Roman;sans-serif" w:hAnsi="Times New Roman;sans-serif"/>
          <w:b/>
          <w:i/>
          <w:color w:val="000000"/>
          <w:sz w:val="20"/>
        </w:rPr>
        <w:t>F. Tabular Disclosure of Contractual Obligations</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Our future minimum payments under non-cancelable contracts were as follows as of December 31, 2020. </w:t>
      </w:r>
    </w:p>
    <w:tbl>
      <w:tblPr>
        <w:tblW w:w="9477" w:type="dxa"/>
        <w:jc w:val="left"/>
        <w:tblInd w:w="0" w:type="dxa"/>
        <w:tblCellMar>
          <w:top w:w="28" w:type="dxa"/>
          <w:left w:w="28" w:type="dxa"/>
          <w:bottom w:w="28" w:type="dxa"/>
          <w:right w:w="28" w:type="dxa"/>
        </w:tblCellMar>
      </w:tblPr>
      <w:tblGrid>
        <w:gridCol w:w="854"/>
        <w:gridCol w:w="748"/>
        <w:gridCol w:w="753"/>
        <w:gridCol w:w="211"/>
        <w:gridCol w:w="616"/>
        <w:gridCol w:w="109"/>
        <w:gridCol w:w="109"/>
        <w:gridCol w:w="109"/>
        <w:gridCol w:w="109"/>
        <w:gridCol w:w="334"/>
        <w:gridCol w:w="977"/>
        <w:gridCol w:w="173"/>
        <w:gridCol w:w="109"/>
        <w:gridCol w:w="109"/>
        <w:gridCol w:w="109"/>
        <w:gridCol w:w="211"/>
        <w:gridCol w:w="616"/>
        <w:gridCol w:w="109"/>
        <w:gridCol w:w="109"/>
        <w:gridCol w:w="109"/>
        <w:gridCol w:w="109"/>
        <w:gridCol w:w="235"/>
        <w:gridCol w:w="453"/>
        <w:gridCol w:w="121"/>
        <w:gridCol w:w="109"/>
        <w:gridCol w:w="109"/>
        <w:gridCol w:w="109"/>
        <w:gridCol w:w="451"/>
        <w:gridCol w:w="869"/>
        <w:gridCol w:w="329"/>
      </w:tblGrid>
      <w:tr>
        <w:trPr/>
        <w:tc>
          <w:tcPr>
            <w:tcW w:w="854" w:type="dxa"/>
            <w:tcBorders/>
            <w:shd w:fill="auto" w:val="clear"/>
            <w:vAlign w:val="center"/>
          </w:tcPr>
          <w:p>
            <w:pPr>
              <w:pStyle w:val="TableContents"/>
              <w:spacing w:before="0" w:after="283"/>
              <w:rPr>
                <w:sz w:val="4"/>
                <w:szCs w:val="4"/>
              </w:rPr>
            </w:pPr>
            <w:r>
              <w:rPr>
                <w:sz w:val="4"/>
                <w:szCs w:val="4"/>
              </w:rPr>
            </w:r>
          </w:p>
        </w:tc>
        <w:tc>
          <w:tcPr>
            <w:tcW w:w="748" w:type="dxa"/>
            <w:tcBorders/>
            <w:shd w:fill="auto" w:val="clear"/>
            <w:vAlign w:val="center"/>
          </w:tcPr>
          <w:p>
            <w:pPr>
              <w:pStyle w:val="TableContents"/>
              <w:spacing w:before="0" w:after="283"/>
              <w:rPr>
                <w:sz w:val="4"/>
                <w:szCs w:val="4"/>
              </w:rPr>
            </w:pPr>
            <w:r>
              <w:rPr>
                <w:sz w:val="4"/>
                <w:szCs w:val="4"/>
              </w:rPr>
            </w:r>
          </w:p>
        </w:tc>
        <w:tc>
          <w:tcPr>
            <w:tcW w:w="75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4" w:type="dxa"/>
            <w:tcBorders/>
            <w:shd w:fill="auto" w:val="clear"/>
            <w:vAlign w:val="center"/>
          </w:tcPr>
          <w:p>
            <w:pPr>
              <w:pStyle w:val="TableContents"/>
              <w:spacing w:before="0" w:after="283"/>
              <w:rPr>
                <w:sz w:val="4"/>
                <w:szCs w:val="4"/>
              </w:rPr>
            </w:pPr>
            <w:r>
              <w:rPr>
                <w:sz w:val="4"/>
                <w:szCs w:val="4"/>
              </w:rPr>
            </w:r>
          </w:p>
        </w:tc>
        <w:tc>
          <w:tcPr>
            <w:tcW w:w="977"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453"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51" w:type="dxa"/>
            <w:tcBorders/>
            <w:shd w:fill="auto" w:val="clear"/>
            <w:vAlign w:val="center"/>
          </w:tcPr>
          <w:p>
            <w:pPr>
              <w:pStyle w:val="TableContents"/>
              <w:spacing w:before="0" w:after="283"/>
              <w:rPr>
                <w:sz w:val="4"/>
                <w:szCs w:val="4"/>
              </w:rPr>
            </w:pPr>
            <w:r>
              <w:rPr>
                <w:sz w:val="4"/>
                <w:szCs w:val="4"/>
              </w:rPr>
            </w:r>
          </w:p>
        </w:tc>
        <w:tc>
          <w:tcPr>
            <w:tcW w:w="869" w:type="dxa"/>
            <w:tcBorders/>
            <w:shd w:fill="auto" w:val="clear"/>
            <w:vAlign w:val="center"/>
          </w:tcPr>
          <w:p>
            <w:pPr>
              <w:pStyle w:val="TableContents"/>
              <w:spacing w:before="0" w:after="283"/>
              <w:rPr>
                <w:sz w:val="4"/>
                <w:szCs w:val="4"/>
              </w:rPr>
            </w:pPr>
            <w:r>
              <w:rPr>
                <w:sz w:val="4"/>
                <w:szCs w:val="4"/>
              </w:rPr>
            </w:r>
          </w:p>
        </w:tc>
        <w:tc>
          <w:tcPr>
            <w:tcW w:w="329" w:type="dxa"/>
            <w:tcBorders/>
            <w:shd w:fill="auto" w:val="clear"/>
            <w:vAlign w:val="center"/>
          </w:tcPr>
          <w:p>
            <w:pPr>
              <w:pStyle w:val="TableContents"/>
              <w:spacing w:before="0" w:after="283"/>
              <w:rPr>
                <w:sz w:val="4"/>
                <w:szCs w:val="4"/>
              </w:rPr>
            </w:pPr>
            <w:r>
              <w:rPr>
                <w:sz w:val="4"/>
                <w:szCs w:val="4"/>
              </w:rPr>
            </w:r>
          </w:p>
        </w:tc>
      </w:tr>
      <w:tr>
        <w:trPr/>
        <w:tc>
          <w:tcPr>
            <w:tcW w:w="23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22" w:type="dxa"/>
            <w:gridSpan w:val="27"/>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Payment Due by Period</w:t>
            </w:r>
          </w:p>
        </w:tc>
      </w:tr>
      <w:tr>
        <w:trPr/>
        <w:tc>
          <w:tcPr>
            <w:tcW w:w="23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Less than 1 year</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1-3 year</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09"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3-5 year</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649"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More than 5 Year</w:t>
            </w:r>
          </w:p>
        </w:tc>
      </w:tr>
      <w:tr>
        <w:trPr/>
        <w:tc>
          <w:tcPr>
            <w:tcW w:w="23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22" w:type="dxa"/>
            <w:gridSpan w:val="27"/>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(US$ in thousands)</w:t>
            </w:r>
          </w:p>
        </w:tc>
      </w:tr>
      <w:tr>
        <w:trPr/>
        <w:tc>
          <w:tcPr>
            <w:tcW w:w="23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obligations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6,775 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2,914 </w:t>
            </w:r>
          </w:p>
        </w:tc>
        <w:tc>
          <w:tcPr>
            <w:tcW w:w="17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3" w:type="dxa"/>
            <w:tcBorders/>
            <w:shd w:fill="CCEEFF" w:val="clear"/>
            <w:tcMar>
              <w:top w:w="0" w:type="dxa"/>
              <w:left w:w="0" w:type="dxa"/>
              <w:bottom w:w="0" w:type="dxa"/>
              <w:right w:w="0" w:type="dxa"/>
            </w:tcMar>
            <w:vAlign w:val="center"/>
          </w:tcPr>
          <w:p>
            <w:pPr>
              <w:pStyle w:val="TableContents"/>
              <w:spacing w:lineRule="auto" w:line="276"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1" w:type="dxa"/>
            <w:tcBorders/>
            <w:shd w:fill="CCEEFF" w:val="clear"/>
            <w:tcMar>
              <w:top w:w="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9" w:type="dxa"/>
            <w:tcBorders/>
            <w:shd w:fill="CCEEFF" w:val="clear"/>
            <w:tcMar>
              <w:top w:w="0" w:type="dxa"/>
              <w:left w:w="0" w:type="dxa"/>
              <w:bottom w:w="0" w:type="dxa"/>
              <w:right w:w="0" w:type="dxa"/>
            </w:tcMar>
            <w:vAlign w:val="center"/>
          </w:tcPr>
          <w:p>
            <w:pPr>
              <w:pStyle w:val="TableContents"/>
              <w:spacing w:lineRule="auto" w:line="276" w:before="0" w:after="283"/>
              <w:jc w:val="right"/>
              <w:rPr>
                <w:color w:val="000000"/>
              </w:rPr>
            </w:pPr>
            <w:r>
              <w:rPr>
                <w:color w:val="000000"/>
              </w:rPr>
              <w:t>— </w:t>
            </w:r>
          </w:p>
        </w:tc>
        <w:tc>
          <w:tcPr>
            <w:tcW w:w="3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obligations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2,305 </w:t>
            </w:r>
          </w:p>
        </w:tc>
        <w:tc>
          <w:tcPr>
            <w:tcW w:w="17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76"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spacing w:lineRule="auto" w:line="276"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0" w:type="dxa"/>
            <w:gridSpan w:val="2"/>
            <w:tcBorders/>
            <w:shd w:fill="FFFFFF" w:val="clear"/>
            <w:tcMar>
              <w:top w:w="0" w:type="dxa"/>
              <w:left w:w="0" w:type="dxa"/>
              <w:bottom w:w="0" w:type="dxa"/>
              <w:right w:w="0" w:type="dxa"/>
            </w:tcMar>
            <w:vAlign w:val="center"/>
          </w:tcPr>
          <w:p>
            <w:pPr>
              <w:pStyle w:val="TableContents"/>
              <w:spacing w:lineRule="auto" w:line="276" w:before="0" w:after="283"/>
              <w:jc w:val="right"/>
              <w:rPr>
                <w:color w:val="000000"/>
              </w:rPr>
            </w:pPr>
            <w:r>
              <w:rPr>
                <w:color w:val="000000"/>
              </w:rPr>
              <w:t>— </w:t>
            </w:r>
          </w:p>
        </w:tc>
        <w:tc>
          <w:tcPr>
            <w:tcW w:w="3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9,080 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spacing w:before="0" w:after="283"/>
              <w:rPr>
                <w:sz w:val="4"/>
                <w:szCs w:val="4"/>
              </w:rPr>
            </w:pPr>
            <w:r>
              <w:rPr>
                <w:sz w:val="4"/>
                <w:szCs w:val="4"/>
              </w:rPr>
            </w:r>
          </w:p>
        </w:tc>
        <w:tc>
          <w:tcPr>
            <w:tcW w:w="3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5,219 </w:t>
            </w:r>
          </w:p>
        </w:tc>
        <w:tc>
          <w:tcPr>
            <w:tcW w:w="1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spacing w:before="0" w:after="283"/>
              <w:rPr>
                <w:sz w:val="4"/>
                <w:szCs w:val="4"/>
              </w:rPr>
            </w:pPr>
            <w:r>
              <w:rPr>
                <w:sz w:val="4"/>
                <w:szCs w:val="4"/>
              </w:rPr>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spacing w:before="0" w:after="283"/>
              <w:rPr>
                <w:sz w:val="4"/>
                <w:szCs w:val="4"/>
              </w:rPr>
            </w:pPr>
            <w:r>
              <w:rPr>
                <w:sz w:val="4"/>
                <w:szCs w:val="4"/>
              </w:rPr>
            </w:r>
          </w:p>
        </w:tc>
        <w:tc>
          <w:tcPr>
            <w:tcW w:w="4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3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319" w:before="0" w:after="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(1)Operating leases represent total future minimum rent payments under non-cancelable operating lease agreements.</w:t>
      </w:r>
    </w:p>
    <w:p>
      <w:pPr>
        <w:pStyle w:val="TextBody"/>
        <w:spacing w:lineRule="auto" w:line="288" w:before="0" w:after="24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(2)Purchase obligations represent total future minimum payments under contracts with our cloud infrastructure provider, network service providers and other vendors.</w:t>
      </w:r>
    </w:p>
    <w:p>
      <w:pPr>
        <w:pStyle w:val="TextBody"/>
        <w:spacing w:lineRule="auto" w:line="319" w:before="10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lease various offices, including our dual corporate headquarters in Shanghai, China and Santa Clara, California, under operating lease agreements. The terms of the lease agreements provide for rental payments on a graduated basis. We recognize rent expense on a straight-line basis over the lease periods. We do not have any debt or material capital lease obligations and all of our property, equipment and software have been purchased with cash.</w:t>
      </w:r>
    </w:p>
    <w:p>
      <w:pPr>
        <w:pStyle w:val="TextBody"/>
        <w:spacing w:lineRule="auto" w:line="319" w:before="10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contractual commitment amounts in the table above are associated with agreements that are enforceable and legally binding. Obligations under contracts that we can cancel without a significant penalty are not included in the table above.</w:t>
      </w:r>
    </w:p>
    <w:p>
      <w:pPr>
        <w:pStyle w:val="TextBody"/>
        <w:spacing w:lineRule="auto" w:line="319" w:before="0" w:after="240"/>
        <w:jc w:val="both"/>
        <w:rPr>
          <w:rFonts w:ascii="Times New Roman;sans-serif" w:hAnsi="Times New Roman;sans-serif"/>
          <w:b/>
          <w:i/>
          <w:color w:val="000000"/>
          <w:sz w:val="20"/>
        </w:rPr>
      </w:pPr>
      <w:r>
        <w:rPr>
          <w:rFonts w:ascii="Times New Roman;sans-serif" w:hAnsi="Times New Roman;sans-serif"/>
          <w:b/>
          <w:i/>
          <w:color w:val="000000"/>
          <w:sz w:val="20"/>
        </w:rPr>
        <w:t xml:space="preserve">G. Safe Harbor </w:t>
      </w:r>
    </w:p>
    <w:p>
      <w:pPr>
        <w:pStyle w:val="TextBody"/>
        <w:spacing w:lineRule="auto" w:line="319"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See “Forward-looking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19" w:before="0" w:after="240"/>
        <w:rPr>
          <w:rFonts w:ascii="Times New Roman;sans-serif" w:hAnsi="Times New Roman;sans-serif"/>
          <w:b/>
          <w:color w:val="000000"/>
          <w:sz w:val="20"/>
        </w:rPr>
      </w:pPr>
      <w:r>
        <w:rPr>
          <w:rFonts w:ascii="Times New Roman;sans-serif" w:hAnsi="Times New Roman;sans-serif"/>
          <w:b/>
          <w:color w:val="000000"/>
          <w:sz w:val="20"/>
        </w:rPr>
        <w:t>ITEM 6. DIRECTORS, SENIOR MANAGEMENT AND EMPLOYEES</w:t>
      </w:r>
    </w:p>
    <w:p>
      <w:pPr>
        <w:pStyle w:val="TextBody"/>
        <w:spacing w:lineRule="auto" w:line="319" w:before="0" w:after="24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 xml:space="preserve">A. Directors and Executive Officers </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certain information relating to our directors and executive officers as of the date of this annual report. </w:t>
      </w:r>
    </w:p>
    <w:p>
      <w:pPr>
        <w:pStyle w:val="HorizontalLine"/>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385445"/>
                <wp:effectExtent l="0" t="0" r="0" b="0"/>
                <wp:wrapNone/>
                <wp:docPr id="117" name="Frame116"/>
                <a:graphic xmlns:a="http://schemas.openxmlformats.org/drawingml/2006/main">
                  <a:graphicData uri="http://schemas.microsoft.com/office/word/2010/wordprocessingShape">
                    <wps:wsp>
                      <wps:cNvSpPr txBox="1"/>
                      <wps:spPr>
                        <a:xfrm>
                          <a:off x="0" y="0"/>
                          <a:ext cx="6480175" cy="385445"/>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112</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112</w:t>
                      </w:r>
                    </w:p>
                    <w:p>
                      <w:pPr>
                        <w:pStyle w:val="TextBody"/>
                        <w:spacing w:before="0" w:after="0"/>
                        <w:jc w:val="center"/>
                        <w:rPr/>
                      </w:pPr>
                      <w:r>
                        <w:rPr/>
                      </w:r>
                    </w:p>
                  </w:txbxContent>
                </v:textbox>
              </v:rect>
            </w:pict>
          </mc:Fallback>
        </mc:AlternateContent>
      </w:r>
    </w:p>
    <w:p>
      <w:pPr>
        <w:pStyle w:val="TextBody"/>
        <w:spacing w:before="0" w:after="0"/>
        <w:rPr/>
      </w:pPr>
      <w:r>
        <w:rPr/>
      </w:r>
    </w:p>
    <w:tbl>
      <w:tblPr>
        <w:tblW w:w="8619" w:type="dxa"/>
        <w:jc w:val="left"/>
        <w:tblInd w:w="0" w:type="dxa"/>
        <w:tblCellMar>
          <w:top w:w="28" w:type="dxa"/>
          <w:left w:w="28" w:type="dxa"/>
          <w:bottom w:w="28" w:type="dxa"/>
          <w:right w:w="28" w:type="dxa"/>
        </w:tblCellMar>
      </w:tblPr>
      <w:tblGrid>
        <w:gridCol w:w="781"/>
        <w:gridCol w:w="686"/>
        <w:gridCol w:w="692"/>
        <w:gridCol w:w="109"/>
        <w:gridCol w:w="109"/>
        <w:gridCol w:w="109"/>
        <w:gridCol w:w="145"/>
        <w:gridCol w:w="145"/>
        <w:gridCol w:w="146"/>
        <w:gridCol w:w="109"/>
        <w:gridCol w:w="109"/>
        <w:gridCol w:w="109"/>
        <w:gridCol w:w="1568"/>
        <w:gridCol w:w="1568"/>
        <w:gridCol w:w="2234"/>
      </w:tblGrid>
      <w:tr>
        <w:trPr/>
        <w:tc>
          <w:tcPr>
            <w:tcW w:w="781" w:type="dxa"/>
            <w:tcBorders/>
            <w:shd w:fill="auto" w:val="clear"/>
            <w:vAlign w:val="center"/>
          </w:tcPr>
          <w:p>
            <w:pPr>
              <w:pStyle w:val="TableContents"/>
              <w:spacing w:before="0" w:after="283"/>
              <w:rPr>
                <w:sz w:val="4"/>
                <w:szCs w:val="4"/>
              </w:rPr>
            </w:pPr>
            <w:r>
              <w:rPr>
                <w:sz w:val="4"/>
                <w:szCs w:val="4"/>
              </w:rPr>
            </w:r>
          </w:p>
        </w:tc>
        <w:tc>
          <w:tcPr>
            <w:tcW w:w="686" w:type="dxa"/>
            <w:tcBorders/>
            <w:shd w:fill="auto" w:val="clear"/>
            <w:vAlign w:val="center"/>
          </w:tcPr>
          <w:p>
            <w:pPr>
              <w:pStyle w:val="TableContents"/>
              <w:spacing w:before="0" w:after="283"/>
              <w:rPr>
                <w:sz w:val="4"/>
                <w:szCs w:val="4"/>
              </w:rPr>
            </w:pPr>
            <w:r>
              <w:rPr>
                <w:sz w:val="4"/>
                <w:szCs w:val="4"/>
              </w:rPr>
            </w:r>
          </w:p>
        </w:tc>
        <w:tc>
          <w:tcPr>
            <w:tcW w:w="69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8" w:type="dxa"/>
            <w:tcBorders/>
            <w:shd w:fill="auto" w:val="clear"/>
            <w:vAlign w:val="center"/>
          </w:tcPr>
          <w:p>
            <w:pPr>
              <w:pStyle w:val="TableContents"/>
              <w:spacing w:before="0" w:after="283"/>
              <w:rPr>
                <w:sz w:val="4"/>
                <w:szCs w:val="4"/>
              </w:rPr>
            </w:pPr>
            <w:r>
              <w:rPr>
                <w:sz w:val="4"/>
                <w:szCs w:val="4"/>
              </w:rPr>
            </w:r>
          </w:p>
        </w:tc>
        <w:tc>
          <w:tcPr>
            <w:tcW w:w="1568" w:type="dxa"/>
            <w:tcBorders/>
            <w:shd w:fill="auto" w:val="clear"/>
            <w:vAlign w:val="center"/>
          </w:tcPr>
          <w:p>
            <w:pPr>
              <w:pStyle w:val="TableContents"/>
              <w:spacing w:before="0" w:after="283"/>
              <w:rPr>
                <w:sz w:val="4"/>
                <w:szCs w:val="4"/>
              </w:rPr>
            </w:pPr>
            <w:r>
              <w:rPr>
                <w:sz w:val="4"/>
                <w:szCs w:val="4"/>
              </w:rPr>
            </w:r>
          </w:p>
        </w:tc>
        <w:tc>
          <w:tcPr>
            <w:tcW w:w="2234" w:type="dxa"/>
            <w:tcBorders/>
            <w:shd w:fill="auto" w:val="clear"/>
            <w:vAlign w:val="center"/>
          </w:tcPr>
          <w:p>
            <w:pPr>
              <w:pStyle w:val="TableContents"/>
              <w:spacing w:before="0" w:after="283"/>
              <w:rPr>
                <w:sz w:val="4"/>
                <w:szCs w:val="4"/>
              </w:rPr>
            </w:pPr>
            <w:r>
              <w:rPr>
                <w:sz w:val="4"/>
                <w:szCs w:val="4"/>
              </w:rPr>
            </w:r>
          </w:p>
        </w:tc>
      </w:tr>
      <w:tr>
        <w:trPr/>
        <w:tc>
          <w:tcPr>
            <w:tcW w:w="21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Name</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4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Age</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537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Position</w:t>
            </w:r>
          </w:p>
        </w:tc>
      </w:tr>
      <w:tr>
        <w:trPr/>
        <w:tc>
          <w:tcPr>
            <w:tcW w:w="215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Executive Officers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537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1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Bin (Tony) Zhao</w:t>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3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53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 and Chairman</w:t>
            </w:r>
          </w:p>
        </w:tc>
      </w:tr>
      <w:tr>
        <w:trPr/>
        <w:tc>
          <w:tcPr>
            <w:tcW w:w="21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Sheng (Shawn) Zhong</w:t>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3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53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Scientist</w:t>
            </w:r>
          </w:p>
        </w:tc>
      </w:tr>
      <w:tr>
        <w:trPr/>
        <w:tc>
          <w:tcPr>
            <w:tcW w:w="21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Regev (Reggie) Yativ</w:t>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3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53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Revenue Officer and Chief Operating Officer of Agora Lab</w:t>
            </w:r>
          </w:p>
        </w:tc>
      </w:tr>
      <w:tr>
        <w:trPr/>
        <w:tc>
          <w:tcPr>
            <w:tcW w:w="21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Jingbo Wang</w:t>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3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53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21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Ke (Stanley) Wei</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Strategy Officer</w:t>
            </w:r>
          </w:p>
        </w:tc>
      </w:tr>
      <w:tr>
        <w:trPr/>
        <w:tc>
          <w:tcPr>
            <w:tcW w:w="21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Non-Employee Directors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7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Qin Liu</w:t>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3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53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21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Tuck Lye Koh</w:t>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3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53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21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Eric He</w:t>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3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53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Director </w:t>
            </w:r>
          </w:p>
        </w:tc>
      </w:tr>
      <w:tr>
        <w:trPr/>
        <w:tc>
          <w:tcPr>
            <w:tcW w:w="21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Jenny Hong Wei Lee</w:t>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3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53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Director </w:t>
            </w:r>
          </w:p>
        </w:tc>
      </w:tr>
    </w:tbl>
    <w:p>
      <w:pPr>
        <w:pStyle w:val="TextBody"/>
        <w:spacing w:lineRule="auto" w:line="319" w:before="100" w:after="240"/>
        <w:jc w:val="both"/>
        <w:rPr>
          <w:rFonts w:ascii="Times New Roman;sans-serif" w:hAnsi="Times New Roman;sans-serif"/>
          <w:b/>
          <w:color w:val="000000"/>
          <w:sz w:val="20"/>
        </w:rPr>
      </w:pPr>
      <w:r>
        <w:rPr>
          <w:rFonts w:ascii="Times New Roman;sans-serif" w:hAnsi="Times New Roman;sans-serif"/>
          <w:b/>
          <w:color w:val="000000"/>
          <w:sz w:val="20"/>
        </w:rPr>
        <w:t>Executive Officers</w:t>
      </w:r>
    </w:p>
    <w:p>
      <w:pPr>
        <w:pStyle w:val="TextBody"/>
        <w:spacing w:lineRule="auto" w:line="319" w:before="100" w:after="240"/>
        <w:ind w:left="0" w:right="0" w:firstLine="720"/>
        <w:jc w:val="both"/>
        <w:rPr/>
      </w:pPr>
      <w:r>
        <w:rPr>
          <w:rFonts w:ascii="Times New Roman;sans-serif" w:hAnsi="Times New Roman;sans-serif"/>
          <w:b/>
          <w:i/>
          <w:color w:val="000000"/>
          <w:sz w:val="20"/>
        </w:rPr>
        <w:t>Mr. Bin (Tony) Zhao</w:t>
      </w:r>
      <w:r>
        <w:rPr>
          <w:color w:val="000000"/>
        </w:rPr>
        <w:t xml:space="preserve"> </w:t>
      </w:r>
      <w:r>
        <w:rPr>
          <w:rFonts w:ascii="Times New Roman;sans-serif" w:hAnsi="Times New Roman;sans-serif"/>
          <w:b w:val="false"/>
          <w:color w:val="000000"/>
          <w:sz w:val="20"/>
        </w:rPr>
        <w:t>is our founder, Chief Executive Officer and Chairman. Mr. Zhao founded our company in November 2013. From December 2009 to March 2015, Mr. Zhao served as a director of YY, Inc. (recently renamed JOYY Inc.), a video-based social network listed on the Nasdaq Stock Market. Mr. Zhao also served as chief technology officer of YY, Inc. from October 2008 to December 2013. Prior to joining YY, Inc., Mr. Zhao founded NeoTasks, LLC in 2004 and served as its chairman and chief technology officer until 2008. From 1997 to 2004, he served as a senior engineer at WebEx Communications Inc. where he was responsible for developing audio and video calling functions and designing backend architecture. Mr. Zhao received a bachelor’s degree in radio and electronics from Peking University in 1992. We believe Mr. Zhao’s perspective, experience and institutional knowledge as our founder and Chief Executive Officer qualifies him to serve on our board of directors.</w:t>
      </w:r>
    </w:p>
    <w:p>
      <w:pPr>
        <w:pStyle w:val="TextBody"/>
        <w:spacing w:lineRule="auto" w:line="319" w:before="100" w:after="240"/>
        <w:ind w:left="0" w:right="0" w:firstLine="720"/>
        <w:jc w:val="both"/>
        <w:rPr/>
      </w:pPr>
      <w:r>
        <w:rPr>
          <w:rFonts w:ascii="Times New Roman;sans-serif" w:hAnsi="Times New Roman;sans-serif"/>
          <w:b/>
          <w:i/>
          <w:color w:val="000000"/>
          <w:sz w:val="20"/>
        </w:rPr>
        <w:t>Mr. Sheng (Shawn) Zhong</w:t>
      </w:r>
      <w:r>
        <w:rPr>
          <w:color w:val="000000"/>
        </w:rPr>
        <w:t xml:space="preserve"> </w:t>
      </w:r>
      <w:r>
        <w:rPr>
          <w:rFonts w:ascii="Times New Roman;sans-serif" w:hAnsi="Times New Roman;sans-serif"/>
          <w:b w:val="false"/>
          <w:color w:val="000000"/>
          <w:sz w:val="20"/>
        </w:rPr>
        <w:t>has served as our Chief Scientist since January 2018. Mr. Zhong previously served as the chief executive officer of Hisense Microchip Company, a Hisense Group company, from January 2015 to December 2017, and as its chief technology officer from July 2012 to January 2015. Mr. Zhong was vice president of technology at Huaya Microelectronics (which was acquired by Hisense) from August 2009 to July 2012, and before Huaya, Mr. Zhong held several technical roles at Broadcom Inc. from 1999 to 2009, where he designed algorithms and architectures for many generations of Broadcom chips for advanced video processing. Prior to Broadcom, he was a senior design engineer at LSI Corporation from 1997 to 1999 where he was responsible for developing digital video processing algorithms. Mr. Zhong holds more than 100 technology patents, of which more than 60 technology patents are in the United States. He was a key member of International Organization for Standardization (ISO)’s MPEG/JVT team, INCITS and IEEE, and has published more than 30 papers in the field of video processing and computer vision. Mr. Zhong received a bachelor’s degree in mathematics and PhD in applied mathematics from Peking University and was a post-doctorate research associate at the University of Maryland, College Park from 1996 to 1997.</w:t>
      </w:r>
    </w:p>
    <w:p>
      <w:pPr>
        <w:pStyle w:val="TextBody"/>
        <w:spacing w:lineRule="auto" w:line="319" w:before="100" w:after="240"/>
        <w:ind w:left="0" w:right="0" w:firstLine="720"/>
        <w:jc w:val="both"/>
        <w:rPr/>
      </w:pPr>
      <w:r>
        <w:rPr>
          <w:rFonts w:ascii="Times New Roman;sans-serif" w:hAnsi="Times New Roman;sans-serif"/>
          <w:b/>
          <w:i/>
          <w:color w:val="000000"/>
          <w:sz w:val="20"/>
        </w:rPr>
        <w:t>Mr. Regev (Reggie) Yativ</w:t>
      </w:r>
      <w:r>
        <w:rPr>
          <w:color w:val="000000"/>
        </w:rPr>
        <w:t xml:space="preserve"> </w:t>
      </w:r>
      <w:r>
        <w:rPr>
          <w:rFonts w:ascii="Times New Roman;sans-serif" w:hAnsi="Times New Roman;sans-serif"/>
          <w:b w:val="false"/>
          <w:color w:val="000000"/>
          <w:sz w:val="20"/>
        </w:rPr>
        <w:t>has served as Chief Revenue Officer and Chief Operating Officer of Agora Lab, our subsidiary in the United States, since February 2018. Mr. Yativ previously served as vice president of sales at Redis Labs, Inc., a private NoSQL enterprise database management provider, from December 2014 to January 2018. Prior to that, Mr. Yativ was a senior director of marketing and global services at Johnson &amp; Johnson, a healthcare company, from November 2013 to November 2014. Mr. Yativ served in various roles at Magic Software Enterprises Inc., a global enterprise software company listed on the Nasdaq Global Select Market, including as its U.S. president and chief executive officer from December 2007 to November 2013 and as managing director of its six European companies prior to that. Mr. Yativ graduated from Tel Aviv University with a bachelor’s degree in linguistics.</w:t>
      </w:r>
    </w:p>
    <w:p>
      <w:pPr>
        <w:pStyle w:val="HorizontalLine"/>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385445"/>
                <wp:effectExtent l="0" t="0" r="0" b="0"/>
                <wp:wrapNone/>
                <wp:docPr id="118" name="Frame117"/>
                <a:graphic xmlns:a="http://schemas.openxmlformats.org/drawingml/2006/main">
                  <a:graphicData uri="http://schemas.microsoft.com/office/word/2010/wordprocessingShape">
                    <wps:wsp>
                      <wps:cNvSpPr txBox="1"/>
                      <wps:spPr>
                        <a:xfrm>
                          <a:off x="0" y="0"/>
                          <a:ext cx="6480175" cy="385445"/>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113</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113</w:t>
                      </w:r>
                    </w:p>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lineRule="auto" w:line="319" w:before="100" w:after="240"/>
        <w:ind w:left="0" w:right="0" w:firstLine="720"/>
        <w:jc w:val="both"/>
        <w:rPr/>
      </w:pPr>
      <w:r>
        <w:rPr>
          <w:rFonts w:ascii="Times New Roman;sans-serif" w:hAnsi="Times New Roman;sans-serif"/>
          <w:b/>
          <w:i/>
          <w:color w:val="000000"/>
          <w:sz w:val="20"/>
        </w:rPr>
        <w:t>Mr. Jingbo Wang</w:t>
      </w:r>
      <w:r>
        <w:rPr>
          <w:color w:val="000000"/>
        </w:rPr>
        <w:t xml:space="preserve"> </w:t>
      </w:r>
      <w:r>
        <w:rPr>
          <w:rFonts w:ascii="Times New Roman;sans-serif" w:hAnsi="Times New Roman;sans-serif"/>
          <w:b w:val="false"/>
          <w:color w:val="000000"/>
          <w:sz w:val="20"/>
        </w:rPr>
        <w:t>has served as our Chief Financial Officer since January 2020. Mr. Wang previously served as a director and the chief financial officer of Qutoutiao Inc., an operator of mobile content platforms, from February 2018 to January 2020, and as the chief financial officer of Yintech Investment Holdings Limited, a provider of investment and trading services, from October 2014 to February 2018, both of which are listed on the Nasdaq Stock Market. Prior to that, Mr. Wang worked at Deutsche Bank from 2009 to 2014, with his last position being vice president in the corporate finance division. Mr. Wang graduated from Tsinghua University with a bachelor’s degree in engineering in 2003. Mr. Wang graduated from the University of Hong Kong with a master’s degree in computer science in 2005 and was awarded a PhD degree in management studies from the Saïd Business School, University of Oxford, in 2010.</w:t>
      </w:r>
    </w:p>
    <w:p>
      <w:pPr>
        <w:pStyle w:val="TextBody"/>
        <w:spacing w:lineRule="auto" w:line="319" w:before="0" w:after="240"/>
        <w:ind w:left="0" w:right="0" w:firstLine="720"/>
        <w:jc w:val="both"/>
        <w:rPr/>
      </w:pPr>
      <w:r>
        <w:rPr>
          <w:rFonts w:ascii="Times New Roman;sans-serif" w:hAnsi="Times New Roman;sans-serif"/>
          <w:b/>
          <w:i/>
          <w:color w:val="000000"/>
          <w:sz w:val="20"/>
        </w:rPr>
        <w:t>Mr. Ke (Stanley) Wei</w:t>
      </w:r>
      <w:r>
        <w:rPr>
          <w:color w:val="000000"/>
        </w:rPr>
        <w:t xml:space="preserve"> </w:t>
      </w:r>
      <w:r>
        <w:rPr>
          <w:rFonts w:ascii="Times New Roman;sans-serif" w:hAnsi="Times New Roman;sans-serif"/>
          <w:b w:val="false"/>
          <w:color w:val="000000"/>
          <w:sz w:val="20"/>
        </w:rPr>
        <w:t>has served as our Chief Strategy Officer since February 2021. Mr. Wei previously served as managing director of Hillhouse Capital from 2017 to 2019, where he focused on investing in the enterprise services sector. Mr. Wei was co-chief executive officer of 36Kr from 2015 to 2016, a prominent technology-focused media platform. As an entrepreneur, Mr. Wei co-founded two technology companies, which were acquired by Yahoo and Renren respectively. Mr. Wei has previously served as director of strategy at Tencent and multiple private companies based in Silicon Valley. Mr. Wei received a bachelor’s degree from Shanghai Jiaotong University and a master’s degree in business administration from the Wharton School of Business at the University of Pennsylvania.</w:t>
      </w:r>
    </w:p>
    <w:p>
      <w:pPr>
        <w:pStyle w:val="TextBody"/>
        <w:spacing w:lineRule="auto" w:line="319" w:before="100" w:after="240"/>
        <w:jc w:val="both"/>
        <w:rPr>
          <w:rFonts w:ascii="Times New Roman;sans-serif" w:hAnsi="Times New Roman;sans-serif"/>
          <w:b/>
          <w:color w:val="000000"/>
          <w:sz w:val="20"/>
        </w:rPr>
      </w:pPr>
      <w:r>
        <w:rPr>
          <w:rFonts w:ascii="Times New Roman;sans-serif" w:hAnsi="Times New Roman;sans-serif"/>
          <w:b/>
          <w:color w:val="000000"/>
          <w:sz w:val="20"/>
        </w:rPr>
        <w:t>Non-Employee Directors</w:t>
      </w:r>
    </w:p>
    <w:p>
      <w:pPr>
        <w:pStyle w:val="TextBody"/>
        <w:spacing w:lineRule="auto" w:line="319" w:before="100" w:after="240"/>
        <w:ind w:left="0" w:right="0" w:firstLine="720"/>
        <w:jc w:val="both"/>
        <w:rPr/>
      </w:pPr>
      <w:r>
        <w:rPr>
          <w:rFonts w:ascii="Times New Roman;sans-serif" w:hAnsi="Times New Roman;sans-serif"/>
          <w:b/>
          <w:i/>
          <w:color w:val="000000"/>
          <w:sz w:val="20"/>
        </w:rPr>
        <w:t>Mr. Qin Liu</w:t>
      </w:r>
      <w:r>
        <w:rPr>
          <w:color w:val="000000"/>
        </w:rPr>
        <w:t xml:space="preserve"> </w:t>
      </w:r>
      <w:r>
        <w:rPr>
          <w:rFonts w:ascii="Times New Roman;sans-serif" w:hAnsi="Times New Roman;sans-serif"/>
          <w:b w:val="false"/>
          <w:color w:val="000000"/>
          <w:sz w:val="20"/>
        </w:rPr>
        <w:t>has served as our director since December 2014. Mr. Liu has served as managing director of Morningside Venture Capital Limited (MVCL) since June 2007 and of Evolution Capital Management Limited (ECML) since August 2018. Mr. Liu served in various roles, including as business development director for investment at Morningside IT Management Services (Shanghai) Co., Ltd before June 2007. MVCL and ECML provide advisory service to various funds and Mr. Liu has served as a director in both public and non-public portfolio companies of such funds. Mr. Liu has served as a director of Xiaomi Corporation, an internet company focused on smartphones and smart hardware connected by an IoT platform that is listed on the Main Board of the Hong Kong Stock Exchange, since May 2010. Mr. Liu has also served as a director of YY, Inc. (recently renamed JOYY Inc.), a video-based social network listed on the Nasdaq Stock Market, since June 2008. Mr. Liu previously served as a director of Xunlei Limited, a cloud-based acceleration technology company listed on the Nasdaq Stock Market, from September 2005 to April 2020. Mr. Liu received a bachelor’s degree in industrial electrical automation from the University of Science and Technology Beijing in July 1993, and a master’s degree in business administration from China Europe International Business School in April 2000. We believe Mr. Liu’s experience as a public company director and a prominent venture capitalist in China qualifies him to serve on our board of directors.</w:t>
      </w:r>
    </w:p>
    <w:p>
      <w:pPr>
        <w:pStyle w:val="TextBody"/>
        <w:spacing w:lineRule="auto" w:line="319" w:before="100" w:after="240"/>
        <w:ind w:left="0" w:right="0" w:firstLine="720"/>
        <w:jc w:val="both"/>
        <w:rPr/>
      </w:pPr>
      <w:r>
        <w:rPr>
          <w:rFonts w:ascii="Times New Roman;sans-serif" w:hAnsi="Times New Roman;sans-serif"/>
          <w:b/>
          <w:i/>
          <w:color w:val="000000"/>
          <w:sz w:val="20"/>
        </w:rPr>
        <w:t>Mr. Tuck Lye Koh</w:t>
      </w:r>
      <w:r>
        <w:rPr>
          <w:color w:val="000000"/>
        </w:rPr>
        <w:t xml:space="preserve"> </w:t>
      </w:r>
      <w:r>
        <w:rPr>
          <w:rFonts w:ascii="Times New Roman;sans-serif" w:hAnsi="Times New Roman;sans-serif"/>
          <w:b w:val="false"/>
          <w:color w:val="000000"/>
          <w:sz w:val="20"/>
        </w:rPr>
        <w:t xml:space="preserve">has served as our director since May 2018. Mr. Koh co-founded Shunwei Capital, a China-based, technology-focused venture capital fund, in 2011 and has served as its chief executive officer since then. Mr. Koh has extensive investment experience, spanning early to growth stage investments in multiple industries, including TMT, manufacturing, retail and consumer and logistics. At Shunwei Capital, Mr. Koh is responsible for overall investment and management, and has led the firm’s investments in a wide variety of technology-based entities. Mr. Koh served as a director of Xiaomi Corporation, an internet company focused on smartphones and smart hardware connected by an IoT platform that listed on the Main Board of the Hong Kong Stock Exchange, from August 2013 to October 2019. Mr. Koh also currently serves, and has served, as a director of multiple privately held technology companies. Before co-founding Shunwei Capital in 2011, Mr. Koh held various management positions in several international institutions including C.V. Starr, GIC, AIG and Deutsche Bank. Mr. Koh received a bachelor’s degree in mechanical engineering from the National University of Singapore in 1996 and a master of science degree in industrial engineering (engineering management) from Stanford University in 1999. </w:t>
      </w:r>
    </w:p>
    <w:p>
      <w:pPr>
        <w:pStyle w:val="HorizontalLine"/>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385445"/>
                <wp:effectExtent l="0" t="0" r="0" b="0"/>
                <wp:wrapNone/>
                <wp:docPr id="119" name="Frame118"/>
                <a:graphic xmlns:a="http://schemas.openxmlformats.org/drawingml/2006/main">
                  <a:graphicData uri="http://schemas.microsoft.com/office/word/2010/wordprocessingShape">
                    <wps:wsp>
                      <wps:cNvSpPr txBox="1"/>
                      <wps:spPr>
                        <a:xfrm>
                          <a:off x="0" y="0"/>
                          <a:ext cx="6480175" cy="385445"/>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114</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114</w:t>
                      </w:r>
                    </w:p>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lineRule="auto" w:line="319" w:before="100" w:after="240"/>
        <w:jc w:val="both"/>
        <w:rPr>
          <w:rFonts w:ascii="Times New Roman;sans-serif" w:hAnsi="Times New Roman;sans-serif"/>
          <w:b w:val="false"/>
          <w:color w:val="000000"/>
          <w:sz w:val="20"/>
        </w:rPr>
      </w:pPr>
      <w:r>
        <w:rPr>
          <w:rFonts w:ascii="Times New Roman;sans-serif" w:hAnsi="Times New Roman;sans-serif"/>
          <w:b w:val="false"/>
          <w:color w:val="000000"/>
          <w:sz w:val="20"/>
        </w:rPr>
        <w:t>Mr. Koh was also accredited as a chartered financial analyst by the Association for Investment Management and Research (now the CFA Institute) in 2000. We believe Mr. Koh’s experience as a public company director and as co-founder and chief executive officer of a technology-focused venture capital firm qualifies him to serve on our board of directors.</w:t>
      </w:r>
    </w:p>
    <w:p>
      <w:pPr>
        <w:pStyle w:val="TextBody"/>
        <w:spacing w:lineRule="auto" w:line="319" w:before="100" w:after="240"/>
        <w:ind w:left="0" w:right="0" w:firstLine="720"/>
        <w:jc w:val="both"/>
        <w:rPr/>
      </w:pPr>
      <w:r>
        <w:rPr>
          <w:rFonts w:ascii="Times New Roman;sans-serif" w:hAnsi="Times New Roman;sans-serif"/>
          <w:b/>
          <w:i/>
          <w:color w:val="000000"/>
          <w:sz w:val="20"/>
        </w:rPr>
        <w:t>Mr. Eric He</w:t>
      </w:r>
      <w:r>
        <w:rPr>
          <w:color w:val="000000"/>
        </w:rPr>
        <w:t xml:space="preserve"> </w:t>
      </w:r>
      <w:r>
        <w:rPr>
          <w:rFonts w:ascii="Times New Roman;sans-serif" w:hAnsi="Times New Roman;sans-serif"/>
          <w:b w:val="false"/>
          <w:color w:val="000000"/>
          <w:sz w:val="20"/>
        </w:rPr>
        <w:t>has served as our director since June 2020. Mr. He has served as an independent director and audit committee chairman of Bilibili Inc., an online entertainment company listed on the Nasdaq Stock Market since March 2018. Mr. He has also served as an independent director of 51job, Inc., a nationwide provider of integrated human resource services in China listed on the Nasdaq Stock Market, since July 2014. Mr. He previously served as the chief financial officer of YY Inc. (recently renamed JOYY Inc.), a video-based social network listed on the Nasdaq Stock Market from August 2011 to April 2017. Prior to that, Mr. He served as chief financial officer of Giant Interactive Group, Inc. from March 2007 to August 2011 and chief strategy officer of Ninetowns Internet Technology Group from 2004 to 2007. From 2002 to 2004, he served as a private equity investment director for AIG Global Investment Corp (Asia) Ltd. Mr. He received a bachelor’s degree in accounting from National Taipei University and a master’s degree in business administration from the Wharton School of Business at the University of Pennsylvania. Mr. He is a Certified Public Accountant and Chartered Financial Analyst in the United States. We believe Mr. He’s experience as chief financial officer and director of various public companies qualifies him to serve on our board of directors.</w:t>
      </w:r>
    </w:p>
    <w:p>
      <w:pPr>
        <w:pStyle w:val="TextBody"/>
        <w:spacing w:lineRule="auto" w:line="319" w:before="100" w:after="240"/>
        <w:ind w:left="0" w:right="0" w:firstLine="720"/>
        <w:jc w:val="both"/>
        <w:rPr/>
      </w:pPr>
      <w:r>
        <w:rPr>
          <w:rFonts w:ascii="Times New Roman;sans-serif" w:hAnsi="Times New Roman;sans-serif"/>
          <w:b/>
          <w:i/>
          <w:color w:val="000000"/>
          <w:sz w:val="20"/>
        </w:rPr>
        <w:t>Ms. Jenny Hong Wei Lee</w:t>
      </w:r>
      <w:r>
        <w:rPr>
          <w:color w:val="000000"/>
        </w:rPr>
        <w:t xml:space="preserve"> </w:t>
      </w:r>
      <w:r>
        <w:rPr>
          <w:rFonts w:ascii="Times New Roman;sans-serif" w:hAnsi="Times New Roman;sans-serif"/>
          <w:b w:val="false"/>
          <w:color w:val="000000"/>
          <w:sz w:val="20"/>
        </w:rPr>
        <w:t>has served as our director since June 2020. Ms. Lee has served as the managing partner of GGV Capital since 2005. Prior to that, she held various finance and operations positions at JAFCO Asia from August 2002 to April 2005, Morgan Stanley from July 2001 to July 2002, and Singapore Technologies Aerospace from July 1995 to September 1999. Ms. Lee has served as a director of Niu Technologies, a provider of smart urban mobility solutions listed on the Nasdaq Stock Market, since May 2015; eHang Holdings Limited, an autonomous aerial vehicle technology platform company listed on the Nasdaq Stock Market, since March 2015; LAIX Inc., an artificial intelligence education company listed on the New York Stock Exchange, since June 2014; and SATS Ltd., a provider of gateway services and food solutions listed on the Singapore Exchange, since January 2019. Ms. Lee also currently serves, and has served, as a director of multiple privately held companies. Ms. Lee received a bachelor’s degree in electrical engineering in 1994 and a master’s degree in engineering in 1995, both from Cornell University, as well as a master’s degree in business administration from the Kellogg School of Management at Northwestern University in 2001. We believe Ms. Lee’s experience as a managing partner of a prominent venture capital firm and as a director of various public companies qualifies her to serve on our board of directors.</w:t>
      </w:r>
    </w:p>
    <w:p>
      <w:pPr>
        <w:pStyle w:val="TextBody"/>
        <w:spacing w:lineRule="auto" w:line="319" w:before="0" w:after="240"/>
        <w:jc w:val="both"/>
        <w:rPr>
          <w:rFonts w:ascii="Times New Roman;sans-serif" w:hAnsi="Times New Roman;sans-serif"/>
          <w:b/>
          <w:i/>
          <w:color w:val="000000"/>
          <w:sz w:val="20"/>
        </w:rPr>
      </w:pPr>
      <w:r>
        <w:rPr>
          <w:rFonts w:ascii="Times New Roman;sans-serif" w:hAnsi="Times New Roman;sans-serif"/>
          <w:b/>
          <w:i/>
          <w:color w:val="000000"/>
          <w:sz w:val="20"/>
        </w:rPr>
        <w:t>B. Compensation</w:t>
      </w:r>
    </w:p>
    <w:p>
      <w:pPr>
        <w:pStyle w:val="TextBody"/>
        <w:spacing w:lineRule="auto" w:line="319" w:before="0" w:after="240"/>
        <w:jc w:val="both"/>
        <w:rPr>
          <w:rFonts w:ascii="Times New Roman;sans-serif" w:hAnsi="Times New Roman;sans-serif"/>
          <w:b/>
          <w:color w:val="000000"/>
          <w:sz w:val="20"/>
        </w:rPr>
      </w:pPr>
      <w:r>
        <w:rPr>
          <w:rFonts w:ascii="Times New Roman;sans-serif" w:hAnsi="Times New Roman;sans-serif"/>
          <w:b/>
          <w:color w:val="000000"/>
          <w:sz w:val="20"/>
        </w:rPr>
        <w:t>Compensation of Directors and Executive Officers</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2020, the aggregate cash compensation to our directors and executive officers was approximately US$1.8 million. Other than the statutory benefits that we are required by the PRC law to contribute for each employee, including pension insurance, we have not set aside or accrued any amount to provide pension, retirement or other similar benefits to our directors and executive officers.</w:t>
      </w:r>
    </w:p>
    <w:p>
      <w:pPr>
        <w:pStyle w:val="TextBody"/>
        <w:spacing w:lineRule="auto" w:line="319" w:before="0" w:after="240"/>
        <w:jc w:val="both"/>
        <w:rPr>
          <w:rFonts w:ascii="Times New Roman;sans-serif" w:hAnsi="Times New Roman;sans-serif"/>
          <w:b/>
          <w:color w:val="000000"/>
          <w:sz w:val="20"/>
        </w:rPr>
      </w:pPr>
      <w:r>
        <w:rPr>
          <w:rFonts w:ascii="Times New Roman;sans-serif" w:hAnsi="Times New Roman;sans-serif"/>
          <w:b/>
          <w:color w:val="000000"/>
          <w:sz w:val="20"/>
        </w:rPr>
        <w:t>Equity Incentive Plans</w:t>
      </w:r>
    </w:p>
    <w:p>
      <w:pPr>
        <w:pStyle w:val="TextBody"/>
        <w:spacing w:lineRule="auto" w:line="319" w:before="0" w:after="240"/>
        <w:jc w:val="both"/>
        <w:rPr>
          <w:rFonts w:ascii="Times New Roman;sans-serif" w:hAnsi="Times New Roman;sans-serif"/>
          <w:b/>
          <w:i/>
          <w:color w:val="000000"/>
          <w:sz w:val="20"/>
        </w:rPr>
      </w:pPr>
      <w:r>
        <w:rPr>
          <w:rFonts w:ascii="Times New Roman;sans-serif" w:hAnsi="Times New Roman;sans-serif"/>
          <w:b/>
          <w:i/>
          <w:color w:val="000000"/>
          <w:sz w:val="20"/>
        </w:rPr>
        <w:t>Global Equity Incentive Plan</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June 2020, our board of directors adopted and our shareholders approved our Global Equity Incentive Plan, or the Global Plan. The Global Plan became effective on June 24, 2020 and no awards under the Global Plan </w:t>
      </w:r>
    </w:p>
    <w:p>
      <w:pPr>
        <w:pStyle w:val="HorizontalLine"/>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385445"/>
                <wp:effectExtent l="0" t="0" r="0" b="0"/>
                <wp:wrapNone/>
                <wp:docPr id="120" name="Frame119"/>
                <a:graphic xmlns:a="http://schemas.openxmlformats.org/drawingml/2006/main">
                  <a:graphicData uri="http://schemas.microsoft.com/office/word/2010/wordprocessingShape">
                    <wps:wsp>
                      <wps:cNvSpPr txBox="1"/>
                      <wps:spPr>
                        <a:xfrm>
                          <a:off x="0" y="0"/>
                          <a:ext cx="6480175" cy="385445"/>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115</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115</w:t>
                      </w:r>
                    </w:p>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lineRule="auto" w:line="319"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were granted prior to such date. The Global Plan provides for the grant of incentive share options, within the meaning of Section 422 of the U.S. Internal Revenue Code of 1986, as amended, or the Code, to our employees and any of our parent and subsidiary corporations’ employees, and for the grant of nonstatutory share options, share appreciation rights, restricted shares, restricted share units, and performance awards to our employees, directors and consultants and our parent and subsidiary corporations’ employees and consultants. </w:t>
      </w:r>
    </w:p>
    <w:p>
      <w:pPr>
        <w:pStyle w:val="TextBody"/>
        <w:spacing w:lineRule="auto" w:line="319" w:before="0" w:after="240"/>
        <w:jc w:val="both"/>
        <w:rPr>
          <w:rFonts w:ascii="Times New Roman;sans-serif" w:hAnsi="Times New Roman;sans-serif"/>
          <w:b w:val="false"/>
          <w:i/>
          <w:color w:val="000000"/>
          <w:sz w:val="20"/>
        </w:rPr>
      </w:pPr>
      <w:r>
        <w:rPr>
          <w:rFonts w:ascii="Times New Roman;sans-serif" w:hAnsi="Times New Roman;sans-serif"/>
          <w:b w:val="false"/>
          <w:i/>
          <w:color w:val="000000"/>
          <w:sz w:val="20"/>
        </w:rPr>
        <w:t>Authorized Shares</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number of our ordinary shares reserved for issuance pursuant to the Global Plan is equal to (1) 16,000,000 ordinary shares plus (2) a number of ordinary shares equal to (a) the number of shares that were not granted under awards under our 2014 Plan as of the date the Global Plan became effective, (b) the number of shares subject to awards granted under the 2014 Plan that after the date the Global Plan became effective are canceled, expire or otherwise terminate without having been exercised in full or would have otherwise become available again for grant under the 2014 Plan, and (c) the number of shares that, after the date the Global Plan became effective, are forfeited to us, tendered to or withheld by us for payment of an exercise price or for tax withholding, or repurchased by us due to failure to vest (provided that the maximum number of shares that may be added to the Global Plan pursuant to clause (2) is 400,000,000 shares) plus (3) any ordinary shares added to the Global Plan through the automatic annual increases described below. The shares may be authorized but unissued ordinary shares or ordinary shares issued and then reacquired by us. The maximum number of shares that may be issued upon the exercise of incentive share options will equal 200% of the aggregate share number described in this paragraph plus any shares that become available for issuance under the Global Plan as described below.</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number of ordinary shares available for issuance under the Global Plan will also include an automatic annual increase on the first day of each fiscal year beginning in 2022, equal to the least of:</w:t>
      </w:r>
    </w:p>
    <w:p>
      <w:pPr>
        <w:pStyle w:val="TextBody"/>
        <w:spacing w:lineRule="auto" w:line="319" w:before="0" w:after="240"/>
        <w:ind w:left="0" w:right="0" w:hanging="360"/>
        <w:jc w:val="both"/>
        <w:rPr/>
      </w:pPr>
      <w:r>
        <w:rPr>
          <w:color w:val="000000"/>
        </w:rPr>
        <w:t>•</w:t>
      </w:r>
      <w:r>
        <w:rPr>
          <w:rFonts w:ascii="Times New Roman;sans-serif" w:hAnsi="Times New Roman;sans-serif"/>
          <w:b w:val="false"/>
          <w:color w:val="000000"/>
          <w:sz w:val="20"/>
        </w:rPr>
        <w:t>30,000,000 shares;</w:t>
      </w:r>
    </w:p>
    <w:p>
      <w:pPr>
        <w:pStyle w:val="TextBody"/>
        <w:spacing w:lineRule="auto" w:line="319" w:before="0" w:after="240"/>
        <w:ind w:left="0" w:right="0" w:hanging="360"/>
        <w:jc w:val="both"/>
        <w:rPr/>
      </w:pPr>
      <w:r>
        <w:rPr>
          <w:color w:val="000000"/>
        </w:rPr>
        <w:t>•</w:t>
      </w:r>
      <w:r>
        <w:rPr>
          <w:rFonts w:ascii="Times New Roman;sans-serif" w:hAnsi="Times New Roman;sans-serif"/>
          <w:b w:val="false"/>
          <w:color w:val="000000"/>
          <w:sz w:val="20"/>
        </w:rPr>
        <w:t>3.5% of the total number of shares of all classes of our ordinary shares outstanding on the last day of our immediately preceding fiscal year; and</w:t>
      </w:r>
    </w:p>
    <w:p>
      <w:pPr>
        <w:pStyle w:val="TextBody"/>
        <w:spacing w:lineRule="auto" w:line="319" w:before="0" w:after="240"/>
        <w:ind w:left="0" w:right="0" w:hanging="360"/>
        <w:jc w:val="both"/>
        <w:rPr/>
      </w:pPr>
      <w:r>
        <w:rPr>
          <w:color w:val="000000"/>
        </w:rPr>
        <w:t>•</w:t>
      </w:r>
      <w:r>
        <w:rPr>
          <w:rFonts w:ascii="Times New Roman;sans-serif" w:hAnsi="Times New Roman;sans-serif"/>
          <w:b w:val="false"/>
          <w:color w:val="000000"/>
          <w:sz w:val="20"/>
        </w:rPr>
        <w:t>such other amount as the administrator of the Global Plan may determine.</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If an option or share appreciation right expires or becomes unexercisable without having been exercised in full or is surrendered under an exchange program, the unissued shares subject to the option or share appreciation right will become available for future issuance under the Global Plan. Only shares actually issued pursuant to a share appreciation right (that is, the net shares issued) will cease to be available under the Global Plan; all remaining shares originally subject to the share appreciation right will remain available for future issuance under the Global Plan. Shares issued pursuant to awards of restricted shares, restricted share units, or share-settled performance awards that are reacquired by us due to failure to vest or are forfeited to us will become available for future issuance under the Global Plan. Shares used to pay the exercise price of an award or to satisfy tax withholdings related to an award will become available for future issuance under the Global Plan. If any portion of an award under the Global Plan is paid to a participant in cash rather than ordinary shares, that cash payment will not reduce the number of shares available for issuance under the Global Plan.</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the discretion of the Global Plan’s administrator, ADSs in an amount equal to the number of shares which otherwise would be distributed pursuant to an award may be distributed in lieu of ordinary shares in settlement of any award. If the number of ordinary shares represented by an ADS is other than on a one-to-one basis, the limitations described above will be adjusted to reflect the distribution of ADSs in lieu of ordinary shares.</w:t>
      </w:r>
    </w:p>
    <w:p>
      <w:pPr>
        <w:pStyle w:val="HorizontalLine"/>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385445"/>
                <wp:effectExtent l="0" t="0" r="0" b="0"/>
                <wp:wrapNone/>
                <wp:docPr id="121" name="Frame120"/>
                <a:graphic xmlns:a="http://schemas.openxmlformats.org/drawingml/2006/main">
                  <a:graphicData uri="http://schemas.microsoft.com/office/word/2010/wordprocessingShape">
                    <wps:wsp>
                      <wps:cNvSpPr txBox="1"/>
                      <wps:spPr>
                        <a:xfrm>
                          <a:off x="0" y="0"/>
                          <a:ext cx="6480175" cy="385445"/>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116</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116</w:t>
                      </w:r>
                    </w:p>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lineRule="auto" w:line="319" w:before="0" w:after="240"/>
        <w:jc w:val="both"/>
        <w:rPr>
          <w:rFonts w:ascii="Times New Roman;sans-serif" w:hAnsi="Times New Roman;sans-serif"/>
          <w:b w:val="false"/>
          <w:i/>
          <w:color w:val="000000"/>
          <w:sz w:val="20"/>
        </w:rPr>
      </w:pPr>
      <w:r>
        <w:rPr>
          <w:rFonts w:ascii="Times New Roman;sans-serif" w:hAnsi="Times New Roman;sans-serif"/>
          <w:b w:val="false"/>
          <w:i/>
          <w:color w:val="000000"/>
          <w:sz w:val="20"/>
        </w:rPr>
        <w:t>Plan Administration</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board of directors or one or more committees appointed by our board of directors may administer the Global Plan. Our board of directors has delegated authority to administer the Global Plan to our compensation committee, which has full but non-exclusive authority to administer and interpret the terms of the Global Plan. To the extent permitted by applicable laws, the administrator may delegate to one or more officers the authority to grant awards to our employees or employees of any of our subsidiary companies who are not officers.</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Subject to the provisions of the Global Plan, the administrator has the power to make any determinations and perform any actions deemed necessary or advisable to administer the plan, including but not limited to, the power to interpret the terms of the Global Plan and make any decisions necessary to administer the Global Plan; to determine the fair market value of our ordinary shares; to approve forms of award agreement for use under the Global Plan; to select the service providers to whom awards are granted; to interpret, modify or amend each award granted under the Global Plan; to create, amend and revoke rules relating to the Global Plan, including rules relating to sub-plans; and to determine the terms and conditions of each award, including the exercise price, the number of shares subject to such award, when such award will vest and/or be exercisable, and the form of consideration, if any, payable upon exercise. The administrator also has the authority to institute and determine the terms and conditions of an exchange program by which (1) outstanding awards may be surrendered or canceled in exchange for awards of the same type (which may have a higher or lower exercise price or different terms), awards of a different type and/or cash; (2) participants have the opportunity to transfer outstanding awards to a financial institution or other person or entity selected by the administrator; and/or (3) the exercise price of an outstanding award is increased or reduced.</w:t>
      </w:r>
    </w:p>
    <w:p>
      <w:pPr>
        <w:pStyle w:val="TextBody"/>
        <w:spacing w:lineRule="auto" w:line="319" w:before="0" w:after="240"/>
        <w:jc w:val="both"/>
        <w:rPr>
          <w:rFonts w:ascii="Times New Roman;sans-serif" w:hAnsi="Times New Roman;sans-serif"/>
          <w:b w:val="false"/>
          <w:i/>
          <w:color w:val="000000"/>
          <w:sz w:val="20"/>
        </w:rPr>
      </w:pPr>
      <w:r>
        <w:rPr>
          <w:rFonts w:ascii="Times New Roman;sans-serif" w:hAnsi="Times New Roman;sans-serif"/>
          <w:b w:val="false"/>
          <w:i/>
          <w:color w:val="000000"/>
          <w:sz w:val="20"/>
        </w:rPr>
        <w:t>Share Options</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Share options may be granted under the Global Plan. The per share exercise price of options granted under the Global Plan must at least be equal to the fair market value of an ordinary share on the date of grant. The term of an incentive share option may not exceed 10 years. However, with respect to an incentive share option granted to any participant who owns more than 10% of the voting power of all classes of our outstanding shares, the term must not exceed five years and the per share exercise price must equal at least 110% of the fair market value of an ordinary share on the grant date. The administrator determines the methods of payment of the exercise price of an option, which may include cash, shares or other property acceptable to the administrator, as well as other types of consideration permitted by applicable law. After the termination of service of a participant, he or she may exercise his or her option for the period of time stated in his or her option agreement. In addition, if exercising an option before its expiration is not permitted because of applicable laws, other than the rules of any stock exchange or quotation system on which our ordinary shares are listed or quoted, the option will remain exercisable until 30 days after the first date on which exercise no longer would be prevented by such provisions (or such longer period in accordance with applicable laws). However, in no event may an option be exercised after the expiration of its term. Subject to the provisions of the Global Plan, the administrator determines the other terms of options.</w:t>
      </w:r>
    </w:p>
    <w:p>
      <w:pPr>
        <w:pStyle w:val="TextBody"/>
        <w:spacing w:lineRule="auto" w:line="319" w:before="0" w:after="240"/>
        <w:jc w:val="both"/>
        <w:rPr>
          <w:rFonts w:ascii="Times New Roman;sans-serif" w:hAnsi="Times New Roman;sans-serif"/>
          <w:b w:val="false"/>
          <w:i/>
          <w:color w:val="000000"/>
          <w:sz w:val="20"/>
        </w:rPr>
      </w:pPr>
      <w:r>
        <w:rPr>
          <w:rFonts w:ascii="Times New Roman;sans-serif" w:hAnsi="Times New Roman;sans-serif"/>
          <w:b w:val="false"/>
          <w:i/>
          <w:color w:val="000000"/>
          <w:sz w:val="20"/>
        </w:rPr>
        <w:t>Share Appreciation Rights</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Share appreciation rights may be granted under the Global Plan. Share appreciation rights allow the recipient to receive the appreciation in the fair market value of the underlying ordinary shares between the exercise date and the date of grant. Subject to the provisions of the Global Plan, the administrator determines the other terms of share appreciation rights, including when such rights become exercisable and whether to pay any increased appreciation in cash or with our ordinary shares, or a combination thereof, except that the per share exercise price of a share appreciation right granted to a U.S. taxpayer will be no less than 100% of the fair market value per share on the date of grant. After the termination of service of a participant, he or she may exercise his or her share appreciation right for the period of time stated in his or her share appreciation right agreement. In addition, if </w:t>
      </w:r>
    </w:p>
    <w:p>
      <w:pPr>
        <w:pStyle w:val="HorizontalLine"/>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385445"/>
                <wp:effectExtent l="0" t="0" r="0" b="0"/>
                <wp:wrapNone/>
                <wp:docPr id="122" name="Frame121"/>
                <a:graphic xmlns:a="http://schemas.openxmlformats.org/drawingml/2006/main">
                  <a:graphicData uri="http://schemas.microsoft.com/office/word/2010/wordprocessingShape">
                    <wps:wsp>
                      <wps:cNvSpPr txBox="1"/>
                      <wps:spPr>
                        <a:xfrm>
                          <a:off x="0" y="0"/>
                          <a:ext cx="6480175" cy="385445"/>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117</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117</w:t>
                      </w:r>
                    </w:p>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lineRule="auto" w:line="319"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exercising a share appreciation right before its expiration is not permitted because of applicable laws, other than the rules of any stock exchange or quotation system on which the ordinary shares are listed or quoted, the share appreciation right will remain exercisable until 30 days after the first date on which exercise no longer would be prevented by such provisions (or such longer period in accordance with applicable law). However, in no event may a share appreciation right be exercised after the expiration of its term.</w:t>
      </w:r>
    </w:p>
    <w:p>
      <w:pPr>
        <w:pStyle w:val="TextBody"/>
        <w:spacing w:lineRule="auto" w:line="319" w:before="0" w:after="240"/>
        <w:jc w:val="both"/>
        <w:rPr>
          <w:rFonts w:ascii="Times New Roman;sans-serif" w:hAnsi="Times New Roman;sans-serif"/>
          <w:b w:val="false"/>
          <w:i/>
          <w:color w:val="000000"/>
          <w:sz w:val="20"/>
        </w:rPr>
      </w:pPr>
      <w:r>
        <w:rPr>
          <w:rFonts w:ascii="Times New Roman;sans-serif" w:hAnsi="Times New Roman;sans-serif"/>
          <w:b w:val="false"/>
          <w:i/>
          <w:color w:val="000000"/>
          <w:sz w:val="20"/>
        </w:rPr>
        <w:t>Restricted Shares</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Restricted shares may be granted under the Global Plan. Restricted shares are ordinary shares that vest in accordance with terms and conditions established by the administrator. The administrator determines the number of restricted shares granted to any eligible employee, director or consultant and, subject to the provisions of the Global Plan, determines the terms and conditions of such awards. The administrator may impose whatever conditions to vesting it determines to be appropriate. For example, the administrator may set restrictions based on the achievement of specific performance goals or continued service to us, provided, however, that the administrator, in its sole discretion, may accelerate the time at which any restrictions will lapse or be removed. Recipients of restricted share awards generally will not have voting and dividend rights with respect to such shares upon grant without regard to vesting, unless the administrator provides otherwise. Restricted shares that do not vest are subject to our right of repurchase or forfeiture.</w:t>
      </w:r>
    </w:p>
    <w:p>
      <w:pPr>
        <w:pStyle w:val="TextBody"/>
        <w:spacing w:lineRule="auto" w:line="319" w:before="0" w:after="240"/>
        <w:jc w:val="both"/>
        <w:rPr>
          <w:rFonts w:ascii="Times New Roman;sans-serif" w:hAnsi="Times New Roman;sans-serif"/>
          <w:b w:val="false"/>
          <w:i/>
          <w:color w:val="000000"/>
          <w:sz w:val="20"/>
        </w:rPr>
      </w:pPr>
      <w:r>
        <w:rPr>
          <w:rFonts w:ascii="Times New Roman;sans-serif" w:hAnsi="Times New Roman;sans-serif"/>
          <w:b w:val="false"/>
          <w:i/>
          <w:color w:val="000000"/>
          <w:sz w:val="20"/>
        </w:rPr>
        <w:t>Restricted Share Units</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Restricted share units may be granted under the Global Plan. Restricted share units are bookkeeping entries that each represent an amount equal to the fair market value of an ordinary share. Subject to the provisions of the Global Plan, the administrator determines the terms and conditions of restricted share units, including the vesting criteria, which may include accomplishing specified performance criteria or continued service to us, and the form and timing of payment. Notwithstanding the foregoing, the administrator, in its sole discretion, may accelerate the time at which any restrictions will lapse or be removed.</w:t>
      </w:r>
    </w:p>
    <w:p>
      <w:pPr>
        <w:pStyle w:val="TextBody"/>
        <w:spacing w:lineRule="auto" w:line="319" w:before="0" w:after="240"/>
        <w:jc w:val="both"/>
        <w:rPr>
          <w:rFonts w:ascii="Times New Roman;sans-serif" w:hAnsi="Times New Roman;sans-serif"/>
          <w:b w:val="false"/>
          <w:i/>
          <w:color w:val="000000"/>
          <w:sz w:val="20"/>
        </w:rPr>
      </w:pPr>
      <w:r>
        <w:rPr>
          <w:rFonts w:ascii="Times New Roman;sans-serif" w:hAnsi="Times New Roman;sans-serif"/>
          <w:b w:val="false"/>
          <w:i/>
          <w:color w:val="000000"/>
          <w:sz w:val="20"/>
        </w:rPr>
        <w:t>Performance Awards</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Performance awards may be granted under the Global Plan. Performance awards are awards of options, share appreciation rights, restricted shares or restricted share units that will result in a payment to a participant only if the performance goals or other vesting criteria established by the administrator are achieved or the awards otherwise vest. After the grant of a performance award, the administrator, in its sole discretion, may reduce or waive any performance criteria or other vesting provisions for such options, share appreciation rights, restricted shares or restricted share units. The administrator, in its sole discretion, may pay earned performance awards in the form of cash, in shares or in some combination thereof.</w:t>
      </w:r>
    </w:p>
    <w:p>
      <w:pPr>
        <w:pStyle w:val="TextBody"/>
        <w:spacing w:lineRule="auto" w:line="319" w:before="0" w:after="240"/>
        <w:jc w:val="both"/>
        <w:rPr>
          <w:rFonts w:ascii="Times New Roman;sans-serif" w:hAnsi="Times New Roman;sans-serif"/>
          <w:b w:val="false"/>
          <w:i/>
          <w:color w:val="000000"/>
          <w:sz w:val="20"/>
        </w:rPr>
      </w:pPr>
      <w:r>
        <w:rPr>
          <w:rFonts w:ascii="Times New Roman;sans-serif" w:hAnsi="Times New Roman;sans-serif"/>
          <w:b w:val="false"/>
          <w:i/>
          <w:color w:val="000000"/>
          <w:sz w:val="20"/>
        </w:rPr>
        <w:t>Outside Directors</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Global Plan provides that all non-employee directors are eligible to receive all types of awards, except for incentive share options, under the Global Plan.</w:t>
      </w:r>
    </w:p>
    <w:p>
      <w:pPr>
        <w:pStyle w:val="TextBody"/>
        <w:spacing w:lineRule="auto" w:line="319" w:before="0" w:after="240"/>
        <w:jc w:val="both"/>
        <w:rPr>
          <w:rFonts w:ascii="Times New Roman;sans-serif" w:hAnsi="Times New Roman;sans-serif"/>
          <w:b w:val="false"/>
          <w:i/>
          <w:color w:val="000000"/>
          <w:sz w:val="20"/>
        </w:rPr>
      </w:pPr>
      <w:r>
        <w:rPr>
          <w:rFonts w:ascii="Times New Roman;sans-serif" w:hAnsi="Times New Roman;sans-serif"/>
          <w:b w:val="false"/>
          <w:i/>
          <w:color w:val="000000"/>
          <w:sz w:val="20"/>
        </w:rPr>
        <w:t>Non-Transferability</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Unless the administrator provides otherwise, the Global Plan generally does not allow for the transfer of awards and only the recipient of an award may exercise an award during his or her lifetime.</w:t>
      </w:r>
    </w:p>
    <w:p>
      <w:pPr>
        <w:pStyle w:val="TextBody"/>
        <w:spacing w:lineRule="auto" w:line="319" w:before="0" w:after="240"/>
        <w:jc w:val="both"/>
        <w:rPr>
          <w:rFonts w:ascii="Times New Roman;sans-serif" w:hAnsi="Times New Roman;sans-serif"/>
          <w:b w:val="false"/>
          <w:i/>
          <w:color w:val="000000"/>
          <w:sz w:val="20"/>
        </w:rPr>
      </w:pPr>
      <w:r>
        <w:rPr>
          <w:rFonts w:ascii="Times New Roman;sans-serif" w:hAnsi="Times New Roman;sans-serif"/>
          <w:b w:val="false"/>
          <w:i/>
          <w:color w:val="000000"/>
          <w:sz w:val="20"/>
        </w:rPr>
        <w:t>Certain Adjustments</w:t>
      </w:r>
    </w:p>
    <w:p>
      <w:pPr>
        <w:pStyle w:val="HorizontalLine"/>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385445"/>
                <wp:effectExtent l="0" t="0" r="0" b="0"/>
                <wp:wrapNone/>
                <wp:docPr id="123" name="Frame122"/>
                <a:graphic xmlns:a="http://schemas.openxmlformats.org/drawingml/2006/main">
                  <a:graphicData uri="http://schemas.microsoft.com/office/word/2010/wordprocessingShape">
                    <wps:wsp>
                      <wps:cNvSpPr txBox="1"/>
                      <wps:spPr>
                        <a:xfrm>
                          <a:off x="0" y="0"/>
                          <a:ext cx="6480175" cy="385445"/>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118</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118</w:t>
                      </w:r>
                    </w:p>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the event of certain changes in our capitalization, to prevent diminution or enlargement of the benefits or potential benefits available under the Global Plan, the administrator will adjust the number and class of shares that may be delivered under the Global Plan and the number, class, and price of shares covered by each outstanding award, and the numerical share limits in the Global Plan.</w:t>
      </w:r>
    </w:p>
    <w:p>
      <w:pPr>
        <w:pStyle w:val="TextBody"/>
        <w:spacing w:lineRule="auto" w:line="319" w:before="0" w:after="240"/>
        <w:jc w:val="both"/>
        <w:rPr>
          <w:rFonts w:ascii="Times New Roman;sans-serif" w:hAnsi="Times New Roman;sans-serif"/>
          <w:b w:val="false"/>
          <w:i/>
          <w:color w:val="000000"/>
          <w:sz w:val="20"/>
        </w:rPr>
      </w:pPr>
      <w:r>
        <w:rPr>
          <w:rFonts w:ascii="Times New Roman;sans-serif" w:hAnsi="Times New Roman;sans-serif"/>
          <w:b w:val="false"/>
          <w:i/>
          <w:color w:val="000000"/>
          <w:sz w:val="20"/>
        </w:rPr>
        <w:t>Dissolution or Liquidation</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the event of our proposed liquidation or dissolution, the administrator will notify participants at such time before the effective date of such proposed transaction as the administrator determines, and all awards will terminate immediately before the consummation of such proposed transaction.</w:t>
      </w:r>
    </w:p>
    <w:p>
      <w:pPr>
        <w:pStyle w:val="TextBody"/>
        <w:spacing w:lineRule="auto" w:line="319" w:before="0" w:after="240"/>
        <w:jc w:val="both"/>
        <w:rPr>
          <w:rFonts w:ascii="Times New Roman;sans-serif" w:hAnsi="Times New Roman;sans-serif"/>
          <w:b w:val="false"/>
          <w:i/>
          <w:color w:val="000000"/>
          <w:sz w:val="20"/>
        </w:rPr>
      </w:pPr>
      <w:r>
        <w:rPr>
          <w:rFonts w:ascii="Times New Roman;sans-serif" w:hAnsi="Times New Roman;sans-serif"/>
          <w:b w:val="false"/>
          <w:i/>
          <w:color w:val="000000"/>
          <w:sz w:val="20"/>
        </w:rPr>
        <w:t>Merger or Change in Control</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Global Plan provides that, in the event of a “change in control” (as defined in the Global Plan) or a merger, each outstanding award will be treated as the administrator determines. The administrator need not take the same action or actions with respect to all awards or portions thereof or with respect to all participants. The administrator may take different actions with respect to the vested and unvested portions of an award. The administrator will not be required to treat all awards similarly in the change in control or merger.</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If a successor corporation does not continue an award (or some portion of such award), then the participant will vest in (and have the right to exercise) shares subject to the award that would have vested by its terms through the date 12 months following the change in control or merger. Any other awards not vested under the previous sentence will terminate upon the change in control or merger if not continued by the successor corporation. If options or share appreciation rights are not continued when a change in control or a merger occurs, the administrator will notify the participant in writing or electronically that the participant’s vested options or share appreciation rights will be exercisable for a period of time determined by the administrator in its sole discretion and all of the participant’s options or share appreciation rights will terminate upon the expiration of such period (whether vested or unvested).</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With respect to awards granted to an outside director, in the event of a change in control, such outside director’s options and share appreciation rights, if any, will fully vest and become exercisable, all restrictions on his or her other outstanding awards will lapse, and for his or her awards with performance-based vesting, all performance goals or other vesting criteria will be deemed achieved at 100% of target levels and all other terms and conditions met, unless specifically provided otherwise under the applicable award agreement or other written agreement between us and such outside director that specifically references this default treatment under the Global Plan.</w:t>
      </w:r>
    </w:p>
    <w:p>
      <w:pPr>
        <w:pStyle w:val="TextBody"/>
        <w:spacing w:lineRule="auto" w:line="319" w:before="0" w:after="240"/>
        <w:jc w:val="both"/>
        <w:rPr>
          <w:rFonts w:ascii="Times New Roman;sans-serif" w:hAnsi="Times New Roman;sans-serif"/>
          <w:b w:val="false"/>
          <w:i/>
          <w:color w:val="000000"/>
          <w:sz w:val="20"/>
        </w:rPr>
      </w:pPr>
      <w:r>
        <w:rPr>
          <w:rFonts w:ascii="Times New Roman;sans-serif" w:hAnsi="Times New Roman;sans-serif"/>
          <w:b w:val="false"/>
          <w:i/>
          <w:color w:val="000000"/>
          <w:sz w:val="20"/>
        </w:rPr>
        <w:t>Clawback</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All awards granted under the Global Plan will be subject to recoupment under any clawback policy that we are required to adopt pursuant to the listing standards of any national securities exchange or association on which our securities are listed or as is otherwise required by the applicable laws. In addition, the administrator may impose such other clawback, recovery or recoupment provisions in an award agreement as the administrator determines necessary or appropriate. The administrator may specify in an award agreement that the participant’s rights, payments, and benefits with respect to an award will be subject to reduction, cancellation, forfeiture, or recoupment upon the occurrence of specified events, in addition to any otherwise applicable vesting or performance conditions of an award. If we are required to prepare an accounting restatement due to our material noncompliance, as a result of misconduct, with any financial reporting requirement under securities laws, any participant who (1) knowingly or through gross negligence engaged in the misconduct or who knowingly or through gross negligence failed to prevent </w:t>
      </w:r>
    </w:p>
    <w:p>
      <w:pPr>
        <w:pStyle w:val="HorizontalLine"/>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385445"/>
                <wp:effectExtent l="0" t="0" r="0" b="0"/>
                <wp:wrapNone/>
                <wp:docPr id="124" name="Frame123"/>
                <a:graphic xmlns:a="http://schemas.openxmlformats.org/drawingml/2006/main">
                  <a:graphicData uri="http://schemas.microsoft.com/office/word/2010/wordprocessingShape">
                    <wps:wsp>
                      <wps:cNvSpPr txBox="1"/>
                      <wps:spPr>
                        <a:xfrm>
                          <a:off x="0" y="0"/>
                          <a:ext cx="6480175" cy="385445"/>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119</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119</w:t>
                      </w:r>
                    </w:p>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lineRule="auto" w:line="319"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the misconduct or (2) is one of the individuals subject to automatic forfeiture under Section 304 of the Sarbanes-Oxley Act of 2002, must reimburse us the amount of any payment in settlement of an award earned or accrued during the 12-month period following the first public issuance or filing with the SEC (whichever first occurred) of the financial document embodying such financial reporting requirement.</w:t>
      </w:r>
    </w:p>
    <w:p>
      <w:pPr>
        <w:pStyle w:val="TextBody"/>
        <w:spacing w:lineRule="auto" w:line="319" w:before="0" w:after="240"/>
        <w:jc w:val="both"/>
        <w:rPr>
          <w:rFonts w:ascii="Times New Roman;sans-serif" w:hAnsi="Times New Roman;sans-serif"/>
          <w:b w:val="false"/>
          <w:i/>
          <w:color w:val="000000"/>
          <w:sz w:val="20"/>
        </w:rPr>
      </w:pPr>
      <w:r>
        <w:rPr>
          <w:rFonts w:ascii="Times New Roman;sans-serif" w:hAnsi="Times New Roman;sans-serif"/>
          <w:b w:val="false"/>
          <w:i/>
          <w:color w:val="000000"/>
          <w:sz w:val="20"/>
        </w:rPr>
        <w:t>Amendment; Termination</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board or compensation committee of the board has the authority to amend, suspend or terminate the Global Plan, except that such action may not materially impair the existing rights of any participant with a signed, written agreement between the participant and us, subject to certain exceptions in the Global Plan. The Global Plan will automatically terminate in 2030, unless we terminate it sooner.</w:t>
      </w:r>
    </w:p>
    <w:p>
      <w:pPr>
        <w:pStyle w:val="TextBody"/>
        <w:spacing w:lineRule="auto" w:line="319" w:before="0" w:after="240"/>
        <w:jc w:val="both"/>
        <w:rPr>
          <w:rFonts w:ascii="Times New Roman;sans-serif" w:hAnsi="Times New Roman;sans-serif"/>
          <w:b/>
          <w:i/>
          <w:color w:val="000000"/>
          <w:sz w:val="20"/>
        </w:rPr>
      </w:pPr>
      <w:r>
        <w:rPr>
          <w:rFonts w:ascii="Times New Roman;sans-serif" w:hAnsi="Times New Roman;sans-serif"/>
          <w:b/>
          <w:i/>
          <w:color w:val="000000"/>
          <w:sz w:val="20"/>
        </w:rPr>
        <w:t>Employee Stock Purchase Plan</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June 2020, our board of directors adopted and our shareholders approved our Employee Stock Purchase Plan, or the ESPP. We believe that allowing our employees to participate in the ESPP will provide them with a further incentive towards promoting our success and accomplishing our corporate goals. As of December 31, 2020, we had not granted any awards under the ESPP.</w:t>
      </w:r>
    </w:p>
    <w:p>
      <w:pPr>
        <w:pStyle w:val="TextBody"/>
        <w:spacing w:lineRule="auto" w:line="319" w:before="0" w:after="240"/>
        <w:jc w:val="both"/>
        <w:rPr>
          <w:rFonts w:ascii="Times New Roman;sans-serif" w:hAnsi="Times New Roman;sans-serif"/>
          <w:b w:val="false"/>
          <w:i/>
          <w:color w:val="000000"/>
          <w:sz w:val="20"/>
        </w:rPr>
      </w:pPr>
      <w:r>
        <w:rPr>
          <w:rFonts w:ascii="Times New Roman;sans-serif" w:hAnsi="Times New Roman;sans-serif"/>
          <w:b w:val="false"/>
          <w:i/>
          <w:color w:val="000000"/>
          <w:sz w:val="20"/>
        </w:rPr>
        <w:t>Authorized Shares</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 total of 3,000,000 of our ordinary shares are available for sale under the ESPP. The number of our ordinary shares that will be available for sale under the ESPP also includes an annual increase on the first day of each fiscal year beginning with our 2022 fiscal year, equal to the least of:</w:t>
      </w:r>
    </w:p>
    <w:p>
      <w:pPr>
        <w:pStyle w:val="TextBody"/>
        <w:spacing w:lineRule="auto" w:line="319" w:before="0" w:after="240"/>
        <w:ind w:left="0" w:right="0" w:hanging="360"/>
        <w:jc w:val="both"/>
        <w:rPr/>
      </w:pPr>
      <w:r>
        <w:rPr>
          <w:color w:val="000000"/>
        </w:rPr>
        <w:t>•</w:t>
      </w:r>
      <w:r>
        <w:rPr>
          <w:rFonts w:ascii="Times New Roman;sans-serif" w:hAnsi="Times New Roman;sans-serif"/>
          <w:b w:val="false"/>
          <w:color w:val="000000"/>
          <w:sz w:val="20"/>
        </w:rPr>
        <w:t>6,000,000 shares;</w:t>
      </w:r>
    </w:p>
    <w:p>
      <w:pPr>
        <w:pStyle w:val="TextBody"/>
        <w:spacing w:lineRule="auto" w:line="319" w:before="0" w:after="240"/>
        <w:ind w:left="0" w:right="0" w:hanging="360"/>
        <w:jc w:val="both"/>
        <w:rPr/>
      </w:pPr>
      <w:r>
        <w:rPr>
          <w:color w:val="000000"/>
        </w:rPr>
        <w:t>•</w:t>
      </w:r>
      <w:r>
        <w:rPr>
          <w:rFonts w:ascii="Times New Roman;sans-serif" w:hAnsi="Times New Roman;sans-serif"/>
          <w:b w:val="false"/>
          <w:color w:val="000000"/>
          <w:sz w:val="20"/>
        </w:rPr>
        <w:t>0.5% of our outstanding ordinary shares as of the last day of the immediately preceding fiscal year; and</w:t>
      </w:r>
    </w:p>
    <w:p>
      <w:pPr>
        <w:pStyle w:val="TextBody"/>
        <w:spacing w:lineRule="auto" w:line="319" w:before="0" w:after="240"/>
        <w:ind w:left="0" w:right="0" w:hanging="360"/>
        <w:jc w:val="both"/>
        <w:rPr/>
      </w:pPr>
      <w:r>
        <w:rPr>
          <w:color w:val="000000"/>
        </w:rPr>
        <w:t>•</w:t>
      </w:r>
      <w:r>
        <w:rPr>
          <w:rFonts w:ascii="Times New Roman;sans-serif" w:hAnsi="Times New Roman;sans-serif"/>
          <w:b w:val="false"/>
          <w:color w:val="000000"/>
          <w:sz w:val="20"/>
        </w:rPr>
        <w:t>such other amount as the administrator may determine.</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the discretion of the administrator, ADSs in an amount equal to the number of ordinary shares which otherwise would be distributed pursuant to the ESPP may be distributed in lieu of ordinary shares in settlement of any exercise of an option under the ESPP. If the number of ordinary shares represented by an ADS is other than on a one-to-one basis, the limitations described above will be adjusted to reflect the distribution of ADSs in lieu of ordinary shares. If ADSs are distributed in lieu of ordinary shares, all references to ordinary shares under the ESPP will also apply to ADSs.</w:t>
      </w:r>
    </w:p>
    <w:p>
      <w:pPr>
        <w:pStyle w:val="TextBody"/>
        <w:spacing w:lineRule="auto" w:line="319" w:before="0" w:after="240"/>
        <w:jc w:val="both"/>
        <w:rPr>
          <w:rFonts w:ascii="Times New Roman;sans-serif" w:hAnsi="Times New Roman;sans-serif"/>
          <w:b w:val="false"/>
          <w:i/>
          <w:color w:val="000000"/>
          <w:sz w:val="20"/>
        </w:rPr>
      </w:pPr>
      <w:r>
        <w:rPr>
          <w:rFonts w:ascii="Times New Roman;sans-serif" w:hAnsi="Times New Roman;sans-serif"/>
          <w:b w:val="false"/>
          <w:i/>
          <w:color w:val="000000"/>
          <w:sz w:val="20"/>
        </w:rPr>
        <w:t>Administration</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board of directors or one or more committees appointed by our board of directors may administer the ESPP. Our board of directors has delegated authority to administer the ESPP to our compensation committee, which has full but non-exclusive authority to administer and interpret the terms of the ESPP. The administrator has full and exclusive discretionary authority to construe, interpret and apply the terms of the ESPP, designate separate offerings under the ESPP, designate our subsidiaries and affiliates as participating in the ESPP, determine eligibility, adjudicate all disputed claims filed under the ESPP and establish procedures that it deems necessary for the administration of the ESPP, including, but not limited to, adopting such procedures and sub-plans as are necessary or appropriate to permit participation in the ESPP by employees who are foreign nationals or employed outside the </w:t>
      </w:r>
    </w:p>
    <w:p>
      <w:pPr>
        <w:pStyle w:val="HorizontalLine"/>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385445"/>
                <wp:effectExtent l="0" t="0" r="0" b="0"/>
                <wp:wrapNone/>
                <wp:docPr id="125" name="Frame124"/>
                <a:graphic xmlns:a="http://schemas.openxmlformats.org/drawingml/2006/main">
                  <a:graphicData uri="http://schemas.microsoft.com/office/word/2010/wordprocessingShape">
                    <wps:wsp>
                      <wps:cNvSpPr txBox="1"/>
                      <wps:spPr>
                        <a:xfrm>
                          <a:off x="0" y="0"/>
                          <a:ext cx="6480175" cy="385445"/>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120</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120</w:t>
                      </w:r>
                    </w:p>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lineRule="auto" w:line="319"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United States. The administrator’s findings, decisions and determinations are final and binding on all participants to the full extent permitted by law.</w:t>
      </w:r>
    </w:p>
    <w:p>
      <w:pPr>
        <w:pStyle w:val="TextBody"/>
        <w:spacing w:lineRule="auto" w:line="319" w:before="0" w:after="240"/>
        <w:jc w:val="both"/>
        <w:rPr>
          <w:rFonts w:ascii="Times New Roman;sans-serif" w:hAnsi="Times New Roman;sans-serif"/>
          <w:b w:val="false"/>
          <w:i/>
          <w:color w:val="000000"/>
          <w:sz w:val="20"/>
        </w:rPr>
      </w:pPr>
      <w:r>
        <w:rPr>
          <w:rFonts w:ascii="Times New Roman;sans-serif" w:hAnsi="Times New Roman;sans-serif"/>
          <w:b w:val="false"/>
          <w:i/>
          <w:color w:val="000000"/>
          <w:sz w:val="20"/>
        </w:rPr>
        <w:t>Eligibility</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Generally, all of our employees are eligible to participate if they are customarily employed by us, or any participating subsidiary or affiliate, for at least 20 hours per week and more than five months in any calendar year. The administrator, in its discretion, may, prior to an enrollment date, for all options to be granted on such enrollment date in an offering, determine that an employee who (1) has not completed at least two years of service (or a lesser period of time determined by the administrator) since his or her last hire date, (2) customarily works not more than 20 hours per week (or a lesser period of time determined by the administrator), (3) customarily works not more than five months per calendar year (or a lesser period of time determined by the administrator), (4) is a highly compensated employee within the meaning of Section 414(q) of the Code or (5) is a highly compensated employee within the meaning of Section 414(q) of the Code with compensation above a certain level or is an officer or subject to disclosure requirements under Section 16(a) of the Exchange Act, is or is not eligible to participate in such offering period. </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However, an employee may not be granted rights to purchase ordinary shares under the ESPP if such employee:</w:t>
      </w:r>
    </w:p>
    <w:p>
      <w:pPr>
        <w:pStyle w:val="TextBody"/>
        <w:spacing w:lineRule="auto" w:line="319" w:before="0" w:after="240"/>
        <w:ind w:left="0" w:right="0" w:hanging="360"/>
        <w:jc w:val="both"/>
        <w:rPr/>
      </w:pPr>
      <w:r>
        <w:rPr>
          <w:color w:val="000000"/>
        </w:rPr>
        <w:t>•</w:t>
      </w:r>
      <w:r>
        <w:rPr>
          <w:rFonts w:ascii="Times New Roman;sans-serif" w:hAnsi="Times New Roman;sans-serif"/>
          <w:b w:val="false"/>
          <w:color w:val="000000"/>
          <w:sz w:val="20"/>
        </w:rPr>
        <w:t>immediately after the grant would own capital shares and/or hold outstanding options to purchase such shares possessing 5% or more of the total combined voting power or value of all classes of capital shares of ours or of any parent or subsidiary of ours; or</w:t>
      </w:r>
    </w:p>
    <w:p>
      <w:pPr>
        <w:pStyle w:val="TextBody"/>
        <w:spacing w:lineRule="auto" w:line="319" w:before="0" w:after="240"/>
        <w:ind w:left="0" w:right="0" w:hanging="360"/>
        <w:jc w:val="both"/>
        <w:rPr/>
      </w:pPr>
      <w:r>
        <w:rPr>
          <w:color w:val="000000"/>
        </w:rPr>
        <w:t>•</w:t>
      </w:r>
      <w:r>
        <w:rPr>
          <w:rFonts w:ascii="Times New Roman;sans-serif" w:hAnsi="Times New Roman;sans-serif"/>
          <w:b w:val="false"/>
          <w:color w:val="000000"/>
          <w:sz w:val="20"/>
        </w:rPr>
        <w:t>holds rights to purchase ordinary shares under all employee share purchase plans of ours or any parent or subsidiary of ours that accrue at a rate that exceeds US$25,000 worth of ordinary shares for each calendar year in which such rights are outstanding at any time.</w:t>
      </w:r>
    </w:p>
    <w:p>
      <w:pPr>
        <w:pStyle w:val="TextBody"/>
        <w:spacing w:lineRule="auto" w:line="319" w:before="0" w:after="240"/>
        <w:jc w:val="both"/>
        <w:rPr>
          <w:rFonts w:ascii="Times New Roman;sans-serif" w:hAnsi="Times New Roman;sans-serif"/>
          <w:b w:val="false"/>
          <w:i/>
          <w:color w:val="000000"/>
          <w:sz w:val="20"/>
        </w:rPr>
      </w:pPr>
      <w:r>
        <w:rPr>
          <w:rFonts w:ascii="Times New Roman;sans-serif" w:hAnsi="Times New Roman;sans-serif"/>
          <w:b w:val="false"/>
          <w:i/>
          <w:color w:val="000000"/>
          <w:sz w:val="20"/>
        </w:rPr>
        <w:t>Offering Periods</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ESPP includes a component that allows us to make offerings intended to qualify under Section 423 of the Code and a component that allows us to make offerings not intended to qualify under Section 423 of the Code to designated companies, as described in the ESPP. The ESPP provides for consecutive 6</w:t>
        <w:noBreakHyphen/>
        <w:t>month offering periods that will be determined by the administrator on a uniform and nondiscriminatory basis before the first day of an offering period for all options to be granted in such offering period.</w:t>
      </w:r>
    </w:p>
    <w:p>
      <w:pPr>
        <w:pStyle w:val="TextBody"/>
        <w:spacing w:lineRule="auto" w:line="319" w:before="0" w:after="240"/>
        <w:jc w:val="both"/>
        <w:rPr>
          <w:rFonts w:ascii="Times New Roman;sans-serif" w:hAnsi="Times New Roman;sans-serif"/>
          <w:b w:val="false"/>
          <w:i/>
          <w:color w:val="000000"/>
          <w:sz w:val="20"/>
        </w:rPr>
      </w:pPr>
      <w:r>
        <w:rPr>
          <w:rFonts w:ascii="Times New Roman;sans-serif" w:hAnsi="Times New Roman;sans-serif"/>
          <w:b w:val="false"/>
          <w:i/>
          <w:color w:val="000000"/>
          <w:sz w:val="20"/>
        </w:rPr>
        <w:t>Contributions</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ESPP permits participants to purchase our ordinary shares through contributions (in the form of payroll deductions or otherwise to the extent permitted by the administrator) of up to 15% (or such other limit established by the administrator on a uniform and nondiscretionary basis for all options to be granted in an offering period) of their eligible compensation, which means a participant’s base straight time gross earnings but exclusive of payments for incentive compensation, bonuses, commissions, payments for overtime and shift premium, equity compensation income and other similar compensation. Unless otherwise determined by the administrator, a participant may not change the rate of his or her contributions during an offering period.</w:t>
      </w:r>
    </w:p>
    <w:p>
      <w:pPr>
        <w:pStyle w:val="TextBody"/>
        <w:spacing w:lineRule="auto" w:line="319" w:before="0" w:after="240"/>
        <w:jc w:val="both"/>
        <w:rPr>
          <w:rFonts w:ascii="Times New Roman;sans-serif" w:hAnsi="Times New Roman;sans-serif"/>
          <w:b w:val="false"/>
          <w:i/>
          <w:color w:val="000000"/>
          <w:sz w:val="20"/>
        </w:rPr>
      </w:pPr>
      <w:r>
        <w:rPr>
          <w:rFonts w:ascii="Times New Roman;sans-serif" w:hAnsi="Times New Roman;sans-serif"/>
          <w:b w:val="false"/>
          <w:i/>
          <w:color w:val="000000"/>
          <w:sz w:val="20"/>
        </w:rPr>
        <w:t>Exercise of Purchase Right</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Amounts contributed and accumulated by the participant will be used to purchase ordinary shares at the end of each offering period. Unless otherwise determined by the administrator, a participant may purchase a maximum </w:t>
      </w:r>
    </w:p>
    <w:p>
      <w:pPr>
        <w:pStyle w:val="HorizontalLine"/>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385445"/>
                <wp:effectExtent l="0" t="0" r="0" b="0"/>
                <wp:wrapNone/>
                <wp:docPr id="126" name="Frame125"/>
                <a:graphic xmlns:a="http://schemas.openxmlformats.org/drawingml/2006/main">
                  <a:graphicData uri="http://schemas.microsoft.com/office/word/2010/wordprocessingShape">
                    <wps:wsp>
                      <wps:cNvSpPr txBox="1"/>
                      <wps:spPr>
                        <a:xfrm>
                          <a:off x="0" y="0"/>
                          <a:ext cx="6480175" cy="385445"/>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121</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121</w:t>
                      </w:r>
                    </w:p>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lineRule="auto" w:line="319"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of 10,000 ordinary shares during an offering period. The purchase price of the shares will be determined by the administrator on a uniform and nondiscriminatory basis for all options to be granted in an offering period and will not be less than 85% of the lower of the fair market value of an ordinary share on the first trading day of the offering period or the fair market value of an ordinary share on the exercise date. Participants may end their participation at any time during an offering period and will be paid their accrued contributions that have not yet been used to purchase ordinary shares. Participation ends automatically upon termination of employment with us.</w:t>
      </w:r>
    </w:p>
    <w:p>
      <w:pPr>
        <w:pStyle w:val="TextBody"/>
        <w:spacing w:lineRule="auto" w:line="319" w:before="0" w:after="240"/>
        <w:jc w:val="both"/>
        <w:rPr>
          <w:rFonts w:ascii="Times New Roman;sans-serif" w:hAnsi="Times New Roman;sans-serif"/>
          <w:b w:val="false"/>
          <w:i/>
          <w:color w:val="000000"/>
          <w:sz w:val="20"/>
        </w:rPr>
      </w:pPr>
      <w:r>
        <w:rPr>
          <w:rFonts w:ascii="Times New Roman;sans-serif" w:hAnsi="Times New Roman;sans-serif"/>
          <w:b w:val="false"/>
          <w:i/>
          <w:color w:val="000000"/>
          <w:sz w:val="20"/>
        </w:rPr>
        <w:t>Non-Transferability</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 participant may not transfer contributions credited to his or her account nor any rights granted under the ESPP other than by will, the laws of descent and distribution or as otherwise provided under the ESPP.</w:t>
      </w:r>
    </w:p>
    <w:p>
      <w:pPr>
        <w:pStyle w:val="TextBody"/>
        <w:spacing w:before="0" w:after="0"/>
        <w:jc w:val="both"/>
        <w:rPr/>
      </w:pPr>
      <w:r>
        <w:rPr/>
      </w:r>
    </w:p>
    <w:p>
      <w:pPr>
        <w:pStyle w:val="TextBody"/>
        <w:spacing w:lineRule="auto" w:line="319" w:before="0" w:after="240"/>
        <w:jc w:val="both"/>
        <w:rPr>
          <w:rFonts w:ascii="Times New Roman;sans-serif" w:hAnsi="Times New Roman;sans-serif"/>
          <w:b w:val="false"/>
          <w:i/>
          <w:color w:val="000000"/>
          <w:sz w:val="20"/>
        </w:rPr>
      </w:pPr>
      <w:r>
        <w:rPr>
          <w:rFonts w:ascii="Times New Roman;sans-serif" w:hAnsi="Times New Roman;sans-serif"/>
          <w:b w:val="false"/>
          <w:i/>
          <w:color w:val="000000"/>
          <w:sz w:val="20"/>
        </w:rPr>
        <w:t>Certain Adjustments</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the event of certain changes in our capitalization, to prevent diminution or enlargement of the benefits or potential benefits available under the ESPP, the administrator will adjust the number and class of shares that may be delivered under the ESPP and the number and price of shares covered by each outstanding option under the ESPP, and the numerical share limits in the ESPP.</w:t>
      </w:r>
    </w:p>
    <w:p>
      <w:pPr>
        <w:pStyle w:val="TextBody"/>
        <w:spacing w:lineRule="auto" w:line="319" w:before="0" w:after="240"/>
        <w:jc w:val="both"/>
        <w:rPr>
          <w:rFonts w:ascii="Times New Roman;sans-serif" w:hAnsi="Times New Roman;sans-serif"/>
          <w:b w:val="false"/>
          <w:i/>
          <w:color w:val="000000"/>
          <w:sz w:val="20"/>
        </w:rPr>
      </w:pPr>
      <w:r>
        <w:rPr>
          <w:rFonts w:ascii="Times New Roman;sans-serif" w:hAnsi="Times New Roman;sans-serif"/>
          <w:b w:val="false"/>
          <w:i/>
          <w:color w:val="000000"/>
          <w:sz w:val="20"/>
        </w:rPr>
        <w:t>Dissolution or Liquidation</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the event of our proposed liquidation or dissolution, any offering period then in progress will be shortened by setting a new exercise date and will terminate immediately before the consummation of such proposed dissolution or liquidation, unless provided otherwise by the administrator. The administrator will notify each participant in writing or electronically, before the new exercise date, that the exercise date for the participant’s option has been changed to the new exercise date and that the participant’s option will be exercised automatically on the new exercise date, unless before such date the participant has withdrawn from the offering period.</w:t>
      </w:r>
    </w:p>
    <w:p>
      <w:pPr>
        <w:pStyle w:val="TextBody"/>
        <w:spacing w:lineRule="auto" w:line="319" w:before="0" w:after="240"/>
        <w:jc w:val="both"/>
        <w:rPr>
          <w:rFonts w:ascii="Times New Roman;sans-serif" w:hAnsi="Times New Roman;sans-serif"/>
          <w:b w:val="false"/>
          <w:i/>
          <w:color w:val="000000"/>
          <w:sz w:val="20"/>
        </w:rPr>
      </w:pPr>
      <w:r>
        <w:rPr>
          <w:rFonts w:ascii="Times New Roman;sans-serif" w:hAnsi="Times New Roman;sans-serif"/>
          <w:b w:val="false"/>
          <w:i/>
          <w:color w:val="000000"/>
          <w:sz w:val="20"/>
        </w:rPr>
        <w:t>Merger or Change in Control</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ESPP provides that, in the event of a “change in control” (as defined in the ESPP) or a merger, a successor corporation (or a parent or subsidiary of the successor corporation) will assume or substitute each outstanding purchase right. If the successor corporation refuses to assume or substitute for the outstanding purchase right, the offering period with respect to which the purchase right relates will be shortened, and a new exercise date will be set that will be before the date of the proposed merger or change in control. The administrator will notify each participant that the exercise date has been changed and that the participant’s option will be exercised automatically on the new exercise date unless prior to such date the participant has withdrawn from the offering period.</w:t>
      </w:r>
    </w:p>
    <w:p>
      <w:pPr>
        <w:pStyle w:val="TextBody"/>
        <w:spacing w:lineRule="auto" w:line="319" w:before="0" w:after="240"/>
        <w:jc w:val="both"/>
        <w:rPr>
          <w:rFonts w:ascii="Times New Roman;sans-serif" w:hAnsi="Times New Roman;sans-serif"/>
          <w:b w:val="false"/>
          <w:i/>
          <w:color w:val="000000"/>
          <w:sz w:val="20"/>
        </w:rPr>
      </w:pPr>
      <w:r>
        <w:rPr>
          <w:rFonts w:ascii="Times New Roman;sans-serif" w:hAnsi="Times New Roman;sans-serif"/>
          <w:b w:val="false"/>
          <w:i/>
          <w:color w:val="000000"/>
          <w:sz w:val="20"/>
        </w:rPr>
        <w:t>Amendment; Termination</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administrator has the authority to amend, suspend or terminate the ESPP. The ESPP will automatically terminate in 2040, unless we terminate it sooner.</w:t>
      </w:r>
    </w:p>
    <w:p>
      <w:pPr>
        <w:pStyle w:val="TextBody"/>
        <w:spacing w:lineRule="auto" w:line="319" w:before="0" w:after="240"/>
        <w:jc w:val="both"/>
        <w:rPr>
          <w:rFonts w:ascii="Times New Roman;sans-serif" w:hAnsi="Times New Roman;sans-serif"/>
          <w:b/>
          <w:i/>
          <w:color w:val="000000"/>
          <w:sz w:val="20"/>
        </w:rPr>
      </w:pPr>
      <w:r>
        <w:rPr>
          <w:rFonts w:ascii="Times New Roman;sans-serif" w:hAnsi="Times New Roman;sans-serif"/>
          <w:b/>
          <w:i/>
          <w:color w:val="000000"/>
          <w:sz w:val="20"/>
        </w:rPr>
        <w:t>2014 Equity Incentive Plan</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2014 Plan was originally adopted in August 2014 to attract and retain the best available personnel, provide additional incentives to employees, directors and consultants, and promote the success of our business. The 2014 Plan was most recently amended in February 2020. The maximum aggregate number of our ordinary shares </w:t>
      </w:r>
    </w:p>
    <w:p>
      <w:pPr>
        <w:pStyle w:val="HorizontalLine"/>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385445"/>
                <wp:effectExtent l="0" t="0" r="0" b="0"/>
                <wp:wrapNone/>
                <wp:docPr id="127" name="Frame126"/>
                <a:graphic xmlns:a="http://schemas.openxmlformats.org/drawingml/2006/main">
                  <a:graphicData uri="http://schemas.microsoft.com/office/word/2010/wordprocessingShape">
                    <wps:wsp>
                      <wps:cNvSpPr txBox="1"/>
                      <wps:spPr>
                        <a:xfrm>
                          <a:off x="0" y="0"/>
                          <a:ext cx="6480175" cy="385445"/>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122</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122</w:t>
                      </w:r>
                    </w:p>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lineRule="auto" w:line="319"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reserved for issuance pursuant to the 2014 Plan is equal to 41,541,963, subject to certain adjustments as provided for in the 2014 Plan. </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paragraphs describe the principal terms of the 2014 Plan.</w:t>
      </w:r>
    </w:p>
    <w:p>
      <w:pPr>
        <w:pStyle w:val="TextBody"/>
        <w:spacing w:lineRule="auto" w:line="319" w:before="0" w:after="240"/>
        <w:jc w:val="both"/>
        <w:rPr>
          <w:rFonts w:ascii="Times New Roman;sans-serif" w:hAnsi="Times New Roman;sans-serif"/>
          <w:b w:val="false"/>
          <w:i/>
          <w:color w:val="000000"/>
          <w:sz w:val="20"/>
        </w:rPr>
      </w:pPr>
      <w:r>
        <w:rPr>
          <w:rFonts w:ascii="Times New Roman;sans-serif" w:hAnsi="Times New Roman;sans-serif"/>
          <w:b w:val="false"/>
          <w:i/>
          <w:color w:val="000000"/>
          <w:sz w:val="20"/>
        </w:rPr>
        <w:t>Types of Awards</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2014 Plan allows us to grant incentive share options, nonstatutory share options, share appreciation rights, restricted share awards and restricted share units</w:t>
      </w:r>
    </w:p>
    <w:p>
      <w:pPr>
        <w:pStyle w:val="TextBody"/>
        <w:spacing w:lineRule="auto" w:line="319" w:before="0" w:after="240"/>
        <w:jc w:val="both"/>
        <w:rPr>
          <w:rFonts w:ascii="Times New Roman;sans-serif" w:hAnsi="Times New Roman;sans-serif"/>
          <w:b w:val="false"/>
          <w:i/>
          <w:color w:val="000000"/>
          <w:sz w:val="20"/>
        </w:rPr>
      </w:pPr>
      <w:r>
        <w:rPr>
          <w:rFonts w:ascii="Times New Roman;sans-serif" w:hAnsi="Times New Roman;sans-serif"/>
          <w:b w:val="false"/>
          <w:i/>
          <w:color w:val="000000"/>
          <w:sz w:val="20"/>
        </w:rPr>
        <w:t>Administration</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2014 Plan is administered by a committee of our board of directors. Different committees may administer the 2014 Plan with respect to different service providers. The administrator has all authority and discretion necessary or appropriate to administer the 2014 Plan and to control its operation, including the authority to construe and interpret the terms of the 2014 Plan and the awards granted under the 2014 Plan.</w:t>
      </w:r>
    </w:p>
    <w:p>
      <w:pPr>
        <w:pStyle w:val="TextBody"/>
        <w:spacing w:lineRule="auto" w:line="319" w:before="0" w:after="240"/>
        <w:jc w:val="both"/>
        <w:rPr>
          <w:rFonts w:ascii="Times New Roman;sans-serif" w:hAnsi="Times New Roman;sans-serif"/>
          <w:b w:val="false"/>
          <w:i/>
          <w:color w:val="000000"/>
          <w:sz w:val="20"/>
        </w:rPr>
      </w:pPr>
      <w:r>
        <w:rPr>
          <w:rFonts w:ascii="Times New Roman;sans-serif" w:hAnsi="Times New Roman;sans-serif"/>
          <w:b w:val="false"/>
          <w:i/>
          <w:color w:val="000000"/>
          <w:sz w:val="20"/>
        </w:rPr>
        <w:t>Eligibility</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may grant awards to employees, consultants and directors of ours and any parent or subsidiary of ours.</w:t>
      </w:r>
    </w:p>
    <w:p>
      <w:pPr>
        <w:pStyle w:val="TextBody"/>
        <w:spacing w:lineRule="auto" w:line="319" w:before="0" w:after="240"/>
        <w:jc w:val="both"/>
        <w:rPr>
          <w:rFonts w:ascii="Times New Roman;sans-serif" w:hAnsi="Times New Roman;sans-serif"/>
          <w:b w:val="false"/>
          <w:i/>
          <w:color w:val="000000"/>
          <w:sz w:val="20"/>
        </w:rPr>
      </w:pPr>
      <w:r>
        <w:rPr>
          <w:rFonts w:ascii="Times New Roman;sans-serif" w:hAnsi="Times New Roman;sans-serif"/>
          <w:b w:val="false"/>
          <w:i/>
          <w:color w:val="000000"/>
          <w:sz w:val="20"/>
        </w:rPr>
        <w:t>Vesting Schedule</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Subject to modification by the plan administrator, an option granted under the 2014 Plan has a contractual term of ten years from the grant date, and will vest over a period of four years of continuous service, 25% of which vest upon the first anniversary of the stated vesting commencement date and the remaining vest ratably over the following 36 months determines the vesting schedule, which is specified in the relevant award agreement.</w:t>
      </w:r>
    </w:p>
    <w:p>
      <w:pPr>
        <w:pStyle w:val="TextBody"/>
        <w:spacing w:lineRule="auto" w:line="319" w:before="0" w:after="240"/>
        <w:jc w:val="both"/>
        <w:rPr>
          <w:rFonts w:ascii="Times New Roman;sans-serif" w:hAnsi="Times New Roman;sans-serif"/>
          <w:b w:val="false"/>
          <w:i/>
          <w:color w:val="000000"/>
          <w:sz w:val="20"/>
        </w:rPr>
      </w:pPr>
      <w:r>
        <w:rPr>
          <w:rFonts w:ascii="Times New Roman;sans-serif" w:hAnsi="Times New Roman;sans-serif"/>
          <w:b w:val="false"/>
          <w:i/>
          <w:color w:val="000000"/>
          <w:sz w:val="20"/>
        </w:rPr>
        <w:t>Transfer Restrictions</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Unless determined otherwise by the administrator, awards may not be sold, pledged, assigned, hypothecated or otherwise transferred in any manner other than by will or by the laws of descent and distribution. In addition, during an applicable participant’s lifetime, only that participant may exercise their award. If the administrator makes an award transferable, such award may only be transferred (1) by will, (2) by the laws of descent and distribution, (3) to an entity or individual acceptable to the Administrator and such transfer will not have adverse accounting consequences, or (4) as permitted by Rule 701 of the Securities Act.</w:t>
      </w:r>
    </w:p>
    <w:p>
      <w:pPr>
        <w:pStyle w:val="TextBody"/>
        <w:spacing w:lineRule="auto" w:line="319" w:before="0" w:after="240"/>
        <w:jc w:val="both"/>
        <w:rPr>
          <w:rFonts w:ascii="Times New Roman;sans-serif" w:hAnsi="Times New Roman;sans-serif"/>
          <w:b w:val="false"/>
          <w:i/>
          <w:color w:val="000000"/>
          <w:sz w:val="20"/>
        </w:rPr>
      </w:pPr>
      <w:r>
        <w:rPr>
          <w:rFonts w:ascii="Times New Roman;sans-serif" w:hAnsi="Times New Roman;sans-serif"/>
          <w:b w:val="false"/>
          <w:i/>
          <w:color w:val="000000"/>
          <w:sz w:val="20"/>
        </w:rPr>
        <w:t>Amendment; Termination</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board of directors may, at any time, terminate or amend the 2014 Plan in any respect, including, without limitation, amendment of any form of award agreement or instrument to be executed pursuant to the 2014 Plan. To the extent necessary and desirable to comply with applicable laws, we will obtain shareholder approval of any amendment to the 2014 Plan. No amendment or alteration of the 2014 Plan may impair the rights of a participant, unless mutually agreed otherwise between the participant and the administrator in writing.</w:t>
      </w:r>
    </w:p>
    <w:p>
      <w:pPr>
        <w:pStyle w:val="TextBody"/>
        <w:spacing w:lineRule="auto" w:line="319" w:before="0" w:after="240"/>
        <w:jc w:val="both"/>
        <w:rPr>
          <w:rFonts w:ascii="Times New Roman;sans-serif" w:hAnsi="Times New Roman;sans-serif"/>
          <w:b/>
          <w:i/>
          <w:color w:val="000000"/>
          <w:sz w:val="20"/>
        </w:rPr>
      </w:pPr>
      <w:r>
        <w:rPr>
          <w:rFonts w:ascii="Times New Roman;sans-serif" w:hAnsi="Times New Roman;sans-serif"/>
          <w:b/>
          <w:i/>
          <w:color w:val="000000"/>
          <w:sz w:val="20"/>
        </w:rPr>
        <w:t>2018 Equity Incentive Plan</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January 2020, as part of the Corporate Reorganization, we assumed all awards granted by Agora IO pursuant to the 2018 Plan first adopted by Agora IO in January 2019. As a result of the assumption, all shares subject to options granted thereunder become an equal number of shares of Agora instead of shares of Agora IO, but </w:t>
      </w:r>
    </w:p>
    <w:p>
      <w:pPr>
        <w:pStyle w:val="HorizontalLine"/>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385445"/>
                <wp:effectExtent l="0" t="0" r="0" b="0"/>
                <wp:wrapNone/>
                <wp:docPr id="128" name="Frame127"/>
                <a:graphic xmlns:a="http://schemas.openxmlformats.org/drawingml/2006/main">
                  <a:graphicData uri="http://schemas.microsoft.com/office/word/2010/wordprocessingShape">
                    <wps:wsp>
                      <wps:cNvSpPr txBox="1"/>
                      <wps:spPr>
                        <a:xfrm>
                          <a:off x="0" y="0"/>
                          <a:ext cx="6480175" cy="385445"/>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123</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123</w:t>
                      </w:r>
                    </w:p>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lineRule="auto" w:line="319"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assumption did not otherwise affect the number of options granted, the shares subject to the options, the exercise price of each award, the vesting commencement date or schedule, or the other terms and conditions in the respective award agreements. In connection with the assumption, the 2018 Plan was terminated, and accordingly no further options will be available for issuance under the 2018 Plan. The 2018 Plan will continue to govern outstanding awards granted thereunder. </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paragraphs describe the principal terms of the 2018 Plan.</w:t>
      </w:r>
    </w:p>
    <w:p>
      <w:pPr>
        <w:pStyle w:val="TextBody"/>
        <w:spacing w:lineRule="auto" w:line="319" w:before="0" w:after="240"/>
        <w:jc w:val="both"/>
        <w:rPr>
          <w:rFonts w:ascii="Times New Roman;sans-serif" w:hAnsi="Times New Roman;sans-serif"/>
          <w:b w:val="false"/>
          <w:i/>
          <w:color w:val="000000"/>
          <w:sz w:val="20"/>
        </w:rPr>
      </w:pPr>
      <w:r>
        <w:rPr>
          <w:rFonts w:ascii="Times New Roman;sans-serif" w:hAnsi="Times New Roman;sans-serif"/>
          <w:b w:val="false"/>
          <w:i/>
          <w:color w:val="000000"/>
          <w:sz w:val="20"/>
        </w:rPr>
        <w:t>Types of Awards</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2018 Plan allows us to grant incentive share options, nonstatutory share options, share appreciation rights, restricted share awards and restricted share units</w:t>
      </w:r>
    </w:p>
    <w:p>
      <w:pPr>
        <w:pStyle w:val="TextBody"/>
        <w:spacing w:lineRule="auto" w:line="319" w:before="100" w:after="240"/>
        <w:jc w:val="both"/>
        <w:rPr>
          <w:rFonts w:ascii="Times New Roman;sans-serif" w:hAnsi="Times New Roman;sans-serif"/>
          <w:b w:val="false"/>
          <w:i/>
          <w:color w:val="000000"/>
          <w:sz w:val="20"/>
        </w:rPr>
      </w:pPr>
      <w:r>
        <w:rPr>
          <w:rFonts w:ascii="Times New Roman;sans-serif" w:hAnsi="Times New Roman;sans-serif"/>
          <w:b w:val="false"/>
          <w:i/>
          <w:color w:val="000000"/>
          <w:sz w:val="20"/>
        </w:rPr>
        <w:t>Administration</w:t>
      </w:r>
    </w:p>
    <w:p>
      <w:pPr>
        <w:pStyle w:val="TextBody"/>
        <w:spacing w:lineRule="auto" w:line="319" w:before="10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2018 Plan is administered by our board of directors or one or more committees appointed by our board of directors. Different committees may administer the 2018 Plan with respect to different service providers. The administrator has all authority and discretion necessary or appropriate to administer the 2018 Plan and to control its operation, including the authority to construe and interpret the terms of the 2018 Plan and the awards granted under the 2018 Plan.</w:t>
      </w:r>
    </w:p>
    <w:p>
      <w:pPr>
        <w:pStyle w:val="TextBody"/>
        <w:spacing w:lineRule="auto" w:line="319" w:before="100" w:after="240"/>
        <w:jc w:val="both"/>
        <w:rPr>
          <w:rFonts w:ascii="Times New Roman;sans-serif" w:hAnsi="Times New Roman;sans-serif"/>
          <w:b w:val="false"/>
          <w:i/>
          <w:color w:val="000000"/>
          <w:sz w:val="20"/>
        </w:rPr>
      </w:pPr>
      <w:r>
        <w:rPr>
          <w:rFonts w:ascii="Times New Roman;sans-serif" w:hAnsi="Times New Roman;sans-serif"/>
          <w:b w:val="false"/>
          <w:i/>
          <w:color w:val="000000"/>
          <w:sz w:val="20"/>
        </w:rPr>
        <w:t>Eligibility</w:t>
      </w:r>
    </w:p>
    <w:p>
      <w:pPr>
        <w:pStyle w:val="TextBody"/>
        <w:spacing w:lineRule="auto" w:line="319" w:before="10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may grant awards to employees, consultants and directors of ours and any parent or subsidiary of ours.</w:t>
      </w:r>
    </w:p>
    <w:p>
      <w:pPr>
        <w:pStyle w:val="TextBody"/>
        <w:spacing w:lineRule="auto" w:line="319" w:before="100" w:after="240"/>
        <w:jc w:val="both"/>
        <w:rPr>
          <w:rFonts w:ascii="Times New Roman;sans-serif" w:hAnsi="Times New Roman;sans-serif"/>
          <w:b w:val="false"/>
          <w:i/>
          <w:color w:val="000000"/>
          <w:sz w:val="20"/>
        </w:rPr>
      </w:pPr>
      <w:r>
        <w:rPr>
          <w:rFonts w:ascii="Times New Roman;sans-serif" w:hAnsi="Times New Roman;sans-serif"/>
          <w:b w:val="false"/>
          <w:i/>
          <w:color w:val="000000"/>
          <w:sz w:val="20"/>
        </w:rPr>
        <w:t>Vesting Schedule</w:t>
      </w:r>
    </w:p>
    <w:p>
      <w:pPr>
        <w:pStyle w:val="TextBody"/>
        <w:spacing w:lineRule="auto" w:line="319" w:before="10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Subject to modification by the plan administrator, an option granted under the 2018 Plan has a contractual term of ten years from the grant date, and will vest over a period of four years of continuous service, 25% of which vest upon the first anniversary of the stated vesting commencement date and the remaining vest ratably over the following 36 months determines the vesting schedule, which is specified in the relevant award agreement.</w:t>
      </w:r>
    </w:p>
    <w:p>
      <w:pPr>
        <w:pStyle w:val="TextBody"/>
        <w:spacing w:lineRule="auto" w:line="319" w:before="100" w:after="240"/>
        <w:jc w:val="both"/>
        <w:rPr>
          <w:rFonts w:ascii="Times New Roman;sans-serif" w:hAnsi="Times New Roman;sans-serif"/>
          <w:b w:val="false"/>
          <w:i/>
          <w:color w:val="000000"/>
          <w:sz w:val="20"/>
        </w:rPr>
      </w:pPr>
      <w:r>
        <w:rPr>
          <w:rFonts w:ascii="Times New Roman;sans-serif" w:hAnsi="Times New Roman;sans-serif"/>
          <w:b w:val="false"/>
          <w:i/>
          <w:color w:val="000000"/>
          <w:sz w:val="20"/>
        </w:rPr>
        <w:t>Transfer Restrictions</w:t>
      </w:r>
    </w:p>
    <w:p>
      <w:pPr>
        <w:pStyle w:val="TextBody"/>
        <w:spacing w:lineRule="auto" w:line="319" w:before="10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Unless determined otherwise by the administrator, awards may not be sold, pledged, assigned, hypothecated or otherwise transferred in any manner other than by will or by the laws of descent and distribution. In addition, during an applicable participant’s lifetime, only that participant may exercise their award. If the administrator makes an award transferable, such award may only be transferred (1) by will, (2) by the laws of descent and distribution or (3) as permitted by Rule 701 of the Securities Act.</w:t>
      </w:r>
    </w:p>
    <w:p>
      <w:pPr>
        <w:pStyle w:val="TextBody"/>
        <w:spacing w:lineRule="auto" w:line="319" w:before="100" w:after="240"/>
        <w:jc w:val="both"/>
        <w:rPr>
          <w:rFonts w:ascii="Times New Roman;sans-serif" w:hAnsi="Times New Roman;sans-serif"/>
          <w:b w:val="false"/>
          <w:i/>
          <w:color w:val="000000"/>
          <w:sz w:val="20"/>
        </w:rPr>
      </w:pPr>
      <w:r>
        <w:rPr>
          <w:rFonts w:ascii="Times New Roman;sans-serif" w:hAnsi="Times New Roman;sans-serif"/>
          <w:b w:val="false"/>
          <w:i/>
          <w:color w:val="000000"/>
          <w:sz w:val="20"/>
        </w:rPr>
        <w:t>Amendment; Termination</w:t>
      </w:r>
    </w:p>
    <w:p>
      <w:pPr>
        <w:pStyle w:val="TextBody"/>
        <w:spacing w:lineRule="auto" w:line="319" w:before="10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noted above, the 2018 Plan was terminated in connection with our assumption of the awards granted thereunder as part of the Corporate Reorganization. Our board of directors may, at any time, amend the 2018 Plan in any respect. To the extent necessary and desirable to comply with applicable laws, we will obtain shareholder approval of any amendment to the 2018 Plan. No amendment or alteration of the 2018 Plan may impair the rights of a participant, unless mutually agreed otherwise between the participant and the administrator in writing.</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No awards have been granted to our directors and executive officers under the 2018 Plan.</w:t>
      </w:r>
    </w:p>
    <w:p>
      <w:pPr>
        <w:pStyle w:val="HorizontalLine"/>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385445"/>
                <wp:effectExtent l="0" t="0" r="0" b="0"/>
                <wp:wrapNone/>
                <wp:docPr id="129" name="Frame128"/>
                <a:graphic xmlns:a="http://schemas.openxmlformats.org/drawingml/2006/main">
                  <a:graphicData uri="http://schemas.microsoft.com/office/word/2010/wordprocessingShape">
                    <wps:wsp>
                      <wps:cNvSpPr txBox="1"/>
                      <wps:spPr>
                        <a:xfrm>
                          <a:off x="0" y="0"/>
                          <a:ext cx="6480175" cy="385445"/>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124</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124</w:t>
                      </w:r>
                    </w:p>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lineRule="auto" w:line="319" w:before="100" w:after="240"/>
        <w:ind w:left="0" w:right="0" w:firstLine="720"/>
        <w:jc w:val="both"/>
        <w:rPr/>
      </w:pPr>
      <w:r>
        <w:rPr>
          <w:rFonts w:ascii="Times New Roman;sans-serif" w:hAnsi="Times New Roman;sans-serif"/>
          <w:b w:val="false"/>
          <w:color w:val="000000"/>
          <w:sz w:val="20"/>
        </w:rPr>
        <w:t>As of December 31, 2020, awards to purchase 1,050,834 Class A ordinary shares under the Global Equity Incentive Plan had been granted; awards to purchase 42,866,898 Class A ordinary shares had been granted under the 2014 Plan; awards to purchase 2,846,438 Class A ordinary shares had been granted under the 2018 Plan, excluding awards that were forfeited or cancelled after the relevant grant dates. As of December 31, 2020, awards to purchase 39,614,883 Class A ordinary shares under our equity incentive plans had been granted and outsta</w:t>
      </w:r>
      <w:r>
        <w:rPr>
          <w:rFonts w:ascii="Times New Roman;sans-serif" w:hAnsi="Times New Roman;sans-serif"/>
          <w:b w:val="false"/>
          <w:color w:val="000000"/>
          <w:sz w:val="20"/>
          <w:highlight w:val="white"/>
        </w:rPr>
        <w:t>nding.</w:t>
      </w:r>
    </w:p>
    <w:p>
      <w:pPr>
        <w:pStyle w:val="TextBody"/>
        <w:spacing w:lineRule="auto" w:line="319" w:before="10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as of December 31, 2020, the outstanding awards granted under our share incentive plans to our directors and executive officers, excluding awards that were exercised, forfeited or canceled after the relevant grant dates.</w:t>
      </w:r>
    </w:p>
    <w:tbl>
      <w:tblPr>
        <w:tblW w:w="10205" w:type="dxa"/>
        <w:jc w:val="left"/>
        <w:tblInd w:w="0" w:type="dxa"/>
        <w:tblCellMar>
          <w:top w:w="28" w:type="dxa"/>
          <w:left w:w="28" w:type="dxa"/>
          <w:bottom w:w="28" w:type="dxa"/>
          <w:right w:w="28" w:type="dxa"/>
        </w:tblCellMar>
      </w:tblPr>
      <w:tblGrid>
        <w:gridCol w:w="486"/>
        <w:gridCol w:w="426"/>
        <w:gridCol w:w="433"/>
        <w:gridCol w:w="109"/>
        <w:gridCol w:w="109"/>
        <w:gridCol w:w="109"/>
        <w:gridCol w:w="907"/>
        <w:gridCol w:w="907"/>
        <w:gridCol w:w="909"/>
        <w:gridCol w:w="109"/>
        <w:gridCol w:w="109"/>
        <w:gridCol w:w="109"/>
        <w:gridCol w:w="329"/>
        <w:gridCol w:w="329"/>
        <w:gridCol w:w="331"/>
        <w:gridCol w:w="109"/>
        <w:gridCol w:w="109"/>
        <w:gridCol w:w="109"/>
        <w:gridCol w:w="666"/>
        <w:gridCol w:w="595"/>
        <w:gridCol w:w="599"/>
        <w:gridCol w:w="109"/>
        <w:gridCol w:w="109"/>
        <w:gridCol w:w="109"/>
        <w:gridCol w:w="577"/>
        <w:gridCol w:w="577"/>
        <w:gridCol w:w="826"/>
      </w:tblGrid>
      <w:tr>
        <w:trPr/>
        <w:tc>
          <w:tcPr>
            <w:tcW w:w="486" w:type="dxa"/>
            <w:tcBorders/>
            <w:shd w:fill="auto" w:val="clear"/>
            <w:vAlign w:val="center"/>
          </w:tcPr>
          <w:p>
            <w:pPr>
              <w:pStyle w:val="TableContents"/>
              <w:spacing w:before="0" w:after="283"/>
              <w:rPr>
                <w:sz w:val="4"/>
                <w:szCs w:val="4"/>
              </w:rPr>
            </w:pPr>
            <w:r>
              <w:rPr>
                <w:sz w:val="4"/>
                <w:szCs w:val="4"/>
              </w:rPr>
            </w:r>
          </w:p>
        </w:tc>
        <w:tc>
          <w:tcPr>
            <w:tcW w:w="426" w:type="dxa"/>
            <w:tcBorders/>
            <w:shd w:fill="auto" w:val="clear"/>
            <w:vAlign w:val="center"/>
          </w:tcPr>
          <w:p>
            <w:pPr>
              <w:pStyle w:val="TableContents"/>
              <w:spacing w:before="0" w:after="283"/>
              <w:rPr>
                <w:sz w:val="4"/>
                <w:szCs w:val="4"/>
              </w:rPr>
            </w:pPr>
            <w:r>
              <w:rPr>
                <w:sz w:val="4"/>
                <w:szCs w:val="4"/>
              </w:rPr>
            </w:r>
          </w:p>
        </w:tc>
        <w:tc>
          <w:tcPr>
            <w:tcW w:w="43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07" w:type="dxa"/>
            <w:tcBorders/>
            <w:shd w:fill="auto" w:val="clear"/>
            <w:vAlign w:val="center"/>
          </w:tcPr>
          <w:p>
            <w:pPr>
              <w:pStyle w:val="TableContents"/>
              <w:spacing w:before="0" w:after="283"/>
              <w:rPr>
                <w:sz w:val="4"/>
                <w:szCs w:val="4"/>
              </w:rPr>
            </w:pPr>
            <w:r>
              <w:rPr>
                <w:sz w:val="4"/>
                <w:szCs w:val="4"/>
              </w:rPr>
            </w:r>
          </w:p>
        </w:tc>
        <w:tc>
          <w:tcPr>
            <w:tcW w:w="907" w:type="dxa"/>
            <w:tcBorders/>
            <w:shd w:fill="auto" w:val="clear"/>
            <w:vAlign w:val="center"/>
          </w:tcPr>
          <w:p>
            <w:pPr>
              <w:pStyle w:val="TableContents"/>
              <w:spacing w:before="0" w:after="283"/>
              <w:rPr>
                <w:sz w:val="4"/>
                <w:szCs w:val="4"/>
              </w:rPr>
            </w:pPr>
            <w:r>
              <w:rPr>
                <w:sz w:val="4"/>
                <w:szCs w:val="4"/>
              </w:rPr>
            </w:r>
          </w:p>
        </w:tc>
        <w:tc>
          <w:tcPr>
            <w:tcW w:w="9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9" w:type="dxa"/>
            <w:tcBorders/>
            <w:shd w:fill="auto" w:val="clear"/>
            <w:vAlign w:val="center"/>
          </w:tcPr>
          <w:p>
            <w:pPr>
              <w:pStyle w:val="TableContents"/>
              <w:spacing w:before="0" w:after="283"/>
              <w:rPr>
                <w:sz w:val="4"/>
                <w:szCs w:val="4"/>
              </w:rPr>
            </w:pPr>
            <w:r>
              <w:rPr>
                <w:sz w:val="4"/>
                <w:szCs w:val="4"/>
              </w:rPr>
            </w:r>
          </w:p>
        </w:tc>
        <w:tc>
          <w:tcPr>
            <w:tcW w:w="329"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66" w:type="dxa"/>
            <w:tcBorders/>
            <w:shd w:fill="auto" w:val="clear"/>
            <w:vAlign w:val="center"/>
          </w:tcPr>
          <w:p>
            <w:pPr>
              <w:pStyle w:val="TableContents"/>
              <w:spacing w:before="0" w:after="283"/>
              <w:rPr>
                <w:sz w:val="4"/>
                <w:szCs w:val="4"/>
              </w:rPr>
            </w:pPr>
            <w:r>
              <w:rPr>
                <w:sz w:val="4"/>
                <w:szCs w:val="4"/>
              </w:rPr>
            </w:r>
          </w:p>
        </w:tc>
        <w:tc>
          <w:tcPr>
            <w:tcW w:w="595" w:type="dxa"/>
            <w:tcBorders/>
            <w:shd w:fill="auto" w:val="clear"/>
            <w:vAlign w:val="center"/>
          </w:tcPr>
          <w:p>
            <w:pPr>
              <w:pStyle w:val="TableContents"/>
              <w:spacing w:before="0" w:after="283"/>
              <w:rPr>
                <w:sz w:val="4"/>
                <w:szCs w:val="4"/>
              </w:rPr>
            </w:pPr>
            <w:r>
              <w:rPr>
                <w:sz w:val="4"/>
                <w:szCs w:val="4"/>
              </w:rPr>
            </w:r>
          </w:p>
        </w:tc>
        <w:tc>
          <w:tcPr>
            <w:tcW w:w="59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77" w:type="dxa"/>
            <w:tcBorders/>
            <w:shd w:fill="auto" w:val="clear"/>
            <w:vAlign w:val="center"/>
          </w:tcPr>
          <w:p>
            <w:pPr>
              <w:pStyle w:val="TableContents"/>
              <w:spacing w:before="0" w:after="283"/>
              <w:rPr>
                <w:sz w:val="4"/>
                <w:szCs w:val="4"/>
              </w:rPr>
            </w:pPr>
            <w:r>
              <w:rPr>
                <w:sz w:val="4"/>
                <w:szCs w:val="4"/>
              </w:rPr>
            </w:r>
          </w:p>
        </w:tc>
        <w:tc>
          <w:tcPr>
            <w:tcW w:w="577"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r>
      <w:tr>
        <w:trPr/>
        <w:tc>
          <w:tcPr>
            <w:tcW w:w="13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Name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2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Number of Ordinary Shares Underlying Awards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9" w:type="dxa"/>
            <w:gridSpan w:val="3"/>
            <w:tcBorders/>
            <w:shd w:fill="auto" w:val="clear"/>
            <w:tcMar>
              <w:top w:w="0" w:type="dxa"/>
              <w:left w:w="0" w:type="dxa"/>
              <w:bottom w:w="0" w:type="dxa"/>
              <w:right w:w="0" w:type="dxa"/>
            </w:tcMar>
            <w:vAlign w:val="center"/>
          </w:tcPr>
          <w:p>
            <w:pPr>
              <w:pStyle w:val="TableContents"/>
              <w:spacing w:lineRule="auto" w:line="319" w:before="100" w:after="283"/>
              <w:jc w:val="center"/>
              <w:rPr>
                <w:rFonts w:ascii="Times New Roman;sans-serif" w:hAnsi="Times New Roman;sans-serif"/>
                <w:b/>
                <w:color w:val="000000"/>
                <w:sz w:val="18"/>
              </w:rPr>
            </w:pPr>
            <w:r>
              <w:rPr>
                <w:rFonts w:ascii="Times New Roman;sans-serif" w:hAnsi="Times New Roman;sans-serif"/>
                <w:b/>
                <w:color w:val="000000"/>
                <w:sz w:val="18"/>
              </w:rPr>
              <w:t>Exercise Price</w:t>
            </w:r>
          </w:p>
          <w:p>
            <w:pPr>
              <w:pStyle w:val="TableContents"/>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(US$/Share)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6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Date of Grant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8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Date of Expiration</w:t>
            </w:r>
          </w:p>
        </w:tc>
      </w:tr>
      <w:tr>
        <w:trPr/>
        <w:tc>
          <w:tcPr>
            <w:tcW w:w="134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Sheng (Shawn) Zhong</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23"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US$0.10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6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March 30, 2018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8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February 29, 2028</w:t>
            </w:r>
          </w:p>
        </w:tc>
      </w:tr>
      <w:tr>
        <w:trPr/>
        <w:tc>
          <w:tcPr>
            <w:tcW w:w="13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Regev (Reggie) Yativ</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23"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US$0.10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6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March 30, 2018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8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February 29, 2028</w:t>
            </w:r>
          </w:p>
        </w:tc>
      </w:tr>
      <w:tr>
        <w:trPr/>
        <w:tc>
          <w:tcPr>
            <w:tcW w:w="13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Eric He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23"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US$0.10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6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June 17, 2020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8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June 16, 2030</w:t>
            </w:r>
          </w:p>
        </w:tc>
      </w:tr>
      <w:tr>
        <w:trPr/>
        <w:tc>
          <w:tcPr>
            <w:tcW w:w="1345" w:type="dxa"/>
            <w:gridSpan w:val="3"/>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Jingbo Wang</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2723" w:type="dxa"/>
            <w:gridSpan w:val="3"/>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989" w:type="dxa"/>
            <w:gridSpan w:val="3"/>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US$0.10</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1860" w:type="dxa"/>
            <w:gridSpan w:val="3"/>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February 12, 2020 - June 17, 2020</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1980" w:type="dxa"/>
            <w:gridSpan w:val="3"/>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February 11, 2030 - June 16, 2030</w:t>
            </w:r>
          </w:p>
        </w:tc>
      </w:tr>
    </w:tbl>
    <w:p>
      <w:pPr>
        <w:pStyle w:val="TextBody"/>
        <w:spacing w:lineRule="auto" w:line="319" w:before="0" w:after="240"/>
        <w:rPr>
          <w:rFonts w:ascii="Times New Roman;sans-serif" w:hAnsi="Times New Roman;sans-serif"/>
          <w:b w:val="false"/>
          <w:color w:val="000000"/>
          <w:sz w:val="18"/>
        </w:rPr>
      </w:pPr>
      <w:r>
        <w:rPr>
          <w:rFonts w:ascii="Times New Roman;sans-serif" w:hAnsi="Times New Roman;sans-serif"/>
          <w:b w:val="false"/>
          <w:color w:val="000000"/>
          <w:sz w:val="18"/>
        </w:rPr>
        <w:t>* Represents less than 1% of our total outstanding shares.</w:t>
      </w:r>
    </w:p>
    <w:p>
      <w:pPr>
        <w:pStyle w:val="TextBody"/>
        <w:spacing w:lineRule="auto" w:line="319" w:before="0" w:after="240"/>
        <w:ind w:left="0" w:right="0" w:firstLine="720"/>
        <w:jc w:val="both"/>
        <w:rPr/>
      </w:pPr>
      <w:r>
        <w:rPr>
          <w:rFonts w:ascii="Times New Roman;sans-serif" w:hAnsi="Times New Roman;sans-serif"/>
          <w:b w:val="false"/>
          <w:color w:val="000000"/>
          <w:sz w:val="20"/>
        </w:rPr>
        <w:t xml:space="preserve">In November 2020, our management adopted and our board of directors approved the VPP Program to supplement our equity incentive plans. </w:t>
      </w:r>
      <w:r>
        <w:rPr>
          <w:rFonts w:ascii="Times New Roman;sans-serif" w:hAnsi="Times New Roman;sans-serif"/>
          <w:b w:val="false"/>
          <w:color w:val="000000"/>
          <w:sz w:val="20"/>
          <w:highlight w:val="white"/>
        </w:rPr>
        <w:t xml:space="preserve">The VPP program allows us to grant VPPs to participants in the VPP Program, which entitle them to participate in our annual adjusted profit sharing and retained profit sharing. The term of each VPP will be stated in the award agreement; provided, however, that the VPPs will be entitled to no more than four years of our annual adjusted profit sharing and retained profit sharing from the effective date thereof. Unless determined otherwise by the administrator, VPPs may not be sold, pledged, assigned, hypothecated or otherwise transferred in any manner. </w:t>
      </w:r>
      <w:r>
        <w:rPr>
          <w:rFonts w:ascii="Times New Roman;sans-serif" w:hAnsi="Times New Roman;sans-serif"/>
          <w:b w:val="false"/>
          <w:color w:val="000000"/>
          <w:sz w:val="20"/>
        </w:rPr>
        <w:t>As of December 31, 2020, we had granted a certain number of VPPs, which may be settled by cash or shares. See Note 13 to our audited consolidated financial statements included elsewhere in this annual report.</w:t>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C. Board Practices</w:t>
      </w:r>
    </w:p>
    <w:p>
      <w:pPr>
        <w:pStyle w:val="TextBody"/>
        <w:spacing w:lineRule="auto" w:line="319" w:before="100" w:after="240"/>
        <w:jc w:val="both"/>
        <w:rPr>
          <w:rFonts w:ascii="Times New Roman;sans-serif" w:hAnsi="Times New Roman;sans-serif"/>
          <w:b/>
          <w:color w:val="000000"/>
          <w:sz w:val="20"/>
        </w:rPr>
      </w:pPr>
      <w:r>
        <w:rPr>
          <w:rFonts w:ascii="Times New Roman;sans-serif" w:hAnsi="Times New Roman;sans-serif"/>
          <w:b/>
          <w:color w:val="000000"/>
          <w:sz w:val="20"/>
        </w:rPr>
        <w:t>Board of Directors</w:t>
      </w:r>
    </w:p>
    <w:p>
      <w:pPr>
        <w:pStyle w:val="TextBody"/>
        <w:spacing w:lineRule="auto" w:line="319" w:before="10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board of directors consists of five directors. A director is not required to hold any shares in our company by way of qualification. A director may vote with respect to any contract or transaction, or proposed contract or transaction in which he or she is, whether directly or indirectly, materially interested provided (1) such director, if his or her interest in such contract or transaction is material, has declared the nature of his or her interest at the earliest meeting of the board at which it is practicable for him or her to do so, either specifically or by way of a general notice, and (2) if such contract or arrangement is a transaction with a related party, such transaction has been approved by the audit committee. Our directors may exercise all the powers of the company to borrow money, mortgage or charge its undertaking, property and assets (present or future) and uncalled capital or any part thereof, and issue debentures, debenture stock, bonds or other securities whether outright or as collateral security for any obligation of the company or of any third party. None of our non-employee directors has a service contract with us that provides for benefits upon termination of service.</w:t>
      </w:r>
    </w:p>
    <w:p>
      <w:pPr>
        <w:pStyle w:val="TextBody"/>
        <w:spacing w:lineRule="auto" w:line="319" w:before="100" w:after="100"/>
        <w:jc w:val="both"/>
        <w:rPr>
          <w:rFonts w:ascii="Times New Roman;sans-serif" w:hAnsi="Times New Roman;sans-serif"/>
          <w:b/>
          <w:color w:val="000000"/>
          <w:sz w:val="20"/>
        </w:rPr>
      </w:pPr>
      <w:r>
        <w:rPr>
          <w:rFonts w:ascii="Times New Roman;sans-serif" w:hAnsi="Times New Roman;sans-serif"/>
          <w:b/>
          <w:color w:val="000000"/>
          <w:sz w:val="20"/>
        </w:rPr>
        <w:t>Director Independence</w:t>
      </w:r>
    </w:p>
    <w:p>
      <w:pPr>
        <w:pStyle w:val="TextBody"/>
        <w:spacing w:lineRule="auto" w:line="319" w:before="10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board of directors has undertaken a review of the independence of the directors and considered whether any director has a relationship with us that could interfere with such director’s ability to exercise independent judgment in carrying out the responsibilities of a director. As a result of this review, our board of directors </w:t>
      </w:r>
    </w:p>
    <w:p>
      <w:pPr>
        <w:pStyle w:val="HorizontalLine"/>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385445"/>
                <wp:effectExtent l="0" t="0" r="0" b="0"/>
                <wp:wrapNone/>
                <wp:docPr id="130" name="Frame129"/>
                <a:graphic xmlns:a="http://schemas.openxmlformats.org/drawingml/2006/main">
                  <a:graphicData uri="http://schemas.microsoft.com/office/word/2010/wordprocessingShape">
                    <wps:wsp>
                      <wps:cNvSpPr txBox="1"/>
                      <wps:spPr>
                        <a:xfrm>
                          <a:off x="0" y="0"/>
                          <a:ext cx="6480175" cy="385445"/>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125</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125</w:t>
                      </w:r>
                    </w:p>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lineRule="auto" w:line="319" w:before="100" w:after="240"/>
        <w:jc w:val="both"/>
        <w:rPr>
          <w:rFonts w:ascii="Times New Roman;sans-serif" w:hAnsi="Times New Roman;sans-serif"/>
          <w:b w:val="false"/>
          <w:color w:val="000000"/>
          <w:sz w:val="20"/>
        </w:rPr>
      </w:pPr>
      <w:r>
        <w:rPr>
          <w:rFonts w:ascii="Times New Roman;sans-serif" w:hAnsi="Times New Roman;sans-serif"/>
          <w:b w:val="false"/>
          <w:color w:val="000000"/>
          <w:sz w:val="20"/>
        </w:rPr>
        <w:t>determined that Messrs. Liu, Koh and He, and Ms. Lee, representing four of our five directors, are “independent directors” as that term is defined under the applicable rules and regulations of the SEC and the listing requirements and corporate governance rules of the Nasdaq Stock Market. In making such determination, our board of directors considered the relationships that each non-employee director has with us and all other facts and circumstances our board of directors deemed relevant in determining the director’s independence, including the number of ordinary shares beneficially owned by the director.</w:t>
      </w:r>
    </w:p>
    <w:p>
      <w:pPr>
        <w:pStyle w:val="TextBody"/>
        <w:spacing w:lineRule="auto" w:line="319" w:before="100" w:after="100"/>
        <w:jc w:val="both"/>
        <w:rPr>
          <w:rFonts w:ascii="Times New Roman;sans-serif" w:hAnsi="Times New Roman;sans-serif"/>
          <w:b/>
          <w:color w:val="000000"/>
          <w:sz w:val="20"/>
        </w:rPr>
      </w:pPr>
      <w:r>
        <w:rPr>
          <w:rFonts w:ascii="Times New Roman;sans-serif" w:hAnsi="Times New Roman;sans-serif"/>
          <w:b/>
          <w:color w:val="000000"/>
          <w:sz w:val="20"/>
        </w:rPr>
        <w:t>Controlled Company Exemption</w:t>
      </w:r>
    </w:p>
    <w:p>
      <w:pPr>
        <w:pStyle w:val="TextBody"/>
        <w:spacing w:lineRule="auto" w:line="319" w:before="10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chief executive officer controls a majority of the voting power represented by our ordinary shares. As a result, we are a “controlled company” within the meaning of the corporate governance rules of the Nasdaq Stock Market. Under these rules, a company of which more than 50% of the voting power for the election of directors is held by an individual, a group or another company is a “controlled company” and may elect not to comply with certain corporate governance requirements. Any sale, transfer, assignment or disposition of any Class B ordinary shares by their holder or a change of ultimate beneficial ownership of any Class B ordinary shares will generally result in the conversion of such Class B ordinary shares into Class A ordinary shares, except for transfers to certain permitted transferees, which include Agora Partners L.P., an exempted limited partnership to be established in the Cayman Islands (the limited partners of which shall consist primarily of members of management of our company and its affiliates, and which we refer to as the Management Partnership). If Mr. Zhao transfers Class B ordinary shares to the Management Partnership, we may remain a controlled company even if Mr. Zhao ceases to be our employee, director or shareholder.</w:t>
      </w:r>
    </w:p>
    <w:p>
      <w:pPr>
        <w:pStyle w:val="TextBody"/>
        <w:spacing w:lineRule="auto" w:line="319" w:before="10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rely on certain of the exemptions provided to controlled companies under the corporate governance rules of the Nasdaq Stock Market. We do not have an entirely independent nominating and corporate governance committee and may not perform annual performance evaluations of the nominating and corporate governance committee until such time as we are required to do so. Accordingly, you may not have the same protections afforded to shareholders of companies that are subject to all of these corporate governance requirements. See “Item 3. Key Information—D. Risk Factors—Risks Related to the ADSs—We are a “controlled company” as defined under the Nasdaq Stock Market corporate governance rules. As a result, we are qualified for, and rely on, exemptions from certain corporate governance requirements that would otherwise provide protection to shareholders of other companies.” Even if we cease to be a controlled company, we may still rely on exemptions available to foreign private issuers, including being able to adopt home country practices in relation to corporate governance matters. See “Item 3. Key Information—D. Risk Factors—Risks Related to the ADSs—We are a foreign private issuer within the meaning of the rules under the Exchange Act, and as such we are exempt from certain provisions applicable to U.S. domestic public companies” and “—As an exempted company incorporated in the Cayman Islands, we are permitted to adopt certain home country practices in relation to corporate governance matters that differ significantly from the Nasdaq Stock Market corporate governance standards; these practices may afford less protection to shareholders than they would enjoy if we comply fully with the Nasdaq Stock Market corporate governance standards.”</w:t>
      </w:r>
    </w:p>
    <w:p>
      <w:pPr>
        <w:pStyle w:val="TextBody"/>
        <w:spacing w:lineRule="auto" w:line="319" w:before="100" w:after="100"/>
        <w:jc w:val="both"/>
        <w:rPr>
          <w:rFonts w:ascii="Times New Roman;sans-serif" w:hAnsi="Times New Roman;sans-serif"/>
          <w:b/>
          <w:color w:val="000000"/>
          <w:sz w:val="20"/>
        </w:rPr>
      </w:pPr>
      <w:r>
        <w:rPr>
          <w:rFonts w:ascii="Times New Roman;sans-serif" w:hAnsi="Times New Roman;sans-serif"/>
          <w:b/>
          <w:color w:val="000000"/>
          <w:sz w:val="20"/>
        </w:rPr>
        <w:t>Board Committees</w:t>
      </w:r>
    </w:p>
    <w:p>
      <w:pPr>
        <w:pStyle w:val="TextBody"/>
        <w:spacing w:lineRule="auto" w:line="319" w:before="10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have established three committees under the board of directors: an audit committee, a compensation committee and a nominating and corporate governance committee. We have adopted a charter for each of the three committees. Each committee’s members and functions are described below.</w:t>
      </w:r>
    </w:p>
    <w:p>
      <w:pPr>
        <w:pStyle w:val="TextBody"/>
        <w:spacing w:lineRule="auto" w:line="319" w:before="100" w:after="240"/>
        <w:jc w:val="both"/>
        <w:rPr>
          <w:rFonts w:ascii="Times New Roman;sans-serif" w:hAnsi="Times New Roman;sans-serif"/>
          <w:b w:val="false"/>
          <w:i/>
          <w:color w:val="000000"/>
          <w:sz w:val="20"/>
        </w:rPr>
      </w:pPr>
      <w:r>
        <w:rPr>
          <w:rFonts w:ascii="Times New Roman;sans-serif" w:hAnsi="Times New Roman;sans-serif"/>
          <w:b w:val="false"/>
          <w:i/>
          <w:color w:val="000000"/>
          <w:sz w:val="20"/>
        </w:rPr>
        <w:t>Audit Committee</w:t>
      </w:r>
    </w:p>
    <w:p>
      <w:pPr>
        <w:pStyle w:val="TextBody"/>
        <w:spacing w:lineRule="auto" w:line="319" w:before="10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audit committee consists of Messrs. He and Liu and Ms. Lee. Mr. He is the chairperson of our audit committee. Our board of directors has determined that each of Messrs. He and Liu and Ms. Lee satisfies the </w:t>
      </w:r>
    </w:p>
    <w:p>
      <w:pPr>
        <w:pStyle w:val="HorizontalLine"/>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385445"/>
                <wp:effectExtent l="0" t="0" r="0" b="0"/>
                <wp:wrapNone/>
                <wp:docPr id="131" name="Frame130"/>
                <a:graphic xmlns:a="http://schemas.openxmlformats.org/drawingml/2006/main">
                  <a:graphicData uri="http://schemas.microsoft.com/office/word/2010/wordprocessingShape">
                    <wps:wsp>
                      <wps:cNvSpPr txBox="1"/>
                      <wps:spPr>
                        <a:xfrm>
                          <a:off x="0" y="0"/>
                          <a:ext cx="6480175" cy="385445"/>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126</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126</w:t>
                      </w:r>
                    </w:p>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lineRule="auto" w:line="319" w:before="100" w:after="240"/>
        <w:jc w:val="both"/>
        <w:rPr>
          <w:color w:val="000000"/>
        </w:rPr>
      </w:pPr>
      <w:r>
        <w:rPr>
          <w:color w:val="000000"/>
        </w:rPr>
        <w:t>“</w:t>
      </w:r>
      <w:r>
        <w:rPr>
          <w:rFonts w:ascii="Times New Roman;sans-serif" w:hAnsi="Times New Roman;sans-serif"/>
          <w:b w:val="false"/>
          <w:color w:val="000000"/>
          <w:sz w:val="20"/>
        </w:rPr>
        <w:t>independence” requirements of the corporate governance rules of the Nasdaq Stock Market and Rule 10A-3 under the Exchange Act, as amended. Our board of directors has also determined that Mr. He qualifies as an “audit committee financial expert.” The audit committee oversees our accounting and financial reporting processes and the audits of the financial statements of our company. The audit committee is responsible for, among other things</w:t>
      </w:r>
    </w:p>
    <w:p>
      <w:pPr>
        <w:pStyle w:val="TextBody"/>
        <w:spacing w:lineRule="auto" w:line="319" w:before="0" w:after="240"/>
        <w:ind w:left="0" w:right="0" w:hanging="360"/>
        <w:jc w:val="both"/>
        <w:rPr/>
      </w:pPr>
      <w:r>
        <w:rPr>
          <w:color w:val="000000"/>
        </w:rPr>
        <w:t>•</w:t>
      </w:r>
      <w:r>
        <w:rPr>
          <w:rFonts w:ascii="Times New Roman;sans-serif" w:hAnsi="Times New Roman;sans-serif"/>
          <w:b w:val="false"/>
          <w:color w:val="000000"/>
          <w:sz w:val="20"/>
        </w:rPr>
        <w:t>approving the hiring, discharging and compensation of our independent registered public accounting firm;</w:t>
      </w:r>
    </w:p>
    <w:p>
      <w:pPr>
        <w:pStyle w:val="TextBody"/>
        <w:spacing w:lineRule="auto" w:line="319" w:before="0" w:after="240"/>
        <w:ind w:left="0" w:right="0" w:hanging="360"/>
        <w:jc w:val="both"/>
        <w:rPr/>
      </w:pPr>
      <w:r>
        <w:rPr>
          <w:color w:val="000000"/>
        </w:rPr>
        <w:t>•</w:t>
      </w:r>
      <w:r>
        <w:rPr>
          <w:rFonts w:ascii="Times New Roman;sans-serif" w:hAnsi="Times New Roman;sans-serif"/>
          <w:b w:val="false"/>
          <w:color w:val="000000"/>
          <w:sz w:val="20"/>
        </w:rPr>
        <w:t>overseeing the work of our independent registered public accounting firm;</w:t>
      </w:r>
    </w:p>
    <w:p>
      <w:pPr>
        <w:pStyle w:val="TextBody"/>
        <w:spacing w:lineRule="auto" w:line="319" w:before="0" w:after="240"/>
        <w:ind w:left="0" w:right="0" w:hanging="360"/>
        <w:jc w:val="both"/>
        <w:rPr/>
      </w:pPr>
      <w:r>
        <w:rPr>
          <w:color w:val="000000"/>
        </w:rPr>
        <w:t>•</w:t>
      </w:r>
      <w:r>
        <w:rPr>
          <w:rFonts w:ascii="Times New Roman;sans-serif" w:hAnsi="Times New Roman;sans-serif"/>
          <w:b w:val="false"/>
          <w:color w:val="000000"/>
          <w:sz w:val="20"/>
        </w:rPr>
        <w:t>approving engagements of our independent registered public accounting firm to render any audit or permissible non-audit services;</w:t>
      </w:r>
    </w:p>
    <w:p>
      <w:pPr>
        <w:pStyle w:val="TextBody"/>
        <w:spacing w:lineRule="auto" w:line="319" w:before="0" w:after="240"/>
        <w:ind w:left="0" w:right="0" w:hanging="360"/>
        <w:jc w:val="both"/>
        <w:rPr/>
      </w:pPr>
      <w:r>
        <w:rPr>
          <w:color w:val="000000"/>
        </w:rPr>
        <w:t>•</w:t>
      </w:r>
      <w:r>
        <w:rPr>
          <w:rFonts w:ascii="Times New Roman;sans-serif" w:hAnsi="Times New Roman;sans-serif"/>
          <w:b w:val="false"/>
          <w:color w:val="000000"/>
          <w:sz w:val="20"/>
        </w:rPr>
        <w:t>reviewing the qualifications, independence and performance of our independent registered public accounting firm;</w:t>
      </w:r>
    </w:p>
    <w:p>
      <w:pPr>
        <w:pStyle w:val="TextBody"/>
        <w:spacing w:lineRule="auto" w:line="319" w:before="0" w:after="240"/>
        <w:ind w:left="0" w:right="0" w:hanging="360"/>
        <w:jc w:val="both"/>
        <w:rPr/>
      </w:pPr>
      <w:r>
        <w:rPr>
          <w:color w:val="000000"/>
        </w:rPr>
        <w:t>•</w:t>
      </w:r>
      <w:r>
        <w:rPr>
          <w:rFonts w:ascii="Times New Roman;sans-serif" w:hAnsi="Times New Roman;sans-serif"/>
          <w:b w:val="false"/>
          <w:color w:val="000000"/>
          <w:sz w:val="20"/>
        </w:rPr>
        <w:t>reviewing our consolidated financial statements and reviewing our critical accounting policies and estimates;</w:t>
      </w:r>
    </w:p>
    <w:p>
      <w:pPr>
        <w:pStyle w:val="TextBody"/>
        <w:spacing w:lineRule="auto" w:line="319" w:before="0" w:after="240"/>
        <w:ind w:left="0" w:right="0" w:hanging="360"/>
        <w:jc w:val="both"/>
        <w:rPr/>
      </w:pPr>
      <w:r>
        <w:rPr>
          <w:color w:val="000000"/>
        </w:rPr>
        <w:t>•</w:t>
      </w:r>
      <w:r>
        <w:rPr>
          <w:rFonts w:ascii="Times New Roman;sans-serif" w:hAnsi="Times New Roman;sans-serif"/>
          <w:b w:val="false"/>
          <w:color w:val="000000"/>
          <w:sz w:val="20"/>
        </w:rPr>
        <w:t>developing procedures for employees to anonymously submit concerns about questionable accounting or audit matters;</w:t>
      </w:r>
    </w:p>
    <w:p>
      <w:pPr>
        <w:pStyle w:val="TextBody"/>
        <w:spacing w:lineRule="auto" w:line="319" w:before="0" w:after="240"/>
        <w:ind w:left="0" w:right="0" w:hanging="360"/>
        <w:jc w:val="both"/>
        <w:rPr/>
      </w:pPr>
      <w:r>
        <w:rPr>
          <w:color w:val="000000"/>
        </w:rPr>
        <w:t>•</w:t>
      </w:r>
      <w:r>
        <w:rPr>
          <w:rFonts w:ascii="Times New Roman;sans-serif" w:hAnsi="Times New Roman;sans-serif"/>
          <w:b w:val="false"/>
          <w:color w:val="000000"/>
          <w:sz w:val="20"/>
        </w:rPr>
        <w:t>reviewing the adequacy and effectiveness of our internal controls; and</w:t>
      </w:r>
    </w:p>
    <w:p>
      <w:pPr>
        <w:pStyle w:val="TextBody"/>
        <w:spacing w:lineRule="auto" w:line="319" w:before="0" w:after="240"/>
        <w:ind w:left="0" w:right="0" w:hanging="360"/>
        <w:jc w:val="both"/>
        <w:rPr/>
      </w:pPr>
      <w:r>
        <w:rPr>
          <w:color w:val="000000"/>
        </w:rPr>
        <w:t>•</w:t>
      </w:r>
      <w:r>
        <w:rPr>
          <w:rFonts w:ascii="Times New Roman;sans-serif" w:hAnsi="Times New Roman;sans-serif"/>
          <w:b w:val="false"/>
          <w:color w:val="000000"/>
          <w:sz w:val="20"/>
        </w:rPr>
        <w:t>reviewing and discussing the scope and results of the audit with our independent registered public accounting firm and reviewing, with management and the independent accountants, our interim and annual operating results.</w:t>
      </w:r>
    </w:p>
    <w:p>
      <w:pPr>
        <w:pStyle w:val="TextBody"/>
        <w:spacing w:lineRule="auto" w:line="319" w:before="100" w:after="240"/>
        <w:jc w:val="both"/>
        <w:rPr>
          <w:rFonts w:ascii="Times New Roman;sans-serif" w:hAnsi="Times New Roman;sans-serif"/>
          <w:b/>
          <w:i/>
          <w:color w:val="000000"/>
          <w:sz w:val="20"/>
        </w:rPr>
      </w:pPr>
      <w:r>
        <w:rPr>
          <w:rFonts w:ascii="Times New Roman;sans-serif" w:hAnsi="Times New Roman;sans-serif"/>
          <w:b/>
          <w:i/>
          <w:color w:val="000000"/>
          <w:sz w:val="20"/>
        </w:rPr>
        <w:t>Compensation Committee</w:t>
      </w:r>
    </w:p>
    <w:p>
      <w:pPr>
        <w:pStyle w:val="TextBody"/>
        <w:spacing w:lineRule="auto" w:line="319" w:before="10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compensation committee consists of Ms. Lee and Messrs. He and Koh. Ms. Lee is the chairperson of our compensation committee. Our board of directors has determined that each of Ms. Lee and Messrs. He and Koh satisfies the “independence” requirements of the corporate governance rules of the Nasdaq Stock Market. The compensation committee assists the board in reviewing and approving the compensation structure, including all forms of compensation, relating to our directors and executive officers. Our chief executive officer may not be present at any committee meeting during which his compensation is deliberated. The compensation committee is responsible for, among other things:</w:t>
      </w:r>
    </w:p>
    <w:p>
      <w:pPr>
        <w:pStyle w:val="TextBody"/>
        <w:spacing w:lineRule="auto" w:line="319" w:before="0" w:after="240"/>
        <w:ind w:left="0" w:right="0" w:hanging="360"/>
        <w:jc w:val="both"/>
        <w:rPr/>
      </w:pPr>
      <w:r>
        <w:rPr>
          <w:color w:val="000000"/>
        </w:rPr>
        <w:t>•</w:t>
      </w:r>
      <w:r>
        <w:rPr>
          <w:rFonts w:ascii="Times New Roman;sans-serif" w:hAnsi="Times New Roman;sans-serif"/>
          <w:b w:val="false"/>
          <w:color w:val="000000"/>
          <w:sz w:val="20"/>
        </w:rPr>
        <w:t>reviewing and recommending policies relating to compensation and benefits of our officers and employees;</w:t>
      </w:r>
    </w:p>
    <w:p>
      <w:pPr>
        <w:pStyle w:val="TextBody"/>
        <w:spacing w:lineRule="auto" w:line="319" w:before="0" w:after="240"/>
        <w:ind w:left="0" w:right="0" w:hanging="360"/>
        <w:jc w:val="both"/>
        <w:rPr/>
      </w:pPr>
      <w:r>
        <w:rPr>
          <w:color w:val="000000"/>
        </w:rPr>
        <w:t>•</w:t>
      </w:r>
      <w:r>
        <w:rPr>
          <w:rFonts w:ascii="Times New Roman;sans-serif" w:hAnsi="Times New Roman;sans-serif"/>
          <w:b w:val="false"/>
          <w:color w:val="000000"/>
          <w:sz w:val="20"/>
        </w:rPr>
        <w:t>reviewing and approving corporate goals and objectives relevant to compensation of our chief executive officer and other senior officers;</w:t>
      </w:r>
    </w:p>
    <w:p>
      <w:pPr>
        <w:pStyle w:val="TextBody"/>
        <w:spacing w:lineRule="auto" w:line="319" w:before="0" w:after="240"/>
        <w:ind w:left="0" w:right="0" w:hanging="360"/>
        <w:jc w:val="both"/>
        <w:rPr/>
      </w:pPr>
      <w:r>
        <w:rPr>
          <w:color w:val="000000"/>
        </w:rPr>
        <w:t>•</w:t>
      </w:r>
      <w:r>
        <w:rPr>
          <w:rFonts w:ascii="Times New Roman;sans-serif" w:hAnsi="Times New Roman;sans-serif"/>
          <w:b w:val="false"/>
          <w:color w:val="000000"/>
          <w:sz w:val="20"/>
        </w:rPr>
        <w:t>evaluating the performance of our officers in light of established goals and objectives;</w:t>
      </w:r>
    </w:p>
    <w:p>
      <w:pPr>
        <w:pStyle w:val="TextBody"/>
        <w:spacing w:lineRule="auto" w:line="319" w:before="0" w:after="240"/>
        <w:ind w:left="0" w:right="0" w:hanging="360"/>
        <w:jc w:val="both"/>
        <w:rPr/>
      </w:pPr>
      <w:r>
        <w:rPr>
          <w:color w:val="000000"/>
        </w:rPr>
        <w:t>•</w:t>
      </w:r>
      <w:r>
        <w:rPr>
          <w:rFonts w:ascii="Times New Roman;sans-serif" w:hAnsi="Times New Roman;sans-serif"/>
          <w:b w:val="false"/>
          <w:color w:val="000000"/>
          <w:sz w:val="20"/>
        </w:rPr>
        <w:t>recommending compensation of our officers based on its evaluations; and</w:t>
      </w:r>
    </w:p>
    <w:p>
      <w:pPr>
        <w:pStyle w:val="TextBody"/>
        <w:spacing w:lineRule="auto" w:line="319" w:before="0" w:after="240"/>
        <w:ind w:left="0" w:right="0" w:hanging="360"/>
        <w:jc w:val="both"/>
        <w:rPr/>
      </w:pPr>
      <w:r>
        <w:rPr>
          <w:color w:val="000000"/>
        </w:rPr>
        <w:t>•</w:t>
      </w:r>
      <w:r>
        <w:rPr>
          <w:rFonts w:ascii="Times New Roman;sans-serif" w:hAnsi="Times New Roman;sans-serif"/>
          <w:b w:val="false"/>
          <w:color w:val="000000"/>
          <w:sz w:val="20"/>
        </w:rPr>
        <w:t>administering the issuance of equity awards and other awards under our equity incentive plans.</w:t>
      </w:r>
    </w:p>
    <w:p>
      <w:pPr>
        <w:pStyle w:val="HorizontalLine"/>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385445"/>
                <wp:effectExtent l="0" t="0" r="0" b="0"/>
                <wp:wrapNone/>
                <wp:docPr id="132" name="Frame131"/>
                <a:graphic xmlns:a="http://schemas.openxmlformats.org/drawingml/2006/main">
                  <a:graphicData uri="http://schemas.microsoft.com/office/word/2010/wordprocessingShape">
                    <wps:wsp>
                      <wps:cNvSpPr txBox="1"/>
                      <wps:spPr>
                        <a:xfrm>
                          <a:off x="0" y="0"/>
                          <a:ext cx="6480175" cy="385445"/>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127</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127</w:t>
                      </w:r>
                    </w:p>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lineRule="auto" w:line="319" w:before="100" w:after="240"/>
        <w:jc w:val="both"/>
        <w:rPr>
          <w:rFonts w:ascii="Times New Roman;sans-serif" w:hAnsi="Times New Roman;sans-serif"/>
          <w:b/>
          <w:i/>
          <w:color w:val="000000"/>
          <w:sz w:val="20"/>
        </w:rPr>
      </w:pPr>
      <w:r>
        <w:rPr>
          <w:rFonts w:ascii="Times New Roman;sans-serif" w:hAnsi="Times New Roman;sans-serif"/>
          <w:b/>
          <w:i/>
          <w:color w:val="000000"/>
          <w:sz w:val="20"/>
        </w:rPr>
        <w:t>Nominating and Corporate Governance Committee</w:t>
      </w:r>
    </w:p>
    <w:p>
      <w:pPr>
        <w:pStyle w:val="TextBody"/>
        <w:spacing w:lineRule="auto" w:line="319" w:before="10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nominating and corporate governance committee consists of Messrs. Zhao, Liu and Koh. Mr. Zhao is the chairperson of our nominating and corporate governance committee. Our board of directors has determined that each of Messrs. Liu and Koh satisfies the “independence” requirements of the corporate governance rules of the Nasdaq Stock Market. The nominating and corporate governance committee assists the board of directors in selecting individuals qualified to become our directors and in determining the composition of the board and its committees. The nominating and corporate governance committee is responsible for, among other things:</w:t>
      </w:r>
    </w:p>
    <w:p>
      <w:pPr>
        <w:pStyle w:val="TextBody"/>
        <w:spacing w:lineRule="auto" w:line="319" w:before="0" w:after="240"/>
        <w:ind w:left="0" w:right="0" w:hanging="360"/>
        <w:jc w:val="both"/>
        <w:rPr/>
      </w:pPr>
      <w:r>
        <w:rPr>
          <w:color w:val="000000"/>
        </w:rPr>
        <w:t>•</w:t>
      </w:r>
      <w:r>
        <w:rPr>
          <w:rFonts w:ascii="Times New Roman;sans-serif" w:hAnsi="Times New Roman;sans-serif"/>
          <w:b w:val="false"/>
          <w:color w:val="000000"/>
          <w:sz w:val="20"/>
        </w:rPr>
        <w:t>evaluating and making recommendations regarding the organization and governance of the board of directors and its committees;</w:t>
      </w:r>
    </w:p>
    <w:p>
      <w:pPr>
        <w:pStyle w:val="TextBody"/>
        <w:spacing w:lineRule="auto" w:line="319" w:before="0" w:after="240"/>
        <w:ind w:left="0" w:right="0" w:hanging="360"/>
        <w:jc w:val="both"/>
        <w:rPr/>
      </w:pPr>
      <w:r>
        <w:rPr>
          <w:color w:val="000000"/>
        </w:rPr>
        <w:t>•</w:t>
      </w:r>
      <w:r>
        <w:rPr>
          <w:rFonts w:ascii="Times New Roman;sans-serif" w:hAnsi="Times New Roman;sans-serif"/>
          <w:b w:val="false"/>
          <w:color w:val="000000"/>
          <w:sz w:val="20"/>
        </w:rPr>
        <w:t>assessing the performance of members of the board of directors and making recommendations regarding committee and chair assignments;</w:t>
      </w:r>
    </w:p>
    <w:p>
      <w:pPr>
        <w:pStyle w:val="TextBody"/>
        <w:spacing w:lineRule="auto" w:line="319" w:before="0" w:after="240"/>
        <w:ind w:left="0" w:right="0" w:hanging="360"/>
        <w:jc w:val="both"/>
        <w:rPr/>
      </w:pPr>
      <w:r>
        <w:rPr>
          <w:color w:val="000000"/>
        </w:rPr>
        <w:t>•</w:t>
      </w:r>
      <w:r>
        <w:rPr>
          <w:rFonts w:ascii="Times New Roman;sans-serif" w:hAnsi="Times New Roman;sans-serif"/>
          <w:b w:val="false"/>
          <w:color w:val="000000"/>
          <w:sz w:val="20"/>
        </w:rPr>
        <w:t>recommending desired qualifications for board of directors membership and conducting searches for potential members of the board of directors; and</w:t>
      </w:r>
    </w:p>
    <w:p>
      <w:pPr>
        <w:pStyle w:val="TextBody"/>
        <w:spacing w:lineRule="auto" w:line="319" w:before="0" w:after="240"/>
        <w:ind w:left="0" w:right="0" w:hanging="360"/>
        <w:jc w:val="both"/>
        <w:rPr/>
      </w:pPr>
      <w:r>
        <w:rPr>
          <w:color w:val="000000"/>
        </w:rPr>
        <w:t>•</w:t>
      </w:r>
      <w:r>
        <w:rPr>
          <w:rFonts w:ascii="Times New Roman;sans-serif" w:hAnsi="Times New Roman;sans-serif"/>
          <w:b w:val="false"/>
          <w:color w:val="000000"/>
          <w:sz w:val="20"/>
        </w:rPr>
        <w:t>reviewing and making recommendations with regard to our corporate governance guidelines.</w:t>
      </w:r>
    </w:p>
    <w:p>
      <w:pPr>
        <w:pStyle w:val="TextBody"/>
        <w:spacing w:lineRule="auto" w:line="319" w:before="10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board of directors may from time to time establish other committees.</w:t>
      </w:r>
    </w:p>
    <w:p>
      <w:pPr>
        <w:pStyle w:val="TextBody"/>
        <w:spacing w:lineRule="auto" w:line="319" w:before="100" w:after="100"/>
        <w:jc w:val="both"/>
        <w:rPr>
          <w:rFonts w:ascii="Times New Roman;sans-serif" w:hAnsi="Times New Roman;sans-serif"/>
          <w:b/>
          <w:color w:val="000000"/>
          <w:sz w:val="20"/>
        </w:rPr>
      </w:pPr>
      <w:r>
        <w:rPr>
          <w:rFonts w:ascii="Times New Roman;sans-serif" w:hAnsi="Times New Roman;sans-serif"/>
          <w:b/>
          <w:color w:val="000000"/>
          <w:sz w:val="20"/>
        </w:rPr>
        <w:t>Duties of Directors</w:t>
      </w:r>
    </w:p>
    <w:p>
      <w:pPr>
        <w:pStyle w:val="TextBody"/>
        <w:spacing w:lineRule="auto" w:line="319" w:before="10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Under Cayman Islands law, our directors owe fiduciary duties to our company, including a duty of loyalty, a duty to act honestly, and a duty to act in what they consider in good faith to be in our best interests. Our directors must also exercise their powers only for a proper purpose. Our directors also have a duty to our company to exercise skills they actually possess and such care and diligence that a reasonably prudent person would exercise in comparable circumstances. It was previously considered that a director need not exhibit in the performance of his or her duties a greater degree of skill than may reasonably be expected from a person of his or her knowledge and experience. However, English and Commonwealth Courts have moved toward an objective standard with regards to the registered skill and care and these authorities are likely to be followed in the Cayman Islands. In fulfilling their duty of care to us, our directors must ensure compliance with our memorandum and articles of association, as amended and restated from time to time. Our company has the right to seek damages if a duty owed by our directors is breached. In certain limited exceptional circumstances, a shareholder may have the right to seek damages in our name if a duty owed by our directors is breached.</w:t>
      </w:r>
    </w:p>
    <w:p>
      <w:pPr>
        <w:pStyle w:val="TextBody"/>
        <w:spacing w:lineRule="auto" w:line="319" w:before="10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board of directors has all the powers necessary for managing, and for directing and supervising, our business affairs. The functions and powers of our board of directors include, among others:</w:t>
      </w:r>
    </w:p>
    <w:p>
      <w:pPr>
        <w:pStyle w:val="TextBody"/>
        <w:spacing w:lineRule="auto" w:line="319" w:before="0" w:after="240"/>
        <w:ind w:left="0" w:right="0" w:hanging="360"/>
        <w:jc w:val="both"/>
        <w:rPr/>
      </w:pPr>
      <w:r>
        <w:rPr>
          <w:color w:val="000000"/>
        </w:rPr>
        <w:t>•</w:t>
      </w:r>
      <w:r>
        <w:rPr>
          <w:rFonts w:ascii="Times New Roman;sans-serif" w:hAnsi="Times New Roman;sans-serif"/>
          <w:b w:val="false"/>
          <w:color w:val="000000"/>
          <w:sz w:val="20"/>
        </w:rPr>
        <w:t>convening shareholders’ annual and extraordinary general meetings and reporting its work to shareholders at such meetings;</w:t>
      </w:r>
    </w:p>
    <w:p>
      <w:pPr>
        <w:pStyle w:val="TextBody"/>
        <w:spacing w:lineRule="auto" w:line="319" w:before="0" w:after="240"/>
        <w:ind w:left="0" w:right="0" w:hanging="360"/>
        <w:jc w:val="both"/>
        <w:rPr/>
      </w:pPr>
      <w:r>
        <w:rPr>
          <w:color w:val="000000"/>
        </w:rPr>
        <w:t>•</w:t>
      </w:r>
      <w:r>
        <w:rPr>
          <w:rFonts w:ascii="Times New Roman;sans-serif" w:hAnsi="Times New Roman;sans-serif"/>
          <w:b w:val="false"/>
          <w:color w:val="000000"/>
          <w:sz w:val="20"/>
        </w:rPr>
        <w:t>declaring dividends and distributions;</w:t>
      </w:r>
    </w:p>
    <w:p>
      <w:pPr>
        <w:pStyle w:val="TextBody"/>
        <w:spacing w:lineRule="auto" w:line="319" w:before="0" w:after="240"/>
        <w:ind w:left="0" w:right="0" w:hanging="360"/>
        <w:jc w:val="both"/>
        <w:rPr/>
      </w:pPr>
      <w:r>
        <w:rPr>
          <w:color w:val="000000"/>
        </w:rPr>
        <w:t>•</w:t>
      </w:r>
      <w:r>
        <w:rPr>
          <w:rFonts w:ascii="Times New Roman;sans-serif" w:hAnsi="Times New Roman;sans-serif"/>
          <w:b w:val="false"/>
          <w:color w:val="000000"/>
          <w:sz w:val="20"/>
        </w:rPr>
        <w:t>appointing officers and determining the term of office of the officers;</w:t>
      </w:r>
    </w:p>
    <w:p>
      <w:pPr>
        <w:pStyle w:val="TextBody"/>
        <w:spacing w:lineRule="auto" w:line="319" w:before="0" w:after="240"/>
        <w:ind w:left="0" w:right="0" w:hanging="360"/>
        <w:jc w:val="both"/>
        <w:rPr/>
      </w:pPr>
      <w:r>
        <w:rPr>
          <w:color w:val="000000"/>
        </w:rPr>
        <w:t>•</w:t>
      </w:r>
      <w:r>
        <w:rPr>
          <w:rFonts w:ascii="Times New Roman;sans-serif" w:hAnsi="Times New Roman;sans-serif"/>
          <w:b w:val="false"/>
          <w:color w:val="000000"/>
          <w:sz w:val="20"/>
        </w:rPr>
        <w:t>exercising the borrowing powers of our company and mortgaging the property of our company; and</w:t>
      </w:r>
    </w:p>
    <w:p>
      <w:pPr>
        <w:pStyle w:val="HorizontalLine"/>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385445"/>
                <wp:effectExtent l="0" t="0" r="0" b="0"/>
                <wp:wrapNone/>
                <wp:docPr id="133" name="Frame132"/>
                <a:graphic xmlns:a="http://schemas.openxmlformats.org/drawingml/2006/main">
                  <a:graphicData uri="http://schemas.microsoft.com/office/word/2010/wordprocessingShape">
                    <wps:wsp>
                      <wps:cNvSpPr txBox="1"/>
                      <wps:spPr>
                        <a:xfrm>
                          <a:off x="0" y="0"/>
                          <a:ext cx="6480175" cy="385445"/>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128</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128</w:t>
                      </w:r>
                    </w:p>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lineRule="auto" w:line="319" w:before="0" w:after="240"/>
        <w:ind w:left="0" w:right="0" w:hanging="360"/>
        <w:jc w:val="both"/>
        <w:rPr/>
      </w:pPr>
      <w:r>
        <w:rPr>
          <w:color w:val="000000"/>
        </w:rPr>
        <w:t>•</w:t>
      </w:r>
      <w:r>
        <w:rPr>
          <w:rFonts w:ascii="Times New Roman;sans-serif" w:hAnsi="Times New Roman;sans-serif"/>
          <w:b w:val="false"/>
          <w:color w:val="000000"/>
          <w:sz w:val="20"/>
        </w:rPr>
        <w:t>approving the transfer of shares in our company, including the registration of such shares in our share register.</w:t>
      </w:r>
    </w:p>
    <w:p>
      <w:pPr>
        <w:pStyle w:val="TextBody"/>
        <w:spacing w:lineRule="auto" w:line="319" w:before="100" w:after="100"/>
        <w:jc w:val="both"/>
        <w:rPr>
          <w:rFonts w:ascii="Times New Roman;sans-serif" w:hAnsi="Times New Roman;sans-serif"/>
          <w:b/>
          <w:color w:val="000000"/>
          <w:sz w:val="20"/>
        </w:rPr>
      </w:pPr>
      <w:r>
        <w:rPr>
          <w:rFonts w:ascii="Times New Roman;sans-serif" w:hAnsi="Times New Roman;sans-serif"/>
          <w:b/>
          <w:color w:val="000000"/>
          <w:sz w:val="20"/>
        </w:rPr>
        <w:t>Terms of Directors and Officers</w:t>
      </w:r>
    </w:p>
    <w:p>
      <w:pPr>
        <w:pStyle w:val="TextBody"/>
        <w:spacing w:lineRule="auto" w:line="319" w:before="10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For as long as Soundscape Limited and its affiliates collectively hold such number of Class B ordinary shares that constitute not less than 5% of our issued and outstanding shares, our chief executive officer shall be entitled, through Soundscape Limited and its affiliates, to appoint a majority of our directors and to remove or replace any such directors. Subject to the foregoing, our directors may be appointed by a resolution of our board of directors to fill a casual vacancy on the board of directors or as an addition to the board of directors or by an ordinary resolution of our shareholders.</w:t>
      </w:r>
    </w:p>
    <w:p>
      <w:pPr>
        <w:pStyle w:val="TextBody"/>
        <w:spacing w:lineRule="auto" w:line="319" w:before="10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Unless otherwise determined by our company in general meeting, our company shall have at least five directors and the exact number will be fixed from time to time by resolution of our board of directors. Our directors are not subject to a term of office and hold office until such time as they are removed from office by ordinary resolution of the shareholders or by the board. A director’s office will be vacated if the director (1) becomes bankrupt or makes any arrangement or composition with his or her creditors, (2) dies or is found by our company to be or becomes of unsound mind, (3) resigned his or her office by notice in writing to the company, or (4) is removed from office pursuant to any other provisions of the company’s memorandum and articles of association.</w:t>
      </w:r>
    </w:p>
    <w:p>
      <w:pPr>
        <w:pStyle w:val="TextBody"/>
        <w:spacing w:lineRule="auto" w:line="319" w:before="10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chairman of our board of directors shall be our chief executive officer, for as long as he remains a director of our company. If our chief executive officer ceases to be a director of our company, the board of directors shall elect and appoint a chairman of the board by a majority vote of the directors then in office. Subject to the foregoing, our officers are appointed by and serve at the discretion of the board of directors.</w:t>
      </w:r>
    </w:p>
    <w:p>
      <w:pPr>
        <w:pStyle w:val="TextBody"/>
        <w:spacing w:lineRule="auto" w:line="319" w:before="100" w:after="100"/>
        <w:jc w:val="both"/>
        <w:rPr>
          <w:rFonts w:ascii="Times New Roman;sans-serif" w:hAnsi="Times New Roman;sans-serif"/>
          <w:b/>
          <w:color w:val="000000"/>
          <w:sz w:val="20"/>
        </w:rPr>
      </w:pPr>
      <w:r>
        <w:rPr>
          <w:rFonts w:ascii="Times New Roman;sans-serif" w:hAnsi="Times New Roman;sans-serif"/>
          <w:b/>
          <w:color w:val="000000"/>
          <w:sz w:val="20"/>
        </w:rPr>
        <w:t>Employment Agreements and Indemnification Agreements</w:t>
      </w:r>
    </w:p>
    <w:p>
      <w:pPr>
        <w:pStyle w:val="TextBody"/>
        <w:spacing w:lineRule="auto" w:line="319" w:before="10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have entered into employment agreements with each of our executive officers. We may terminate their employment for cause, including for certain acts such as conviction of or guilty plea to a felony or the continuous failure to perform the executive officer’s duties. If we were to terminate an executive officer, we would provide severance payments as required under applicable law or pursuant to such executive officer’s employment agreement.</w:t>
      </w:r>
    </w:p>
    <w:p>
      <w:pPr>
        <w:pStyle w:val="TextBody"/>
        <w:spacing w:lineRule="auto" w:line="319" w:before="10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Each executive officer has agreed to hold in strict confidence, both during and after the termination or expiry of the employment agreement, and not to use, except as required in the performance of the executive officer’s duties in or pursuant to applicable law, any of our confidential information or trade secrets, or any confidential information or proprietary information of third parties associated with us. Each executive officer has also agreed to disclose in confidence to us all inventions, designs and trade secrets which the executive officer conceives, develops or reduces to practice during the executive officer’s employment with us and to assign all right, title and interest in them to us, and assist us in obtaining and enforcing patents, copyrights and other legal rights for these inventions, designs and trade secrets.</w:t>
      </w:r>
    </w:p>
    <w:p>
      <w:pPr>
        <w:pStyle w:val="TextBody"/>
        <w:spacing w:lineRule="auto" w:line="319" w:before="10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we have entered into indemnification agreements with each of our directors and executive officers. Under these agreements, we agree to indemnify our directors and executive officers against all liabilities and expenses incurred by such persons in connection with claims made by reason of their being a director or officer of our company to the fullest extent permitted by law with certain limited exceptions.</w:t>
      </w:r>
    </w:p>
    <w:p>
      <w:pPr>
        <w:pStyle w:val="TextBody"/>
        <w:spacing w:lineRule="auto" w:line="319" w:before="0" w:after="240"/>
        <w:jc w:val="both"/>
        <w:rPr>
          <w:rFonts w:ascii="Times New Roman;sans-serif" w:hAnsi="Times New Roman;sans-serif"/>
          <w:b/>
          <w:i/>
          <w:color w:val="000000"/>
          <w:sz w:val="20"/>
        </w:rPr>
      </w:pPr>
      <w:r>
        <w:rPr>
          <w:rFonts w:ascii="Times New Roman;sans-serif" w:hAnsi="Times New Roman;sans-serif"/>
          <w:b/>
          <w:i/>
          <w:color w:val="000000"/>
          <w:sz w:val="20"/>
        </w:rPr>
        <w:t>D. Employees</w:t>
      </w:r>
    </w:p>
    <w:p>
      <w:pPr>
        <w:pStyle w:val="TextBody"/>
        <w:spacing w:lineRule="auto" w:line="319" w:before="0" w:after="0"/>
        <w:ind w:left="0" w:right="0" w:firstLine="720"/>
        <w:jc w:val="both"/>
        <w:rPr/>
      </w:pPr>
      <w:r>
        <w:rPr>
          <w:rFonts w:ascii="Times New Roman;sans-serif" w:hAnsi="Times New Roman;sans-serif"/>
          <w:b w:val="false"/>
          <w:color w:val="000000"/>
          <w:sz w:val="20"/>
        </w:rPr>
        <w:t>We had 278, 447, and 842</w:t>
      </w:r>
      <w:r>
        <w:rPr>
          <w:color w:val="000000"/>
        </w:rPr>
        <w:t xml:space="preserve"> </w:t>
      </w:r>
      <w:r>
        <w:rPr>
          <w:rFonts w:ascii="Times New Roman;sans-serif" w:hAnsi="Times New Roman;sans-serif"/>
          <w:b w:val="false"/>
          <w:color w:val="000000"/>
          <w:sz w:val="20"/>
        </w:rPr>
        <w:t xml:space="preserve">employees as of December 31, 2018, 2019 and 2020, respectively. As of December 31, 2020, 776 of our employees were located in China and 66 were located in other countries, primarily </w:t>
      </w:r>
    </w:p>
    <w:p>
      <w:pPr>
        <w:pStyle w:val="HorizontalLine"/>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385445"/>
                <wp:effectExtent l="0" t="0" r="0" b="0"/>
                <wp:wrapNone/>
                <wp:docPr id="134" name="Frame133"/>
                <a:graphic xmlns:a="http://schemas.openxmlformats.org/drawingml/2006/main">
                  <a:graphicData uri="http://schemas.microsoft.com/office/word/2010/wordprocessingShape">
                    <wps:wsp>
                      <wps:cNvSpPr txBox="1"/>
                      <wps:spPr>
                        <a:xfrm>
                          <a:off x="0" y="0"/>
                          <a:ext cx="6480175" cy="385445"/>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129</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129</w:t>
                      </w:r>
                    </w:p>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lineRule="auto" w:line="319"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United States. The following table sets forth the number of our employees categorized by function as of December 31, 2020:</w:t>
      </w:r>
    </w:p>
    <w:tbl>
      <w:tblPr>
        <w:tblW w:w="5802" w:type="dxa"/>
        <w:jc w:val="left"/>
        <w:tblInd w:w="0" w:type="dxa"/>
        <w:tblCellMar>
          <w:top w:w="28" w:type="dxa"/>
          <w:left w:w="28" w:type="dxa"/>
          <w:bottom w:w="28" w:type="dxa"/>
          <w:right w:w="28" w:type="dxa"/>
        </w:tblCellMar>
      </w:tblPr>
      <w:tblGrid>
        <w:gridCol w:w="1306"/>
        <w:gridCol w:w="1148"/>
        <w:gridCol w:w="1161"/>
        <w:gridCol w:w="109"/>
        <w:gridCol w:w="109"/>
        <w:gridCol w:w="109"/>
        <w:gridCol w:w="543"/>
        <w:gridCol w:w="543"/>
        <w:gridCol w:w="774"/>
      </w:tblGrid>
      <w:tr>
        <w:trPr/>
        <w:tc>
          <w:tcPr>
            <w:tcW w:w="1306" w:type="dxa"/>
            <w:tcBorders/>
            <w:shd w:fill="auto" w:val="clear"/>
            <w:vAlign w:val="center"/>
          </w:tcPr>
          <w:p>
            <w:pPr>
              <w:pStyle w:val="TableContents"/>
              <w:spacing w:before="0" w:after="283"/>
              <w:rPr>
                <w:sz w:val="4"/>
                <w:szCs w:val="4"/>
              </w:rPr>
            </w:pPr>
            <w:r>
              <w:rPr>
                <w:sz w:val="4"/>
                <w:szCs w:val="4"/>
              </w:rPr>
            </w:r>
          </w:p>
        </w:tc>
        <w:tc>
          <w:tcPr>
            <w:tcW w:w="1148" w:type="dxa"/>
            <w:tcBorders/>
            <w:shd w:fill="auto" w:val="clear"/>
            <w:vAlign w:val="center"/>
          </w:tcPr>
          <w:p>
            <w:pPr>
              <w:pStyle w:val="TableContents"/>
              <w:spacing w:before="0" w:after="283"/>
              <w:rPr>
                <w:sz w:val="4"/>
                <w:szCs w:val="4"/>
              </w:rPr>
            </w:pPr>
            <w:r>
              <w:rPr>
                <w:sz w:val="4"/>
                <w:szCs w:val="4"/>
              </w:rPr>
            </w:r>
          </w:p>
        </w:tc>
        <w:tc>
          <w:tcPr>
            <w:tcW w:w="11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43" w:type="dxa"/>
            <w:tcBorders/>
            <w:shd w:fill="auto" w:val="clear"/>
            <w:vAlign w:val="center"/>
          </w:tcPr>
          <w:p>
            <w:pPr>
              <w:pStyle w:val="TableContents"/>
              <w:spacing w:before="0" w:after="283"/>
              <w:rPr>
                <w:sz w:val="4"/>
                <w:szCs w:val="4"/>
              </w:rPr>
            </w:pPr>
            <w:r>
              <w:rPr>
                <w:sz w:val="4"/>
                <w:szCs w:val="4"/>
              </w:rPr>
            </w:r>
          </w:p>
        </w:tc>
        <w:tc>
          <w:tcPr>
            <w:tcW w:w="543" w:type="dxa"/>
            <w:tcBorders/>
            <w:shd w:fill="auto" w:val="clear"/>
            <w:vAlign w:val="center"/>
          </w:tcPr>
          <w:p>
            <w:pPr>
              <w:pStyle w:val="TableContents"/>
              <w:spacing w:before="0" w:after="283"/>
              <w:rPr>
                <w:sz w:val="4"/>
                <w:szCs w:val="4"/>
              </w:rPr>
            </w:pPr>
            <w:r>
              <w:rPr>
                <w:sz w:val="4"/>
                <w:szCs w:val="4"/>
              </w:rPr>
            </w:r>
          </w:p>
        </w:tc>
        <w:tc>
          <w:tcPr>
            <w:tcW w:w="774" w:type="dxa"/>
            <w:tcBorders/>
            <w:shd w:fill="auto" w:val="clear"/>
            <w:vAlign w:val="center"/>
          </w:tcPr>
          <w:p>
            <w:pPr>
              <w:pStyle w:val="TableContents"/>
              <w:spacing w:before="0" w:after="283"/>
              <w:rPr>
                <w:sz w:val="4"/>
                <w:szCs w:val="4"/>
              </w:rPr>
            </w:pPr>
            <w:r>
              <w:rPr>
                <w:sz w:val="4"/>
                <w:szCs w:val="4"/>
              </w:rPr>
            </w:r>
          </w:p>
        </w:tc>
      </w:tr>
      <w:tr>
        <w:trPr/>
        <w:tc>
          <w:tcPr>
            <w:tcW w:w="361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Functions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6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Number of Employees</w:t>
            </w:r>
          </w:p>
        </w:tc>
      </w:tr>
      <w:tr>
        <w:trPr/>
        <w:tc>
          <w:tcPr>
            <w:tcW w:w="361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Research and development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568 </w:t>
            </w:r>
          </w:p>
        </w:tc>
        <w:tc>
          <w:tcPr>
            <w:tcW w:w="77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Sales and marketing</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142 </w:t>
            </w:r>
          </w:p>
        </w:tc>
        <w:tc>
          <w:tcPr>
            <w:tcW w:w="7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Customer management and services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45 </w:t>
            </w:r>
          </w:p>
        </w:tc>
        <w:tc>
          <w:tcPr>
            <w:tcW w:w="77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General and administrative (including executives)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87 </w:t>
            </w:r>
          </w:p>
        </w:tc>
        <w:tc>
          <w:tcPr>
            <w:tcW w:w="7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8"/>
              </w:rPr>
              <w:t>842</w:t>
            </w:r>
            <w:r>
              <w:rPr>
                <w:color w:val="000000"/>
              </w:rPr>
              <w:t> </w:t>
            </w:r>
          </w:p>
        </w:tc>
        <w:tc>
          <w:tcPr>
            <w:tcW w:w="7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319" w:before="10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we offer our employees competitive compensation packages and a dynamic work environment. We have generally been able to attract and retain qualified employees and maintain a stable core management team. We plan to hire additional experienced and talented employees in areas such as research and development and sales and marketing as we grow our business.</w:t>
      </w:r>
    </w:p>
    <w:p>
      <w:pPr>
        <w:pStyle w:val="TextBody"/>
        <w:spacing w:lineRule="auto" w:line="319" w:before="10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enter into standard employment, confidentiality and non-compete agreements with our employees. As required by PRC regulations, we participate in various government statutory employee benefit plans, including social insurance funds, a pension contribution plan, a medical insurance plan, an unemployment insurance plan, a work-related injury insurance plan and a maternity insurance plan and a housing provident fund.</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we maintain a good working relationship with our employees, and we have not experienced any major labor disputes.</w:t>
      </w:r>
    </w:p>
    <w:p>
      <w:pPr>
        <w:pStyle w:val="TextBody"/>
        <w:spacing w:lineRule="auto" w:line="319" w:before="0" w:after="240"/>
        <w:jc w:val="both"/>
        <w:rPr>
          <w:rFonts w:ascii="Times New Roman;sans-serif" w:hAnsi="Times New Roman;sans-serif"/>
          <w:b/>
          <w:i/>
          <w:color w:val="000000"/>
          <w:sz w:val="20"/>
        </w:rPr>
      </w:pPr>
      <w:r>
        <w:rPr>
          <w:rFonts w:ascii="Times New Roman;sans-serif" w:hAnsi="Times New Roman;sans-serif"/>
          <w:b/>
          <w:i/>
          <w:color w:val="000000"/>
          <w:sz w:val="20"/>
        </w:rPr>
        <w:t>E. Share Ownership</w:t>
      </w:r>
    </w:p>
    <w:p>
      <w:pPr>
        <w:pStyle w:val="TextBody"/>
        <w:spacing w:lineRule="auto" w:line="319" w:before="100" w:after="240"/>
        <w:ind w:left="0" w:right="0" w:firstLine="720"/>
        <w:jc w:val="both"/>
        <w:rPr/>
      </w:pPr>
      <w:r>
        <w:rPr>
          <w:rFonts w:ascii="Times New Roman;sans-serif" w:hAnsi="Times New Roman;sans-serif"/>
          <w:b w:val="false"/>
          <w:color w:val="000000"/>
          <w:sz w:val="20"/>
        </w:rPr>
        <w:t>Except as specifically noted, the following table sets forth information with respect to the beneficial ownership of our ordinary shares as of March 2, 2021</w:t>
      </w:r>
      <w:r>
        <w:rPr>
          <w:color w:val="000000"/>
        </w:rPr>
        <w:t xml:space="preserve"> </w:t>
      </w:r>
      <w:r>
        <w:rPr>
          <w:rFonts w:ascii="Times New Roman;sans-serif" w:hAnsi="Times New Roman;sans-serif"/>
          <w:b w:val="false"/>
          <w:color w:val="000000"/>
          <w:sz w:val="20"/>
        </w:rPr>
        <w:t>by:</w:t>
      </w:r>
    </w:p>
    <w:p>
      <w:pPr>
        <w:pStyle w:val="TextBody"/>
        <w:spacing w:lineRule="auto" w:line="319" w:before="0" w:after="240"/>
        <w:ind w:left="0" w:right="0" w:hanging="360"/>
        <w:jc w:val="both"/>
        <w:rPr/>
      </w:pPr>
      <w:r>
        <w:rPr>
          <w:color w:val="000000"/>
        </w:rPr>
        <w:t>•</w:t>
      </w:r>
      <w:r>
        <w:rPr>
          <w:rFonts w:ascii="Times New Roman;sans-serif" w:hAnsi="Times New Roman;sans-serif"/>
          <w:b w:val="false"/>
          <w:color w:val="000000"/>
          <w:sz w:val="20"/>
        </w:rPr>
        <w:t>each of our directors and executive officers; and</w:t>
      </w:r>
    </w:p>
    <w:p>
      <w:pPr>
        <w:pStyle w:val="TextBody"/>
        <w:spacing w:lineRule="auto" w:line="319" w:before="0" w:after="240"/>
        <w:ind w:left="0" w:right="0" w:hanging="360"/>
        <w:jc w:val="both"/>
        <w:rPr/>
      </w:pPr>
      <w:r>
        <w:rPr>
          <w:color w:val="000000"/>
        </w:rPr>
        <w:t>•</w:t>
      </w:r>
      <w:r>
        <w:rPr>
          <w:rFonts w:ascii="Times New Roman;sans-serif" w:hAnsi="Times New Roman;sans-serif"/>
          <w:b w:val="false"/>
          <w:color w:val="000000"/>
          <w:sz w:val="20"/>
        </w:rPr>
        <w:t>each person known to us to own beneficially 5% or more of our ordinary shares on an as-converted basis.</w:t>
      </w:r>
    </w:p>
    <w:p>
      <w:pPr>
        <w:pStyle w:val="TextBody"/>
        <w:spacing w:lineRule="auto" w:line="319" w:before="0" w:after="240"/>
        <w:ind w:left="0" w:right="0" w:firstLine="720"/>
        <w:jc w:val="both"/>
        <w:rPr/>
      </w:pPr>
      <w:r>
        <w:rPr>
          <w:rFonts w:ascii="Times New Roman;sans-serif" w:hAnsi="Times New Roman;sans-serif"/>
          <w:b w:val="false"/>
          <w:color w:val="000000"/>
          <w:sz w:val="20"/>
        </w:rPr>
        <w:t>The calculations in the table below are based on 387,302,624</w:t>
      </w:r>
      <w:r>
        <w:rPr>
          <w:color w:val="000000"/>
        </w:rPr>
        <w:t xml:space="preserve"> </w:t>
      </w:r>
      <w:r>
        <w:rPr>
          <w:rFonts w:ascii="Times New Roman;sans-serif" w:hAnsi="Times New Roman;sans-serif"/>
          <w:b w:val="false"/>
          <w:color w:val="000000"/>
          <w:sz w:val="20"/>
        </w:rPr>
        <w:t>Class A ordinary shares and 76,179,938</w:t>
      </w:r>
      <w:r>
        <w:rPr>
          <w:color w:val="000000"/>
        </w:rPr>
        <w:t xml:space="preserve"> </w:t>
      </w:r>
      <w:r>
        <w:rPr>
          <w:rFonts w:ascii="Times New Roman;sans-serif" w:hAnsi="Times New Roman;sans-serif"/>
          <w:b w:val="false"/>
          <w:color w:val="000000"/>
          <w:sz w:val="20"/>
        </w:rPr>
        <w:t>Class B ordinary shares outstanding as of March 2, 2021.</w:t>
      </w:r>
    </w:p>
    <w:p>
      <w:pPr>
        <w:pStyle w:val="TextBody"/>
        <w:spacing w:lineRule="auto" w:line="319" w:before="10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Beneficial ownership is determined in accordance with the rules and regulations of the SEC. In computing the number of shares beneficially owned by a person and the percentage ownership of that person, we have included shares that the person has the right to acquire within 60 days, including through the exercise of any option, warrant or other right or the conversion of any other security. These shares, however, are not included in the computation of the percentage ownership of any other person. The table does not give effect to any ADSs that may be acquired by our directors pursuant to the directed ADS program.</w:t>
      </w:r>
    </w:p>
    <w:p>
      <w:pPr>
        <w:pStyle w:val="TextBody"/>
        <w:spacing w:lineRule="auto" w:line="319" w:before="10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Except as otherwise noted below, the address for each person or entity listed in the table is c/o Agora, Inc., Floor 8, Building 12, Phase III of ChuangZhiTianDi, 333 Songhu Road, Yangpu District, Shanghai, People’s Republic of China.</w:t>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385445"/>
                <wp:effectExtent l="0" t="0" r="0" b="0"/>
                <wp:wrapNone/>
                <wp:docPr id="135" name="Frame134"/>
                <a:graphic xmlns:a="http://schemas.openxmlformats.org/drawingml/2006/main">
                  <a:graphicData uri="http://schemas.microsoft.com/office/word/2010/wordprocessingShape">
                    <wps:wsp>
                      <wps:cNvSpPr txBox="1"/>
                      <wps:spPr>
                        <a:xfrm>
                          <a:off x="0" y="0"/>
                          <a:ext cx="6480175" cy="385445"/>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130</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130</w:t>
                      </w:r>
                    </w:p>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before="0" w:after="0"/>
        <w:jc w:val="both"/>
        <w:rPr/>
      </w:pPr>
      <w:r>
        <w:rPr/>
      </w:r>
    </w:p>
    <w:tbl>
      <w:tblPr>
        <w:tblW w:w="10205" w:type="dxa"/>
        <w:jc w:val="left"/>
        <w:tblInd w:w="0" w:type="dxa"/>
        <w:tblCellMar>
          <w:top w:w="28" w:type="dxa"/>
          <w:left w:w="28" w:type="dxa"/>
          <w:bottom w:w="28" w:type="dxa"/>
          <w:right w:w="28" w:type="dxa"/>
        </w:tblCellMar>
      </w:tblPr>
      <w:tblGrid>
        <w:gridCol w:w="997"/>
        <w:gridCol w:w="772"/>
        <w:gridCol w:w="775"/>
        <w:gridCol w:w="509"/>
        <w:gridCol w:w="448"/>
        <w:gridCol w:w="450"/>
        <w:gridCol w:w="109"/>
        <w:gridCol w:w="109"/>
        <w:gridCol w:w="109"/>
        <w:gridCol w:w="506"/>
        <w:gridCol w:w="446"/>
        <w:gridCol w:w="447"/>
        <w:gridCol w:w="109"/>
        <w:gridCol w:w="109"/>
        <w:gridCol w:w="109"/>
        <w:gridCol w:w="598"/>
        <w:gridCol w:w="598"/>
        <w:gridCol w:w="600"/>
        <w:gridCol w:w="109"/>
        <w:gridCol w:w="109"/>
        <w:gridCol w:w="109"/>
        <w:gridCol w:w="606"/>
        <w:gridCol w:w="606"/>
        <w:gridCol w:w="866"/>
      </w:tblGrid>
      <w:tr>
        <w:trPr/>
        <w:tc>
          <w:tcPr>
            <w:tcW w:w="997" w:type="dxa"/>
            <w:tcBorders/>
            <w:shd w:fill="auto" w:val="clear"/>
            <w:vAlign w:val="center"/>
          </w:tcPr>
          <w:p>
            <w:pPr>
              <w:pStyle w:val="TableContents"/>
              <w:spacing w:before="0" w:after="283"/>
              <w:rPr>
                <w:sz w:val="4"/>
                <w:szCs w:val="4"/>
              </w:rPr>
            </w:pPr>
            <w:r>
              <w:rPr>
                <w:sz w:val="4"/>
                <w:szCs w:val="4"/>
              </w:rPr>
            </w:r>
          </w:p>
        </w:tc>
        <w:tc>
          <w:tcPr>
            <w:tcW w:w="772" w:type="dxa"/>
            <w:tcBorders/>
            <w:shd w:fill="auto" w:val="clear"/>
            <w:vAlign w:val="center"/>
          </w:tcPr>
          <w:p>
            <w:pPr>
              <w:pStyle w:val="TableContents"/>
              <w:spacing w:before="0" w:after="283"/>
              <w:rPr>
                <w:sz w:val="4"/>
                <w:szCs w:val="4"/>
              </w:rPr>
            </w:pPr>
            <w:r>
              <w:rPr>
                <w:sz w:val="4"/>
                <w:szCs w:val="4"/>
              </w:rPr>
            </w:r>
          </w:p>
        </w:tc>
        <w:tc>
          <w:tcPr>
            <w:tcW w:w="775" w:type="dxa"/>
            <w:tcBorders/>
            <w:shd w:fill="auto" w:val="clear"/>
            <w:vAlign w:val="center"/>
          </w:tcPr>
          <w:p>
            <w:pPr>
              <w:pStyle w:val="TableContents"/>
              <w:spacing w:before="0" w:after="283"/>
              <w:rPr>
                <w:sz w:val="4"/>
                <w:szCs w:val="4"/>
              </w:rPr>
            </w:pPr>
            <w:r>
              <w:rPr>
                <w:sz w:val="4"/>
                <w:szCs w:val="4"/>
              </w:rPr>
            </w:r>
          </w:p>
        </w:tc>
        <w:tc>
          <w:tcPr>
            <w:tcW w:w="509" w:type="dxa"/>
            <w:tcBorders/>
            <w:shd w:fill="auto" w:val="clear"/>
            <w:vAlign w:val="center"/>
          </w:tcPr>
          <w:p>
            <w:pPr>
              <w:pStyle w:val="TableContents"/>
              <w:spacing w:before="0" w:after="283"/>
              <w:rPr>
                <w:sz w:val="4"/>
                <w:szCs w:val="4"/>
              </w:rPr>
            </w:pPr>
            <w:r>
              <w:rPr>
                <w:sz w:val="4"/>
                <w:szCs w:val="4"/>
              </w:rPr>
            </w:r>
          </w:p>
        </w:tc>
        <w:tc>
          <w:tcPr>
            <w:tcW w:w="448" w:type="dxa"/>
            <w:tcBorders/>
            <w:shd w:fill="auto" w:val="clear"/>
            <w:vAlign w:val="center"/>
          </w:tcPr>
          <w:p>
            <w:pPr>
              <w:pStyle w:val="TableContents"/>
              <w:spacing w:before="0" w:after="283"/>
              <w:rPr>
                <w:sz w:val="4"/>
                <w:szCs w:val="4"/>
              </w:rPr>
            </w:pPr>
            <w:r>
              <w:rPr>
                <w:sz w:val="4"/>
                <w:szCs w:val="4"/>
              </w:rPr>
            </w:r>
          </w:p>
        </w:tc>
        <w:tc>
          <w:tcPr>
            <w:tcW w:w="45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06" w:type="dxa"/>
            <w:tcBorders/>
            <w:shd w:fill="auto" w:val="clear"/>
            <w:vAlign w:val="center"/>
          </w:tcPr>
          <w:p>
            <w:pPr>
              <w:pStyle w:val="TableContents"/>
              <w:spacing w:before="0" w:after="283"/>
              <w:rPr>
                <w:sz w:val="4"/>
                <w:szCs w:val="4"/>
              </w:rPr>
            </w:pPr>
            <w:r>
              <w:rPr>
                <w:sz w:val="4"/>
                <w:szCs w:val="4"/>
              </w:rPr>
            </w:r>
          </w:p>
        </w:tc>
        <w:tc>
          <w:tcPr>
            <w:tcW w:w="446" w:type="dxa"/>
            <w:tcBorders/>
            <w:shd w:fill="auto" w:val="clear"/>
            <w:vAlign w:val="center"/>
          </w:tcPr>
          <w:p>
            <w:pPr>
              <w:pStyle w:val="TableContents"/>
              <w:spacing w:before="0" w:after="283"/>
              <w:rPr>
                <w:sz w:val="4"/>
                <w:szCs w:val="4"/>
              </w:rPr>
            </w:pPr>
            <w:r>
              <w:rPr>
                <w:sz w:val="4"/>
                <w:szCs w:val="4"/>
              </w:rPr>
            </w:r>
          </w:p>
        </w:tc>
        <w:tc>
          <w:tcPr>
            <w:tcW w:w="44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98" w:type="dxa"/>
            <w:tcBorders/>
            <w:shd w:fill="auto" w:val="clear"/>
            <w:vAlign w:val="center"/>
          </w:tcPr>
          <w:p>
            <w:pPr>
              <w:pStyle w:val="TableContents"/>
              <w:spacing w:before="0" w:after="283"/>
              <w:rPr>
                <w:sz w:val="4"/>
                <w:szCs w:val="4"/>
              </w:rPr>
            </w:pPr>
            <w:r>
              <w:rPr>
                <w:sz w:val="4"/>
                <w:szCs w:val="4"/>
              </w:rPr>
            </w:r>
          </w:p>
        </w:tc>
        <w:tc>
          <w:tcPr>
            <w:tcW w:w="598" w:type="dxa"/>
            <w:tcBorders/>
            <w:shd w:fill="auto" w:val="clear"/>
            <w:vAlign w:val="center"/>
          </w:tcPr>
          <w:p>
            <w:pPr>
              <w:pStyle w:val="TableContents"/>
              <w:spacing w:before="0" w:after="283"/>
              <w:rPr>
                <w:sz w:val="4"/>
                <w:szCs w:val="4"/>
              </w:rPr>
            </w:pPr>
            <w:r>
              <w:rPr>
                <w:sz w:val="4"/>
                <w:szCs w:val="4"/>
              </w:rPr>
            </w:r>
          </w:p>
        </w:tc>
        <w:tc>
          <w:tcPr>
            <w:tcW w:w="60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06" w:type="dxa"/>
            <w:tcBorders/>
            <w:shd w:fill="auto" w:val="clear"/>
            <w:vAlign w:val="center"/>
          </w:tcPr>
          <w:p>
            <w:pPr>
              <w:pStyle w:val="TableContents"/>
              <w:spacing w:before="0" w:after="283"/>
              <w:rPr>
                <w:sz w:val="4"/>
                <w:szCs w:val="4"/>
              </w:rPr>
            </w:pPr>
            <w:r>
              <w:rPr>
                <w:sz w:val="4"/>
                <w:szCs w:val="4"/>
              </w:rPr>
            </w:r>
          </w:p>
        </w:tc>
        <w:tc>
          <w:tcPr>
            <w:tcW w:w="606" w:type="dxa"/>
            <w:tcBorders/>
            <w:shd w:fill="auto" w:val="clear"/>
            <w:vAlign w:val="center"/>
          </w:tcPr>
          <w:p>
            <w:pPr>
              <w:pStyle w:val="TableContents"/>
              <w:spacing w:before="0" w:after="283"/>
              <w:rPr>
                <w:sz w:val="4"/>
                <w:szCs w:val="4"/>
              </w:rPr>
            </w:pPr>
            <w:r>
              <w:rPr>
                <w:sz w:val="4"/>
                <w:szCs w:val="4"/>
              </w:rPr>
            </w:r>
          </w:p>
        </w:tc>
        <w:tc>
          <w:tcPr>
            <w:tcW w:w="866" w:type="dxa"/>
            <w:tcBorders/>
            <w:shd w:fill="auto" w:val="clear"/>
            <w:vAlign w:val="center"/>
          </w:tcPr>
          <w:p>
            <w:pPr>
              <w:pStyle w:val="TableContents"/>
              <w:spacing w:before="0" w:after="283"/>
              <w:rPr>
                <w:sz w:val="4"/>
                <w:szCs w:val="4"/>
              </w:rPr>
            </w:pPr>
            <w:r>
              <w:rPr>
                <w:sz w:val="4"/>
                <w:szCs w:val="4"/>
              </w:rPr>
            </w:r>
          </w:p>
        </w:tc>
      </w:tr>
      <w:tr>
        <w:trPr/>
        <w:tc>
          <w:tcPr>
            <w:tcW w:w="25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Class A Ordinary Shares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Class B Ordinary Shares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9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Percentage of Beneficial Ownership</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Percentage of Aggregate Voting Power**</w:t>
            </w:r>
          </w:p>
        </w:tc>
      </w:tr>
      <w:tr>
        <w:trPr/>
        <w:tc>
          <w:tcPr>
            <w:tcW w:w="25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25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Directors and Executive Officers</w:t>
            </w:r>
          </w:p>
        </w:tc>
        <w:tc>
          <w:tcPr>
            <w:tcW w:w="140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9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54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6"/>
              </w:rPr>
              <w:t>Bin (Tony) Zhao</w:t>
            </w:r>
            <w:r>
              <w:rPr>
                <w:rFonts w:ascii="Times New Roman;sans-serif" w:hAnsi="Times New Roman;sans-serif"/>
                <w:b w:val="false"/>
                <w:color w:val="000000"/>
                <w:sz w:val="10"/>
              </w:rPr>
              <w:t>(1)</w:t>
            </w:r>
          </w:p>
        </w:tc>
        <w:tc>
          <w:tcPr>
            <w:tcW w:w="1407"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7,237,157</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9"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76,179,938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96"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18.0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8"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80.1</w:t>
            </w:r>
          </w:p>
        </w:tc>
      </w:tr>
      <w:tr>
        <w:trPr/>
        <w:tc>
          <w:tcPr>
            <w:tcW w:w="2544"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Sheng (Shawn) Zhong</w:t>
            </w:r>
          </w:p>
        </w:tc>
        <w:tc>
          <w:tcPr>
            <w:tcW w:w="1407" w:type="dxa"/>
            <w:gridSpan w:val="3"/>
            <w:tcBorders/>
            <w:shd w:fill="CCEEFF"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9" w:type="dxa"/>
            <w:gridSpan w:val="3"/>
            <w:tcBorders/>
            <w:shd w:fill="CCEEFF" w:val="clear"/>
            <w:tcMar>
              <w:top w:w="0" w:type="dxa"/>
              <w:left w:w="0" w:type="dxa"/>
              <w:bottom w:w="0" w:type="dxa"/>
              <w:right w:w="0" w:type="dxa"/>
            </w:tcMar>
            <w:vAlign w:val="center"/>
          </w:tcPr>
          <w:p>
            <w:pPr>
              <w:pStyle w:val="TableContents"/>
              <w:spacing w:lineRule="auto" w:line="288" w:before="0" w:after="0"/>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96" w:type="dxa"/>
            <w:gridSpan w:val="3"/>
            <w:tcBorders/>
            <w:shd w:fill="CCEEFF"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8" w:type="dxa"/>
            <w:gridSpan w:val="3"/>
            <w:tcBorders/>
            <w:shd w:fill="CCEEFF"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25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Regev (Reggie) Yativ</w:t>
            </w:r>
          </w:p>
        </w:tc>
        <w:tc>
          <w:tcPr>
            <w:tcW w:w="1407"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96"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8"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25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Jingbo Wang</w:t>
            </w:r>
          </w:p>
        </w:tc>
        <w:tc>
          <w:tcPr>
            <w:tcW w:w="1407"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9"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96"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8"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25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Ke (Stanley) Wei</w:t>
            </w:r>
          </w:p>
        </w:tc>
        <w:tc>
          <w:tcPr>
            <w:tcW w:w="1407"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9"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96"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8"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25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Qin Liu</w:t>
            </w:r>
          </w:p>
        </w:tc>
        <w:tc>
          <w:tcPr>
            <w:tcW w:w="1407"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9"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96"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8"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color w:val="000000"/>
              </w:rPr>
            </w:pPr>
            <w:r>
              <w:rPr>
                <w:color w:val="000000"/>
              </w:rPr>
              <w:t>—</w:t>
            </w:r>
          </w:p>
        </w:tc>
      </w:tr>
      <w:tr>
        <w:trPr/>
        <w:tc>
          <w:tcPr>
            <w:tcW w:w="254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6"/>
              </w:rPr>
              <w:t>Tuck Lye Koh</w:t>
            </w:r>
            <w:r>
              <w:rPr>
                <w:rFonts w:ascii="Times New Roman;sans-serif" w:hAnsi="Times New Roman;sans-serif"/>
                <w:b w:val="false"/>
                <w:color w:val="000000"/>
                <w:sz w:val="10"/>
              </w:rPr>
              <w:t>(2)</w:t>
            </w:r>
          </w:p>
        </w:tc>
        <w:tc>
          <w:tcPr>
            <w:tcW w:w="1407"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34,065,548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9"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96"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7.3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8"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1.8</w:t>
            </w:r>
          </w:p>
        </w:tc>
      </w:tr>
      <w:tr>
        <w:trPr/>
        <w:tc>
          <w:tcPr>
            <w:tcW w:w="25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Eric He</w:t>
            </w:r>
          </w:p>
        </w:tc>
        <w:tc>
          <w:tcPr>
            <w:tcW w:w="1407"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9"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96"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8"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color w:val="000000"/>
              </w:rPr>
            </w:pPr>
            <w:r>
              <w:rPr>
                <w:color w:val="000000"/>
              </w:rPr>
              <w:t>—</w:t>
            </w:r>
          </w:p>
        </w:tc>
      </w:tr>
      <w:tr>
        <w:trPr/>
        <w:tc>
          <w:tcPr>
            <w:tcW w:w="254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6"/>
              </w:rPr>
              <w:t>Jenny Hong Wei Lee</w:t>
            </w:r>
            <w:r>
              <w:rPr>
                <w:rFonts w:ascii="Times New Roman;sans-serif" w:hAnsi="Times New Roman;sans-serif"/>
                <w:b w:val="false"/>
                <w:color w:val="000000"/>
                <w:sz w:val="10"/>
              </w:rPr>
              <w:t>(3)</w:t>
            </w:r>
          </w:p>
        </w:tc>
        <w:tc>
          <w:tcPr>
            <w:tcW w:w="1407"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7,016,595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9"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96"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8"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25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All directors and executive officers as a group</w:t>
            </w:r>
          </w:p>
        </w:tc>
        <w:tc>
          <w:tcPr>
            <w:tcW w:w="1407"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55,026,118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9"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76,179,938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96"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28.3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8"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82.6</w:t>
            </w:r>
          </w:p>
        </w:tc>
      </w:tr>
      <w:tr>
        <w:trPr/>
        <w:tc>
          <w:tcPr>
            <w:tcW w:w="25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Principal Shareholders</w:t>
            </w:r>
          </w:p>
        </w:tc>
        <w:tc>
          <w:tcPr>
            <w:tcW w:w="140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4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6"/>
              </w:rPr>
              <w:t>Entities affiliated with Bin (Tony) Zhao</w:t>
            </w:r>
            <w:r>
              <w:rPr>
                <w:rFonts w:ascii="Times New Roman;sans-serif" w:hAnsi="Times New Roman;sans-serif"/>
                <w:b w:val="false"/>
                <w:color w:val="000000"/>
                <w:sz w:val="10"/>
              </w:rPr>
              <w:t>(1)</w:t>
            </w:r>
          </w:p>
        </w:tc>
        <w:tc>
          <w:tcPr>
            <w:tcW w:w="1407"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7,237,157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9"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76,179,938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96"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18.0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8"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80.1</w:t>
            </w:r>
          </w:p>
        </w:tc>
      </w:tr>
      <w:tr>
        <w:trPr/>
        <w:tc>
          <w:tcPr>
            <w:tcW w:w="254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6"/>
              </w:rPr>
              <w:t>Entities affiliated with Morningside</w:t>
            </w:r>
            <w:r>
              <w:rPr>
                <w:rFonts w:ascii="Times New Roman;sans-serif" w:hAnsi="Times New Roman;sans-serif"/>
                <w:b w:val="false"/>
                <w:color w:val="000000"/>
                <w:sz w:val="10"/>
              </w:rPr>
              <w:t>(4)</w:t>
            </w:r>
          </w:p>
        </w:tc>
        <w:tc>
          <w:tcPr>
            <w:tcW w:w="1407"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47,976,514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9"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96"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10.4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8"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2.5</w:t>
            </w:r>
          </w:p>
        </w:tc>
      </w:tr>
      <w:tr>
        <w:trPr/>
        <w:tc>
          <w:tcPr>
            <w:tcW w:w="254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6"/>
              </w:rPr>
              <w:t>Entities affiliated with SIG</w:t>
            </w:r>
            <w:r>
              <w:rPr>
                <w:rFonts w:ascii="Times New Roman;sans-serif" w:hAnsi="Times New Roman;sans-serif"/>
                <w:b w:val="false"/>
                <w:color w:val="000000"/>
                <w:sz w:val="10"/>
              </w:rPr>
              <w:t>(5)</w:t>
            </w:r>
          </w:p>
        </w:tc>
        <w:tc>
          <w:tcPr>
            <w:tcW w:w="1407"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39,074,808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9"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96"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8.4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8"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2.0</w:t>
            </w:r>
          </w:p>
        </w:tc>
      </w:tr>
      <w:tr>
        <w:trPr/>
        <w:tc>
          <w:tcPr>
            <w:tcW w:w="254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6"/>
              </w:rPr>
              <w:t>Entities affiliated with Shunwei Technology II Limited</w:t>
            </w:r>
            <w:r>
              <w:rPr>
                <w:rFonts w:ascii="Times New Roman;sans-serif" w:hAnsi="Times New Roman;sans-serif"/>
                <w:b w:val="false"/>
                <w:color w:val="000000"/>
                <w:sz w:val="10"/>
              </w:rPr>
              <w:t>(2)</w:t>
            </w:r>
          </w:p>
        </w:tc>
        <w:tc>
          <w:tcPr>
            <w:tcW w:w="1407"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34,065,548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9"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96"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7.3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8"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1.8</w:t>
            </w:r>
          </w:p>
        </w:tc>
      </w:tr>
      <w:tr>
        <w:trPr/>
        <w:tc>
          <w:tcPr>
            <w:tcW w:w="254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6"/>
              </w:rPr>
              <w:t>Entities affiliated with Coatue Management, L.L.C.</w:t>
            </w:r>
            <w:r>
              <w:rPr>
                <w:rFonts w:ascii="Times New Roman;sans-serif" w:hAnsi="Times New Roman;sans-serif"/>
                <w:b w:val="false"/>
                <w:color w:val="000000"/>
                <w:sz w:val="10"/>
              </w:rPr>
              <w:t>(6)</w:t>
            </w:r>
          </w:p>
        </w:tc>
        <w:tc>
          <w:tcPr>
            <w:tcW w:w="1407"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40,280,104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9"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96"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8.7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8"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2.1</w:t>
            </w:r>
          </w:p>
        </w:tc>
      </w:tr>
    </w:tbl>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319"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 Represents beneficial ownership of voting power of less than 1%.</w:t>
      </w:r>
    </w:p>
    <w:p>
      <w:pPr>
        <w:pStyle w:val="TextBody"/>
        <w:spacing w:lineRule="auto" w:line="319" w:before="0" w:after="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 For each person and group included in this column, percentage of voting power is calculated by dividing the voting power beneficially owned by such person or group by the voting power of all of our outstanding Class A ordinary shares and Class B ordinary shares as a single class. Each holder of our Class A ordinary shares is entitled to one vote per share. Each holder of Class B ordinary shares is entitled to 20 votes per share, and while on all matters submitted to them for a vote. Our Class A ordinary shares and Class B ordinary shares vote together as a single class on all matters submitted to a vote of our shareholders. Our Class B ordinary shares are convertible at any time by the holders thereof into Class A ordinary shares on a one-for-one basis.</w:t>
      </w:r>
    </w:p>
    <w:p>
      <w:pPr>
        <w:pStyle w:val="TextBody"/>
        <w:spacing w:lineRule="auto" w:line="276" w:before="0" w:after="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(1)Represents (a) 76,179,938 Class B ordinary shares beneficially owned by Soundscape Limited or its affiliates; and (b) 7,237,157 Class A ordinary shares beneficially owned by YY TZ Limited, as reported in a Schedule 13G filed by them on February 4, 2021. Soundscape Limited is wholly owned by Mr. Zhao, and Mr. Zhao is the sole director of YY TZ Limited and, as such, has discretionary authority to vote and dispose of the shares held by YY TZ Limited in our company. The registered address of Soundscape Limited is Trinity Chambers, PO Box 4301, Road Town, Tortola, British Virgin Islands, and the registered address of YY TZ Limited is Vistra Corporate Services Centre, Wickhams Cay II, Road Town, Tortola, VG1110, British Virgin Islands.</w:t>
      </w:r>
    </w:p>
    <w:p>
      <w:pPr>
        <w:pStyle w:val="TextBody"/>
        <w:spacing w:lineRule="auto" w:line="276" w:before="0" w:after="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(2)Represents (a) 31,065,548 Class A ordinary shares beneficially owned by Shunwei Technology II Limited, a British Virgin Islands company; and (b) 3,000,000 Class A ordinary shares (as represented by 75,000,000 ADSs) beneficially owned by Astrend Opportunity III Alpha Limited, a British Virgin Islands company, as reported in a Schedule 13G filed by them on February 9, 2021. The foregoing entities are collectively referred to in this annual report as the Shunwei entities. Shunwei China Internet Fund, L.P. is the sole shareholder of Shunwei Technology II Limited. Shunwei Capital Partners GP, L.P. is the general partner of Shunwei China Internet Fund, L.P. Shunwei Capital Partners GP Limited is the general partner of Shunwei Capital Partners GP, L.P. Shunwei Capital Partners GP Limited is controlled by Silver Unicorn Ventures Limited, which is controlled by Mr. Tuck Lye Koh. Astrend Opportunity III Alpha Limited is wholly owned by Shunwei China Internet Opportunity Fund III, L.P. Shunwei Capital Partners IV GP, L.P. is the general partner of Shunwei China Internet Opportunity Fund III, L.P. Shunwei Capital Partners IV GP Limited is the general partner of Shunwei Capital Partners IV GP, L.P. Shunwei Capital Partners IV GP Limited is controlled by Silver Unicorn Ventures Limited, which is controlled by Mr. Tuck Lye Koh. The business address of Shunwei Technology II Limited is Vistra Corporate Services Center, Wickhams Cay II, Road Town, Tortola, VG 1110, British Virgin Islands. </w:t>
      </w:r>
    </w:p>
    <w:p>
      <w:pPr>
        <w:pStyle w:val="TextBody"/>
        <w:spacing w:lineRule="auto" w:line="276" w:before="0" w:after="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(3)Represents 7,016,595 Class A ordinary shares, including (a) 6,870,907 Class A ordinary shares beneficially owned by GGV IV L.P.; and (b) 145,688 Class A ordinary shares beneficially owned by GGV Capital IV Entrepreneurs Fund L.P. GGV Capital IV LLC is the general partner of GGV Capital IV L.P. and GGV Capital IV Entrepreneurs Fund L.P. Ms. Lee and Messrs. Jixun Foo, Glenn Solomon, Jeffrey Gordon Richards and Hans Tung are managing directors of GGV Capital IV LLC with shared voting and dispositive power over the shares held by GGV Capital IV L.P. and GGV Capital IV </w:t>
      </w:r>
    </w:p>
    <w:p>
      <w:pPr>
        <w:pStyle w:val="HorizontalLine"/>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385445"/>
                <wp:effectExtent l="0" t="0" r="0" b="0"/>
                <wp:wrapNone/>
                <wp:docPr id="136" name="Frame135"/>
                <a:graphic xmlns:a="http://schemas.openxmlformats.org/drawingml/2006/main">
                  <a:graphicData uri="http://schemas.microsoft.com/office/word/2010/wordprocessingShape">
                    <wps:wsp>
                      <wps:cNvSpPr txBox="1"/>
                      <wps:spPr>
                        <a:xfrm>
                          <a:off x="0" y="0"/>
                          <a:ext cx="6480175" cy="385445"/>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131</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131</w:t>
                      </w:r>
                    </w:p>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lineRule="auto" w:line="276"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Entrepreneurs Fund L.P. The business address of GGV IV L.P. and GGV IV Entrepreneurs Fund L.P. is 3000 Sand Hill Road, Building 4, Suite 230, Menlo Park, California 94025.</w:t>
      </w:r>
    </w:p>
    <w:p>
      <w:pPr>
        <w:pStyle w:val="TextBody"/>
        <w:spacing w:lineRule="auto" w:line="276" w:before="0" w:after="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(4)Represents (a) 2,000,000 Class A ordinary shares held by Morningside China TMT Fund II, L.P.; (b) 23,260,188 Class A ordinary shares held by Morningside China TMT Top Up Fund, L.P.; (c) 12,558,748 Class A ordinary shares held by Morningside China TMT Special Opportunity Fund II, L.P.; (d) 1,255,875 Class A ordinary shares held by Morningside China TMT Fund IV Co-Investment, L.P.; (e) 7,740,611 Class A ordinary shares held by Evolution Special Opportunity Fund I, L.P.; and (f) 1,161,092 Class A ordinary shares held by Evolution Fund I Co-investment, L.P., as reported in a Schedule 13G filed by them on February 16, 2021. The foregoing entities are collectively referred to in this annual report as the Morningside entities. Morningside China TMT Fund II, L.P. and Morningside China TMT Top Up Fund, L.P. are controlled by Morningside China TMT GP II, L.P., their general partner. Morningside China TMT Special Opportunity Fund II, L.P. and Morningside China TMT Fund IV Co-Investment, L.P. are controlled by Morningside China TMT GP IV, L.P., their general partner. Morningside China TMT GP II, L.P. and Morningside China TMT GP IV, L.P. are controlled by TMT General Partner Ltd., their general partner. TMT General Partner Ltd. is controlled by its board consisting of five individuals, including Jianming Shi, Qin Liu, Gerald Lokchung Chan, Maria K. Lam and Makim Wai On Andrew Ma, who have the voting and dispositive powers over the shares held by Morningside China TMT Fund II, L.P., Morningside China TMT Top Up Fund, L.P., Morningside China TMT Special Opportunity Fund II, L.P., and Morningside China TMT Fund IV Co-Investment, L.P. Evolution Special Opportunity Fund I, L.P. and Evolution Fund I Co-investment, L.P. are controlled by 5Y Capital GP Limited, their general partner. 5Y Capital GP Limited is controlled by its board consisting of three individuals, including Qin Liu, Wai Shan Wong and Riyaz Hussain Nooruddin, who have the voting and dispositive powers over the shares held by Evolution Special Opportunity Fund I, L.P. and Evolution Fund I Co-investment, L.P. The registered address of the Morningside entities is 75 Fort Street, PO Box 1350, Grand Cayman KY1-1108, Cayman Islands. </w:t>
      </w:r>
    </w:p>
    <w:p>
      <w:pPr>
        <w:pStyle w:val="TextBody"/>
        <w:spacing w:lineRule="auto" w:line="276" w:before="0" w:after="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(5)Represents (a) 33,855,796 Class A ordinary shares (as represented by 8,463,949 ADSs) beneficially owned by SIG China Investments Master Fund III, LLLP; and (b) 5,219,012 Class A ordinary shares (as represented by 1,304,753 ADSs) beneficially owned by SIG Global China Fund I, LLLP, as reported in a Schedule 13G filed by them on February 16, 2021. The foregoing entities are collectively referred to in this annual report as the SIG entities. SIG Asia Investment, LLLP, which serves as the investment manager to SIG China Investments Master Fund III, LLLP, and SIG Global China Fund I, LLLP, may be deemed to be the beneficial owner of all Shares owned by SIG China Investments Master Fund III, LLLP and SIG Global China Fund I, LLLP, respectively. Heights Capital Management, Inc., which serves as the investment manager to SIG Asia Investment, LLLP, may be deemed to be the beneficial owner of all Shares owned by SIG China Investments Master Fund III and SIG Global China Fund I, LLLP. Each of the SIG entities hereby disclaims any beneficial ownership of any such shares, except for their pecuniary interest therein. The business address of the SIG entities is 401 City Avenue, Suite 220, Bala Cynwyd, PA 19004. </w:t>
      </w:r>
    </w:p>
    <w:p>
      <w:pPr>
        <w:pStyle w:val="TextBody"/>
        <w:spacing w:lineRule="auto" w:line="276" w:before="0" w:after="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(6)Represents 40,280,104 Class A ordinary shares (as represented by 10,070,026 ADSs) beneficially owned by Coatue Management, L.L.C., including 27,500,540 Class A ordinary shares (as represented by 6,875,135 ADSs) beneficially owned by Coatue PE Asia XVI LLC, as reported in a Schedule 13G/A filed by them on February 16, 2021. Coatue PE Asia XVI and Coatue CPP 10 LLC are managed by Coatue Management, L.L.C. as the investment manager. The sole owner of Coatue Management, L.L.C. is Coatue Management Partners L.P., for which Coatue Management Partners GP L.L.C. serves as general partner. Mr. Philippe Laffont serves as managing member of Coatue Management Partners GP L.L.C. The business address of Mr. Laffont and each of the entities identified in this footnote is 9 West 57th Street, 25th Floor, New York, NY 10019. </w:t>
      </w:r>
    </w:p>
    <w:p>
      <w:pPr>
        <w:pStyle w:val="TextBody"/>
        <w:spacing w:before="0" w:after="0"/>
        <w:rPr/>
      </w:pPr>
      <w:r>
        <w:rPr/>
      </w:r>
    </w:p>
    <w:p>
      <w:pPr>
        <w:pStyle w:val="TextBody"/>
        <w:spacing w:lineRule="auto" w:line="319" w:before="100" w:after="240"/>
        <w:ind w:left="0" w:right="0" w:firstLine="720"/>
        <w:jc w:val="both"/>
        <w:rPr/>
      </w:pPr>
      <w:r>
        <w:rPr>
          <w:rFonts w:ascii="Times New Roman;sans-serif" w:hAnsi="Times New Roman;sans-serif"/>
          <w:b w:val="false"/>
          <w:color w:val="000000"/>
          <w:sz w:val="20"/>
        </w:rPr>
        <w:t>To the Company’s knowledge, as of the date of this annual report, a total of 245,007,228</w:t>
      </w:r>
      <w:r>
        <w:rPr>
          <w:color w:val="000000"/>
        </w:rPr>
        <w:t xml:space="preserve"> </w:t>
      </w:r>
      <w:r>
        <w:rPr>
          <w:rFonts w:ascii="Times New Roman;sans-serif" w:hAnsi="Times New Roman;sans-serif"/>
          <w:b w:val="false"/>
          <w:color w:val="000000"/>
          <w:sz w:val="20"/>
        </w:rPr>
        <w:t>Class A ordinary shares are held by one record holder in the United States, The Bank of New York Mellon, the depositary bank of our ADR program, which represents approximately 52.9% of our total outstanding shares. None of our outstanding Class B ordinary shares are held by record holders in the United States. We are not aware of any of our shareholders being affiliated with a registered broker-dealer or being in the business of underwriting securities.</w:t>
      </w:r>
    </w:p>
    <w:p>
      <w:pPr>
        <w:pStyle w:val="TextBody"/>
        <w:spacing w:lineRule="auto" w:line="319" w:before="10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are not aware of any arrangement that may, at a subsequent date, result in a change of control of our company.</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19" w:before="0" w:after="240"/>
        <w:jc w:val="both"/>
        <w:rPr>
          <w:rFonts w:ascii="Times New Roman;sans-serif" w:hAnsi="Times New Roman;sans-serif"/>
          <w:b/>
          <w:color w:val="000000"/>
          <w:sz w:val="20"/>
        </w:rPr>
      </w:pPr>
      <w:r>
        <w:rPr>
          <w:rFonts w:ascii="Times New Roman;sans-serif" w:hAnsi="Times New Roman;sans-serif"/>
          <w:b/>
          <w:color w:val="000000"/>
          <w:sz w:val="20"/>
        </w:rPr>
        <w:t>ITEM 7. MAJOR SHAREHOLDERS AND RELATED PARTY TRANSACTIONS</w:t>
      </w:r>
    </w:p>
    <w:p>
      <w:pPr>
        <w:pStyle w:val="TextBody"/>
        <w:spacing w:lineRule="auto" w:line="319" w:before="0" w:after="240"/>
        <w:jc w:val="both"/>
        <w:rPr>
          <w:rFonts w:ascii="Times New Roman;sans-serif" w:hAnsi="Times New Roman;sans-serif"/>
          <w:b/>
          <w:i/>
          <w:color w:val="000000"/>
          <w:sz w:val="20"/>
        </w:rPr>
      </w:pPr>
      <w:r>
        <w:rPr>
          <w:rFonts w:ascii="Times New Roman;sans-serif" w:hAnsi="Times New Roman;sans-serif"/>
          <w:b/>
          <w:i/>
          <w:color w:val="000000"/>
          <w:sz w:val="20"/>
        </w:rPr>
        <w:t>A. Major Shareholders</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See “Item 6. Directors, Senior Management and Employees—E. Share Ownership.”</w:t>
      </w:r>
    </w:p>
    <w:p>
      <w:pPr>
        <w:pStyle w:val="TextBody"/>
        <w:spacing w:lineRule="auto" w:line="319" w:before="0" w:after="240"/>
        <w:jc w:val="both"/>
        <w:rPr>
          <w:rFonts w:ascii="Times New Roman;sans-serif" w:hAnsi="Times New Roman;sans-serif"/>
          <w:b/>
          <w:i/>
          <w:color w:val="000000"/>
          <w:sz w:val="20"/>
        </w:rPr>
      </w:pPr>
      <w:r>
        <w:rPr>
          <w:rFonts w:ascii="Times New Roman;sans-serif" w:hAnsi="Times New Roman;sans-serif"/>
          <w:b/>
          <w:i/>
          <w:color w:val="000000"/>
          <w:sz w:val="20"/>
        </w:rPr>
        <w:t>B. Related Party Transactions</w:t>
      </w:r>
    </w:p>
    <w:p>
      <w:pPr>
        <w:pStyle w:val="HorizontalLine"/>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385445"/>
                <wp:effectExtent l="0" t="0" r="0" b="0"/>
                <wp:wrapNone/>
                <wp:docPr id="137" name="Frame136"/>
                <a:graphic xmlns:a="http://schemas.openxmlformats.org/drawingml/2006/main">
                  <a:graphicData uri="http://schemas.microsoft.com/office/word/2010/wordprocessingShape">
                    <wps:wsp>
                      <wps:cNvSpPr txBox="1"/>
                      <wps:spPr>
                        <a:xfrm>
                          <a:off x="0" y="0"/>
                          <a:ext cx="6480175" cy="385445"/>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132</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132</w:t>
                      </w:r>
                    </w:p>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lineRule="auto" w:line="319" w:before="0" w:after="240"/>
        <w:jc w:val="both"/>
        <w:rPr>
          <w:rFonts w:ascii="Times New Roman;sans-serif" w:hAnsi="Times New Roman;sans-serif"/>
          <w:b/>
          <w:color w:val="000000"/>
          <w:sz w:val="20"/>
        </w:rPr>
      </w:pPr>
      <w:r>
        <w:rPr>
          <w:rFonts w:ascii="Times New Roman;sans-serif" w:hAnsi="Times New Roman;sans-serif"/>
          <w:b/>
          <w:color w:val="000000"/>
          <w:sz w:val="20"/>
        </w:rPr>
        <w:t xml:space="preserve">Contractual Arrangements </w:t>
      </w:r>
    </w:p>
    <w:p>
      <w:pPr>
        <w:pStyle w:val="TextBody"/>
        <w:spacing w:lineRule="auto" w:line="319" w:before="10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See “Item 4. Information on the Company—C. Organizational Structure.”</w:t>
      </w:r>
    </w:p>
    <w:p>
      <w:pPr>
        <w:pStyle w:val="TextBody"/>
        <w:spacing w:lineRule="auto" w:line="319" w:before="100" w:after="240"/>
        <w:jc w:val="both"/>
        <w:rPr>
          <w:rFonts w:ascii="Times New Roman;sans-serif" w:hAnsi="Times New Roman;sans-serif"/>
          <w:b/>
          <w:color w:val="000000"/>
          <w:sz w:val="20"/>
        </w:rPr>
      </w:pPr>
      <w:r>
        <w:rPr>
          <w:rFonts w:ascii="Times New Roman;sans-serif" w:hAnsi="Times New Roman;sans-serif"/>
          <w:b/>
          <w:color w:val="000000"/>
          <w:sz w:val="20"/>
        </w:rPr>
        <w:t xml:space="preserve">Private Placements </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June 17, June 18 and June 19 of 2020, we entered into subscription agreements with Coatue CPP 10 LLC, an affiliate of one of our existing shareholders, Neumann Capital and an entity affiliated with Vitruvian Partners to purchase US$50.0 million, US$30.0 million and US$30.0 million of our Class A ordinary shares, respectively, from us in a concurrent private placement at a price per share equal to the initial public offering price adjusted for the ADS-to-Class A ordinary share ratio. Based on the initial public offering price of US$20.00 per ADS, Coatue CPP 10 LLC, Neumann Capital and an entity affiliated with Vitruvian Partners purchased 10,000,000, 6,000,000 and 6,000,000 of our Class A ordinary shares, respectively, or 22,000,000 Class A ordinary shares in the aggregate. We received the full proceeds.</w:t>
      </w:r>
    </w:p>
    <w:p>
      <w:pPr>
        <w:pStyle w:val="TextBody"/>
        <w:spacing w:lineRule="auto" w:line="319" w:before="100" w:after="240"/>
        <w:jc w:val="both"/>
        <w:rPr>
          <w:rFonts w:ascii="Times New Roman;sans-serif" w:hAnsi="Times New Roman;sans-serif"/>
          <w:b/>
          <w:color w:val="000000"/>
          <w:sz w:val="20"/>
        </w:rPr>
      </w:pPr>
      <w:r>
        <w:rPr>
          <w:rFonts w:ascii="Times New Roman;sans-serif" w:hAnsi="Times New Roman;sans-serif"/>
          <w:b/>
          <w:color w:val="000000"/>
          <w:sz w:val="20"/>
        </w:rPr>
        <w:t>Employment Agreements and Indemnification Agreements</w:t>
      </w:r>
    </w:p>
    <w:p>
      <w:pPr>
        <w:pStyle w:val="TextBody"/>
        <w:spacing w:lineRule="auto" w:line="319" w:before="100" w:after="240"/>
        <w:ind w:left="0" w:right="0" w:firstLine="720"/>
        <w:jc w:val="both"/>
        <w:rPr/>
      </w:pPr>
      <w:r>
        <w:rPr>
          <w:rFonts w:ascii="Times New Roman;sans-serif" w:hAnsi="Times New Roman;sans-serif"/>
          <w:b w:val="false"/>
          <w:color w:val="000000"/>
          <w:sz w:val="20"/>
        </w:rPr>
        <w:t>See “Item 6. Directors, Senior Management and Employees—C. Board Practices—</w:t>
      </w:r>
      <w:r>
        <w:rPr>
          <w:color w:val="000000"/>
        </w:rPr>
        <w:t xml:space="preserve"> </w:t>
      </w:r>
      <w:r>
        <w:rPr>
          <w:rFonts w:ascii="Times New Roman;sans-serif" w:hAnsi="Times New Roman;sans-serif"/>
          <w:b w:val="false"/>
          <w:color w:val="000000"/>
          <w:sz w:val="20"/>
        </w:rPr>
        <w:t>Employment Agreements and Indemnification Agreements.”</w:t>
      </w:r>
    </w:p>
    <w:p>
      <w:pPr>
        <w:pStyle w:val="TextBody"/>
        <w:spacing w:lineRule="auto" w:line="319" w:before="100" w:after="240"/>
        <w:jc w:val="both"/>
        <w:rPr>
          <w:rFonts w:ascii="Times New Roman;sans-serif" w:hAnsi="Times New Roman;sans-serif"/>
          <w:b/>
          <w:color w:val="000000"/>
          <w:sz w:val="20"/>
        </w:rPr>
      </w:pPr>
      <w:r>
        <w:rPr>
          <w:rFonts w:ascii="Times New Roman;sans-serif" w:hAnsi="Times New Roman;sans-serif"/>
          <w:b/>
          <w:color w:val="000000"/>
          <w:sz w:val="20"/>
        </w:rPr>
        <w:t>Equity Incentive Plans</w:t>
      </w:r>
    </w:p>
    <w:p>
      <w:pPr>
        <w:pStyle w:val="TextBody"/>
        <w:spacing w:lineRule="auto" w:line="319" w:before="10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See “Item 6. Directors, Senior Management and Employees—B. Compensation—Equity Incentive Plans.”</w:t>
      </w:r>
    </w:p>
    <w:p>
      <w:pPr>
        <w:pStyle w:val="TextBody"/>
        <w:spacing w:lineRule="auto" w:line="319" w:before="100" w:after="240"/>
        <w:jc w:val="both"/>
        <w:rPr>
          <w:rFonts w:ascii="Times New Roman;sans-serif" w:hAnsi="Times New Roman;sans-serif"/>
          <w:b/>
          <w:color w:val="000000"/>
          <w:sz w:val="20"/>
        </w:rPr>
      </w:pPr>
      <w:r>
        <w:rPr>
          <w:rFonts w:ascii="Times New Roman;sans-serif" w:hAnsi="Times New Roman;sans-serif"/>
          <w:b/>
          <w:color w:val="000000"/>
          <w:sz w:val="20"/>
        </w:rPr>
        <w:t xml:space="preserve">Lease Agreement </w:t>
      </w:r>
    </w:p>
    <w:p>
      <w:pPr>
        <w:pStyle w:val="TextBody"/>
        <w:spacing w:lineRule="auto" w:line="319" w:before="10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are party to a renewable lease agreement under which we rent office space from an entity that is under common control of Mr. Zhao, our chief executive officer and chairman. In 2018, 2019 and 2020, we paid rent to this entity of US$153,920, US$168,349 and US$202,153, respectively. See Note 18 to our audited consolidated financial statements included elsewhere in this annual report.</w:t>
      </w:r>
    </w:p>
    <w:p>
      <w:pPr>
        <w:pStyle w:val="TextBody"/>
        <w:spacing w:lineRule="auto" w:line="319" w:before="0" w:after="240"/>
        <w:rPr>
          <w:rFonts w:ascii="Times New Roman;sans-serif" w:hAnsi="Times New Roman;sans-serif"/>
          <w:b/>
          <w:color w:val="000000"/>
          <w:sz w:val="20"/>
        </w:rPr>
      </w:pPr>
      <w:r>
        <w:rPr>
          <w:rFonts w:ascii="Times New Roman;sans-serif" w:hAnsi="Times New Roman;sans-serif"/>
          <w:b/>
          <w:color w:val="000000"/>
          <w:sz w:val="20"/>
        </w:rPr>
        <w:t>Equity Acquisition</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November 2020, we acquired 100% of the equity interests of Netless from its shareholders, including a related party. The total consideration of such acquisition was US$4.0 million. See Note 18 to our audited consolidated financial statements included elsewhere in this annual report for more information.</w:t>
      </w:r>
    </w:p>
    <w:p>
      <w:pPr>
        <w:pStyle w:val="TextBody"/>
        <w:spacing w:lineRule="auto" w:line="319" w:before="100" w:after="240"/>
        <w:jc w:val="both"/>
        <w:rPr>
          <w:rFonts w:ascii="Times New Roman;sans-serif" w:hAnsi="Times New Roman;sans-serif"/>
          <w:b/>
          <w:color w:val="000000"/>
          <w:sz w:val="20"/>
        </w:rPr>
      </w:pPr>
      <w:r>
        <w:rPr>
          <w:rFonts w:ascii="Times New Roman;sans-serif" w:hAnsi="Times New Roman;sans-serif"/>
          <w:b/>
          <w:color w:val="000000"/>
          <w:sz w:val="20"/>
        </w:rPr>
        <w:t>Short-Term Loan</w:t>
      </w:r>
    </w:p>
    <w:p>
      <w:pPr>
        <w:pStyle w:val="TextBody"/>
        <w:spacing w:lineRule="auto" w:line="319" w:before="10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February 2020 we provided a short-term loan in the amount of US$146,000 to Mr. Wang to cover individual income taxes for granted options. The loan was repaid in May 2020.</w:t>
      </w:r>
    </w:p>
    <w:p>
      <w:pPr>
        <w:pStyle w:val="TextBody"/>
        <w:spacing w:lineRule="auto" w:line="319" w:before="0" w:after="240"/>
        <w:jc w:val="both"/>
        <w:rPr>
          <w:rFonts w:ascii="Times New Roman;sans-serif" w:hAnsi="Times New Roman;sans-serif"/>
          <w:b/>
          <w:color w:val="000000"/>
          <w:sz w:val="20"/>
        </w:rPr>
      </w:pPr>
      <w:r>
        <w:rPr>
          <w:rFonts w:ascii="Times New Roman;sans-serif" w:hAnsi="Times New Roman;sans-serif"/>
          <w:b/>
          <w:color w:val="000000"/>
          <w:sz w:val="20"/>
        </w:rPr>
        <w:t>Shareholders Arrangements</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entered into certain shareholders agreement on February 12, 2020 with holders of our preferred shares and certain purchase agreements on June 18, 2020 and on February 1, 2021 with holders of certain of our ordinary shares, pursuant to which, we granted to holders of shares certain preferential rights, including, among others, director appointment rights and super voting rights of certain directors. As of the date of this annual report, the material outstanding shareholders’ rights are set forth below.</w:t>
      </w:r>
    </w:p>
    <w:p>
      <w:pPr>
        <w:pStyle w:val="HorizontalLine"/>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385445"/>
                <wp:effectExtent l="0" t="0" r="0" b="0"/>
                <wp:wrapNone/>
                <wp:docPr id="138" name="Frame137"/>
                <a:graphic xmlns:a="http://schemas.openxmlformats.org/drawingml/2006/main">
                  <a:graphicData uri="http://schemas.microsoft.com/office/word/2010/wordprocessingShape">
                    <wps:wsp>
                      <wps:cNvSpPr txBox="1"/>
                      <wps:spPr>
                        <a:xfrm>
                          <a:off x="0" y="0"/>
                          <a:ext cx="6480175" cy="385445"/>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133</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133</w:t>
                      </w:r>
                    </w:p>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lineRule="auto" w:line="319" w:before="0" w:after="240"/>
        <w:jc w:val="both"/>
        <w:rPr>
          <w:rFonts w:ascii="Times New Roman;sans-serif" w:hAnsi="Times New Roman;sans-serif"/>
          <w:b/>
          <w:i/>
          <w:color w:val="000000"/>
          <w:sz w:val="20"/>
        </w:rPr>
      </w:pPr>
      <w:r>
        <w:rPr>
          <w:rFonts w:ascii="Times New Roman;sans-serif" w:hAnsi="Times New Roman;sans-serif"/>
          <w:b/>
          <w:i/>
          <w:color w:val="000000"/>
          <w:sz w:val="20"/>
        </w:rPr>
        <w:t>Registration Rights</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Set forth below is a description of the registration rights granted to certain shareholders under the shareholders agreement.</w:t>
      </w:r>
    </w:p>
    <w:p>
      <w:pPr>
        <w:pStyle w:val="TextBody"/>
        <w:spacing w:lineRule="auto" w:line="319" w:before="0" w:after="240"/>
        <w:jc w:val="both"/>
        <w:rPr>
          <w:rFonts w:ascii="Times New Roman;sans-serif" w:hAnsi="Times New Roman;sans-serif"/>
          <w:b w:val="false"/>
          <w:i/>
          <w:color w:val="000000"/>
          <w:sz w:val="20"/>
        </w:rPr>
      </w:pPr>
      <w:r>
        <w:rPr>
          <w:rFonts w:ascii="Times New Roman;sans-serif" w:hAnsi="Times New Roman;sans-serif"/>
          <w:b w:val="false"/>
          <w:i/>
          <w:color w:val="000000"/>
          <w:sz w:val="20"/>
        </w:rPr>
        <w:t>Demand Registration Rights</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At any time after the earlier of (1) the fourth anniversary of October 1, 2018 or (2) the completion of our initial public offering, holders of at least 20% of the registrable securities then outstanding have the right to demand that we file a registration statement covering all registrable securities that the holders request to be registered and included in such registration by written notice. Other than as required by the underwriters in connection with our initial public offering, at least 25% of the registrable securities requested by the holders to be included in such underwriting and registration shall be so included. We have the right to defer filing a registration statement for a period of not more than 90 days after the receipt of the request of the initiating holders if the board of directors determines in its good faith judgment that it would be materially detrimental to us and our shareholders for such registration statement to be filed at such time. We are obligated to effect no more than two demand registration, other than demand registrations to be effected pursuant to registration statements on Form F-3 or Form S-3, for which an unlimited number of demand registrations shall be permitted.</w:t>
      </w:r>
    </w:p>
    <w:p>
      <w:pPr>
        <w:pStyle w:val="TextBody"/>
        <w:spacing w:lineRule="auto" w:line="319" w:before="0" w:after="240"/>
        <w:jc w:val="both"/>
        <w:rPr>
          <w:rFonts w:ascii="Times New Roman;sans-serif" w:hAnsi="Times New Roman;sans-serif"/>
          <w:b w:val="false"/>
          <w:i/>
          <w:color w:val="000000"/>
          <w:sz w:val="20"/>
        </w:rPr>
      </w:pPr>
      <w:r>
        <w:rPr>
          <w:rFonts w:ascii="Times New Roman;sans-serif" w:hAnsi="Times New Roman;sans-serif"/>
          <w:b w:val="false"/>
          <w:i/>
          <w:color w:val="000000"/>
          <w:sz w:val="20"/>
        </w:rPr>
        <w:t>Registration on Form F-3 or Form S-3</w:t>
      </w:r>
    </w:p>
    <w:p>
      <w:pPr>
        <w:pStyle w:val="TextBody"/>
        <w:spacing w:lineRule="auto" w:line="319" w:before="0" w:after="240"/>
        <w:ind w:left="0" w:right="0" w:firstLine="720"/>
        <w:jc w:val="both"/>
        <w:rPr/>
      </w:pPr>
      <w:r>
        <w:rPr>
          <w:rFonts w:ascii="Times New Roman;sans-serif" w:hAnsi="Times New Roman;sans-serif"/>
          <w:b w:val="false"/>
          <w:color w:val="000000"/>
          <w:sz w:val="20"/>
        </w:rPr>
        <w:t>Any holder is entitled to request us to file a registration statement on Form F-3 or Form S-3 if we qualify for registration on Form F-3 or Form S-3. The holders are entitled to an unlimited number of registrations on Form F-3 or Form S-3.</w:t>
      </w:r>
      <w:r>
        <w:rPr>
          <w:color w:val="000000"/>
        </w:rPr>
        <w:t xml:space="preserve"> </w:t>
      </w:r>
      <w:r>
        <w:rPr>
          <w:rFonts w:ascii="Times New Roman;sans-serif" w:hAnsi="Times New Roman;sans-serif"/>
          <w:b w:val="false"/>
          <w:color w:val="000000"/>
          <w:sz w:val="20"/>
        </w:rPr>
        <w:t>We shall effect the registration of the securities on Form F-3 as soon as practicable, except in certain circumstances.</w:t>
      </w:r>
    </w:p>
    <w:p>
      <w:pPr>
        <w:pStyle w:val="TextBody"/>
        <w:spacing w:lineRule="auto" w:line="319" w:before="0" w:after="240"/>
        <w:jc w:val="both"/>
        <w:rPr>
          <w:rFonts w:ascii="Times New Roman;sans-serif" w:hAnsi="Times New Roman;sans-serif"/>
          <w:b w:val="false"/>
          <w:i/>
          <w:color w:val="000000"/>
          <w:sz w:val="20"/>
        </w:rPr>
      </w:pPr>
      <w:r>
        <w:rPr>
          <w:rFonts w:ascii="Times New Roman;sans-serif" w:hAnsi="Times New Roman;sans-serif"/>
          <w:b w:val="false"/>
          <w:i/>
          <w:color w:val="000000"/>
          <w:sz w:val="20"/>
        </w:rPr>
        <w:t>Piggyback Registration Rights</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If we propose to file a registration statement for a public offering of our securities, we must offer holders of registrable securities an opportunity to include in the registration all or any part of their registrable securities. If the managing underwriters of any underwritten offering determine in good faith that marketing factors require a limitation of the number of shares to be underwritten, the managing underwriters may decide to exclude shares from the registration and the underwriting and to allocate the number of securities first to us and second to each of the holders requesting the inclusion of their registrable securities on a pro rata basis based on the total number of registrable securities held by each such holder and third, to holders of other securities of our company, provided that (1) in no event may any registrable securities be excluded from such offering unless all other securities are first excluded and (2) in no event may the amount of securities of selling holders of registrable securities be reduced below 25% of the aggregate number of registrable securities requested to be included in such offering.</w:t>
      </w:r>
    </w:p>
    <w:p>
      <w:pPr>
        <w:pStyle w:val="TextBody"/>
        <w:spacing w:lineRule="auto" w:line="319" w:before="0" w:after="240"/>
        <w:jc w:val="both"/>
        <w:rPr>
          <w:rFonts w:ascii="Times New Roman;sans-serif" w:hAnsi="Times New Roman;sans-serif"/>
          <w:b w:val="false"/>
          <w:i/>
          <w:color w:val="000000"/>
          <w:sz w:val="20"/>
        </w:rPr>
      </w:pPr>
      <w:r>
        <w:rPr>
          <w:rFonts w:ascii="Times New Roman;sans-serif" w:hAnsi="Times New Roman;sans-serif"/>
          <w:b w:val="false"/>
          <w:i/>
          <w:color w:val="000000"/>
          <w:sz w:val="20"/>
        </w:rPr>
        <w:t>Expenses of Registration</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will bear all registration expenses, other than underwriting discounts and selling commissions.</w:t>
      </w:r>
    </w:p>
    <w:p>
      <w:pPr>
        <w:pStyle w:val="TextBody"/>
        <w:spacing w:lineRule="auto" w:line="319" w:before="0" w:after="240"/>
        <w:jc w:val="both"/>
        <w:rPr>
          <w:rFonts w:ascii="Times New Roman;sans-serif" w:hAnsi="Times New Roman;sans-serif"/>
          <w:b w:val="false"/>
          <w:i/>
          <w:color w:val="000000"/>
          <w:sz w:val="20"/>
        </w:rPr>
      </w:pPr>
      <w:r>
        <w:rPr>
          <w:rFonts w:ascii="Times New Roman;sans-serif" w:hAnsi="Times New Roman;sans-serif"/>
          <w:b w:val="false"/>
          <w:i/>
          <w:color w:val="000000"/>
          <w:sz w:val="20"/>
        </w:rPr>
        <w:t>Termination of Registration Rights</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shareholders’ registration rights will terminate upon the earlier of (1) the fifth anniversary of our initial public offering and (2) as to any shareholder, when the shares subject to registration rights held by such shareholder can be sold without registration in any 90-day period pursuant to Rule 144 promulgated under the Securities Act.</w:t>
      </w:r>
    </w:p>
    <w:p>
      <w:pPr>
        <w:pStyle w:val="TextBody"/>
        <w:spacing w:lineRule="auto" w:line="319" w:before="0" w:after="240"/>
        <w:jc w:val="both"/>
        <w:rPr>
          <w:rFonts w:ascii="Times New Roman;sans-serif" w:hAnsi="Times New Roman;sans-serif"/>
          <w:b/>
          <w:i/>
          <w:color w:val="000000"/>
          <w:sz w:val="20"/>
        </w:rPr>
      </w:pPr>
      <w:r>
        <w:rPr>
          <w:rFonts w:ascii="Times New Roman;sans-serif" w:hAnsi="Times New Roman;sans-serif"/>
          <w:b/>
          <w:i/>
          <w:color w:val="000000"/>
          <w:sz w:val="20"/>
        </w:rPr>
        <w:t xml:space="preserve">Preemptive Rights </w:t>
      </w:r>
    </w:p>
    <w:p>
      <w:pPr>
        <w:pStyle w:val="HorizontalLine"/>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385445"/>
                <wp:effectExtent l="0" t="0" r="0" b="0"/>
                <wp:wrapNone/>
                <wp:docPr id="139" name="Frame138"/>
                <a:graphic xmlns:a="http://schemas.openxmlformats.org/drawingml/2006/main">
                  <a:graphicData uri="http://schemas.microsoft.com/office/word/2010/wordprocessingShape">
                    <wps:wsp>
                      <wps:cNvSpPr txBox="1"/>
                      <wps:spPr>
                        <a:xfrm>
                          <a:off x="0" y="0"/>
                          <a:ext cx="6480175" cy="385445"/>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134</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134</w:t>
                      </w:r>
                    </w:p>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granted to a certain investor participating in our private placement in February 2021 the preemptive right to purchase new securities offered by us in such portion equal to the proportion of ordinary shares held by such investor. The preemptive right does not apply to securities issuable upon exercise of awards under our share incentive plans or upon dividend or distribution, share split, share subdivision, recapitalization, reclassification or similar transaction affecting the holders of ordinary shares on a pro rata basis, and will terminate in February 2022 upon the first anniversary of the closing of the private placement. </w:t>
      </w:r>
    </w:p>
    <w:p>
      <w:pPr>
        <w:pStyle w:val="TextBody"/>
        <w:spacing w:before="0" w:after="0"/>
        <w:ind w:left="0" w:right="0" w:firstLine="720"/>
        <w:rPr/>
      </w:pPr>
      <w:r>
        <w:rPr/>
      </w:r>
    </w:p>
    <w:p>
      <w:pPr>
        <w:pStyle w:val="TextBody"/>
        <w:spacing w:lineRule="auto" w:line="319" w:before="0" w:after="240"/>
        <w:jc w:val="both"/>
        <w:rPr>
          <w:rFonts w:ascii="Times New Roman;sans-serif" w:hAnsi="Times New Roman;sans-serif"/>
          <w:b/>
          <w:i/>
          <w:color w:val="000000"/>
          <w:sz w:val="20"/>
        </w:rPr>
      </w:pPr>
      <w:r>
        <w:rPr>
          <w:rFonts w:ascii="Times New Roman;sans-serif" w:hAnsi="Times New Roman;sans-serif"/>
          <w:b/>
          <w:i/>
          <w:color w:val="000000"/>
          <w:sz w:val="20"/>
        </w:rPr>
        <w:t>C. Interests of Experts and Counsels</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19" w:before="0" w:after="240"/>
        <w:jc w:val="both"/>
        <w:rPr>
          <w:rFonts w:ascii="Times New Roman;sans-serif" w:hAnsi="Times New Roman;sans-serif"/>
          <w:b/>
          <w:color w:val="000000"/>
          <w:sz w:val="20"/>
        </w:rPr>
      </w:pPr>
      <w:r>
        <w:rPr>
          <w:rFonts w:ascii="Times New Roman;sans-serif" w:hAnsi="Times New Roman;sans-serif"/>
          <w:b/>
          <w:color w:val="000000"/>
          <w:sz w:val="20"/>
        </w:rPr>
        <w:t>ITEM 8. FINANCIAL INFORMATION</w:t>
      </w:r>
    </w:p>
    <w:p>
      <w:pPr>
        <w:pStyle w:val="TextBody"/>
        <w:spacing w:lineRule="auto" w:line="319" w:before="0" w:after="240"/>
        <w:jc w:val="both"/>
        <w:rPr>
          <w:rFonts w:ascii="Times New Roman;sans-serif" w:hAnsi="Times New Roman;sans-serif"/>
          <w:b/>
          <w:i/>
          <w:color w:val="000000"/>
          <w:sz w:val="20"/>
        </w:rPr>
      </w:pPr>
      <w:r>
        <w:rPr>
          <w:rFonts w:ascii="Times New Roman;sans-serif" w:hAnsi="Times New Roman;sans-serif"/>
          <w:b/>
          <w:i/>
          <w:color w:val="000000"/>
          <w:sz w:val="20"/>
        </w:rPr>
        <w:t>A. Consolidated Statements and Other Financial Information</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have appended consolidated financial statements filed as part of this annual report.</w:t>
      </w:r>
    </w:p>
    <w:p>
      <w:pPr>
        <w:pStyle w:val="TextBody"/>
        <w:spacing w:lineRule="auto" w:line="319" w:before="0" w:after="240"/>
        <w:jc w:val="both"/>
        <w:rPr>
          <w:rFonts w:ascii="Times New Roman;sans-serif" w:hAnsi="Times New Roman;sans-serif"/>
          <w:b/>
          <w:color w:val="000000"/>
          <w:sz w:val="20"/>
        </w:rPr>
      </w:pPr>
      <w:r>
        <w:rPr>
          <w:rFonts w:ascii="Times New Roman;sans-serif" w:hAnsi="Times New Roman;sans-serif"/>
          <w:b/>
          <w:color w:val="000000"/>
          <w:sz w:val="20"/>
        </w:rPr>
        <w:t>Legal Proceedings</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we may be subject to various claims and legal actions that arise in the ordinary course of our business. We are not presently a party to any litigation the outcome of which, we believe, if determined adversely to us, would individually or taken together have a material adverse effect on our business, operating results, cash flows or financial condition.</w:t>
      </w:r>
    </w:p>
    <w:p>
      <w:pPr>
        <w:pStyle w:val="TextBody"/>
        <w:spacing w:lineRule="auto" w:line="319" w:before="0" w:after="240"/>
        <w:jc w:val="both"/>
        <w:rPr>
          <w:rFonts w:ascii="Times New Roman;sans-serif" w:hAnsi="Times New Roman;sans-serif"/>
          <w:b/>
          <w:color w:val="000000"/>
          <w:sz w:val="20"/>
        </w:rPr>
      </w:pPr>
      <w:r>
        <w:rPr>
          <w:rFonts w:ascii="Times New Roman;sans-serif" w:hAnsi="Times New Roman;sans-serif"/>
          <w:b/>
          <w:color w:val="000000"/>
          <w:sz w:val="20"/>
        </w:rPr>
        <w:t>Dividend Policy</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Since our inception, we have not declared or paid any dividends on our shares. We do not have any present plan to pay any dividends on our Class A or Class B ordinary shares or ADSs in the foreseeable future. We intend to retain most, if not all, of our available funds and any future earnings to operate and expand our business.</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board of directors has discretion as to whether to distribute dividends, subject to certain requirements of Cayman Islands law. In addition, our shareholders may by ordinary resolution declare a dividend, but no dividend may exceed the amount recommended by our board of directors. Under Cayman Islands law, a Cayman Islands company may pay a dividend out of either profit or share premium account, provided that in no circumstances may a dividend be paid if this would result in the company being unable to pay its debts as they fall due in the ordinary course of business. Even if our board of directors decides to pay dividends on our ordinary shares, the form, frequency and amount will depend upon our future operations and earnings, capital requirements and surplus, general financial condition, contractual restrictions and other factors that the board of directors may deem relevant.</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If we pay any dividends on our ordinary shares, we will pay those dividends which are payable in respect of the underlying Class A ordinary shares represented by the ADSs to the depositary, as the registered holder of such Class A ordinary shares, and the depositary then will pay such amounts to the ADS holders in proportion to the Class A ordinary shares underlying the ADSs held by such ADS holders, subject to the terms of the deposit agreement, including the fees and expenses payable thereunder. See the section of this annual report captioned “Item 12. Description of Securities Other than Equity Securities-D. American Depositary Shares.” Cash dividends on our Class A ordinary shares, if any, will be paid in U.S. dollars.</w:t>
      </w:r>
    </w:p>
    <w:p>
      <w:pPr>
        <w:pStyle w:val="TextBody"/>
        <w:spacing w:lineRule="auto" w:line="31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an exempted company incorporated in the Cayman Islands. In order for us to distribute any dividends to our shareholders and ADS holders, we may rely on dividends distributed by our subsidiaries in the PRC and our VIEs. Certain payments from our subsidiaries in the PRC and our VIEs to us may be subject to PRC </w:t>
      </w:r>
    </w:p>
    <w:p>
      <w:pPr>
        <w:pStyle w:val="HorizontalLine"/>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385445"/>
                <wp:effectExtent l="0" t="0" r="0" b="0"/>
                <wp:wrapNone/>
                <wp:docPr id="140" name="Frame139"/>
                <a:graphic xmlns:a="http://schemas.openxmlformats.org/drawingml/2006/main">
                  <a:graphicData uri="http://schemas.microsoft.com/office/word/2010/wordprocessingShape">
                    <wps:wsp>
                      <wps:cNvSpPr txBox="1"/>
                      <wps:spPr>
                        <a:xfrm>
                          <a:off x="0" y="0"/>
                          <a:ext cx="6480175" cy="385445"/>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135</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135</w:t>
                      </w:r>
                    </w:p>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lineRule="auto" w:line="31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withholding income tax. In addition, regulations in the PRC currently permit payment of dividends of a PRC company only out of accumulated distributable after-tax profits as determined in accordance with its articles of association and the accounting standards and regulations in China. Our subsidiaries in the PRC and our VIEs are required to set aside at least 10% of their after-tax profit based on PRC accounting standards every year to a statutory common reserve fund until the aggregate amount of such reserve fund reaches 50% of the registered capital of such subsidiary. Such statutory reserves are not distributable as loans, advances or cash dividends. </w:t>
      </w:r>
    </w:p>
    <w:p>
      <w:pPr>
        <w:pStyle w:val="TextBody"/>
        <w:spacing w:lineRule="auto" w:line="319" w:before="0" w:after="24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B. Significant Changes</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Except as disclosed elsewhere in this annual report, we have not experienced any significant changes since the date of our audited consolidated financial statements included in this annual report.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19" w:before="0" w:after="240"/>
        <w:jc w:val="both"/>
        <w:rPr>
          <w:rFonts w:ascii="Times New Roman;sans-serif" w:hAnsi="Times New Roman;sans-serif"/>
          <w:b/>
          <w:color w:val="000000"/>
          <w:sz w:val="20"/>
        </w:rPr>
      </w:pPr>
      <w:r>
        <w:rPr>
          <w:rFonts w:ascii="Times New Roman;sans-serif" w:hAnsi="Times New Roman;sans-serif"/>
          <w:b/>
          <w:color w:val="000000"/>
          <w:sz w:val="20"/>
        </w:rPr>
        <w:t>ITEM 9. THE OFFER AND LISTING</w:t>
      </w:r>
    </w:p>
    <w:p>
      <w:pPr>
        <w:pStyle w:val="TextBody"/>
        <w:spacing w:lineRule="auto" w:line="319" w:before="0" w:after="240"/>
        <w:jc w:val="both"/>
        <w:rPr>
          <w:rFonts w:ascii="Times New Roman;sans-serif" w:hAnsi="Times New Roman;sans-serif"/>
          <w:b/>
          <w:i/>
          <w:color w:val="000000"/>
          <w:sz w:val="20"/>
        </w:rPr>
      </w:pPr>
      <w:r>
        <w:rPr>
          <w:rFonts w:ascii="Times New Roman;sans-serif" w:hAnsi="Times New Roman;sans-serif"/>
          <w:b/>
          <w:i/>
          <w:color w:val="000000"/>
          <w:sz w:val="20"/>
        </w:rPr>
        <w:t>A. Offer and Listing Details</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ADSs have been listed on the NASDAQ Selected Global Market under the symbol “API” since June 26, 2020. Each ADS represents four Class A ordinary share.</w:t>
      </w:r>
    </w:p>
    <w:p>
      <w:pPr>
        <w:pStyle w:val="TextBody"/>
        <w:spacing w:lineRule="auto" w:line="319" w:before="0" w:after="240"/>
        <w:jc w:val="both"/>
        <w:rPr>
          <w:rFonts w:ascii="Times New Roman;sans-serif" w:hAnsi="Times New Roman;sans-serif"/>
          <w:b/>
          <w:i/>
          <w:color w:val="000000"/>
          <w:sz w:val="20"/>
        </w:rPr>
      </w:pPr>
      <w:r>
        <w:rPr>
          <w:rFonts w:ascii="Times New Roman;sans-serif" w:hAnsi="Times New Roman;sans-serif"/>
          <w:b/>
          <w:i/>
          <w:color w:val="000000"/>
          <w:sz w:val="20"/>
        </w:rPr>
        <w:t>B. Plan of Distribution</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pStyle w:val="TextBody"/>
        <w:spacing w:lineRule="auto" w:line="319" w:before="0" w:after="240"/>
        <w:jc w:val="both"/>
        <w:rPr>
          <w:rFonts w:ascii="Times New Roman;sans-serif" w:hAnsi="Times New Roman;sans-serif"/>
          <w:b/>
          <w:i/>
          <w:color w:val="000000"/>
          <w:sz w:val="20"/>
        </w:rPr>
      </w:pPr>
      <w:r>
        <w:rPr>
          <w:rFonts w:ascii="Times New Roman;sans-serif" w:hAnsi="Times New Roman;sans-serif"/>
          <w:b/>
          <w:i/>
          <w:color w:val="000000"/>
          <w:sz w:val="20"/>
        </w:rPr>
        <w:t>C. Markets</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ADSs have been listed for trading on the NASDAQ Global Select Market under the symbol “API” since June 26, 2020.</w:t>
      </w:r>
    </w:p>
    <w:p>
      <w:pPr>
        <w:pStyle w:val="TextBody"/>
        <w:spacing w:lineRule="auto" w:line="319" w:before="0" w:after="240"/>
        <w:jc w:val="both"/>
        <w:rPr>
          <w:rFonts w:ascii="Times New Roman;sans-serif" w:hAnsi="Times New Roman;sans-serif"/>
          <w:b/>
          <w:i/>
          <w:color w:val="000000"/>
          <w:sz w:val="20"/>
        </w:rPr>
      </w:pPr>
      <w:r>
        <w:rPr>
          <w:rFonts w:ascii="Times New Roman;sans-serif" w:hAnsi="Times New Roman;sans-serif"/>
          <w:b/>
          <w:i/>
          <w:color w:val="000000"/>
          <w:sz w:val="20"/>
        </w:rPr>
        <w:t>D. Selling Shareholders</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pStyle w:val="TextBody"/>
        <w:spacing w:lineRule="auto" w:line="319" w:before="0" w:after="240"/>
        <w:jc w:val="both"/>
        <w:rPr>
          <w:rFonts w:ascii="Times New Roman;sans-serif" w:hAnsi="Times New Roman;sans-serif"/>
          <w:b/>
          <w:i/>
          <w:color w:val="000000"/>
          <w:sz w:val="20"/>
        </w:rPr>
      </w:pPr>
      <w:r>
        <w:rPr>
          <w:rFonts w:ascii="Times New Roman;sans-serif" w:hAnsi="Times New Roman;sans-serif"/>
          <w:b/>
          <w:i/>
          <w:color w:val="000000"/>
          <w:sz w:val="20"/>
        </w:rPr>
        <w:t>E. Dilution</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pStyle w:val="TextBody"/>
        <w:spacing w:lineRule="auto" w:line="319" w:before="0" w:after="240"/>
        <w:jc w:val="both"/>
        <w:rPr>
          <w:rFonts w:ascii="Times New Roman;sans-serif" w:hAnsi="Times New Roman;sans-serif"/>
          <w:b/>
          <w:i/>
          <w:color w:val="000000"/>
          <w:sz w:val="20"/>
        </w:rPr>
      </w:pPr>
      <w:r>
        <w:rPr>
          <w:rFonts w:ascii="Times New Roman;sans-serif" w:hAnsi="Times New Roman;sans-serif"/>
          <w:b/>
          <w:i/>
          <w:color w:val="000000"/>
          <w:sz w:val="20"/>
        </w:rPr>
        <w:t>F. Expenses of the Issue</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19" w:before="0" w:after="240"/>
        <w:jc w:val="both"/>
        <w:rPr>
          <w:rFonts w:ascii="Times New Roman;sans-serif" w:hAnsi="Times New Roman;sans-serif"/>
          <w:b/>
          <w:color w:val="000000"/>
          <w:sz w:val="20"/>
        </w:rPr>
      </w:pPr>
      <w:r>
        <w:rPr>
          <w:rFonts w:ascii="Times New Roman;sans-serif" w:hAnsi="Times New Roman;sans-serif"/>
          <w:b/>
          <w:color w:val="000000"/>
          <w:sz w:val="20"/>
        </w:rPr>
        <w:t>ITEM 10. ADDITIONAL INFORMATION</w:t>
      </w:r>
    </w:p>
    <w:p>
      <w:pPr>
        <w:pStyle w:val="TextBody"/>
        <w:spacing w:lineRule="auto" w:line="319" w:before="0" w:after="240"/>
        <w:jc w:val="both"/>
        <w:rPr>
          <w:rFonts w:ascii="Times New Roman;sans-serif" w:hAnsi="Times New Roman;sans-serif"/>
          <w:b/>
          <w:i/>
          <w:color w:val="000000"/>
          <w:sz w:val="20"/>
        </w:rPr>
      </w:pPr>
      <w:r>
        <w:rPr>
          <w:rFonts w:ascii="Times New Roman;sans-serif" w:hAnsi="Times New Roman;sans-serif"/>
          <w:b/>
          <w:i/>
          <w:color w:val="000000"/>
          <w:sz w:val="20"/>
        </w:rPr>
        <w:t>A. Share Capital</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pStyle w:val="TextBody"/>
        <w:spacing w:lineRule="auto" w:line="319" w:before="0" w:after="240"/>
        <w:jc w:val="both"/>
        <w:rPr>
          <w:rFonts w:ascii="Times New Roman;sans-serif" w:hAnsi="Times New Roman;sans-serif"/>
          <w:b/>
          <w:i/>
          <w:color w:val="000000"/>
          <w:sz w:val="20"/>
        </w:rPr>
      </w:pPr>
      <w:r>
        <w:rPr>
          <w:rFonts w:ascii="Times New Roman;sans-serif" w:hAnsi="Times New Roman;sans-serif"/>
          <w:b/>
          <w:i/>
          <w:color w:val="000000"/>
          <w:sz w:val="20"/>
        </w:rPr>
        <w:t>B. Memorandum and Articles of Association</w:t>
      </w:r>
    </w:p>
    <w:p>
      <w:pPr>
        <w:pStyle w:val="HorizontalLine"/>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385445"/>
                <wp:effectExtent l="0" t="0" r="0" b="0"/>
                <wp:wrapNone/>
                <wp:docPr id="141" name="Frame140"/>
                <a:graphic xmlns:a="http://schemas.openxmlformats.org/drawingml/2006/main">
                  <a:graphicData uri="http://schemas.microsoft.com/office/word/2010/wordprocessingShape">
                    <wps:wsp>
                      <wps:cNvSpPr txBox="1"/>
                      <wps:spPr>
                        <a:xfrm>
                          <a:off x="0" y="0"/>
                          <a:ext cx="6480175" cy="385445"/>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136</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136</w:t>
                      </w:r>
                    </w:p>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incorporate by reference into this annual report our fifth amended and restated memorandum and articles of association filed as Exhibit 3.2 to our registration statement on Amendment No. 1 to Form F-1 (File No. 333-238960) filed with the SEC on June 15, 2019, as amended.</w:t>
      </w:r>
    </w:p>
    <w:p>
      <w:pPr>
        <w:pStyle w:val="TextBody"/>
        <w:spacing w:lineRule="auto" w:line="319" w:before="0" w:after="240"/>
        <w:jc w:val="both"/>
        <w:rPr>
          <w:rFonts w:ascii="Times New Roman;sans-serif" w:hAnsi="Times New Roman;sans-serif"/>
          <w:b/>
          <w:i/>
          <w:color w:val="000000"/>
          <w:sz w:val="20"/>
        </w:rPr>
      </w:pPr>
      <w:r>
        <w:rPr>
          <w:rFonts w:ascii="Times New Roman;sans-serif" w:hAnsi="Times New Roman;sans-serif"/>
          <w:b/>
          <w:i/>
          <w:color w:val="000000"/>
          <w:sz w:val="20"/>
        </w:rPr>
        <w:t>C. Material Contracts</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Material contracts other than in the ordinary course of business are described in “Item 4. Information on the Company” and “Item 7. Major Shareholders and Related Party Transactions” or elsewhere in this annual report.</w:t>
      </w:r>
    </w:p>
    <w:p>
      <w:pPr>
        <w:pStyle w:val="TextBody"/>
        <w:spacing w:lineRule="auto" w:line="319" w:before="0" w:after="240"/>
        <w:jc w:val="both"/>
        <w:rPr>
          <w:rFonts w:ascii="Times New Roman;sans-serif" w:hAnsi="Times New Roman;sans-serif"/>
          <w:b/>
          <w:i/>
          <w:color w:val="000000"/>
          <w:sz w:val="20"/>
        </w:rPr>
      </w:pPr>
      <w:r>
        <w:rPr>
          <w:rFonts w:ascii="Times New Roman;sans-serif" w:hAnsi="Times New Roman;sans-serif"/>
          <w:b/>
          <w:i/>
          <w:color w:val="000000"/>
          <w:sz w:val="20"/>
        </w:rPr>
        <w:t>D. Exchange Controls</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See “Item 4. Information on the Company—B. Business Overview—Regulations—Regulations on Foreign Exchange.”</w:t>
      </w:r>
    </w:p>
    <w:p>
      <w:pPr>
        <w:pStyle w:val="TextBody"/>
        <w:spacing w:lineRule="auto" w:line="319" w:before="0" w:after="240"/>
        <w:jc w:val="both"/>
        <w:rPr>
          <w:rFonts w:ascii="Times New Roman;sans-serif" w:hAnsi="Times New Roman;sans-serif"/>
          <w:b/>
          <w:i/>
          <w:color w:val="000000"/>
          <w:sz w:val="20"/>
        </w:rPr>
      </w:pPr>
      <w:r>
        <w:rPr>
          <w:rFonts w:ascii="Times New Roman;sans-serif" w:hAnsi="Times New Roman;sans-serif"/>
          <w:b/>
          <w:i/>
          <w:color w:val="000000"/>
          <w:sz w:val="20"/>
        </w:rPr>
        <w:t>E. Taxation</w:t>
      </w:r>
    </w:p>
    <w:p>
      <w:pPr>
        <w:pStyle w:val="TextBody"/>
        <w:spacing w:lineRule="auto" w:line="31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is a general summary of certain Cayman Islands, People’s Republic of China and United States federal income tax consequences relevant to an investment in our ADSs and Class A ordinary shares. The discussion is not intended to be, nor should it be construed as, legal or tax advice to any particular prospective purchaser. The discussion is based on laws and relevant interpretations thereof in effect as of the date of this annual report, all of which are subject to change or different interpretations, possibly with retroactive effect. The discussion does not address U.S. state or local tax laws, or tax laws of jurisdictions other than the Cayman Islands, the People’s Republic of China and the United States. You should consult your own tax advisors with respect to the consequences of acquisition, ownership and disposition of our ADSs and Class A ordinary shares.</w:t>
      </w:r>
    </w:p>
    <w:p>
      <w:pPr>
        <w:pStyle w:val="TextBody"/>
        <w:spacing w:before="0" w:after="0"/>
        <w:ind w:left="0" w:right="0" w:hanging="20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Cayman Islands Taxation</w:t>
      </w:r>
    </w:p>
    <w:p>
      <w:pPr>
        <w:pStyle w:val="TextBody"/>
        <w:spacing w:before="0" w:after="0"/>
        <w:jc w:val="both"/>
        <w:rPr/>
      </w:pPr>
      <w:r>
        <w:rPr/>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Cayman Islands currently levies no taxes on individuals or corporations based upon profits, income, gains or appreciation and there is no taxation in the nature of inheritance tax or estate duty. There are no other taxes likely to be material to us levied by the government of the Cayman Islands except for stamp duties which may be applicable on instruments executed in, or, after execution, brought within the jurisdiction of the Cayman Islands. The Cayman Islands is not party to any double tax treaties that are applicable to any payments made to or by our company. There are no exchange control regulations or currency restrictions in the Cayman Islands.</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Payments of dividends and capital in respect of our ordinary shares will not be subject to taxation in the Cayman Islands and no withholding will be required on the payment of a dividend or capital to any holder of our ordinary shares, nor will gains derived from the disposal of our ordinary shares or ADSs be subject to Cayman Islands income or corporation tax.</w:t>
      </w:r>
    </w:p>
    <w:p>
      <w:pPr>
        <w:pStyle w:val="TextBody"/>
        <w:spacing w:lineRule="auto" w:line="319" w:before="0" w:after="240"/>
        <w:jc w:val="both"/>
        <w:rPr>
          <w:rFonts w:ascii="Times New Roman;sans-serif" w:hAnsi="Times New Roman;sans-serif"/>
          <w:b/>
          <w:color w:val="000000"/>
          <w:sz w:val="20"/>
        </w:rPr>
      </w:pPr>
      <w:r>
        <w:rPr>
          <w:rFonts w:ascii="Times New Roman;sans-serif" w:hAnsi="Times New Roman;sans-serif"/>
          <w:b/>
          <w:color w:val="000000"/>
          <w:sz w:val="20"/>
        </w:rPr>
        <w:t xml:space="preserve">People’s Republic of China Taxation </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Under the PRC Enterprise Income Tax Law and its implementation rules, an enterprise established outside of the PRC with a “de facto management body” within the PRC is considered a resident enterprise and will be subject to the enterprise income tax at the rate of 25% on its global income. The implementation rules define the term “de facto management body” as a managing body that exercises substantive and overall management and control over the production and business, personnel, accounting books and assets of an enterprise. In April 2009, the SAT issued a circular, known as Circular 82, which provides certain specific criteria for determining whether the “de facto management body” of a PRC-controlled enterprise that is incorporated offshore is located in China. Although this circular only applies to offshore enterprises controlled by PRC enterprises or PRC enterprise groups, not those controlled by PRC individuals or foreigners, the criteria set forth in the circular may reflect the SAT’s </w:t>
      </w:r>
    </w:p>
    <w:p>
      <w:pPr>
        <w:pStyle w:val="HorizontalLine"/>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385445"/>
                <wp:effectExtent l="0" t="0" r="0" b="0"/>
                <wp:wrapNone/>
                <wp:docPr id="142" name="Frame141"/>
                <a:graphic xmlns:a="http://schemas.openxmlformats.org/drawingml/2006/main">
                  <a:graphicData uri="http://schemas.microsoft.com/office/word/2010/wordprocessingShape">
                    <wps:wsp>
                      <wps:cNvSpPr txBox="1"/>
                      <wps:spPr>
                        <a:xfrm>
                          <a:off x="0" y="0"/>
                          <a:ext cx="6480175" cy="385445"/>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137</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137</w:t>
                      </w:r>
                    </w:p>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lineRule="auto" w:line="319"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general position on how the “de facto management body” test should be applied in determining the tax resident status of all offshore enterprises. According to Circular 82, an offshore incorporated enterprise controlled by a PRC enterprise or a PRC enterprise group will be regarded as a PRC tax resident by virtue of having its “de facto management body” in China only if all of the following conditions are met: (1) the primary location of the day-to-day operational management is in the PRC; (2) decisions relating to the enterprise’s financial and human resource matters are made or are subject to approval by organizations or personnel in the PRC; (3) the enterprise’s primary assets, accounting books and records, company seals, and board and shareholder resolutions, are located or maintained in the PRC; and (4) at least 50% of voting board members or senior executives habitually reside in the PRC.</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Agora, Inc. is not a PRC resident enterprise for PRC tax purposes. Agora, Inc. is not controlled by a PRC enterprise or PRC enterprise group, and we do not believe that Agora, Inc. meets all of the conditions above. Agora, Inc. is a company incorporated outside of the PRC. For the same reasons, we believe our other entities outside of China are not PRC resident enterprises either. However, the tax resident status of an enterprise is subject to determination by the PRC tax authorities and uncertainties remain with respect to the interpretation of the term “de facto management body.” There can be no assurance that the PRC government will ultimately take a view that is consistent with us.</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If the PRC tax authorities determine that Agora, Inc. is a PRC resident enterprise for enterprise income tax purposes or if dividends we pay to our shareholders are otherwise treated as sourced from within the PRC, we may be required to withhold a 10% withholding tax from such dividends we pay to our shareholders that are non-resident enterprises, including the holders of the ADSs. In addition, non-resident enterprise shareholders (including the ADS holders) may be subject to a 10% PRC tax on gains realized on the sale or other disposition of ADSs or ordinary shares, if such income is treated as sourced from within the PRC. It is unclear whether our non-PRC individual shareholders (including the ADS holders) would be subject to any PRC tax on dividends or gains obtained by such non-PRC individual shareholders if we are determined to be a PRC resident enterprise or if such dividends or gains are otherwise treated as sourced from within the PRC. If any PRC tax were to apply to such dividends or gains, it would generally apply at a rate of 20% unless a reduced rate is available under an applicable tax treaty. It is also unclear whether non-PRC shareholders of Agora, Inc. would be able to claim the benefits of any tax treaties between their country of tax residence and the PRC if Agora, Inc. is treated as a PRC resident enterprise.</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Furthermore, under Bulletin 7 and SAT Circular 37, where a non-resident enterprise conducts an “indirect transfer” by transferring taxable assets, including, in particular, equity interests in a PRC resident enterprise, indirectly by disposing of the equity interests of an overseas holding company, the non-resident enterprise, being the transferor, or the transferee or the PRC entity which directly owned such taxable assets may report to the relevant tax authority such indirect transfer. Using a “substance over form” principle, the PRC tax authority may disregard the existence of the overseas holding company if it lacks a reasonable commercial purpose and was established for the purpose of reducing, avoiding or deferring PRC tax. As a result, gains derived from such indirect transfer may be subject to PRC enterprise income tax, and the transferee or other person who is obligated to pay for the transfer is obligated to withhold the applicable taxes, subject to available preferential tax treatment under applicable tax treaties or similar arrangements, currently at a rate of 10% for the transfer of equity interests in a PRC resident enterprise. We and our non-PRC resident investors may be at risk of being required to file a return and being taxed under Bulletin 7 and SAT Circular 37, and we may be required to expend valuable resources to comply with Bulletin 7 and SAT Circular 37, or to establish that we should not be taxed under Bulletin 7 and SAT Circular 37.</w:t>
      </w:r>
    </w:p>
    <w:p>
      <w:pPr>
        <w:pStyle w:val="TextBody"/>
        <w:spacing w:lineRule="auto" w:line="276" w:before="0" w:after="0"/>
        <w:rPr>
          <w:rFonts w:ascii="Times New Roman;sans-serif" w:hAnsi="Times New Roman;sans-serif"/>
          <w:b/>
          <w:color w:val="000000"/>
          <w:sz w:val="20"/>
        </w:rPr>
      </w:pPr>
      <w:r>
        <w:rPr>
          <w:rFonts w:ascii="Times New Roman;sans-serif" w:hAnsi="Times New Roman;sans-serif"/>
          <w:b/>
          <w:color w:val="000000"/>
          <w:sz w:val="20"/>
        </w:rPr>
        <w:t>U.S. Federal Income Tax Considerations</w:t>
      </w:r>
    </w:p>
    <w:p>
      <w:pPr>
        <w:pStyle w:val="TextBody"/>
        <w:spacing w:before="0" w:after="0"/>
        <w:rPr/>
      </w:pPr>
      <w:r>
        <w:rPr/>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discussion is a summary of U.S. federal income tax considerations generally applicable to the ownership and disposition of the ADSs or ordinary shares by a U.S. Holder (as defined below) that holds the </w:t>
      </w:r>
    </w:p>
    <w:p>
      <w:pPr>
        <w:pStyle w:val="HorizontalLine"/>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385445"/>
                <wp:effectExtent l="0" t="0" r="0" b="0"/>
                <wp:wrapNone/>
                <wp:docPr id="143" name="Frame142"/>
                <a:graphic xmlns:a="http://schemas.openxmlformats.org/drawingml/2006/main">
                  <a:graphicData uri="http://schemas.microsoft.com/office/word/2010/wordprocessingShape">
                    <wps:wsp>
                      <wps:cNvSpPr txBox="1"/>
                      <wps:spPr>
                        <a:xfrm>
                          <a:off x="0" y="0"/>
                          <a:ext cx="6480175" cy="385445"/>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138</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138</w:t>
                      </w:r>
                    </w:p>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lineRule="auto" w:line="319"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ADSs or ordinary shares as “capital assets” (generally, property held for investment) under the U.S. Internal Revenue Code of 1986, as amended, or the Code. This discussion is based upon existing U.S. federal tax law, which is subject to differing interpretations or change, possibly with retroactive effect. No ruling has been sought from the Internal Revenue Service, or the IRS, with respect to any U.S. federal income tax considerations described below, and there can be no assurance that the IRS or a court will not take a contrary position. This discussion, moreover, does not address the U.S. federal estate, gift, and alternative minimum tax considerations, the Medicare tax on net investment income, or any state, local and non-U.S. tax considerations, relating to the ownership or disposition of the ADSs or ordinary shares. The following summary does not address all aspects of U.S. federal income taxation that may be important to particular investors in light of their individual circumstances or to persons in special tax situations such as:</w:t>
      </w:r>
    </w:p>
    <w:p>
      <w:pPr>
        <w:pStyle w:val="TextBody"/>
        <w:spacing w:lineRule="auto" w:line="319" w:before="0" w:after="240"/>
        <w:ind w:left="0" w:right="0" w:hanging="360"/>
        <w:jc w:val="both"/>
        <w:rPr/>
      </w:pPr>
      <w:r>
        <w:rPr>
          <w:color w:val="000000"/>
        </w:rPr>
        <w:t>•</w:t>
      </w:r>
      <w:r>
        <w:rPr>
          <w:rFonts w:ascii="Times New Roman;sans-serif" w:hAnsi="Times New Roman;sans-serif"/>
          <w:b w:val="false"/>
          <w:color w:val="000000"/>
          <w:sz w:val="20"/>
        </w:rPr>
        <w:t>banks and other financial institutions;</w:t>
      </w:r>
    </w:p>
    <w:p>
      <w:pPr>
        <w:pStyle w:val="TextBody"/>
        <w:spacing w:lineRule="auto" w:line="319" w:before="0" w:after="240"/>
        <w:ind w:left="0" w:right="0" w:hanging="360"/>
        <w:jc w:val="both"/>
        <w:rPr/>
      </w:pPr>
      <w:r>
        <w:rPr>
          <w:color w:val="000000"/>
        </w:rPr>
        <w:t>•</w:t>
      </w:r>
      <w:r>
        <w:rPr>
          <w:rFonts w:ascii="Times New Roman;sans-serif" w:hAnsi="Times New Roman;sans-serif"/>
          <w:b w:val="false"/>
          <w:color w:val="000000"/>
          <w:sz w:val="20"/>
        </w:rPr>
        <w:t>insurance companies;</w:t>
      </w:r>
    </w:p>
    <w:p>
      <w:pPr>
        <w:pStyle w:val="TextBody"/>
        <w:spacing w:lineRule="auto" w:line="319" w:before="0" w:after="240"/>
        <w:ind w:left="0" w:right="0" w:hanging="360"/>
        <w:jc w:val="both"/>
        <w:rPr/>
      </w:pPr>
      <w:r>
        <w:rPr>
          <w:color w:val="000000"/>
        </w:rPr>
        <w:t>•</w:t>
      </w:r>
      <w:r>
        <w:rPr>
          <w:rFonts w:ascii="Times New Roman;sans-serif" w:hAnsi="Times New Roman;sans-serif"/>
          <w:b w:val="false"/>
          <w:color w:val="000000"/>
          <w:sz w:val="20"/>
        </w:rPr>
        <w:t>pension plans;</w:t>
      </w:r>
    </w:p>
    <w:p>
      <w:pPr>
        <w:pStyle w:val="TextBody"/>
        <w:spacing w:lineRule="auto" w:line="319" w:before="0" w:after="240"/>
        <w:ind w:left="0" w:right="0" w:hanging="360"/>
        <w:jc w:val="both"/>
        <w:rPr/>
      </w:pPr>
      <w:r>
        <w:rPr>
          <w:color w:val="000000"/>
        </w:rPr>
        <w:t>•</w:t>
      </w:r>
      <w:r>
        <w:rPr>
          <w:rFonts w:ascii="Times New Roman;sans-serif" w:hAnsi="Times New Roman;sans-serif"/>
          <w:b w:val="false"/>
          <w:color w:val="000000"/>
          <w:sz w:val="20"/>
        </w:rPr>
        <w:t>cooperatives;</w:t>
      </w:r>
    </w:p>
    <w:p>
      <w:pPr>
        <w:pStyle w:val="TextBody"/>
        <w:spacing w:lineRule="auto" w:line="319" w:before="0" w:after="240"/>
        <w:ind w:left="0" w:right="0" w:hanging="360"/>
        <w:jc w:val="both"/>
        <w:rPr/>
      </w:pPr>
      <w:r>
        <w:rPr>
          <w:color w:val="000000"/>
        </w:rPr>
        <w:t>•</w:t>
      </w:r>
      <w:r>
        <w:rPr>
          <w:rFonts w:ascii="Times New Roman;sans-serif" w:hAnsi="Times New Roman;sans-serif"/>
          <w:b w:val="false"/>
          <w:color w:val="000000"/>
          <w:sz w:val="20"/>
        </w:rPr>
        <w:t>regulated investment companies;</w:t>
      </w:r>
    </w:p>
    <w:p>
      <w:pPr>
        <w:pStyle w:val="TextBody"/>
        <w:spacing w:lineRule="auto" w:line="319" w:before="0" w:after="240"/>
        <w:ind w:left="0" w:right="0" w:hanging="360"/>
        <w:jc w:val="both"/>
        <w:rPr/>
      </w:pPr>
      <w:r>
        <w:rPr>
          <w:color w:val="000000"/>
        </w:rPr>
        <w:t>•</w:t>
      </w:r>
      <w:r>
        <w:rPr>
          <w:rFonts w:ascii="Times New Roman;sans-serif" w:hAnsi="Times New Roman;sans-serif"/>
          <w:b w:val="false"/>
          <w:color w:val="000000"/>
          <w:sz w:val="20"/>
        </w:rPr>
        <w:t>real estate investment trusts;</w:t>
      </w:r>
    </w:p>
    <w:p>
      <w:pPr>
        <w:pStyle w:val="TextBody"/>
        <w:spacing w:lineRule="auto" w:line="319" w:before="0" w:after="240"/>
        <w:ind w:left="0" w:right="0" w:hanging="360"/>
        <w:jc w:val="both"/>
        <w:rPr/>
      </w:pPr>
      <w:r>
        <w:rPr>
          <w:color w:val="000000"/>
        </w:rPr>
        <w:t>•</w:t>
      </w:r>
      <w:r>
        <w:rPr>
          <w:rFonts w:ascii="Times New Roman;sans-serif" w:hAnsi="Times New Roman;sans-serif"/>
          <w:b w:val="false"/>
          <w:color w:val="000000"/>
          <w:sz w:val="20"/>
        </w:rPr>
        <w:t>broker-dealers;</w:t>
      </w:r>
    </w:p>
    <w:p>
      <w:pPr>
        <w:pStyle w:val="TextBody"/>
        <w:spacing w:lineRule="auto" w:line="319" w:before="0" w:after="240"/>
        <w:ind w:left="0" w:right="0" w:hanging="360"/>
        <w:jc w:val="both"/>
        <w:rPr/>
      </w:pPr>
      <w:r>
        <w:rPr>
          <w:color w:val="000000"/>
        </w:rPr>
        <w:t>•</w:t>
      </w:r>
      <w:r>
        <w:rPr>
          <w:rFonts w:ascii="Times New Roman;sans-serif" w:hAnsi="Times New Roman;sans-serif"/>
          <w:b w:val="false"/>
          <w:color w:val="000000"/>
          <w:sz w:val="20"/>
        </w:rPr>
        <w:t>traders that elect to use a mark-to-market method of accounting;</w:t>
      </w:r>
    </w:p>
    <w:p>
      <w:pPr>
        <w:pStyle w:val="TextBody"/>
        <w:spacing w:lineRule="auto" w:line="319" w:before="0" w:after="240"/>
        <w:ind w:left="0" w:right="0" w:hanging="360"/>
        <w:jc w:val="both"/>
        <w:rPr/>
      </w:pPr>
      <w:r>
        <w:rPr>
          <w:color w:val="000000"/>
        </w:rPr>
        <w:t>•</w:t>
      </w:r>
      <w:r>
        <w:rPr>
          <w:rFonts w:ascii="Times New Roman;sans-serif" w:hAnsi="Times New Roman;sans-serif"/>
          <w:b w:val="false"/>
          <w:color w:val="000000"/>
          <w:sz w:val="20"/>
        </w:rPr>
        <w:t>certain former U.S. citizens or long-term residents;</w:t>
      </w:r>
    </w:p>
    <w:p>
      <w:pPr>
        <w:pStyle w:val="TextBody"/>
        <w:spacing w:lineRule="auto" w:line="319" w:before="0" w:after="240"/>
        <w:ind w:left="0" w:right="0" w:hanging="360"/>
        <w:jc w:val="both"/>
        <w:rPr/>
      </w:pPr>
      <w:r>
        <w:rPr>
          <w:color w:val="000000"/>
        </w:rPr>
        <w:t>•</w:t>
      </w:r>
      <w:r>
        <w:rPr>
          <w:rFonts w:ascii="Times New Roman;sans-serif" w:hAnsi="Times New Roman;sans-serif"/>
          <w:b w:val="false"/>
          <w:color w:val="000000"/>
          <w:sz w:val="20"/>
        </w:rPr>
        <w:t>tax-exempt entities (including private foundations);</w:t>
      </w:r>
    </w:p>
    <w:p>
      <w:pPr>
        <w:pStyle w:val="TextBody"/>
        <w:spacing w:lineRule="auto" w:line="319" w:before="0" w:after="240"/>
        <w:ind w:left="0" w:right="0" w:hanging="360"/>
        <w:jc w:val="both"/>
        <w:rPr/>
      </w:pPr>
      <w:r>
        <w:rPr>
          <w:color w:val="000000"/>
        </w:rPr>
        <w:t>•</w:t>
      </w:r>
      <w:r>
        <w:rPr>
          <w:rFonts w:ascii="Times New Roman;sans-serif" w:hAnsi="Times New Roman;sans-serif"/>
          <w:b w:val="false"/>
          <w:color w:val="000000"/>
          <w:sz w:val="20"/>
        </w:rPr>
        <w:t>persons liable for alternative minimum tax;</w:t>
      </w:r>
    </w:p>
    <w:p>
      <w:pPr>
        <w:pStyle w:val="TextBody"/>
        <w:spacing w:lineRule="auto" w:line="319" w:before="0" w:after="240"/>
        <w:ind w:left="0" w:right="0" w:hanging="360"/>
        <w:jc w:val="both"/>
        <w:rPr/>
      </w:pPr>
      <w:r>
        <w:rPr>
          <w:color w:val="000000"/>
        </w:rPr>
        <w:t>•</w:t>
      </w:r>
      <w:r>
        <w:rPr>
          <w:rFonts w:ascii="Times New Roman;sans-serif" w:hAnsi="Times New Roman;sans-serif"/>
          <w:b w:val="false"/>
          <w:color w:val="000000"/>
          <w:sz w:val="20"/>
        </w:rPr>
        <w:t>holders who acquire their ADSs or ordinary shares pursuant to any employee share option or otherwise as compensation;</w:t>
      </w:r>
    </w:p>
    <w:p>
      <w:pPr>
        <w:pStyle w:val="TextBody"/>
        <w:spacing w:lineRule="auto" w:line="319" w:before="0" w:after="240"/>
        <w:ind w:left="0" w:right="0" w:hanging="360"/>
        <w:jc w:val="both"/>
        <w:rPr/>
      </w:pPr>
      <w:r>
        <w:rPr>
          <w:color w:val="000000"/>
        </w:rPr>
        <w:t>•</w:t>
      </w:r>
      <w:r>
        <w:rPr>
          <w:rFonts w:ascii="Times New Roman;sans-serif" w:hAnsi="Times New Roman;sans-serif"/>
          <w:b w:val="false"/>
          <w:color w:val="000000"/>
          <w:sz w:val="20"/>
        </w:rPr>
        <w:t>investors that will hold their ADSs or ordinary shares as part of a straddle, hedge, conversion, constructive sale or other integrated transaction for U.S. federal income tax purposes;</w:t>
      </w:r>
    </w:p>
    <w:p>
      <w:pPr>
        <w:pStyle w:val="TextBody"/>
        <w:spacing w:lineRule="auto" w:line="319" w:before="0" w:after="240"/>
        <w:ind w:left="0" w:right="0" w:hanging="360"/>
        <w:jc w:val="both"/>
        <w:rPr/>
      </w:pPr>
      <w:r>
        <w:rPr>
          <w:color w:val="000000"/>
        </w:rPr>
        <w:t>•</w:t>
      </w:r>
      <w:r>
        <w:rPr>
          <w:rFonts w:ascii="Times New Roman;sans-serif" w:hAnsi="Times New Roman;sans-serif"/>
          <w:b w:val="false"/>
          <w:color w:val="000000"/>
          <w:sz w:val="20"/>
        </w:rPr>
        <w:t>investors that have a functional currency other than the U.S. dollar;</w:t>
      </w:r>
    </w:p>
    <w:p>
      <w:pPr>
        <w:pStyle w:val="TextBody"/>
        <w:spacing w:lineRule="auto" w:line="319" w:before="0" w:after="240"/>
        <w:ind w:left="0" w:right="0" w:hanging="360"/>
        <w:jc w:val="both"/>
        <w:rPr/>
      </w:pPr>
      <w:r>
        <w:rPr>
          <w:color w:val="000000"/>
        </w:rPr>
        <w:t>•</w:t>
      </w:r>
      <w:r>
        <w:rPr>
          <w:rFonts w:ascii="Times New Roman;sans-serif" w:hAnsi="Times New Roman;sans-serif"/>
          <w:b w:val="false"/>
          <w:color w:val="000000"/>
          <w:sz w:val="20"/>
        </w:rPr>
        <w:t>persons that actually or constructively own 10% or more of our stock (by vote or value);</w:t>
      </w:r>
    </w:p>
    <w:p>
      <w:pPr>
        <w:pStyle w:val="TextBody"/>
        <w:spacing w:lineRule="auto" w:line="319" w:before="0" w:after="240"/>
        <w:ind w:left="0" w:right="0" w:hanging="360"/>
        <w:jc w:val="both"/>
        <w:rPr/>
      </w:pPr>
      <w:r>
        <w:rPr>
          <w:color w:val="000000"/>
        </w:rPr>
        <w:t>•</w:t>
      </w:r>
      <w:r>
        <w:rPr>
          <w:rFonts w:ascii="Times New Roman;sans-serif" w:hAnsi="Times New Roman;sans-serif"/>
          <w:b w:val="false"/>
          <w:color w:val="000000"/>
          <w:sz w:val="20"/>
        </w:rPr>
        <w:t>persons required to accelerate the recognition of any item of gross income with respect to their ADSs or ordinary shares as a result of such income being recognized on an applicable financial statement; or</w:t>
      </w:r>
    </w:p>
    <w:p>
      <w:pPr>
        <w:pStyle w:val="TextBody"/>
        <w:spacing w:lineRule="auto" w:line="319" w:before="0" w:after="240"/>
        <w:ind w:left="0" w:right="0" w:hanging="360"/>
        <w:jc w:val="both"/>
        <w:rPr/>
      </w:pPr>
      <w:r>
        <w:rPr>
          <w:color w:val="000000"/>
        </w:rPr>
        <w:t>•</w:t>
      </w:r>
      <w:r>
        <w:rPr>
          <w:rFonts w:ascii="Times New Roman;sans-serif" w:hAnsi="Times New Roman;sans-serif"/>
          <w:b w:val="false"/>
          <w:color w:val="000000"/>
          <w:sz w:val="20"/>
        </w:rPr>
        <w:t>partnerships or other entities taxable as partnerships for U.S. federal income tax purposes, or persons holding ADSs or ordinary shares through such entities;</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all of whom may be subject to tax rules that differ significantly from those discussed below.</w:t>
      </w:r>
    </w:p>
    <w:p>
      <w:pPr>
        <w:pStyle w:val="HorizontalLine"/>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385445"/>
                <wp:effectExtent l="0" t="0" r="0" b="0"/>
                <wp:wrapNone/>
                <wp:docPr id="144" name="Frame143"/>
                <a:graphic xmlns:a="http://schemas.openxmlformats.org/drawingml/2006/main">
                  <a:graphicData uri="http://schemas.microsoft.com/office/word/2010/wordprocessingShape">
                    <wps:wsp>
                      <wps:cNvSpPr txBox="1"/>
                      <wps:spPr>
                        <a:xfrm>
                          <a:off x="0" y="0"/>
                          <a:ext cx="6480175" cy="385445"/>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139</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139</w:t>
                      </w:r>
                    </w:p>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Each U.S. Holder is urged to consult its tax advisor regarding the application of U.S. federal taxation to its particular circumstances, and the state, local, non-U.S. and other tax considerations of the ownership and disposition of the ADSs or our ordinary shares.</w:t>
      </w:r>
    </w:p>
    <w:p>
      <w:pPr>
        <w:pStyle w:val="TextBody"/>
        <w:spacing w:lineRule="auto" w:line="319" w:before="0" w:after="240"/>
        <w:jc w:val="both"/>
        <w:rPr>
          <w:rFonts w:ascii="Times New Roman;sans-serif" w:hAnsi="Times New Roman;sans-serif"/>
          <w:b/>
          <w:i/>
          <w:color w:val="000000"/>
          <w:sz w:val="20"/>
        </w:rPr>
      </w:pPr>
      <w:r>
        <w:rPr>
          <w:rFonts w:ascii="Times New Roman;sans-serif" w:hAnsi="Times New Roman;sans-serif"/>
          <w:b/>
          <w:i/>
          <w:color w:val="000000"/>
          <w:sz w:val="20"/>
        </w:rPr>
        <w:t>General</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For purposes of this discussion, a “U.S. Holder” is a beneficial owner of the ADSs or ordinary shares that is, for U.S. federal income tax purposes:</w:t>
      </w:r>
    </w:p>
    <w:p>
      <w:pPr>
        <w:pStyle w:val="TextBody"/>
        <w:spacing w:lineRule="auto" w:line="319" w:before="0" w:after="240"/>
        <w:ind w:left="0" w:right="0" w:hanging="360"/>
        <w:jc w:val="both"/>
        <w:rPr/>
      </w:pPr>
      <w:r>
        <w:rPr>
          <w:color w:val="000000"/>
        </w:rPr>
        <w:t>•</w:t>
      </w:r>
      <w:r>
        <w:rPr>
          <w:rFonts w:ascii="Times New Roman;sans-serif" w:hAnsi="Times New Roman;sans-serif"/>
          <w:b w:val="false"/>
          <w:color w:val="000000"/>
          <w:sz w:val="20"/>
        </w:rPr>
        <w:t>an individual who is a citizen or resident of the United States;</w:t>
      </w:r>
    </w:p>
    <w:p>
      <w:pPr>
        <w:pStyle w:val="TextBody"/>
        <w:spacing w:lineRule="auto" w:line="319" w:before="0" w:after="240"/>
        <w:ind w:left="0" w:right="0" w:hanging="360"/>
        <w:jc w:val="both"/>
        <w:rPr/>
      </w:pPr>
      <w:r>
        <w:rPr>
          <w:color w:val="000000"/>
        </w:rPr>
        <w:t>•</w:t>
      </w:r>
      <w:r>
        <w:rPr>
          <w:rFonts w:ascii="Times New Roman;sans-serif" w:hAnsi="Times New Roman;sans-serif"/>
          <w:b w:val="false"/>
          <w:color w:val="000000"/>
          <w:sz w:val="20"/>
        </w:rPr>
        <w:t>a corporation (or other entity treated as a corporation for U.S. federal income tax purposes) created in, or organized under the law of, the United States or any state thereof or the District of Columbia;</w:t>
      </w:r>
    </w:p>
    <w:p>
      <w:pPr>
        <w:pStyle w:val="TextBody"/>
        <w:spacing w:lineRule="auto" w:line="319" w:before="0" w:after="240"/>
        <w:ind w:left="0" w:right="0" w:hanging="360"/>
        <w:jc w:val="both"/>
        <w:rPr/>
      </w:pPr>
      <w:r>
        <w:rPr>
          <w:color w:val="000000"/>
        </w:rPr>
        <w:t>•</w:t>
      </w:r>
      <w:r>
        <w:rPr>
          <w:rFonts w:ascii="Times New Roman;sans-serif" w:hAnsi="Times New Roman;sans-serif"/>
          <w:b w:val="false"/>
          <w:color w:val="000000"/>
          <w:sz w:val="20"/>
        </w:rPr>
        <w:t xml:space="preserve">an estate the income of which is includible in gross income for U.S. federal income tax purposes regardless of its source; or </w:t>
      </w:r>
    </w:p>
    <w:p>
      <w:pPr>
        <w:pStyle w:val="TextBody"/>
        <w:spacing w:lineRule="auto" w:line="319" w:before="0" w:after="240"/>
        <w:ind w:left="0" w:right="0" w:hanging="360"/>
        <w:jc w:val="both"/>
        <w:rPr/>
      </w:pPr>
      <w:r>
        <w:rPr>
          <w:color w:val="000000"/>
        </w:rPr>
        <w:t>•</w:t>
      </w:r>
      <w:r>
        <w:rPr>
          <w:rFonts w:ascii="Times New Roman;sans-serif" w:hAnsi="Times New Roman;sans-serif"/>
          <w:b w:val="false"/>
          <w:color w:val="000000"/>
          <w:sz w:val="20"/>
        </w:rPr>
        <w:t>a trust (A) the administration of which is subject to the primary supervision of a U.S. court and which has one or more U.S. persons who have the authority to control all substantial decisions of the trust or (B) that has otherwise validly elected to be treated as a U.S. person under the Code.</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If a partnership (or other entity treated as a partnership for U.S. federal income tax purposes) is a beneficial owner of the ADSs or ordinary shares, the tax treatment of a partner in the partnership will generally depend upon the status of the partner and the activities of the partnership. Partners in a partnerships holding the ADSs or ordinary shares are urged to consult their tax advisors regarding an investment in the ADSs or ordinary shares.</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For U.S. federal income tax purposes, it is generally expected that a U.S. Holder of ADSs will be treated as the beneficial owner of the underlying shares represented by the ADSs. The remainder of this discussion assumes that a U.S. Holder of the ADSs will be treated in this manner. Accordingly, deposits or withdrawals of ordinary shares for ADSs will generally not be subject to U.S. federal income tax.</w:t>
      </w:r>
    </w:p>
    <w:p>
      <w:pPr>
        <w:pStyle w:val="TextBody"/>
        <w:spacing w:lineRule="auto" w:line="319" w:before="0" w:after="240"/>
        <w:jc w:val="both"/>
        <w:rPr>
          <w:rFonts w:ascii="Times New Roman;sans-serif" w:hAnsi="Times New Roman;sans-serif"/>
          <w:b/>
          <w:i/>
          <w:color w:val="000000"/>
          <w:sz w:val="20"/>
        </w:rPr>
      </w:pPr>
      <w:r>
        <w:rPr>
          <w:rFonts w:ascii="Times New Roman;sans-serif" w:hAnsi="Times New Roman;sans-serif"/>
          <w:b/>
          <w:i/>
          <w:color w:val="000000"/>
          <w:sz w:val="20"/>
        </w:rPr>
        <w:t>Passive Foreign Investment Company Considerations</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 non-U.S. corporation, such as our company, will be a PFIC, for U.S. federal income tax purposes for any tax year, if either (1) 75% or more of its gross income for such year consists of certain types of “passive” income or (2) 50% or more of the value of its assets (determined on the basis of a quarterly average) during such year is attributable to assets that produce or are held for the production of passive income. For this purpose, cash and assets readily convertible into cash are generally categorized as a passive asset and the company’s goodwill and other unbooked intangibles are taken into account. Passive income generally includes, among other things, dividends, interest, rents, royalties, and gains from the disposition of passive assets. We will be treated as owning a proportionate share of the assets and earning a proportionate share of the income of any other corporation in which we own, directly or indirectly, more than 25% (by value) of the stock.</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Although the law in this regard is not entirely clear, we treat our VIEs as being owned by us for U.S. federal income tax purposes because we control their management decisions and are entitled to substantially all of the economic benefits associated with them. As a result, we consolidate their results of operations in our consolidated U.S. GAAP financial statements. If it were determined, however, that we are not deemed the owner of our VIEs for U.S. federal income tax purposes, we would likely be treated as a PFIC for the current tax year and any subsequent tax year.</w:t>
      </w:r>
    </w:p>
    <w:p>
      <w:pPr>
        <w:pStyle w:val="HorizontalLine"/>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385445"/>
                <wp:effectExtent l="0" t="0" r="0" b="0"/>
                <wp:wrapNone/>
                <wp:docPr id="145" name="Frame144"/>
                <a:graphic xmlns:a="http://schemas.openxmlformats.org/drawingml/2006/main">
                  <a:graphicData uri="http://schemas.microsoft.com/office/word/2010/wordprocessingShape">
                    <wps:wsp>
                      <wps:cNvSpPr txBox="1"/>
                      <wps:spPr>
                        <a:xfrm>
                          <a:off x="0" y="0"/>
                          <a:ext cx="6480175" cy="385445"/>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140</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140</w:t>
                      </w:r>
                    </w:p>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For purposes of the PFIC asset test, the value of our assets will generally be determined by reference to our market capitalization. However, if we are considered to be a CFC that is not “publicly traded” for purposes of the PFIC rules during the tested period, the value of our assets will generally be determined by reference to our adjusted bases in our assets. We do not believe that we are a CFC, and we further believe that the ADSs are “publicly traded.” Therefore, assuming that we are deemed the owner of our VIEs for U.S. federal income tax purposes and based on our current and projected market capitalization and composition of our income and assets, we do not believe we were a PFIC for the fiscal year ended December 31, 2020 and we do not expect to be a PFIC for the current tax year or the foreseeable future. However, no assurance can be given in this regard because the determination of whether we will be or will become a PFIC is a factual determination made annually that will depend, in part, upon the composition of our income and assets. Fluctuations in the market price of the ADSs may cause us to be a PFIC for the current or future tax years because the value of our assets for purposes of the asset test, including the value of our goodwill and unbooked intangibles, may be determined by reference to the market price of the ADSs from time to time (which may be volatile). If our market capitalization subsequently declines, we may be or become a PFIC for the current tax year or future tax years. Under circumstances where our revenue from activities that produce passive income significantly increases relative to our revenue from activities that produce non-passive income, or where we determine not to deploy significant amounts of cash for active purposes, our risk of becoming a PFIC may substantially increase.</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If we are a PFIC for any year during which a U.S. Holder holds the ADSs or ordinary shares, the PFIC rules discussed below under “—Passive Foreign Investment Company Rules” generally will apply to such U.S. Holder for such tax year, and will apply in future years even if we cease to be a PFIC. However, if we cease to be a PFIC, a U.S. Holder can avoid the continuing impact of the PFIC rules by making a special election to recognize gain as if the U.S Holder’s ADSs or ordinary shares had been sold on the last day of the last taxable year during which we were a PFIC. U.S. Holders are urged to consult their own tax advisor about this election.</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discussion below under “—Dividends” and “—Sale or Other Disposition” is written on the basis that we will not be or become a PFIC for U.S. federal income tax purposes. The U.S. federal income tax rules that apply generally if we are treated as a PFIC are discussed below under “—Passive Foreign Investment Company Rules.”</w:t>
      </w:r>
    </w:p>
    <w:p>
      <w:pPr>
        <w:pStyle w:val="TextBody"/>
        <w:spacing w:lineRule="auto" w:line="319" w:before="0" w:after="240"/>
        <w:jc w:val="both"/>
        <w:rPr>
          <w:rFonts w:ascii="Times New Roman;sans-serif" w:hAnsi="Times New Roman;sans-serif"/>
          <w:b/>
          <w:i/>
          <w:color w:val="000000"/>
          <w:sz w:val="20"/>
        </w:rPr>
      </w:pPr>
      <w:r>
        <w:rPr>
          <w:rFonts w:ascii="Times New Roman;sans-serif" w:hAnsi="Times New Roman;sans-serif"/>
          <w:b/>
          <w:i/>
          <w:color w:val="000000"/>
          <w:sz w:val="20"/>
        </w:rPr>
        <w:t>Dividends</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Any cash distributions paid on the ADSs or ordinary shares (including the amount of any PRC tax withheld) out of our current or accumulated earnings and profits, as determined under U.S. federal income tax principles, will generally be includible in the gross income of a U.S. Holder as dividend income on the day actually or constructively received by the U.S. Holder, in the case of ordinary shares, or by the depositary, in the case of ADSs. Because we do not intend to determine our earnings and profits on the basis of U.S. federal income tax principles, any distribution we pay will generally be treated as a “dividend” for U.S. federal income tax purposes. Dividends received on the ADSs or ordinary shares will not be eligible for the dividends received deduction allowed to corporations in respect of dividends received from U.S. corporations.</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Individuals and other non-corporate U.S. Holders will be subject to tax at the lower capital gain tax rate applicable to “qualified dividend income,” provided that certain conditions are satisfied, including that (1) the ADSs or ordinary shares with respect to which the dividends are paid are readily tradable on an established securities market in the United States, or, if we are deemed to be a PRC resident enterprise under the PRC tax law, we are eligible for the benefit of the United States-PRC income tax treaty, or the Treaty, (2) we are neither a PFIC nor treated as such with respect to a U.S. Holder (as discussed below) for the tax year in which the dividend is paid or the preceding tax year and (3) certain holding period requirements are met. Our ADSs are listed on the Nasdaq Global Select Market. We believe that the ADSs are readily tradable on an established securities market in the United States and that we are a qualified foreign corporation with respect to dividends paid on the ADSs. There can </w:t>
      </w:r>
    </w:p>
    <w:p>
      <w:pPr>
        <w:pStyle w:val="HorizontalLine"/>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385445"/>
                <wp:effectExtent l="0" t="0" r="0" b="0"/>
                <wp:wrapNone/>
                <wp:docPr id="146" name="Frame145"/>
                <a:graphic xmlns:a="http://schemas.openxmlformats.org/drawingml/2006/main">
                  <a:graphicData uri="http://schemas.microsoft.com/office/word/2010/wordprocessingShape">
                    <wps:wsp>
                      <wps:cNvSpPr txBox="1"/>
                      <wps:spPr>
                        <a:xfrm>
                          <a:off x="0" y="0"/>
                          <a:ext cx="6480175" cy="385445"/>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141</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141</w:t>
                      </w:r>
                    </w:p>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lineRule="auto" w:line="319"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be no assurance that the ADSs will continue to be considered readily tradable on an established securities market in later years. Because the ordinary shares are not listed on a U.S. exchange, dividends received with respect to ordinary shares that are not represented by ADSs may not be treated as qualified dividends. U.S. Holders are urged to consult their tax advisors regarding the availability of the lower rate for dividends paid with respect to the ADSs or ordinary shares.</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If we are deemed to be a PRC resident enterprise under the PRC Enterprise Income Tax Law (see the section of this annual report captioned “Item 10. Additional Information—E. Taxation—People’s Republic of China Taxation”), we may be eligible for the benefits of the Treaty. If we are eligible for such benefits, dividends we pay on our ordinary shares, regardless of whether such shares are represented by the ADSs, and regardless of whether the ADSs are readily tradable on an established securities market in the United States, would be eligible for the reduced rates of taxation described in the preceding paragraph.</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For U.S. foreign tax credit purposes, dividends paid on the ADSs or ordinary shares generally will be treated as income from foreign sources and generally will constitute passive category income. If PRC withholding taxes apply to dividends paid to a U.S. Holder with respect to the ADSs or ordinary shares, such U.S. Holder may be able to obtain a reduced rate of PRC withholding taxes under the Treaty if certain requirements are met. In addition, subject to certain conditions and limitations, PRC withholding taxes on dividends that are non-refundable under the Treaty may be treated as foreign taxes eligible for credit against a U.S. Holder’s U.S. federal income tax liability. A U.S. Holder who does not elect to claim a foreign tax credit for foreign tax withheld may instead claim a deduction for U.S. federal income tax purposes, in respect of such withholding, but only for a year in which such holder elects to do so for all creditable foreign income taxes. The rules governing the foreign tax credit are complex and U.S. Holders are urged to consult their tax advisors regarding the availability of the foreign tax credit under their particular circumstances.</w:t>
      </w:r>
    </w:p>
    <w:p>
      <w:pPr>
        <w:pStyle w:val="TextBody"/>
        <w:spacing w:lineRule="auto" w:line="319" w:before="0" w:after="240"/>
        <w:jc w:val="both"/>
        <w:rPr>
          <w:rFonts w:ascii="Times New Roman;sans-serif" w:hAnsi="Times New Roman;sans-serif"/>
          <w:b/>
          <w:i/>
          <w:color w:val="000000"/>
          <w:sz w:val="20"/>
        </w:rPr>
      </w:pPr>
      <w:r>
        <w:rPr>
          <w:rFonts w:ascii="Times New Roman;sans-serif" w:hAnsi="Times New Roman;sans-serif"/>
          <w:b/>
          <w:i/>
          <w:color w:val="000000"/>
          <w:sz w:val="20"/>
        </w:rPr>
        <w:t>Sale or Other Disposition</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 U.S. Holder will generally recognize gain or loss upon the sale or other disposition of ADSs or ordinary shares in an amount equal to the difference between the amount realized upon the disposition and the holder’s adjusted tax basis in such ADSs or ordinary shares. The gain or loss will generally be capital gain or loss. Individuals and other non-corporate U.S. Holders who have held the ADSs or ordinary shares for more than one year will generally be eligible for reduced tax rates. The deductibility of a capital loss may be subject to limitations. Any such gain or loss that the U.S. Holder recognizes will generally be treated as U.S. source income or loss for foreign tax credit limitation purposes, which will generally limit the availability of foreign tax credits. However, if PRC tax were to be imposed on any gain from the disposition of the ADSs or ordinary shares, a U.S. Holder that is eligible for the benefits of the Treaty may elect to treat such gain as foreign source income. If a U.S. Holder is not eligible for the benefits of the Treaty or fails to make the election to treat any gain as foreign source, then such U.S. holder may not be able to use the foreign tax credit arising from any PRC tax imposed on the disposition of the ADSs or ordinary shares unless such credit can be applied (subject to applicable limitations) against U.S. federal income tax due on other income derived from foreign sources in the same income category (generally, the passive category). U.S. Holders are urged to consult their tax advisors regarding the creditability of any PRC tax.</w:t>
      </w:r>
    </w:p>
    <w:p>
      <w:pPr>
        <w:pStyle w:val="TextBody"/>
        <w:spacing w:lineRule="auto" w:line="319" w:before="100" w:after="240"/>
        <w:jc w:val="both"/>
        <w:rPr>
          <w:rFonts w:ascii="Times New Roman;sans-serif" w:hAnsi="Times New Roman;sans-serif"/>
          <w:b/>
          <w:i/>
          <w:color w:val="000000"/>
          <w:sz w:val="20"/>
        </w:rPr>
      </w:pPr>
      <w:r>
        <w:rPr>
          <w:rFonts w:ascii="Times New Roman;sans-serif" w:hAnsi="Times New Roman;sans-serif"/>
          <w:b/>
          <w:i/>
          <w:color w:val="000000"/>
          <w:sz w:val="20"/>
        </w:rPr>
        <w:t>Passive Foreign Investment Company Rules</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If we are a PFIC for any tax year during which a U.S. Holder holds the ADSs or ordinary shares, and unless the U.S. Holder makes a mark-to-market election (as described below), the U.S. Holder will generally be subject to special tax rules on (1) any excess distribution that we make to the U.S. Holder (which generally means any distribution paid during a tax year to a U.S. Holder that is greater than 125% of the average annual distributions paid </w:t>
      </w:r>
    </w:p>
    <w:p>
      <w:pPr>
        <w:pStyle w:val="HorizontalLine"/>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385445"/>
                <wp:effectExtent l="0" t="0" r="0" b="0"/>
                <wp:wrapNone/>
                <wp:docPr id="147" name="Frame146"/>
                <a:graphic xmlns:a="http://schemas.openxmlformats.org/drawingml/2006/main">
                  <a:graphicData uri="http://schemas.microsoft.com/office/word/2010/wordprocessingShape">
                    <wps:wsp>
                      <wps:cNvSpPr txBox="1"/>
                      <wps:spPr>
                        <a:xfrm>
                          <a:off x="0" y="0"/>
                          <a:ext cx="6480175" cy="385445"/>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142</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142</w:t>
                      </w:r>
                    </w:p>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lineRule="auto" w:line="319"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in the three preceding tax years or, if shorter, the U.S. Holder’s holding period for the ADSs or ordinary shares) and (2) any gain realized on the sale or other disposition of ADSs or ordinary shares. Under the PFIC rules:</w:t>
      </w:r>
    </w:p>
    <w:p>
      <w:pPr>
        <w:pStyle w:val="TextBody"/>
        <w:spacing w:lineRule="auto" w:line="319" w:before="0" w:after="240"/>
        <w:ind w:left="0" w:right="0" w:hanging="360"/>
        <w:jc w:val="both"/>
        <w:rPr/>
      </w:pPr>
      <w:r>
        <w:rPr>
          <w:color w:val="000000"/>
        </w:rPr>
        <w:t>•</w:t>
      </w:r>
      <w:r>
        <w:rPr>
          <w:rFonts w:ascii="Times New Roman;sans-serif" w:hAnsi="Times New Roman;sans-serif"/>
          <w:b w:val="false"/>
          <w:color w:val="000000"/>
          <w:sz w:val="20"/>
        </w:rPr>
        <w:t>the excess distribution or gain will be allocated ratably over the U.S. Holder’s holding period for the ADSs or ordinary shares;</w:t>
      </w:r>
    </w:p>
    <w:p>
      <w:pPr>
        <w:pStyle w:val="TextBody"/>
        <w:spacing w:lineRule="auto" w:line="319" w:before="0" w:after="240"/>
        <w:ind w:left="0" w:right="0" w:hanging="360"/>
        <w:jc w:val="both"/>
        <w:rPr/>
      </w:pPr>
      <w:r>
        <w:rPr>
          <w:color w:val="000000"/>
        </w:rPr>
        <w:t>•</w:t>
      </w:r>
      <w:r>
        <w:rPr>
          <w:rFonts w:ascii="Times New Roman;sans-serif" w:hAnsi="Times New Roman;sans-serif"/>
          <w:b w:val="false"/>
          <w:color w:val="000000"/>
          <w:sz w:val="20"/>
        </w:rPr>
        <w:t>the amount allocated to the current tax year and any tax years in the U.S. Holder’s holding period prior to the first tax year in which we are a PFIC, each a pre-PFIC year, will be taxable as ordinary income; and</w:t>
      </w:r>
    </w:p>
    <w:p>
      <w:pPr>
        <w:pStyle w:val="TextBody"/>
        <w:spacing w:lineRule="auto" w:line="319" w:before="0" w:after="240"/>
        <w:ind w:left="0" w:right="0" w:hanging="360"/>
        <w:jc w:val="both"/>
        <w:rPr/>
      </w:pPr>
      <w:r>
        <w:rPr>
          <w:color w:val="000000"/>
        </w:rPr>
        <w:t>•</w:t>
      </w:r>
      <w:r>
        <w:rPr>
          <w:rFonts w:ascii="Times New Roman;sans-serif" w:hAnsi="Times New Roman;sans-serif"/>
          <w:b w:val="false"/>
          <w:color w:val="000000"/>
          <w:sz w:val="20"/>
        </w:rPr>
        <w:t>the amount allocated to each prior tax year, other than a pre-PFIC year, will be subject to tax at the highest tax rate in effect for individuals or corporations, as appropriate, for that year, increased by an additional tax equal to the interest on the resulting tax deemed deferred with respect to each such tax year.</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If we are a PFIC for any tax year during which a U.S. Holder holds the ADSs or ordinary shares and any of our subsidiaries, our VIEs or any of the subsidiaries of our VIEs is also a PFIC, such U.S. Holder would be treated as owning a proportionate amount (by value) of the shares of the lower-tier PFIC for purposes of the application of these rules. U.S. Holders are urged to consult their tax advisors regarding the application of the PFIC rules to any of our subsidiaries, our VIEs or any of the subsidiaries of our VIEs.</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an alternative to the foregoing rules, a U.S. Holder of “marketable stock” (as defined below) in a PFIC may make a mark-to-market election with respect to such stock. If a U.S. Holder makes this election with respect to the ADSs, the holder will generally (1) include as ordinary income for each tax year that we are a PFIC the excess, if any, of the fair market value of ADSs held at the end of the tax year over the adjusted tax basis of such ADSs and (2) deduct as an ordinary loss in each such tax year the excess, if any, of the adjusted tax basis of the ADSs over the fair market value of such ADSs held at the end of the tax year, but such deduction will only be allowed to the extent of the amount previously included in income as a result of the mark-to-market election. The U.S. Holder’s adjusted tax basis in the ADSs would be adjusted to reflect any income or loss resulting from the mark-to-market election. If a U.S. Holder makes a mark-to-market election in respect of the ADSs and we cease to be a PFIC, the holder will not be required to take into account the gain or loss described above during any period that we are not a PFIC. If a U.S. Holder makes a mark-to-market election, any gain such U.S. Holder recognizes upon the sale or other disposition of the ADSs in a year when we are a PFIC will be treated as ordinary income and any loss will be treated as ordinary loss, but such loss will only be treated as ordinary loss to the extent of the net amount previously included in income as a result of the mark-to-market election.</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mark-to-market election is available only for “marketable stock,” which is stock that is traded in other than de minimis quantities on at least 15 days during each calendar quarter, or regularly traded, on a qualified exchange or other market, as defined in applicable United States Treasury regulations. The ADSs, but not our ordinary shares, are treated as traded on a qualified exchange because the ADSs are listed on the Nasdaq Global Select Market. We believe that the ADSs should qualify as being regularly traded, but no assurances may be given in this regard.</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Because a mark-to-market election cannot be made for any lower-tier PFICs that we may own, a U.S. Holder may continue to be subject to the general PFIC rules with respect to such U.S. Holder’s indirect interest in any investments held by us that are treated as an equity interest in a PFIC for U.S. federal income tax purposes.</w:t>
      </w:r>
    </w:p>
    <w:p>
      <w:pPr>
        <w:pStyle w:val="HorizontalLine"/>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385445"/>
                <wp:effectExtent l="0" t="0" r="0" b="0"/>
                <wp:wrapNone/>
                <wp:docPr id="148" name="Frame147"/>
                <a:graphic xmlns:a="http://schemas.openxmlformats.org/drawingml/2006/main">
                  <a:graphicData uri="http://schemas.microsoft.com/office/word/2010/wordprocessingShape">
                    <wps:wsp>
                      <wps:cNvSpPr txBox="1"/>
                      <wps:spPr>
                        <a:xfrm>
                          <a:off x="0" y="0"/>
                          <a:ext cx="6480175" cy="385445"/>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143</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143</w:t>
                      </w:r>
                    </w:p>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have not determined whether we will provide information necessary for U.S. Holders to make qualified electing fund elections which, if available, would result in tax treatment different from (and generally less adverse than) the general tax treatment for PFICs described above.</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If a U.S. Holder owns the ADSs or ordinary shares during any tax year that we are a PFIC, the holder must generally file an annual IRS Form 8621. U.S. Holders should consult their tax advisor regarding the U.S. federal income tax considerations of owning and disposing of the ADSs or ordinary shares if we are or become a PFIC, including the availability and possibility of making a mark-to-market election, qualified electing fund election or the special election described above under “—Passive Foreign Investment Company Considerations.”</w:t>
      </w:r>
    </w:p>
    <w:p>
      <w:pPr>
        <w:pStyle w:val="TextBody"/>
        <w:spacing w:lineRule="auto" w:line="319" w:before="0" w:after="240"/>
        <w:jc w:val="both"/>
        <w:rPr>
          <w:rFonts w:ascii="Times New Roman;sans-serif" w:hAnsi="Times New Roman;sans-serif"/>
          <w:b/>
          <w:i/>
          <w:color w:val="000000"/>
          <w:sz w:val="20"/>
        </w:rPr>
      </w:pPr>
      <w:r>
        <w:rPr>
          <w:rFonts w:ascii="Times New Roman;sans-serif" w:hAnsi="Times New Roman;sans-serif"/>
          <w:b/>
          <w:i/>
          <w:color w:val="000000"/>
          <w:sz w:val="20"/>
        </w:rPr>
        <w:t>Information Reporting and Backup Withholding</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U.S. Holders may be subject to information reporting to the IRS and U.S. backup withholding with respect to dividends on and proceeds from the sale or other disposition of the ADSs or ordinary shares. Backup withholding will not apply, however, to a U.S. Holder who furnishes a correct taxpayer identification number and makes any other required certification, or who is otherwise exempt from backup withholding.</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Backup withholding is not an additional tax. Amounts withheld as backup withholding may be credited against a U.S. Holder’s U.S. federal income tax liability, and a U.S. Holder generally may obtain a refund of any excess amounts withheld under the backup withholding rules by filing the appropriate claim for refund with the IRS and furnishing any required information. U.S. Holders should consult their tax advisors regarding the application of the U.S. information reporting and backup withholding rules.</w:t>
      </w:r>
    </w:p>
    <w:p>
      <w:pPr>
        <w:pStyle w:val="TextBody"/>
        <w:spacing w:lineRule="auto" w:line="319" w:before="0" w:after="240"/>
        <w:jc w:val="both"/>
        <w:rPr>
          <w:rFonts w:ascii="Times New Roman;sans-serif" w:hAnsi="Times New Roman;sans-serif"/>
          <w:b/>
          <w:i/>
          <w:color w:val="000000"/>
          <w:sz w:val="20"/>
        </w:rPr>
      </w:pPr>
      <w:r>
        <w:rPr>
          <w:rFonts w:ascii="Times New Roman;sans-serif" w:hAnsi="Times New Roman;sans-serif"/>
          <w:b/>
          <w:i/>
          <w:color w:val="000000"/>
          <w:sz w:val="20"/>
        </w:rPr>
        <w:t>Information with Respect to Foreign Financial Assets</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Certain U.S. Holders may be required to report information relating to the ordinary shares or ADSs, subject to certain exceptions (including an exception for ordinary shares or ADSs held in accounts maintained by certain U.S. financial institutions). U.S. Holders should consult their tax advisors regarding their reporting obligations with respect to their ownership and disposition of the ordinary shares or ADSs.</w:t>
      </w:r>
    </w:p>
    <w:p>
      <w:pPr>
        <w:pStyle w:val="TextBody"/>
        <w:spacing w:lineRule="auto" w:line="319" w:before="0" w:after="240"/>
        <w:jc w:val="both"/>
        <w:rPr>
          <w:rFonts w:ascii="Times New Roman;sans-serif" w:hAnsi="Times New Roman;sans-serif"/>
          <w:b/>
          <w:i/>
          <w:color w:val="000000"/>
          <w:sz w:val="20"/>
        </w:rPr>
      </w:pPr>
      <w:r>
        <w:rPr>
          <w:rFonts w:ascii="Times New Roman;sans-serif" w:hAnsi="Times New Roman;sans-serif"/>
          <w:b/>
          <w:i/>
          <w:color w:val="000000"/>
          <w:sz w:val="20"/>
        </w:rPr>
        <w:t>F. Dividends and Paying Agents</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pStyle w:val="TextBody"/>
        <w:spacing w:lineRule="auto" w:line="319" w:before="0" w:after="240"/>
        <w:jc w:val="both"/>
        <w:rPr>
          <w:rFonts w:ascii="Times New Roman;sans-serif" w:hAnsi="Times New Roman;sans-serif"/>
          <w:b/>
          <w:i/>
          <w:color w:val="000000"/>
          <w:sz w:val="20"/>
        </w:rPr>
      </w:pPr>
      <w:r>
        <w:rPr>
          <w:rFonts w:ascii="Times New Roman;sans-serif" w:hAnsi="Times New Roman;sans-serif"/>
          <w:b/>
          <w:i/>
          <w:color w:val="000000"/>
          <w:sz w:val="20"/>
        </w:rPr>
        <w:t>G. Statement by Experts</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pStyle w:val="TextBody"/>
        <w:spacing w:lineRule="auto" w:line="319" w:before="0" w:after="240"/>
        <w:jc w:val="both"/>
        <w:rPr>
          <w:rFonts w:ascii="Times New Roman;sans-serif" w:hAnsi="Times New Roman;sans-serif"/>
          <w:b/>
          <w:i/>
          <w:color w:val="000000"/>
          <w:sz w:val="20"/>
        </w:rPr>
      </w:pPr>
      <w:r>
        <w:rPr>
          <w:rFonts w:ascii="Times New Roman;sans-serif" w:hAnsi="Times New Roman;sans-serif"/>
          <w:b/>
          <w:i/>
          <w:color w:val="000000"/>
          <w:sz w:val="20"/>
        </w:rPr>
        <w:t>H. Documents on display</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have previously filed with the SEC our registration statement on Form F-1 (File No. 333-238960), as amended, and a prospectus under the Securities Act with respect to our ordinary shares represented by our ADSs.</w:t>
      </w:r>
    </w:p>
    <w:p>
      <w:pPr>
        <w:pStyle w:val="TextBody"/>
        <w:spacing w:lineRule="auto" w:line="319" w:before="0" w:after="240"/>
        <w:ind w:left="0" w:right="0" w:firstLine="720"/>
        <w:jc w:val="both"/>
        <w:rPr/>
      </w:pPr>
      <w:r>
        <w:rPr>
          <w:rFonts w:ascii="Times New Roman;sans-serif" w:hAnsi="Times New Roman;sans-serif"/>
          <w:b w:val="false"/>
          <w:color w:val="000000"/>
          <w:sz w:val="20"/>
        </w:rPr>
        <w:t xml:space="preserve">We are subject to the periodic reporting and other informational requirements of the Exchange Act. Under the Exchange Act, we are required to file reports and other information with the SEC. Specifically, we are required to file annually a Form 20-F within four months after the end of each fiscal year. Copies of reports and other information, when so filed, may be inspected without charge and may be obtained at prescribed rates at the public reference facilities maintained by the SEC at 100 F Street, N.E., Room 1580, Washington, D.C. 20549. The public may obtain information regarding the Washington, D.C. Public Reference Room by calling the SEC at 1-800-SEC-0330. The SEC also maintains a web site at </w:t>
      </w:r>
      <w:r>
        <w:rPr>
          <w:rFonts w:ascii="Times New Roman;sans-serif" w:hAnsi="Times New Roman;sans-serif"/>
          <w:b w:val="false"/>
          <w:i/>
          <w:color w:val="000000"/>
          <w:sz w:val="20"/>
        </w:rPr>
        <w:t>www.sec.gov</w:t>
      </w:r>
      <w:r>
        <w:rPr>
          <w:color w:val="000000"/>
        </w:rPr>
        <w:t xml:space="preserve"> </w:t>
      </w:r>
      <w:r>
        <w:rPr>
          <w:rFonts w:ascii="Times New Roman;sans-serif" w:hAnsi="Times New Roman;sans-serif"/>
          <w:b w:val="false"/>
          <w:color w:val="000000"/>
          <w:sz w:val="20"/>
        </w:rPr>
        <w:t xml:space="preserve">that contains reports, proxy and information </w:t>
      </w:r>
    </w:p>
    <w:p>
      <w:pPr>
        <w:pStyle w:val="HorizontalLine"/>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385445"/>
                <wp:effectExtent l="0" t="0" r="0" b="0"/>
                <wp:wrapNone/>
                <wp:docPr id="149" name="Frame148"/>
                <a:graphic xmlns:a="http://schemas.openxmlformats.org/drawingml/2006/main">
                  <a:graphicData uri="http://schemas.microsoft.com/office/word/2010/wordprocessingShape">
                    <wps:wsp>
                      <wps:cNvSpPr txBox="1"/>
                      <wps:spPr>
                        <a:xfrm>
                          <a:off x="0" y="0"/>
                          <a:ext cx="6480175" cy="385445"/>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144</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144</w:t>
                      </w:r>
                    </w:p>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lineRule="auto" w:line="319"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statements, and other information regarding registrants that make electronic filings with the SEC using its EDGAR system.</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a foreign private issuer, we are exempt from the rules of the Exchange Act prescribing the furnishing and content of quarterly reports and proxy statements, and our executive officers, directors and principal shareholders are exempt from the reporting and short-swing profit recovery provisions contained in Section 16 of the Exchange Act. In addition, we are not required under the Exchange Act to file periodic reports and financial statements with the SEC as frequently or as promptly as U.S. companies whose securities are registered under the Exchange Act.</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will furnish The Bank of New York Mellon., the depositary, with our annual reports, which include a review of operations and annual audited and consolidated financial statements prepared in conformity with U.S. GAAP, and all notices of shareholders’ meeting and other reports and communications that are made generally available to our shareholders. The depositary makes such notices, reports and communications available to holders of ADSs and, upon our request, mails to all record holders of ADSs the information contained in any notice of a shareholders’ meeting received by the depositary from us.</w:t>
      </w:r>
    </w:p>
    <w:p>
      <w:pPr>
        <w:pStyle w:val="TextBody"/>
        <w:spacing w:lineRule="auto" w:line="319" w:before="0" w:after="240"/>
        <w:jc w:val="both"/>
        <w:rPr>
          <w:rFonts w:ascii="Times New Roman;sans-serif" w:hAnsi="Times New Roman;sans-serif"/>
          <w:b/>
          <w:i/>
          <w:color w:val="000000"/>
          <w:sz w:val="20"/>
        </w:rPr>
      </w:pPr>
      <w:r>
        <w:rPr>
          <w:rFonts w:ascii="Times New Roman;sans-serif" w:hAnsi="Times New Roman;sans-serif"/>
          <w:b/>
          <w:i/>
          <w:color w:val="000000"/>
          <w:sz w:val="20"/>
        </w:rPr>
        <w:t>I. Subsidiary Information</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19" w:before="0" w:after="240"/>
        <w:jc w:val="both"/>
        <w:rPr>
          <w:rFonts w:ascii="Times New Roman;sans-serif" w:hAnsi="Times New Roman;sans-serif"/>
          <w:b/>
          <w:color w:val="000000"/>
          <w:sz w:val="20"/>
        </w:rPr>
      </w:pPr>
      <w:r>
        <w:rPr>
          <w:rFonts w:ascii="Times New Roman;sans-serif" w:hAnsi="Times New Roman;sans-serif"/>
          <w:b/>
          <w:color w:val="000000"/>
          <w:sz w:val="20"/>
        </w:rPr>
        <w:t>ITEM 11. QUANTITATIVE AND QUALITATIVE DISCLOSURES ABOUT MARKET RISK</w:t>
      </w:r>
    </w:p>
    <w:p>
      <w:pPr>
        <w:pStyle w:val="TextBody"/>
        <w:spacing w:lineRule="auto" w:line="319" w:before="0" w:after="240"/>
        <w:jc w:val="both"/>
        <w:rPr>
          <w:rFonts w:ascii="Times New Roman;sans-serif" w:hAnsi="Times New Roman;sans-serif"/>
          <w:b/>
          <w:color w:val="000000"/>
          <w:sz w:val="20"/>
        </w:rPr>
      </w:pPr>
      <w:r>
        <w:rPr>
          <w:rFonts w:ascii="Times New Roman;sans-serif" w:hAnsi="Times New Roman;sans-serif"/>
          <w:b/>
          <w:color w:val="000000"/>
          <w:sz w:val="20"/>
        </w:rPr>
        <w:t>Foreign Exchange Risk</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Foreign currency risk arises from future commercial transactions and recognized assets and liabilities. A substantial majority of our revenue-generating transactions and expense-related transactions are denominated in Renminbi, which is the functional currency of our subsidiaries and VIEs in the PRC. Our commercial transactions outside the PRC are primarily denominated in U.S. dollars. We do not hedge against currency risk.</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value of Renminbi against the U.S. dollar and other currencies may fluctuate and is affected by, among other things, changes in political and economic conditions and the foreign exchange policy adopted by the PRC government. On July 21, 2005, the PRC government changed its policy of pegging the value of the Renminbi to the U.S. dollar. Following the removal of the U.S. dollar peg, the Renminbi appreciated more than 20% against the U.S. dollar over the following three years. Between July 2008 and June 2010, this appreciation halted and the exchange rate between the Renminbi and the U.S. dollar remained within a narrow band. Since June 2010, the PRC government has allowed the Renminbi to appreciate slowly against the U.S. dollar again, and it has appreciated more than 10% since June 2010. On August 11, 2015, the People’s Bank of China, or the PBOC, announced plans to improve the central parity rate of the RMB against the U.S. dollar by authorizing market-makers to provide parity to the China Foreign Exchange Trading Center operated by the PBOC with reference to the interbank foreign exchange market closing rate of the previous day, the supply and demand for foreign currencies as well as changes in exchange rates of major international currencies. Effective from October 1, 2016, the International Monetary Fund added Renminbi to its Special Drawing Rights currency basket. Such change and additional future changes may increase the volatility in the trading value of the Renminbi against foreign currencies. The PRC government may adopt further reforms of its exchange rate system, including making the Renminbi freely convertible in the future. Accordingly, it is difficult to predict how market forces or PRC or U.S. government policy may impact the exchange rate between Renminbi and the U.S. dollar in the future.</w:t>
      </w:r>
    </w:p>
    <w:p>
      <w:pPr>
        <w:pStyle w:val="HorizontalLine"/>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385445"/>
                <wp:effectExtent l="0" t="0" r="0" b="0"/>
                <wp:wrapNone/>
                <wp:docPr id="150" name="Frame149"/>
                <a:graphic xmlns:a="http://schemas.openxmlformats.org/drawingml/2006/main">
                  <a:graphicData uri="http://schemas.microsoft.com/office/word/2010/wordprocessingShape">
                    <wps:wsp>
                      <wps:cNvSpPr txBox="1"/>
                      <wps:spPr>
                        <a:xfrm>
                          <a:off x="0" y="0"/>
                          <a:ext cx="6480175" cy="385445"/>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145</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145</w:t>
                      </w:r>
                    </w:p>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To the extent that we need to convert U.S. dollars into Renminbi for our operations, appreciation of Renminbi against the U.S. dollar would reduce the Renminbi amount we receive from the conversion. Conversely, if we decide to convert Renminbi into U.S. dollars for the purpose of making payments for dividends on our ordinary shares or ADSs, servicing our outstanding debts, or for other business purposes, appreciation of the U.S. dollar against the Renminbi would reduce the U.S. dollar amounts available to us.</w:t>
      </w:r>
    </w:p>
    <w:p>
      <w:pPr>
        <w:pStyle w:val="TextBody"/>
        <w:spacing w:lineRule="auto" w:line="319" w:before="0" w:after="240"/>
        <w:ind w:left="0" w:right="0" w:firstLine="720"/>
        <w:jc w:val="both"/>
        <w:rPr/>
      </w:pPr>
      <w:r>
        <w:rPr>
          <w:rFonts w:ascii="Times New Roman;sans-serif" w:hAnsi="Times New Roman;sans-serif"/>
          <w:b w:val="false"/>
          <w:color w:val="000000"/>
          <w:sz w:val="20"/>
        </w:rPr>
        <w:t>As of December 31, 2020, we had Renminbi-denominated cash and cash equivalents of RMB42.7 million. We estimate that a 10% depreciation of Renminbi against the U.S. dollar based on the foreign exchange rate on December 31, 2020 would result in a change of our holding U.S. dollar equivalents of US$6.5</w:t>
      </w:r>
      <w:r>
        <w:rPr>
          <w:color w:val="000000"/>
        </w:rPr>
        <w:t xml:space="preserve"> </w:t>
      </w:r>
      <w:r>
        <w:rPr>
          <w:rFonts w:ascii="Times New Roman;sans-serif" w:hAnsi="Times New Roman;sans-serif"/>
          <w:b w:val="false"/>
          <w:color w:val="000000"/>
          <w:sz w:val="20"/>
        </w:rPr>
        <w:t>million for cash and cash equivalents.</w:t>
      </w:r>
    </w:p>
    <w:p>
      <w:pPr>
        <w:pStyle w:val="TextBody"/>
        <w:spacing w:lineRule="auto" w:line="319" w:before="0" w:after="240"/>
        <w:jc w:val="both"/>
        <w:rPr>
          <w:rFonts w:ascii="Times New Roman;sans-serif" w:hAnsi="Times New Roman;sans-serif"/>
          <w:b/>
          <w:color w:val="000000"/>
          <w:sz w:val="20"/>
        </w:rPr>
      </w:pPr>
      <w:r>
        <w:rPr>
          <w:rFonts w:ascii="Times New Roman;sans-serif" w:hAnsi="Times New Roman;sans-serif"/>
          <w:b/>
          <w:color w:val="000000"/>
          <w:sz w:val="20"/>
        </w:rPr>
        <w:t>Interest Rate Risk</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Cash and short-term investments were held primarily in bank and time deposits. The fair value of our cash and short-term investments would not be significantly affected by either an increase or decrease in interest rates due mainly to the short-term nature of these instruments.</w:t>
      </w:r>
    </w:p>
    <w:p>
      <w:pPr>
        <w:pStyle w:val="TextBody"/>
        <w:spacing w:lineRule="auto" w:line="319" w:before="0" w:after="240"/>
        <w:jc w:val="both"/>
        <w:rPr>
          <w:rFonts w:ascii="Times New Roman;sans-serif" w:hAnsi="Times New Roman;sans-serif"/>
          <w:b/>
          <w:color w:val="000000"/>
          <w:sz w:val="20"/>
          <w:highlight w:val="white"/>
        </w:rPr>
      </w:pPr>
      <w:r>
        <w:rPr>
          <w:rFonts w:ascii="Times New Roman;sans-serif" w:hAnsi="Times New Roman;sans-serif"/>
          <w:b/>
          <w:color w:val="000000"/>
          <w:sz w:val="20"/>
          <w:highlight w:val="white"/>
        </w:rPr>
        <w:t>Inflation</w:t>
      </w:r>
    </w:p>
    <w:p>
      <w:pPr>
        <w:pStyle w:val="TextBody"/>
        <w:spacing w:lineRule="auto" w:line="319" w:before="0" w:after="240"/>
        <w:ind w:left="0" w:right="0" w:firstLine="72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 xml:space="preserve">See “Item 5. Operating and Financial Review and Prospects—B. Liquidity and Capital Resources—Inflation.”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19" w:before="0" w:after="240"/>
        <w:jc w:val="both"/>
        <w:rPr>
          <w:rFonts w:ascii="Times New Roman;sans-serif" w:hAnsi="Times New Roman;sans-serif"/>
          <w:b/>
          <w:color w:val="000000"/>
          <w:sz w:val="20"/>
        </w:rPr>
      </w:pPr>
      <w:r>
        <w:rPr>
          <w:rFonts w:ascii="Times New Roman;sans-serif" w:hAnsi="Times New Roman;sans-serif"/>
          <w:b/>
          <w:color w:val="000000"/>
          <w:sz w:val="20"/>
        </w:rPr>
        <w:t>ITEM 12. DESCRIPTION OF SECURITIES OTHER THAN EQUITY SECURITIES</w:t>
      </w:r>
    </w:p>
    <w:p>
      <w:pPr>
        <w:pStyle w:val="TextBody"/>
        <w:spacing w:lineRule="auto" w:line="319" w:before="0" w:after="240"/>
        <w:jc w:val="both"/>
        <w:rPr>
          <w:rFonts w:ascii="Times New Roman;sans-serif" w:hAnsi="Times New Roman;sans-serif"/>
          <w:b/>
          <w:i/>
          <w:color w:val="000000"/>
          <w:sz w:val="20"/>
        </w:rPr>
      </w:pPr>
      <w:r>
        <w:rPr>
          <w:rFonts w:ascii="Times New Roman;sans-serif" w:hAnsi="Times New Roman;sans-serif"/>
          <w:b/>
          <w:i/>
          <w:color w:val="000000"/>
          <w:sz w:val="20"/>
        </w:rPr>
        <w:t>A. Debt Securities</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pStyle w:val="TextBody"/>
        <w:spacing w:lineRule="auto" w:line="319" w:before="0" w:after="240"/>
        <w:jc w:val="both"/>
        <w:rPr>
          <w:rFonts w:ascii="Times New Roman;sans-serif" w:hAnsi="Times New Roman;sans-serif"/>
          <w:b/>
          <w:i/>
          <w:color w:val="000000"/>
          <w:sz w:val="20"/>
        </w:rPr>
      </w:pPr>
      <w:r>
        <w:rPr>
          <w:rFonts w:ascii="Times New Roman;sans-serif" w:hAnsi="Times New Roman;sans-serif"/>
          <w:b/>
          <w:i/>
          <w:color w:val="000000"/>
          <w:sz w:val="20"/>
        </w:rPr>
        <w:t>B. Warrants and Rights</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pStyle w:val="TextBody"/>
        <w:spacing w:lineRule="auto" w:line="319" w:before="0" w:after="240"/>
        <w:jc w:val="both"/>
        <w:rPr>
          <w:rFonts w:ascii="Times New Roman;sans-serif" w:hAnsi="Times New Roman;sans-serif"/>
          <w:b/>
          <w:i/>
          <w:color w:val="000000"/>
          <w:sz w:val="20"/>
        </w:rPr>
      </w:pPr>
      <w:r>
        <w:rPr>
          <w:rFonts w:ascii="Times New Roman;sans-serif" w:hAnsi="Times New Roman;sans-serif"/>
          <w:b/>
          <w:i/>
          <w:color w:val="000000"/>
          <w:sz w:val="20"/>
        </w:rPr>
        <w:t>C. Other Securities</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pStyle w:val="TextBody"/>
        <w:spacing w:lineRule="auto" w:line="319" w:before="0" w:after="240"/>
        <w:jc w:val="both"/>
        <w:rPr>
          <w:rFonts w:ascii="Times New Roman;sans-serif" w:hAnsi="Times New Roman;sans-serif"/>
          <w:b/>
          <w:i/>
          <w:color w:val="000000"/>
          <w:sz w:val="20"/>
        </w:rPr>
      </w:pPr>
      <w:r>
        <w:rPr>
          <w:rFonts w:ascii="Times New Roman;sans-serif" w:hAnsi="Times New Roman;sans-serif"/>
          <w:b/>
          <w:i/>
          <w:color w:val="000000"/>
          <w:sz w:val="20"/>
        </w:rPr>
        <w:t>D. American Depositary Shares</w:t>
      </w:r>
    </w:p>
    <w:p>
      <w:pPr>
        <w:pStyle w:val="TextBody"/>
        <w:spacing w:lineRule="auto" w:line="288" w:before="0" w:after="240"/>
        <w:rPr>
          <w:rFonts w:ascii="Times New Roman;sans-serif" w:hAnsi="Times New Roman;sans-serif"/>
          <w:b/>
          <w:color w:val="000000"/>
          <w:sz w:val="20"/>
        </w:rPr>
      </w:pPr>
      <w:r>
        <w:rPr>
          <w:rFonts w:ascii="Times New Roman;sans-serif" w:hAnsi="Times New Roman;sans-serif"/>
          <w:b/>
          <w:color w:val="000000"/>
          <w:sz w:val="20"/>
        </w:rPr>
        <w:t>Fees and Expenses Our ADS Holders May Have to Pay</w:t>
      </w:r>
    </w:p>
    <w:p>
      <w:pPr>
        <w:pStyle w:val="TextBody"/>
        <w:spacing w:lineRule="auto" w:line="319" w:before="10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Bank of New York Mellon, as depositary, will register and deliver ADSs. Each ADS represents four Class A ordinary shares (or a right to receive four Class A ordinary shares) deposited with The Hongkong and Shanghai Banking Corporation Limited, as custodian for the depositary in Hong Kong. Each ADS will also represent any other securities, cash or other property which may be held by the depositary. The deposited shares together with any other securities, cash or other property held by the depositary are referred to as the deposited securities. The depositary’s office at which the ADSs will be administered and its principal executive office are located at 240 Greenwich Street, New York, New York 10286.</w:t>
      </w:r>
    </w:p>
    <w:p>
      <w:pPr>
        <w:pStyle w:val="HorizontalLine"/>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385445"/>
                <wp:effectExtent l="0" t="0" r="0" b="0"/>
                <wp:wrapNone/>
                <wp:docPr id="151" name="Frame150"/>
                <a:graphic xmlns:a="http://schemas.openxmlformats.org/drawingml/2006/main">
                  <a:graphicData uri="http://schemas.microsoft.com/office/word/2010/wordprocessingShape">
                    <wps:wsp>
                      <wps:cNvSpPr txBox="1"/>
                      <wps:spPr>
                        <a:xfrm>
                          <a:off x="0" y="0"/>
                          <a:ext cx="6480175" cy="385445"/>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146</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146</w:t>
                      </w:r>
                    </w:p>
                    <w:p>
                      <w:pPr>
                        <w:pStyle w:val="TextBody"/>
                        <w:spacing w:before="0" w:after="0"/>
                        <w:jc w:val="center"/>
                        <w:rPr/>
                      </w:pPr>
                      <w:r>
                        <w:rPr/>
                      </w:r>
                    </w:p>
                  </w:txbxContent>
                </v:textbox>
              </v:rect>
            </w:pict>
          </mc:Fallback>
        </mc:AlternateContent>
      </w:r>
    </w:p>
    <w:p>
      <w:pPr>
        <w:pStyle w:val="TextBody"/>
        <w:spacing w:before="0" w:after="0"/>
        <w:rPr/>
      </w:pPr>
      <w:r>
        <w:rPr/>
      </w:r>
    </w:p>
    <w:tbl>
      <w:tblPr>
        <w:tblW w:w="10205" w:type="dxa"/>
        <w:jc w:val="left"/>
        <w:tblInd w:w="0" w:type="dxa"/>
        <w:tblCellMar>
          <w:top w:w="28" w:type="dxa"/>
          <w:left w:w="28" w:type="dxa"/>
          <w:bottom w:w="28" w:type="dxa"/>
          <w:right w:w="28" w:type="dxa"/>
        </w:tblCellMar>
      </w:tblPr>
      <w:tblGrid>
        <w:gridCol w:w="1986"/>
        <w:gridCol w:w="1729"/>
        <w:gridCol w:w="1737"/>
        <w:gridCol w:w="109"/>
        <w:gridCol w:w="109"/>
        <w:gridCol w:w="109"/>
        <w:gridCol w:w="1315"/>
        <w:gridCol w:w="1283"/>
        <w:gridCol w:w="1828"/>
      </w:tblGrid>
      <w:tr>
        <w:trPr/>
        <w:tc>
          <w:tcPr>
            <w:tcW w:w="1986" w:type="dxa"/>
            <w:tcBorders/>
            <w:shd w:fill="auto" w:val="clear"/>
            <w:vAlign w:val="center"/>
          </w:tcPr>
          <w:p>
            <w:pPr>
              <w:pStyle w:val="TableContents"/>
              <w:spacing w:before="0" w:after="283"/>
              <w:rPr>
                <w:sz w:val="4"/>
                <w:szCs w:val="4"/>
              </w:rPr>
            </w:pPr>
            <w:r>
              <w:rPr>
                <w:sz w:val="4"/>
                <w:szCs w:val="4"/>
              </w:rPr>
            </w:r>
          </w:p>
        </w:tc>
        <w:tc>
          <w:tcPr>
            <w:tcW w:w="1729" w:type="dxa"/>
            <w:tcBorders/>
            <w:shd w:fill="auto" w:val="clear"/>
            <w:vAlign w:val="center"/>
          </w:tcPr>
          <w:p>
            <w:pPr>
              <w:pStyle w:val="TableContents"/>
              <w:spacing w:before="0" w:after="283"/>
              <w:rPr>
                <w:sz w:val="4"/>
                <w:szCs w:val="4"/>
              </w:rPr>
            </w:pPr>
            <w:r>
              <w:rPr>
                <w:sz w:val="4"/>
                <w:szCs w:val="4"/>
              </w:rPr>
            </w:r>
          </w:p>
        </w:tc>
        <w:tc>
          <w:tcPr>
            <w:tcW w:w="173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15" w:type="dxa"/>
            <w:tcBorders/>
            <w:shd w:fill="auto" w:val="clear"/>
            <w:vAlign w:val="center"/>
          </w:tcPr>
          <w:p>
            <w:pPr>
              <w:pStyle w:val="TableContents"/>
              <w:spacing w:before="0" w:after="283"/>
              <w:rPr>
                <w:sz w:val="4"/>
                <w:szCs w:val="4"/>
              </w:rPr>
            </w:pPr>
            <w:r>
              <w:rPr>
                <w:sz w:val="4"/>
                <w:szCs w:val="4"/>
              </w:rPr>
            </w:r>
          </w:p>
        </w:tc>
        <w:tc>
          <w:tcPr>
            <w:tcW w:w="1283" w:type="dxa"/>
            <w:tcBorders/>
            <w:shd w:fill="auto" w:val="clear"/>
            <w:vAlign w:val="center"/>
          </w:tcPr>
          <w:p>
            <w:pPr>
              <w:pStyle w:val="TableContents"/>
              <w:spacing w:before="0" w:after="283"/>
              <w:rPr>
                <w:sz w:val="4"/>
                <w:szCs w:val="4"/>
              </w:rPr>
            </w:pPr>
            <w:r>
              <w:rPr>
                <w:sz w:val="4"/>
                <w:szCs w:val="4"/>
              </w:rPr>
            </w:r>
          </w:p>
        </w:tc>
        <w:tc>
          <w:tcPr>
            <w:tcW w:w="1828" w:type="dxa"/>
            <w:tcBorders/>
            <w:shd w:fill="auto" w:val="clear"/>
            <w:vAlign w:val="center"/>
          </w:tcPr>
          <w:p>
            <w:pPr>
              <w:pStyle w:val="TableContents"/>
              <w:spacing w:before="0" w:after="283"/>
              <w:rPr>
                <w:sz w:val="4"/>
                <w:szCs w:val="4"/>
              </w:rPr>
            </w:pPr>
            <w:r>
              <w:rPr>
                <w:sz w:val="4"/>
                <w:szCs w:val="4"/>
              </w:rPr>
            </w:r>
          </w:p>
        </w:tc>
      </w:tr>
      <w:tr>
        <w:trPr/>
        <w:tc>
          <w:tcPr>
            <w:tcW w:w="545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Persons Depositing or Withdrawing Shares or ADS Holders Must Pay: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26" w:type="dxa"/>
            <w:gridSpan w:val="3"/>
            <w:tcBorders/>
            <w:shd w:fill="auto" w:val="clear"/>
            <w:tcMar>
              <w:top w:w="0" w:type="dxa"/>
              <w:left w:w="0" w:type="dxa"/>
              <w:bottom w:w="0" w:type="dxa"/>
              <w:right w:w="0" w:type="dxa"/>
            </w:tcMar>
            <w:vAlign w:val="center"/>
          </w:tcPr>
          <w:p>
            <w:pPr>
              <w:pStyle w:val="TableContents"/>
              <w:spacing w:lineRule="auto" w:line="240" w:before="0" w:after="283"/>
              <w:ind w:left="0" w:right="0" w:hanging="180"/>
              <w:jc w:val="left"/>
              <w:rPr>
                <w:rFonts w:ascii="Times New Roman;sans-serif" w:hAnsi="Times New Roman;sans-serif"/>
                <w:b/>
                <w:i/>
                <w:color w:val="000000"/>
                <w:sz w:val="20"/>
              </w:rPr>
            </w:pPr>
            <w:r>
              <w:rPr>
                <w:rFonts w:ascii="Times New Roman;sans-serif" w:hAnsi="Times New Roman;sans-serif"/>
                <w:b/>
                <w:i/>
                <w:color w:val="000000"/>
                <w:sz w:val="20"/>
              </w:rPr>
              <w:t>For:</w:t>
            </w:r>
          </w:p>
        </w:tc>
      </w:tr>
      <w:tr>
        <w:trPr/>
        <w:tc>
          <w:tcPr>
            <w:tcW w:w="545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US$5.00 (or less) per 100 ADSs (or portion of 100 ADSs)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319" w:before="100" w:after="240"/>
              <w:jc w:val="both"/>
              <w:rPr>
                <w:rFonts w:ascii="Times New Roman;sans-serif" w:hAnsi="Times New Roman;sans-serif"/>
                <w:b w:val="false"/>
                <w:color w:val="000000"/>
                <w:sz w:val="20"/>
              </w:rPr>
            </w:pPr>
            <w:r>
              <w:rPr>
                <w:rFonts w:ascii="Times New Roman;sans-serif" w:hAnsi="Times New Roman;sans-serif"/>
                <w:b w:val="false"/>
                <w:color w:val="000000"/>
                <w:sz w:val="20"/>
              </w:rPr>
              <w:t>Issuance of ADSs, including issuances resulting from a distribution of shares or rights or other property</w:t>
            </w:r>
          </w:p>
          <w:p>
            <w:pPr>
              <w:pStyle w:val="TableContents"/>
              <w:spacing w:lineRule="auto" w:line="319" w:before="100" w:after="240"/>
              <w:jc w:val="both"/>
              <w:rPr>
                <w:rFonts w:ascii="Times New Roman;sans-serif" w:hAnsi="Times New Roman;sans-serif"/>
                <w:b w:val="false"/>
                <w:color w:val="000000"/>
                <w:sz w:val="20"/>
              </w:rPr>
            </w:pPr>
            <w:r>
              <w:rPr>
                <w:rFonts w:ascii="Times New Roman;sans-serif" w:hAnsi="Times New Roman;sans-serif"/>
                <w:b w:val="false"/>
                <w:color w:val="000000"/>
                <w:sz w:val="20"/>
              </w:rPr>
              <w:t>Cancellation of ADSs for the purpose of withdrawal, including if the deposit agreement terminates</w:t>
            </w:r>
          </w:p>
        </w:tc>
      </w:tr>
      <w:tr>
        <w:trPr/>
        <w:tc>
          <w:tcPr>
            <w:tcW w:w="54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26" w:type="dxa"/>
            <w:gridSpan w:val="3"/>
            <w:tcBorders/>
            <w:shd w:fill="auto"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545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US$0.05 (or less) per ADS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2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Any cash distribution to ADS holders</w:t>
            </w:r>
          </w:p>
        </w:tc>
      </w:tr>
      <w:tr>
        <w:trPr/>
        <w:tc>
          <w:tcPr>
            <w:tcW w:w="54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26" w:type="dxa"/>
            <w:gridSpan w:val="3"/>
            <w:tcBorders/>
            <w:shd w:fill="auto"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545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fee equivalent to the fee that would be payable if securities distributed to you had been shares and the shares had been deposited for issuance of ADSs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2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 of securities distributed to holders of deposited securities (including rights) that are distributed by the depositary to ADS holders</w:t>
            </w:r>
          </w:p>
        </w:tc>
      </w:tr>
      <w:tr>
        <w:trPr/>
        <w:tc>
          <w:tcPr>
            <w:tcW w:w="54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26" w:type="dxa"/>
            <w:gridSpan w:val="3"/>
            <w:tcBorders/>
            <w:shd w:fill="auto"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545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US$0.05 (or less) per ADS per calendar year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2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Depositary services</w:t>
            </w:r>
          </w:p>
        </w:tc>
      </w:tr>
      <w:tr>
        <w:trPr/>
        <w:tc>
          <w:tcPr>
            <w:tcW w:w="54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26" w:type="dxa"/>
            <w:gridSpan w:val="3"/>
            <w:tcBorders/>
            <w:shd w:fill="auto"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545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Registration or transfer fees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2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Transfer and registration of shares on our share register to or from the name of the depositary or its agent when you deposit or withdraw shares</w:t>
            </w:r>
          </w:p>
        </w:tc>
      </w:tr>
      <w:tr>
        <w:trPr/>
        <w:tc>
          <w:tcPr>
            <w:tcW w:w="54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26" w:type="dxa"/>
            <w:gridSpan w:val="3"/>
            <w:tcBorders/>
            <w:shd w:fill="auto"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545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Expenses of the depositary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26" w:type="dxa"/>
            <w:gridSpan w:val="3"/>
            <w:tcBorders/>
            <w:shd w:fill="auto" w:val="clear"/>
            <w:tcMar>
              <w:top w:w="0" w:type="dxa"/>
              <w:left w:w="0" w:type="dxa"/>
              <w:bottom w:w="0" w:type="dxa"/>
              <w:right w:w="0" w:type="dxa"/>
            </w:tcMar>
            <w:vAlign w:val="center"/>
          </w:tcPr>
          <w:p>
            <w:pPr>
              <w:pStyle w:val="TableContents"/>
              <w:spacing w:lineRule="auto" w:line="319" w:before="100" w:after="240"/>
              <w:jc w:val="both"/>
              <w:rPr>
                <w:rFonts w:ascii="Times New Roman;sans-serif" w:hAnsi="Times New Roman;sans-serif"/>
                <w:b w:val="false"/>
                <w:color w:val="000000"/>
                <w:sz w:val="20"/>
              </w:rPr>
            </w:pPr>
            <w:r>
              <w:rPr>
                <w:rFonts w:ascii="Times New Roman;sans-serif" w:hAnsi="Times New Roman;sans-serif"/>
                <w:b w:val="false"/>
                <w:color w:val="000000"/>
                <w:sz w:val="20"/>
              </w:rPr>
              <w:t>Cable (including SWIFT) and facsimile transmissions (when expressly provided in the deposit agreement)</w:t>
            </w:r>
          </w:p>
          <w:p>
            <w:pPr>
              <w:pStyle w:val="TableContents"/>
              <w:spacing w:lineRule="auto" w:line="319" w:before="100" w:after="240"/>
              <w:jc w:val="both"/>
              <w:rPr>
                <w:rFonts w:ascii="Times New Roman;sans-serif" w:hAnsi="Times New Roman;sans-serif"/>
                <w:b w:val="false"/>
                <w:color w:val="000000"/>
                <w:sz w:val="20"/>
              </w:rPr>
            </w:pPr>
            <w:r>
              <w:rPr>
                <w:rFonts w:ascii="Times New Roman;sans-serif" w:hAnsi="Times New Roman;sans-serif"/>
                <w:b w:val="false"/>
                <w:color w:val="000000"/>
                <w:sz w:val="20"/>
              </w:rPr>
              <w:t>Converting foreign currency to U.S. dollars</w:t>
            </w:r>
          </w:p>
        </w:tc>
      </w:tr>
      <w:tr>
        <w:trPr/>
        <w:tc>
          <w:tcPr>
            <w:tcW w:w="54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26" w:type="dxa"/>
            <w:gridSpan w:val="3"/>
            <w:tcBorders/>
            <w:shd w:fill="auto"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545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Taxes and other governmental charges the depositary or the custodian has to pay on any ADSs or shares underlying ADSs, such as stock transfer taxes, stamp duty or withholding taxes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2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necessary</w:t>
            </w:r>
          </w:p>
        </w:tc>
      </w:tr>
      <w:tr>
        <w:trPr/>
        <w:tc>
          <w:tcPr>
            <w:tcW w:w="54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26" w:type="dxa"/>
            <w:gridSpan w:val="3"/>
            <w:tcBorders/>
            <w:shd w:fill="auto"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545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Any charges incurred by the depositary or its agents for servicing the deposited securities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2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necessary</w:t>
            </w:r>
          </w:p>
        </w:tc>
      </w:tr>
    </w:tbl>
    <w:p>
      <w:pPr>
        <w:pStyle w:val="TextBody"/>
        <w:spacing w:lineRule="auto" w:line="319" w:before="10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depositary collects its fees for delivery and surrender of ADSs directly from investors depositing shares or surrendering ADSs for the purpose of withdrawal or from intermediaries acting for them. The depositary collects fees for making distributions to investors by deducting those fees from the amounts distributed or by selling a portion of distributable property to pay the fees. The depositary may collect its annual fee for depositary services by deduction from cash distributions or by directly billing investors or by charging the book-entry system accounts of participants acting for them. The depositary may collect any of its fees by deduction from any cash distribution payable (or by selling a portion of securities or other property distributable) to ADS holders that are obligated to pay those fees. The depositary may generally refuse to provide fee-attracting services until its fees for those services are paid. </w:t>
      </w:r>
    </w:p>
    <w:p>
      <w:pPr>
        <w:pStyle w:val="TextBody"/>
        <w:spacing w:lineRule="auto" w:line="319" w:before="10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performing its duties under the deposit agreement, the depositary may use brokers, dealers, foreign currency dealers or other service providers that are owned by or affiliated with the depositary and that may earn or share fees, spreads or commissions.</w:t>
      </w:r>
    </w:p>
    <w:p>
      <w:pPr>
        <w:pStyle w:val="HorizontalLine"/>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385445"/>
                <wp:effectExtent l="0" t="0" r="0" b="0"/>
                <wp:wrapNone/>
                <wp:docPr id="152" name="Frame151"/>
                <a:graphic xmlns:a="http://schemas.openxmlformats.org/drawingml/2006/main">
                  <a:graphicData uri="http://schemas.microsoft.com/office/word/2010/wordprocessingShape">
                    <wps:wsp>
                      <wps:cNvSpPr txBox="1"/>
                      <wps:spPr>
                        <a:xfrm>
                          <a:off x="0" y="0"/>
                          <a:ext cx="6480175" cy="385445"/>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147</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147</w:t>
                      </w:r>
                    </w:p>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lineRule="auto" w:line="319" w:before="10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depositary may convert currency itself or through any of its affiliates, or the custodian or we may convert currency and pay U.S. dollars to the depositary. Where the depositary converts currency itself or through any of its affiliates, the depositary acts as principal for its own account and not as agent, advisor, broker or fiduciary on behalf of any other person and earns revenue, including, without limitation, transaction spreads, that it will retain for its own account. The revenue is based on, among other things, the difference between the exchange rate assigned to the currency conversion made under the deposit agreement and the rate that the depositary or its affiliate receives when buying or selling foreign currency for its own account. The depositary makes no representation that the exchange rate used or obtained by it or its affiliate in any currency conversion under the deposit agreement will be the most favorable rate that could be obtained at the time or that the method by which that rate will be determined will be the most favorable to ADS holders, subject to the depositary’s obligation to act without negligence or bad faith. The methodology used to determine exchange rates used in currency conversions made by the depositary is available upon request. Where the custodian converts currency, the custodian has no obligation to obtain the most favorable rate that could be obtained at the time or to ensure that the method by which that rate will be determined will be the most favorable to ADS holders, and the depositary makes no representation that the rate is the most favorable rate and will not be liable for any direct or indirect losses associated with the rate. In certain instances, the depositary may receive dividends or other distributions from the us in U.S. dollars that represent the proceeds of a conversion of foreign currency or translation from foreign currency at a rate that was obtained or determined by us and, in such cases, the depositary will not engage in, or be responsible for, any foreign currency transactions and neither it nor we make any representation that the rate obtained or determined by us is the most favorable rate and neither it nor we will be liable for any direct or indirect losses associated with the rate.</w:t>
      </w:r>
    </w:p>
    <w:p>
      <w:pPr>
        <w:pStyle w:val="TextBody"/>
        <w:spacing w:lineRule="auto" w:line="319" w:before="100" w:after="240"/>
        <w:jc w:val="both"/>
        <w:rPr>
          <w:rFonts w:ascii="Times New Roman;sans-serif" w:hAnsi="Times New Roman;sans-serif"/>
          <w:b/>
          <w:color w:val="000000"/>
          <w:sz w:val="20"/>
        </w:rPr>
      </w:pPr>
      <w:r>
        <w:rPr>
          <w:rFonts w:ascii="Times New Roman;sans-serif" w:hAnsi="Times New Roman;sans-serif"/>
          <w:b/>
          <w:color w:val="000000"/>
          <w:sz w:val="20"/>
        </w:rPr>
        <w:t>Fees and Other Payments Made by the Depositary to Us</w:t>
      </w:r>
    </w:p>
    <w:p>
      <w:pPr>
        <w:pStyle w:val="TextBody"/>
        <w:spacing w:lineRule="auto" w:line="319" w:before="10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the depositary may make payments to us to reimburse us for costs and expenses generally arising out of establishment and maintenance of the ADS program, waive fees and expenses for services provided to us by the depositary or share revenue from the fees collected from ADS holders. For the year ended December 31, 2020, we received reimbursement in the amount of nil from the depositary.</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19" w:before="0" w:after="240"/>
        <w:jc w:val="center"/>
        <w:rPr>
          <w:rFonts w:ascii="Times New Roman;sans-serif" w:hAnsi="Times New Roman;sans-serif"/>
          <w:b/>
          <w:color w:val="000000"/>
          <w:sz w:val="20"/>
        </w:rPr>
      </w:pPr>
      <w:r>
        <w:rPr>
          <w:rFonts w:ascii="Times New Roman;sans-serif" w:hAnsi="Times New Roman;sans-serif"/>
          <w:b/>
          <w:color w:val="000000"/>
          <w:sz w:val="20"/>
        </w:rPr>
        <w:t>PART II</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19" w:before="0" w:after="240"/>
        <w:jc w:val="both"/>
        <w:rPr>
          <w:rFonts w:ascii="Times New Roman;sans-serif" w:hAnsi="Times New Roman;sans-serif"/>
          <w:b/>
          <w:color w:val="000000"/>
          <w:sz w:val="20"/>
        </w:rPr>
      </w:pPr>
      <w:r>
        <w:rPr>
          <w:rFonts w:ascii="Times New Roman;sans-serif" w:hAnsi="Times New Roman;sans-serif"/>
          <w:b/>
          <w:color w:val="000000"/>
          <w:sz w:val="20"/>
        </w:rPr>
        <w:t>ITEM 13. DEFAULTS, DIVIDEND ARREARAGES AND DELINQUENCIES</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19" w:before="0" w:after="240"/>
        <w:jc w:val="both"/>
        <w:rPr>
          <w:rFonts w:ascii="Times New Roman;sans-serif" w:hAnsi="Times New Roman;sans-serif"/>
          <w:b/>
          <w:color w:val="000000"/>
          <w:sz w:val="20"/>
        </w:rPr>
      </w:pPr>
      <w:r>
        <w:rPr>
          <w:rFonts w:ascii="Times New Roman;sans-serif" w:hAnsi="Times New Roman;sans-serif"/>
          <w:b/>
          <w:color w:val="000000"/>
          <w:sz w:val="20"/>
        </w:rPr>
        <w:t>ITEM 14. MATERIAL MODIFICATIONS TO THE RIGHTS OF SECURITY HOLDERS AND USE OF PROCEEDS</w:t>
      </w:r>
    </w:p>
    <w:p>
      <w:pPr>
        <w:pStyle w:val="TextBody"/>
        <w:spacing w:lineRule="auto" w:line="319" w:before="0" w:after="240"/>
        <w:jc w:val="both"/>
        <w:rPr>
          <w:rFonts w:ascii="Times New Roman;sans-serif" w:hAnsi="Times New Roman;sans-serif"/>
          <w:b/>
          <w:color w:val="000000"/>
          <w:sz w:val="20"/>
        </w:rPr>
      </w:pPr>
      <w:r>
        <w:rPr>
          <w:rFonts w:ascii="Times New Roman;sans-serif" w:hAnsi="Times New Roman;sans-serif"/>
          <w:b/>
          <w:color w:val="000000"/>
          <w:sz w:val="20"/>
        </w:rPr>
        <w:t>Material Modifications to the Rights of Security Holders</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See “Item 10. Additional Information” for a description of the rights of shareholders, which remain unchanged.</w:t>
      </w:r>
    </w:p>
    <w:p>
      <w:pPr>
        <w:pStyle w:val="TextBody"/>
        <w:spacing w:lineRule="auto" w:line="319" w:before="0" w:after="240"/>
        <w:jc w:val="both"/>
        <w:rPr>
          <w:rFonts w:ascii="Times New Roman;sans-serif" w:hAnsi="Times New Roman;sans-serif"/>
          <w:b/>
          <w:color w:val="000000"/>
          <w:sz w:val="20"/>
        </w:rPr>
      </w:pPr>
      <w:r>
        <w:rPr>
          <w:rFonts w:ascii="Times New Roman;sans-serif" w:hAnsi="Times New Roman;sans-serif"/>
          <w:b/>
          <w:color w:val="000000"/>
          <w:sz w:val="20"/>
        </w:rPr>
        <w:t>Use of Proceeds</w:t>
      </w:r>
    </w:p>
    <w:p>
      <w:pPr>
        <w:pStyle w:val="TextBody"/>
        <w:spacing w:lineRule="auto" w:line="319" w:before="10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“Use of Proceeds” information relates to the registration statement on Form F-1, as amended (File No. 333-238960) (the “F-1 Registration Statement”) in relation to our initial public offering of 20,125,000 ADSs (reflecting the exercise of the over-allotment option by the underwriters to purchase an additional 2,625,000 ADSs) representing 80,500,000 Class A ordinary shares, at an initial offering price of US$20.00 per ADS. The registration statement was declared effective by the SEC on June 25, 2020. Our initial public offering closed in June </w:t>
      </w:r>
    </w:p>
    <w:p>
      <w:pPr>
        <w:pStyle w:val="HorizontalLine"/>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385445"/>
                <wp:effectExtent l="0" t="0" r="0" b="0"/>
                <wp:wrapNone/>
                <wp:docPr id="153" name="Frame152"/>
                <a:graphic xmlns:a="http://schemas.openxmlformats.org/drawingml/2006/main">
                  <a:graphicData uri="http://schemas.microsoft.com/office/word/2010/wordprocessingShape">
                    <wps:wsp>
                      <wps:cNvSpPr txBox="1"/>
                      <wps:spPr>
                        <a:xfrm>
                          <a:off x="0" y="0"/>
                          <a:ext cx="6480175" cy="385445"/>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148</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148</w:t>
                      </w:r>
                    </w:p>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lineRule="auto" w:line="319" w:before="100" w:after="2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2020. Morgan Stanley &amp; Co. LLC and BofA Securities, Inc. were the representatives of the underwriters for our initial public offering. </w:t>
      </w:r>
    </w:p>
    <w:p>
      <w:pPr>
        <w:pStyle w:val="TextBody"/>
        <w:spacing w:lineRule="auto" w:line="319" w:before="10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received net proceeds of approximately US$483.6 million from our initial public offering, the exercise of over-allotment option and the concurrent private placement. Our expenses incurred and paid to others in connection with the issuance and distribution of the ADSs in our offering totaled US$28.9 million, which included US$26.2 million for underwriting discounts and commissions and US$2.7 million for other expenses. None of the transaction expenses included payments to directors or officers of our company or their associates, persons owning more than 10% or more of our equity securities or our affiliates. None of the net proceeds we received from the initial public offering were paid, directly or indirectly, to any of our directors or officers or their associates, persons owning 10% or more of our equity securities or our affiliates.</w:t>
      </w:r>
    </w:p>
    <w:p>
      <w:pPr>
        <w:pStyle w:val="TextBody"/>
        <w:spacing w:lineRule="auto" w:line="319" w:before="10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have placed substantially all of the net proceeds from our initial public offering in interest-bearing bank accounts. We still intend to use the proceeds from our initial public offering, as disclosed in our registration statements on Form F-1.</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19" w:before="0" w:after="240"/>
        <w:jc w:val="both"/>
        <w:rPr>
          <w:rFonts w:ascii="Times New Roman;sans-serif" w:hAnsi="Times New Roman;sans-serif"/>
          <w:b/>
          <w:color w:val="000000"/>
          <w:sz w:val="20"/>
        </w:rPr>
      </w:pPr>
      <w:r>
        <w:rPr>
          <w:rFonts w:ascii="Times New Roman;sans-serif" w:hAnsi="Times New Roman;sans-serif"/>
          <w:b/>
          <w:color w:val="000000"/>
          <w:sz w:val="20"/>
        </w:rPr>
        <w:t>ITEM 15. CONTROLS AND PROCEDURES</w:t>
      </w:r>
    </w:p>
    <w:p>
      <w:pPr>
        <w:pStyle w:val="TextBody"/>
        <w:spacing w:lineRule="auto" w:line="319" w:before="0" w:after="240"/>
        <w:jc w:val="both"/>
        <w:rPr>
          <w:rFonts w:ascii="Times New Roman;sans-serif" w:hAnsi="Times New Roman;sans-serif"/>
          <w:b/>
          <w:color w:val="000000"/>
          <w:sz w:val="20"/>
        </w:rPr>
      </w:pPr>
      <w:r>
        <w:rPr>
          <w:rFonts w:ascii="Times New Roman;sans-serif" w:hAnsi="Times New Roman;sans-serif"/>
          <w:b/>
          <w:color w:val="000000"/>
          <w:sz w:val="20"/>
        </w:rPr>
        <w:t>Disclosure Controls and Procedures</w:t>
      </w:r>
    </w:p>
    <w:p>
      <w:pPr>
        <w:pStyle w:val="TextBody"/>
        <w:spacing w:lineRule="auto" w:line="31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maintain disclosure controls and procedures designed to provide reasonable assurance that information required to be disclosed in reports filed under the Exchange Act is recorded, processed, summarized and reported within the specified time periods and accumulated and communicated to our management, including our principal executive officer and principal accounting officer, as appropriate, to allow timely decisions regarding required disclosure.</w:t>
      </w:r>
    </w:p>
    <w:p>
      <w:pPr>
        <w:pStyle w:val="TextBody"/>
        <w:spacing w:before="0" w:after="0"/>
        <w:ind w:left="0" w:right="0" w:firstLine="720"/>
        <w:jc w:val="both"/>
        <w:rPr/>
      </w:pPr>
      <w:r>
        <w:rPr/>
      </w:r>
    </w:p>
    <w:p>
      <w:pPr>
        <w:pStyle w:val="TextBody"/>
        <w:spacing w:lineRule="auto" w:line="31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management, with the participation of our chief executive officer and our chief financial officer, has performed an evaluation of the effectiveness of our disclosure controls and procedures, as defined in Rule 13a-15(e) or 15d-15(e) promulgated under the Exchange Act, as of December 31, 2020. Disclosure controls and procedures refer to controls and other procedures designed to ensure that information required to be disclosed in the reports we file or submit under the Exchange Act is recorded, processed, summarized and reported within the time periods specified in the rules and forms of the SEC. Disclosure controls and procedures include, without limitation, controls and procedures designed to ensure that information required to be disclosed by us in our reports that we file or submit under the Exchange Act is accumulated and communicated to management, including our chief executive officer and principal accounting officer, or persons performing similar functions, as appropriate to allow timely decisions regarding our required disclosure. Based upon that evaluation, our management has concluded that, due to the outstanding material weakness described below, our disclosure controls and procedures were not effective. We started to undertake steps to remediate the material weakness in our disclosure controls and procedures as set forth below under “Internal Control Over Financial Reporting.”</w:t>
      </w:r>
    </w:p>
    <w:p>
      <w:pPr>
        <w:pStyle w:val="TextBody"/>
        <w:spacing w:before="0" w:after="0"/>
        <w:ind w:left="0" w:right="0" w:firstLine="720"/>
        <w:jc w:val="both"/>
        <w:rPr/>
      </w:pPr>
      <w:r>
        <w:rPr/>
      </w:r>
    </w:p>
    <w:p>
      <w:pPr>
        <w:pStyle w:val="TextBody"/>
        <w:spacing w:lineRule="auto" w:line="319" w:before="0" w:after="240"/>
        <w:jc w:val="both"/>
        <w:rPr>
          <w:rFonts w:ascii="Times New Roman;sans-serif" w:hAnsi="Times New Roman;sans-serif"/>
          <w:b/>
          <w:color w:val="000000"/>
          <w:sz w:val="20"/>
        </w:rPr>
      </w:pPr>
      <w:r>
        <w:rPr>
          <w:rFonts w:ascii="Times New Roman;sans-serif" w:hAnsi="Times New Roman;sans-serif"/>
          <w:b/>
          <w:color w:val="000000"/>
          <w:sz w:val="20"/>
        </w:rPr>
        <w:t>Management’s Annual Report on Internal Control over Financial Reporting</w:t>
      </w:r>
    </w:p>
    <w:p>
      <w:pPr>
        <w:pStyle w:val="TextBody"/>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This annual report on Form 20-F does not include a report of management’s assessment regarding internal control over financial reporting or an attestation report of our registered public accounting firm due to a transition period established by rules of the SEC for newly public companies.</w:t>
      </w:r>
    </w:p>
    <w:p>
      <w:pPr>
        <w:pStyle w:val="TextBody"/>
        <w:spacing w:before="0" w:after="0"/>
        <w:jc w:val="both"/>
        <w:rPr/>
      </w:pPr>
      <w:r>
        <w:rPr/>
      </w:r>
    </w:p>
    <w:p>
      <w:pPr>
        <w:pStyle w:val="TextBody"/>
        <w:spacing w:lineRule="auto" w:line="319" w:before="0" w:after="240"/>
        <w:jc w:val="both"/>
        <w:rPr>
          <w:rFonts w:ascii="Times New Roman;sans-serif" w:hAnsi="Times New Roman;sans-serif"/>
          <w:b/>
          <w:i/>
          <w:color w:val="000000"/>
          <w:sz w:val="20"/>
        </w:rPr>
      </w:pPr>
      <w:r>
        <w:rPr>
          <w:rFonts w:ascii="Times New Roman;sans-serif" w:hAnsi="Times New Roman;sans-serif"/>
          <w:b/>
          <w:i/>
          <w:color w:val="000000"/>
          <w:sz w:val="20"/>
        </w:rPr>
        <w:t>Internal Control Over Financial Reporting</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the course of preparing and auditing our consolidated financial statements for the years ended December 31, 2018 and 2019, we and our independent registered public accounting firm identified a material weakness in our </w:t>
      </w:r>
    </w:p>
    <w:p>
      <w:pPr>
        <w:pStyle w:val="HorizontalLine"/>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385445"/>
                <wp:effectExtent l="0" t="0" r="0" b="0"/>
                <wp:wrapNone/>
                <wp:docPr id="154" name="Frame153"/>
                <a:graphic xmlns:a="http://schemas.openxmlformats.org/drawingml/2006/main">
                  <a:graphicData uri="http://schemas.microsoft.com/office/word/2010/wordprocessingShape">
                    <wps:wsp>
                      <wps:cNvSpPr txBox="1"/>
                      <wps:spPr>
                        <a:xfrm>
                          <a:off x="0" y="0"/>
                          <a:ext cx="6480175" cy="385445"/>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149</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149</w:t>
                      </w:r>
                    </w:p>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lineRule="auto" w:line="319"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internal control over financial reporting as of December 31, 2019. According to the U.S. Public Company Accounting Oversight Board, a “material weakness” is a deficiency, or a combination of deficiencies, in internal control over financial reporting, such that there is a reasonable possibility that a material misstatement of our company’s annual or interim consolidated financial statements will not be prevented or detected on a timely basis. </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material weakness identified relates to our lack of sufficient financial reporting and accounting personnel with appropriate knowledge of U.S. GAAP and the SEC reporting requirements to address complex U.S. GAAP technical accounting issues, to prepare consolidated financial statements and related disclosures in accordance with U.S. GAAP and financial reporting requirements set forth by the SEC, and to formalize our existing period-end financial reporting policies and procedures to address the aforementioned complex U.S. GAAP accounting issues. Neither we nor our independent registered public accounting firm undertook a comprehensive assessment of our internal control under the Sarbanes-Oxley Act for purposes of identifying and reporting any weakness in our internal control over financial reporting. Had we performed a comprehensive assessment of our internal control over financial reporting or had our independent registered public accounting firm performed an audit of our internal control over financial reporting, additional material weaknesses may have been identified. </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To remedy our identified material weakness subsequent to December 31, 2019, we started to undertake steps to strengthen our internal control over financial reporting, including: (1) hiring more qualified resources equipped with relevant U.S. GAAP and SEC reporting experience and qualifications to strengthen the financial reporting function and to set up a financial and system control framework, (2) implementing regular and continuous U.S. GAAP accounting and financial reporting training programs for our accounting and financial reporting personnel, (3) establishing effective oversight and clarifying reporting requirements for non-recurring and complex transactions to ensure financial statements and related disclosures are accurate, complete and in compliance with SEC reporting requirements, and (4) enhancing an internal audit function as well as engaging an external consulting firm to help us assess our compliance readiness under rule 13a-15 of the Exchange Act and improve our internal control over financial reporting. However, such measures have not been fully implemented in the limited time that elapsed since our initial public offering and we concluded that the material weakness in our internal control over financial reporting has not been remediated as of December 31, 2020.</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qualify as an “emerging growth company” pursuant to the JOBS Act and our independent registered public accounting firm is not required to formally attest to the effectiveness of our internal control over financial reporting until after we are no longer an “emerging growth company.” </w:t>
      </w:r>
    </w:p>
    <w:p>
      <w:pPr>
        <w:pStyle w:val="TextBody"/>
        <w:spacing w:lineRule="auto" w:line="319" w:before="0" w:after="240"/>
        <w:jc w:val="both"/>
        <w:rPr>
          <w:rFonts w:ascii="Times New Roman;sans-serif" w:hAnsi="Times New Roman;sans-serif"/>
          <w:b/>
          <w:color w:val="000000"/>
          <w:sz w:val="20"/>
        </w:rPr>
      </w:pPr>
      <w:r>
        <w:rPr>
          <w:rFonts w:ascii="Times New Roman;sans-serif" w:hAnsi="Times New Roman;sans-serif"/>
          <w:b/>
          <w:color w:val="000000"/>
          <w:sz w:val="20"/>
        </w:rPr>
        <w:t>Changes in Internal Control over Financial Reporting</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Other than as described above, there were no changes in our internal control over financial reporting during the period covered by this annual report on Form 20-F that have materially affected, or are reasonably likely to materially affect, our internal control over financial reporting.</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19" w:before="0" w:after="240"/>
        <w:jc w:val="both"/>
        <w:rPr>
          <w:rFonts w:ascii="Times New Roman;sans-serif" w:hAnsi="Times New Roman;sans-serif"/>
          <w:b/>
          <w:color w:val="000000"/>
          <w:sz w:val="20"/>
        </w:rPr>
      </w:pPr>
      <w:r>
        <w:rPr>
          <w:rFonts w:ascii="Times New Roman;sans-serif" w:hAnsi="Times New Roman;sans-serif"/>
          <w:b/>
          <w:color w:val="000000"/>
          <w:sz w:val="20"/>
        </w:rPr>
        <w:t>ITEM 16A. AUDIT COMMITTEE FINANCIAL EXPERT</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board of directors has also determined that Mr. He qualifies as an “audit committee financial expert” as defined by SEC rules, and that she satisfies the independence requirements of Rule 5605 of the NASDAQ Stock Market Rules and Rule 10A-3 promulgated under the Exchange Act.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19" w:before="0" w:after="240"/>
        <w:jc w:val="both"/>
        <w:rPr>
          <w:rFonts w:ascii="Times New Roman;sans-serif" w:hAnsi="Times New Roman;sans-serif"/>
          <w:b/>
          <w:color w:val="000000"/>
          <w:sz w:val="20"/>
        </w:rPr>
      </w:pPr>
      <w:r>
        <w:rPr>
          <w:rFonts w:ascii="Times New Roman;sans-serif" w:hAnsi="Times New Roman;sans-serif"/>
          <w:b/>
          <w:color w:val="000000"/>
          <w:sz w:val="20"/>
        </w:rPr>
        <w:t>ITEM 16B. CODE OF ETHICS</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board of directors has adopted our code of ethics, a code that applies to members of the board of directors including its chairman and other senior officers, including the chief executive officer and financial </w:t>
      </w:r>
    </w:p>
    <w:p>
      <w:pPr>
        <w:pStyle w:val="HorizontalLine"/>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385445"/>
                <wp:effectExtent l="0" t="0" r="0" b="0"/>
                <wp:wrapNone/>
                <wp:docPr id="155" name="Frame154"/>
                <a:graphic xmlns:a="http://schemas.openxmlformats.org/drawingml/2006/main">
                  <a:graphicData uri="http://schemas.microsoft.com/office/word/2010/wordprocessingShape">
                    <wps:wsp>
                      <wps:cNvSpPr txBox="1"/>
                      <wps:spPr>
                        <a:xfrm>
                          <a:off x="0" y="0"/>
                          <a:ext cx="6480175" cy="385445"/>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150</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150</w:t>
                      </w:r>
                    </w:p>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lineRule="auto" w:line="319"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controller. We have filed our code of business conduct and ethics as an exhibit to our registration statement on Form F-1 (File No. 333-238960), as amended, initially filed with the SEC on June 5, 2020, which was incorporated by reference thereto in this annual report.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19" w:before="0" w:after="240"/>
        <w:jc w:val="both"/>
        <w:rPr>
          <w:rFonts w:ascii="Times New Roman;sans-serif" w:hAnsi="Times New Roman;sans-serif"/>
          <w:b/>
          <w:color w:val="000000"/>
          <w:sz w:val="20"/>
        </w:rPr>
      </w:pPr>
      <w:r>
        <w:rPr>
          <w:rFonts w:ascii="Times New Roman;sans-serif" w:hAnsi="Times New Roman;sans-serif"/>
          <w:b/>
          <w:color w:val="000000"/>
          <w:sz w:val="20"/>
        </w:rPr>
        <w:t>ITEM 16C. PRINCIPAL ACCOUNTANT FEES AND SERVICES</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aggregate fees by categories specified below in connection with certain professional services rendered by our independent registered public accounting firms, PricewaterhouseCoopers Zhong Tian LLP, for the years ended December 31, 2019 and 2020, respectively. Save as disclosed below, we did not pay any other fees to PricewaterhouseCoopers Zhong Tian LLP during the periods indicated below.</w:t>
      </w:r>
    </w:p>
    <w:tbl>
      <w:tblPr>
        <w:tblW w:w="5246" w:type="dxa"/>
        <w:jc w:val="left"/>
        <w:tblInd w:w="0" w:type="dxa"/>
        <w:tblCellMar>
          <w:top w:w="28" w:type="dxa"/>
          <w:left w:w="28" w:type="dxa"/>
          <w:bottom w:w="28" w:type="dxa"/>
          <w:right w:w="28" w:type="dxa"/>
        </w:tblCellMar>
      </w:tblPr>
      <w:tblGrid>
        <w:gridCol w:w="401"/>
        <w:gridCol w:w="352"/>
        <w:gridCol w:w="356"/>
        <w:gridCol w:w="233"/>
        <w:gridCol w:w="233"/>
        <w:gridCol w:w="151"/>
        <w:gridCol w:w="109"/>
        <w:gridCol w:w="109"/>
        <w:gridCol w:w="109"/>
        <w:gridCol w:w="308"/>
        <w:gridCol w:w="308"/>
        <w:gridCol w:w="186"/>
        <w:gridCol w:w="109"/>
        <w:gridCol w:w="109"/>
        <w:gridCol w:w="109"/>
        <w:gridCol w:w="308"/>
        <w:gridCol w:w="308"/>
        <w:gridCol w:w="151"/>
        <w:gridCol w:w="109"/>
        <w:gridCol w:w="109"/>
        <w:gridCol w:w="109"/>
        <w:gridCol w:w="360"/>
        <w:gridCol w:w="361"/>
        <w:gridCol w:w="249"/>
      </w:tblGrid>
      <w:tr>
        <w:trPr/>
        <w:tc>
          <w:tcPr>
            <w:tcW w:w="401" w:type="dxa"/>
            <w:tcBorders/>
            <w:shd w:fill="auto" w:val="clear"/>
            <w:vAlign w:val="center"/>
          </w:tcPr>
          <w:p>
            <w:pPr>
              <w:pStyle w:val="TableContents"/>
              <w:spacing w:before="0" w:after="283"/>
              <w:rPr>
                <w:sz w:val="4"/>
                <w:szCs w:val="4"/>
              </w:rPr>
            </w:pPr>
            <w:r>
              <w:rPr>
                <w:sz w:val="4"/>
                <w:szCs w:val="4"/>
              </w:rPr>
            </w:r>
          </w:p>
        </w:tc>
        <w:tc>
          <w:tcPr>
            <w:tcW w:w="352" w:type="dxa"/>
            <w:tcBorders/>
            <w:shd w:fill="auto" w:val="clear"/>
            <w:vAlign w:val="center"/>
          </w:tcPr>
          <w:p>
            <w:pPr>
              <w:pStyle w:val="TableContents"/>
              <w:spacing w:before="0" w:after="283"/>
              <w:rPr>
                <w:sz w:val="4"/>
                <w:szCs w:val="4"/>
              </w:rPr>
            </w:pPr>
            <w:r>
              <w:rPr>
                <w:sz w:val="4"/>
                <w:szCs w:val="4"/>
              </w:rPr>
            </w:r>
          </w:p>
        </w:tc>
        <w:tc>
          <w:tcPr>
            <w:tcW w:w="356"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r>
      <w:tr>
        <w:trPr/>
        <w:tc>
          <w:tcPr>
            <w:tcW w:w="11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746" w:type="dxa"/>
            <w:gridSpan w:val="9"/>
            <w:tcBorders/>
            <w:shd w:fill="auto" w:val="clear"/>
            <w:tcMar>
              <w:top w:w="0" w:type="dxa"/>
              <w:left w:w="0" w:type="dxa"/>
              <w:bottom w:w="0" w:type="dxa"/>
              <w:right w:w="0" w:type="dxa"/>
            </w:tcMar>
            <w:vAlign w:val="center"/>
          </w:tcPr>
          <w:p>
            <w:pPr>
              <w:pStyle w:val="TableContents"/>
              <w:spacing w:lineRule="auto" w:line="288" w:before="0" w:after="0"/>
              <w:jc w:val="center"/>
              <w:rPr>
                <w:color w:val="000000"/>
              </w:rPr>
            </w:pPr>
            <w:r>
              <w:rPr>
                <w:color w:val="000000"/>
              </w:rPr>
              <w:t> </w:t>
            </w:r>
            <w:r>
              <w:rPr>
                <w:rFonts w:ascii="Times New Roman;sans-serif" w:hAnsi="Times New Roman;sans-serif"/>
                <w:b/>
                <w:color w:val="000000"/>
                <w:sz w:val="20"/>
              </w:rPr>
              <w:t>2019</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206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2020</w:t>
            </w:r>
          </w:p>
        </w:tc>
      </w:tr>
      <w:tr>
        <w:trPr/>
        <w:tc>
          <w:tcPr>
            <w:tcW w:w="11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61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US$</w:t>
            </w:r>
          </w:p>
        </w:tc>
        <w:tc>
          <w:tcPr>
            <w:tcW w:w="32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802"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RMB</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767"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US$</w:t>
            </w:r>
          </w:p>
        </w:tc>
        <w:tc>
          <w:tcPr>
            <w:tcW w:w="32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970"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RMB</w:t>
            </w:r>
          </w:p>
        </w:tc>
      </w:tr>
      <w:tr>
        <w:trPr/>
        <w:tc>
          <w:tcPr>
            <w:tcW w:w="11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137"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 thousands)</w:t>
            </w:r>
          </w:p>
        </w:tc>
      </w:tr>
      <w:tr>
        <w:trPr/>
        <w:tc>
          <w:tcPr>
            <w:tcW w:w="110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Audit fees</w:t>
            </w:r>
            <w:r>
              <w:rPr>
                <w:rFonts w:ascii="Times New Roman;sans-serif" w:hAnsi="Times New Roman;sans-serif"/>
                <w:b w:val="false"/>
                <w:color w:val="000000"/>
                <w:sz w:val="13"/>
              </w:rPr>
              <w:t>(1)</w:t>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487 </w:t>
            </w:r>
          </w:p>
        </w:tc>
        <w:tc>
          <w:tcPr>
            <w:tcW w:w="1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3,358 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61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1,697 </w:t>
            </w:r>
          </w:p>
        </w:tc>
        <w:tc>
          <w:tcPr>
            <w:tcW w:w="1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72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11,653 </w:t>
            </w:r>
          </w:p>
        </w:tc>
        <w:tc>
          <w:tcPr>
            <w:tcW w:w="2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0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Tax fees</w:t>
            </w:r>
            <w:r>
              <w:rPr>
                <w:rFonts w:ascii="Times New Roman;sans-serif" w:hAnsi="Times New Roman;sans-serif"/>
                <w:b w:val="false"/>
                <w:color w:val="000000"/>
                <w:sz w:val="13"/>
              </w:rPr>
              <w:t>(2)</w:t>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300 </w:t>
            </w:r>
          </w:p>
        </w:tc>
        <w:tc>
          <w:tcPr>
            <w:tcW w:w="2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319" w:before="0" w:after="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(1)Audit fees represent the aggregate fees billed for each of the fiscal years listed for professional services rendered by our principal accountant for the audit of our annual consolidated financial statements, limited procedures on quarterly financial information. Audit services that are normally provided by the principal accountant in connection with regulatory filings or engagements for those fiscal years and fees for audit services rendered in connection with our initial public offering in 2020.</w:t>
      </w:r>
    </w:p>
    <w:p>
      <w:pPr>
        <w:pStyle w:val="TextBody"/>
        <w:spacing w:lineRule="auto" w:line="319" w:before="0" w:after="24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(2)Tax fees represent the aggregate fees billed in each of the fiscal years listed for professional services rendered by our principal accountant for tax compliance, tax advice, and tax planning. </w:t>
      </w:r>
    </w:p>
    <w:p>
      <w:pPr>
        <w:pStyle w:val="TextBody"/>
        <w:spacing w:lineRule="auto" w:line="276"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audit committee is responsible for pre-approving all audit and non-audit services provided by our independent registered public accounting firm.</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19" w:before="100" w:after="240"/>
        <w:jc w:val="both"/>
        <w:rPr>
          <w:rFonts w:ascii="Times New Roman;sans-serif" w:hAnsi="Times New Roman;sans-serif"/>
          <w:b/>
          <w:color w:val="000000"/>
          <w:sz w:val="20"/>
        </w:rPr>
      </w:pPr>
      <w:r>
        <w:rPr>
          <w:rFonts w:ascii="Times New Roman;sans-serif" w:hAnsi="Times New Roman;sans-serif"/>
          <w:b/>
          <w:color w:val="000000"/>
          <w:sz w:val="20"/>
        </w:rPr>
        <w:t>ITEM 16D. EXEMPTIONS FROM THE LISTING STANDARDS FOR AUDIT COMMITTEES</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19" w:before="0" w:after="240"/>
        <w:jc w:val="both"/>
        <w:rPr>
          <w:rFonts w:ascii="Times New Roman;sans-serif" w:hAnsi="Times New Roman;sans-serif"/>
          <w:b/>
          <w:color w:val="000000"/>
          <w:sz w:val="20"/>
        </w:rPr>
      </w:pPr>
      <w:r>
        <w:rPr>
          <w:rFonts w:ascii="Times New Roman;sans-serif" w:hAnsi="Times New Roman;sans-serif"/>
          <w:b/>
          <w:color w:val="000000"/>
          <w:sz w:val="20"/>
        </w:rPr>
        <w:t>ITEM 16E. PURCHASES OF EQUITY SECURITIES BY THE ISSUER AND AFFILIATED PURCHASERS</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19" w:before="0" w:after="240"/>
        <w:jc w:val="both"/>
        <w:rPr>
          <w:rFonts w:ascii="Times New Roman;sans-serif" w:hAnsi="Times New Roman;sans-serif"/>
          <w:b/>
          <w:color w:val="000000"/>
          <w:sz w:val="20"/>
        </w:rPr>
      </w:pPr>
      <w:r>
        <w:rPr>
          <w:rFonts w:ascii="Times New Roman;sans-serif" w:hAnsi="Times New Roman;sans-serif"/>
          <w:b/>
          <w:color w:val="000000"/>
          <w:sz w:val="20"/>
        </w:rPr>
        <w:t>ITEM 16F. CHANGE IN REGISTRANT’S CERTIFYING ACCOUNTANT</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19" w:before="0" w:after="240"/>
        <w:jc w:val="both"/>
        <w:rPr>
          <w:rFonts w:ascii="Times New Roman;sans-serif" w:hAnsi="Times New Roman;sans-serif"/>
          <w:b/>
          <w:color w:val="000000"/>
          <w:sz w:val="20"/>
        </w:rPr>
      </w:pPr>
      <w:r>
        <w:rPr>
          <w:rFonts w:ascii="Times New Roman;sans-serif" w:hAnsi="Times New Roman;sans-serif"/>
          <w:b/>
          <w:color w:val="000000"/>
          <w:sz w:val="20"/>
        </w:rPr>
        <w:t>ITEM 16G. CORPORATE GOVERNANCE</w:t>
      </w:r>
    </w:p>
    <w:p>
      <w:pPr>
        <w:pStyle w:val="TextBody"/>
        <w:spacing w:lineRule="auto" w:line="319" w:before="10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a foreign private issuer within the meaning of the rules under the Exchange Act, and as such we are exempt from certain provisions of the securities rules and regulations that are applicable to U.S. domestic issuers. Moreover, the information we are required to file with or furnish to the SEC will be less extensive and less timely compared to that required to be filed with the SEC by U.S. domestic issuers. In addition, as a company incorporated in the Cayman Islands, we are permitted to adopt certain home country practices in relation to corporate governance matters that differ significantly from the Nasdaq Stock Market corporate governance standards. See “Item 3. Key Information—D. Risk Factors—Risks Related to the ADSs—We are a foreign private issuer within the meaning of the rules under the Exchange Act, and as such we are exempt from certain provisions applicable to U.S. domestic </w:t>
      </w:r>
    </w:p>
    <w:p>
      <w:pPr>
        <w:pStyle w:val="HorizontalLine"/>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385445"/>
                <wp:effectExtent l="0" t="0" r="0" b="0"/>
                <wp:wrapNone/>
                <wp:docPr id="156" name="Frame155"/>
                <a:graphic xmlns:a="http://schemas.openxmlformats.org/drawingml/2006/main">
                  <a:graphicData uri="http://schemas.microsoft.com/office/word/2010/wordprocessingShape">
                    <wps:wsp>
                      <wps:cNvSpPr txBox="1"/>
                      <wps:spPr>
                        <a:xfrm>
                          <a:off x="0" y="0"/>
                          <a:ext cx="6480175" cy="385445"/>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151</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151</w:t>
                      </w:r>
                    </w:p>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lineRule="auto" w:line="319" w:before="100" w:after="240"/>
        <w:jc w:val="both"/>
        <w:rPr>
          <w:rFonts w:ascii="Times New Roman;sans-serif" w:hAnsi="Times New Roman;sans-serif"/>
          <w:b w:val="false"/>
          <w:color w:val="000000"/>
          <w:sz w:val="20"/>
        </w:rPr>
      </w:pPr>
      <w:r>
        <w:rPr>
          <w:rFonts w:ascii="Times New Roman;sans-serif" w:hAnsi="Times New Roman;sans-serif"/>
          <w:b w:val="false"/>
          <w:color w:val="000000"/>
          <w:sz w:val="20"/>
        </w:rPr>
        <w:t>public companies” and “—As an exempted company incorporated in the Cayman Islands, we are permitted to adopt certain home country practices in relation to corporate governance matters that differ significantly from the Nasdaq Stock Market corporate governance standards; these practices may afford less protection to shareholders than they would enjoy if we comply fully with the Nasdaq Stock Market corporate governance standards.”</w:t>
      </w:r>
    </w:p>
    <w:p>
      <w:pPr>
        <w:pStyle w:val="TextBody"/>
        <w:spacing w:lineRule="auto" w:line="319" w:before="10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are a “controlled company” as defined under the Nasdaq Stock Market corporate governance rules because our chief executive officer, Mr. Zhao, owns more than 50% of our total voting power. Any sale, transfer, assignment or disposition of any Class B ordinary shares by their holder or a change of ultimate beneficial ownership of any Class B ordinary shares will generally result in the conversion of such Class B ordinary shares into Class A ordinary shares, except for transfers to certain permitted transferees, which include Agora Partners L.P., an exempted limited partnership to be established in the Cayman Islands (the limited partners of which shall consist primarily of members of management of our company and its affiliates, and which we refer to as the Management Partnership). If Mr. Zhao transfers Class B ordinary shares to the Management Partnership, we may remain a controlled company even if Mr. Zhao ceases to be our employee, director or shareholder. For so long as we remain a controlled company, we may rely on certain exemptions from the corporate governance rules of the Nasdaq Stock Market. See “Item 3. Key Information—D. Risk Factors—Risks Related to the ADSs—We are a “controlled company” as defined under the Nasdaq Stock Market corporate governance rules. As a result, we are qualified for, and rely on, exemptions from certain corporate governance requirements that would otherwise provide protection to shareholders of other companies.” Even if we cease to be a controlled company, we may still rely on exemptions available to foreign private issuers, including being able to adopt home country practices in relation to corporate governance matters, as described above.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19" w:before="0" w:after="240"/>
        <w:jc w:val="both"/>
        <w:rPr>
          <w:rFonts w:ascii="Times New Roman;sans-serif" w:hAnsi="Times New Roman;sans-serif"/>
          <w:b/>
          <w:color w:val="000000"/>
          <w:sz w:val="20"/>
        </w:rPr>
      </w:pPr>
      <w:r>
        <w:rPr>
          <w:rFonts w:ascii="Times New Roman;sans-serif" w:hAnsi="Times New Roman;sans-serif"/>
          <w:b/>
          <w:color w:val="000000"/>
          <w:sz w:val="20"/>
        </w:rPr>
        <w:t>ITEM 16H. MINE SAFETY DISCLOSURE</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385445"/>
                <wp:effectExtent l="0" t="0" r="0" b="0"/>
                <wp:wrapNone/>
                <wp:docPr id="157" name="Frame156"/>
                <a:graphic xmlns:a="http://schemas.openxmlformats.org/drawingml/2006/main">
                  <a:graphicData uri="http://schemas.microsoft.com/office/word/2010/wordprocessingShape">
                    <wps:wsp>
                      <wps:cNvSpPr txBox="1"/>
                      <wps:spPr>
                        <a:xfrm>
                          <a:off x="0" y="0"/>
                          <a:ext cx="6480175" cy="385445"/>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152</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152</w:t>
                      </w:r>
                    </w:p>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lineRule="auto" w:line="319" w:before="0" w:after="240"/>
        <w:jc w:val="center"/>
        <w:rPr>
          <w:rFonts w:ascii="Times New Roman;sans-serif" w:hAnsi="Times New Roman;sans-serif"/>
          <w:b/>
          <w:color w:val="000000"/>
          <w:sz w:val="20"/>
        </w:rPr>
      </w:pPr>
      <w:r>
        <w:rPr>
          <w:rFonts w:ascii="Times New Roman;sans-serif" w:hAnsi="Times New Roman;sans-serif"/>
          <w:b/>
          <w:color w:val="000000"/>
          <w:sz w:val="20"/>
        </w:rPr>
        <w:t>PART III</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19" w:before="0" w:after="240"/>
        <w:jc w:val="both"/>
        <w:rPr>
          <w:rFonts w:ascii="Times New Roman;sans-serif" w:hAnsi="Times New Roman;sans-serif"/>
          <w:b/>
          <w:color w:val="000000"/>
          <w:sz w:val="20"/>
        </w:rPr>
      </w:pPr>
      <w:r>
        <w:rPr>
          <w:rFonts w:ascii="Times New Roman;sans-serif" w:hAnsi="Times New Roman;sans-serif"/>
          <w:b/>
          <w:color w:val="000000"/>
          <w:sz w:val="20"/>
        </w:rPr>
        <w:t>ITEM 17. FINANCIAL STATEMENTS</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have elected to provide financial statements pursuant to Item 18.</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19" w:before="0" w:after="240"/>
        <w:jc w:val="both"/>
        <w:rPr>
          <w:rFonts w:ascii="Times New Roman;sans-serif" w:hAnsi="Times New Roman;sans-serif"/>
          <w:b/>
          <w:color w:val="000000"/>
          <w:sz w:val="20"/>
        </w:rPr>
      </w:pPr>
      <w:r>
        <w:rPr>
          <w:rFonts w:ascii="Times New Roman;sans-serif" w:hAnsi="Times New Roman;sans-serif"/>
          <w:b/>
          <w:color w:val="000000"/>
          <w:sz w:val="20"/>
        </w:rPr>
        <w:t>ITEM 18. FINANCIAL STATEMENTS</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Consolidated financial statements of Agora, Inc. are included at the end of this annual report.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19" w:before="0" w:after="0"/>
        <w:rPr>
          <w:rFonts w:ascii="Times New Roman;sans-serif" w:hAnsi="Times New Roman;sans-serif"/>
          <w:b/>
          <w:color w:val="000000"/>
          <w:sz w:val="20"/>
        </w:rPr>
      </w:pPr>
      <w:r>
        <w:rPr>
          <w:rFonts w:ascii="Times New Roman;sans-serif" w:hAnsi="Times New Roman;sans-serif"/>
          <w:b/>
          <w:color w:val="000000"/>
          <w:sz w:val="20"/>
        </w:rPr>
        <w:t>ITEM 19. EXHIBITS</w:t>
      </w:r>
    </w:p>
    <w:tbl>
      <w:tblPr>
        <w:tblW w:w="10205" w:type="dxa"/>
        <w:jc w:val="left"/>
        <w:tblInd w:w="0" w:type="dxa"/>
        <w:tblCellMar>
          <w:top w:w="28" w:type="dxa"/>
          <w:left w:w="28" w:type="dxa"/>
          <w:bottom w:w="28" w:type="dxa"/>
          <w:right w:w="28" w:type="dxa"/>
        </w:tblCellMar>
      </w:tblPr>
      <w:tblGrid>
        <w:gridCol w:w="391"/>
        <w:gridCol w:w="344"/>
        <w:gridCol w:w="346"/>
        <w:gridCol w:w="2988"/>
        <w:gridCol w:w="2988"/>
        <w:gridCol w:w="2992"/>
        <w:gridCol w:w="156"/>
      </w:tblGrid>
      <w:tr>
        <w:trPr/>
        <w:tc>
          <w:tcPr>
            <w:tcW w:w="391"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2988" w:type="dxa"/>
            <w:tcBorders/>
            <w:shd w:fill="auto" w:val="clear"/>
            <w:vAlign w:val="center"/>
          </w:tcPr>
          <w:p>
            <w:pPr>
              <w:pStyle w:val="TableContents"/>
              <w:spacing w:before="0" w:after="283"/>
              <w:rPr>
                <w:sz w:val="4"/>
                <w:szCs w:val="4"/>
              </w:rPr>
            </w:pPr>
            <w:r>
              <w:rPr>
                <w:sz w:val="4"/>
                <w:szCs w:val="4"/>
              </w:rPr>
            </w:r>
          </w:p>
        </w:tc>
        <w:tc>
          <w:tcPr>
            <w:tcW w:w="2988" w:type="dxa"/>
            <w:tcBorders/>
            <w:shd w:fill="auto" w:val="clear"/>
            <w:vAlign w:val="center"/>
          </w:tcPr>
          <w:p>
            <w:pPr>
              <w:pStyle w:val="TableContents"/>
              <w:spacing w:before="0" w:after="283"/>
              <w:rPr>
                <w:sz w:val="4"/>
                <w:szCs w:val="4"/>
              </w:rPr>
            </w:pPr>
            <w:r>
              <w:rPr>
                <w:sz w:val="4"/>
                <w:szCs w:val="4"/>
              </w:rPr>
            </w:r>
          </w:p>
        </w:tc>
        <w:tc>
          <w:tcPr>
            <w:tcW w:w="2992"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108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Exhibit No.</w:t>
            </w:r>
          </w:p>
        </w:tc>
        <w:tc>
          <w:tcPr>
            <w:tcW w:w="896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Description of Exhibit</w:t>
            </w:r>
          </w:p>
        </w:tc>
        <w:tc>
          <w:tcPr>
            <w:tcW w:w="156" w:type="dxa"/>
            <w:tcBorders/>
            <w:shd w:fill="auto" w:val="clear"/>
            <w:vAlign w:val="center"/>
          </w:tcPr>
          <w:p>
            <w:pPr>
              <w:pStyle w:val="TableContents"/>
              <w:spacing w:before="0" w:after="283"/>
              <w:rPr>
                <w:sz w:val="4"/>
                <w:szCs w:val="4"/>
              </w:rPr>
            </w:pPr>
            <w:r>
              <w:rPr>
                <w:sz w:val="4"/>
                <w:szCs w:val="4"/>
              </w:rPr>
            </w:r>
          </w:p>
        </w:tc>
      </w:tr>
      <w:tr>
        <w:trPr/>
        <w:tc>
          <w:tcPr>
            <w:tcW w:w="108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896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ex11-executedfifthamendeda.htm">
              <w:r>
                <w:rPr>
                  <w:rStyle w:val="InternetLink"/>
                  <w:rFonts w:ascii="Times New Roman;sans-serif" w:hAnsi="Times New Roman;sans-serif"/>
                  <w:b w:val="false"/>
                  <w:color w:val="0000FF"/>
                  <w:sz w:val="20"/>
                  <w:u w:val="single"/>
                </w:rPr>
                <w:t>Fifth amended and restated memorandum and articles of association of the registrant</w:t>
              </w:r>
            </w:hyperlink>
          </w:p>
        </w:tc>
        <w:tc>
          <w:tcPr>
            <w:tcW w:w="156" w:type="dxa"/>
            <w:tcBorders/>
            <w:shd w:fill="auto" w:val="clear"/>
            <w:vAlign w:val="center"/>
          </w:tcPr>
          <w:p>
            <w:pPr>
              <w:pStyle w:val="TableContents"/>
              <w:spacing w:before="0" w:after="283"/>
              <w:rPr>
                <w:sz w:val="4"/>
                <w:szCs w:val="4"/>
              </w:rPr>
            </w:pPr>
            <w:r>
              <w:rPr>
                <w:sz w:val="4"/>
                <w:szCs w:val="4"/>
              </w:rPr>
            </w:r>
          </w:p>
        </w:tc>
      </w:tr>
      <w:tr>
        <w:trPr/>
        <w:tc>
          <w:tcPr>
            <w:tcW w:w="108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8968"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pPr>
            <w:hyperlink w:anchor="ex21.htm">
              <w:r>
                <w:rPr>
                  <w:rStyle w:val="InternetLink"/>
                  <w:rFonts w:ascii="Times New Roman;sans-serif" w:hAnsi="Times New Roman;sans-serif"/>
                  <w:b w:val="false"/>
                  <w:color w:val="0000FF"/>
                  <w:sz w:val="20"/>
                  <w:u w:val="single"/>
                </w:rPr>
                <w:t>Registrant’s specimen American depositary receipt</w:t>
              </w:r>
            </w:hyperlink>
          </w:p>
        </w:tc>
        <w:tc>
          <w:tcPr>
            <w:tcW w:w="156" w:type="dxa"/>
            <w:tcBorders/>
            <w:shd w:fill="auto" w:val="clear"/>
            <w:vAlign w:val="center"/>
          </w:tcPr>
          <w:p>
            <w:pPr>
              <w:pStyle w:val="TableContents"/>
              <w:spacing w:before="0" w:after="283"/>
              <w:rPr>
                <w:sz w:val="4"/>
                <w:szCs w:val="4"/>
              </w:rPr>
            </w:pPr>
            <w:r>
              <w:rPr>
                <w:sz w:val="4"/>
                <w:szCs w:val="4"/>
              </w:rPr>
            </w:r>
          </w:p>
        </w:tc>
      </w:tr>
      <w:tr>
        <w:trPr/>
        <w:tc>
          <w:tcPr>
            <w:tcW w:w="108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896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3">
              <w:r>
                <w:rPr>
                  <w:rStyle w:val="InternetLink"/>
                </w:rPr>
                <w:t>Registrant’s specimen certificate for Class A ordinary shares (incorporated by reference to Exhibit 4.</w:t>
              </w:r>
            </w:hyperlink>
            <w:hyperlink r:id="rId4">
              <w:r>
                <w:rPr>
                  <w:rStyle w:val="InternetLink"/>
                </w:rPr>
                <w:t>2</w:t>
              </w:r>
            </w:hyperlink>
            <w:hyperlink r:id="rId5">
              <w:r>
                <w:rPr>
                  <w:rStyle w:val="InternetLink"/>
                </w:rPr>
                <w:t xml:space="preserve"> of our registration statement on the Amendment No. 1 to Form F-1 (File No. 333-238960) filed with the SEC on June 15, 2020, as amended)</w:t>
              </w:r>
            </w:hyperlink>
          </w:p>
        </w:tc>
        <w:tc>
          <w:tcPr>
            <w:tcW w:w="156" w:type="dxa"/>
            <w:tcBorders/>
            <w:shd w:fill="auto" w:val="clear"/>
            <w:vAlign w:val="center"/>
          </w:tcPr>
          <w:p>
            <w:pPr>
              <w:pStyle w:val="TableContents"/>
              <w:spacing w:before="0" w:after="283"/>
              <w:rPr>
                <w:sz w:val="4"/>
                <w:szCs w:val="4"/>
              </w:rPr>
            </w:pPr>
            <w:r>
              <w:rPr>
                <w:sz w:val="4"/>
                <w:szCs w:val="4"/>
              </w:rPr>
            </w:r>
          </w:p>
        </w:tc>
      </w:tr>
      <w:tr>
        <w:trPr/>
        <w:tc>
          <w:tcPr>
            <w:tcW w:w="108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896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ex23-depositagreement.htm">
              <w:r>
                <w:rPr>
                  <w:rStyle w:val="InternetLink"/>
                  <w:rFonts w:ascii="Times New Roman;sans-serif" w:hAnsi="Times New Roman;sans-serif"/>
                  <w:b w:val="false"/>
                  <w:color w:val="0000FF"/>
                  <w:sz w:val="20"/>
                  <w:u w:val="single"/>
                </w:rPr>
                <w:t>Deposit agreement, dated June 25, 2020, by and among the registrant, the depositary and the owners and holders of American Depositary Shares issued thereunder</w:t>
              </w:r>
            </w:hyperlink>
          </w:p>
        </w:tc>
        <w:tc>
          <w:tcPr>
            <w:tcW w:w="156" w:type="dxa"/>
            <w:tcBorders/>
            <w:shd w:fill="auto" w:val="clear"/>
            <w:vAlign w:val="center"/>
          </w:tcPr>
          <w:p>
            <w:pPr>
              <w:pStyle w:val="TableContents"/>
              <w:spacing w:before="0" w:after="283"/>
              <w:rPr>
                <w:sz w:val="4"/>
                <w:szCs w:val="4"/>
              </w:rPr>
            </w:pPr>
            <w:r>
              <w:rPr>
                <w:sz w:val="4"/>
                <w:szCs w:val="4"/>
              </w:rPr>
            </w:r>
          </w:p>
        </w:tc>
      </w:tr>
      <w:tr>
        <w:trPr/>
        <w:tc>
          <w:tcPr>
            <w:tcW w:w="108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896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6">
              <w:r>
                <w:rPr>
                  <w:rStyle w:val="InternetLink"/>
                </w:rPr>
                <w:t xml:space="preserve">Amended and Restated Shareholders Agreement by and among the registrant and the other parties named therein, dated as of February 12, 2020 </w:t>
              </w:r>
            </w:hyperlink>
            <w:hyperlink r:id="rId7">
              <w:r>
                <w:rPr>
                  <w:rStyle w:val="InternetLink"/>
                </w:rPr>
                <w:t>(incorporated by reference to Exhibit 4.4 of our registration statement on Form F-1 (File No. 333-238960) filed with the SEC on June 5, 2020, as amended)</w:t>
              </w:r>
            </w:hyperlink>
          </w:p>
        </w:tc>
        <w:tc>
          <w:tcPr>
            <w:tcW w:w="156" w:type="dxa"/>
            <w:tcBorders/>
            <w:shd w:fill="auto" w:val="clear"/>
            <w:vAlign w:val="center"/>
          </w:tcPr>
          <w:p>
            <w:pPr>
              <w:pStyle w:val="TableContents"/>
              <w:spacing w:before="0" w:after="283"/>
              <w:rPr>
                <w:sz w:val="4"/>
                <w:szCs w:val="4"/>
              </w:rPr>
            </w:pPr>
            <w:r>
              <w:rPr>
                <w:sz w:val="4"/>
                <w:szCs w:val="4"/>
              </w:rPr>
            </w:r>
          </w:p>
        </w:tc>
      </w:tr>
      <w:tr>
        <w:trPr/>
        <w:tc>
          <w:tcPr>
            <w:tcW w:w="108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2.5</w:t>
            </w:r>
            <w:r>
              <w:rPr>
                <w:rFonts w:ascii="Times New Roman;sans-serif" w:hAnsi="Times New Roman;sans-serif"/>
                <w:b w:val="false"/>
                <w:color w:val="000000"/>
                <w:sz w:val="13"/>
              </w:rPr>
              <w:t>*</w:t>
            </w:r>
          </w:p>
        </w:tc>
        <w:tc>
          <w:tcPr>
            <w:tcW w:w="896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ex25-amendmenttoamendedand.htm">
              <w:r>
                <w:rPr>
                  <w:rStyle w:val="InternetLink"/>
                  <w:rFonts w:ascii="Times New Roman;sans-serif" w:hAnsi="Times New Roman;sans-serif"/>
                  <w:b w:val="false"/>
                  <w:color w:val="0000FF"/>
                  <w:sz w:val="20"/>
                  <w:u w:val="single"/>
                </w:rPr>
                <w:t>Amendment to Amended and Restated Shareholders Agreement by and among the registrant and the other parties named therein, dated as of June 30, 2020</w:t>
              </w:r>
            </w:hyperlink>
          </w:p>
        </w:tc>
        <w:tc>
          <w:tcPr>
            <w:tcW w:w="156" w:type="dxa"/>
            <w:tcBorders/>
            <w:shd w:fill="auto" w:val="clear"/>
            <w:vAlign w:val="center"/>
          </w:tcPr>
          <w:p>
            <w:pPr>
              <w:pStyle w:val="TableContents"/>
              <w:spacing w:before="0" w:after="283"/>
              <w:rPr>
                <w:sz w:val="4"/>
                <w:szCs w:val="4"/>
              </w:rPr>
            </w:pPr>
            <w:r>
              <w:rPr>
                <w:sz w:val="4"/>
                <w:szCs w:val="4"/>
              </w:rPr>
            </w:r>
          </w:p>
        </w:tc>
      </w:tr>
      <w:tr>
        <w:trPr/>
        <w:tc>
          <w:tcPr>
            <w:tcW w:w="1081" w:type="dxa"/>
            <w:gridSpan w:val="3"/>
            <w:tcBorders/>
            <w:shd w:fill="auto" w:val="clear"/>
            <w:tcMar>
              <w:top w:w="0" w:type="dxa"/>
              <w:left w:w="0" w:type="dxa"/>
              <w:bottom w:w="0" w:type="dxa"/>
              <w:right w:w="0" w:type="dxa"/>
            </w:tcMar>
            <w:vAlign w:val="center"/>
          </w:tcPr>
          <w:p>
            <w:pPr>
              <w:pStyle w:val="TableContents"/>
              <w:spacing w:lineRule="auto" w:line="288" w:before="0" w:after="120"/>
              <w:jc w:val="both"/>
              <w:rPr/>
            </w:pPr>
            <w:r>
              <w:rPr>
                <w:rFonts w:ascii="Times New Roman;sans-serif" w:hAnsi="Times New Roman;sans-serif"/>
                <w:b w:val="false"/>
                <w:color w:val="000000"/>
                <w:sz w:val="20"/>
              </w:rPr>
              <w:t>2.6</w:t>
            </w:r>
            <w:r>
              <w:rPr>
                <w:rFonts w:ascii="Times New Roman;sans-serif" w:hAnsi="Times New Roman;sans-serif"/>
                <w:b w:val="false"/>
                <w:color w:val="000000"/>
                <w:sz w:val="13"/>
              </w:rPr>
              <w:t>*</w:t>
            </w:r>
          </w:p>
        </w:tc>
        <w:tc>
          <w:tcPr>
            <w:tcW w:w="896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ex26.htm">
              <w:r>
                <w:rPr>
                  <w:rStyle w:val="InternetLink"/>
                  <w:rFonts w:ascii="Times New Roman;sans-serif" w:hAnsi="Times New Roman;sans-serif"/>
                  <w:b w:val="false"/>
                  <w:color w:val="0000FF"/>
                  <w:sz w:val="20"/>
                  <w:u w:val="single"/>
                </w:rPr>
                <w:t>Description of securities</w:t>
              </w:r>
            </w:hyperlink>
          </w:p>
        </w:tc>
        <w:tc>
          <w:tcPr>
            <w:tcW w:w="156" w:type="dxa"/>
            <w:tcBorders/>
            <w:shd w:fill="auto" w:val="clear"/>
            <w:vAlign w:val="center"/>
          </w:tcPr>
          <w:p>
            <w:pPr>
              <w:pStyle w:val="TableContents"/>
              <w:spacing w:before="0" w:after="283"/>
              <w:rPr>
                <w:sz w:val="4"/>
                <w:szCs w:val="4"/>
              </w:rPr>
            </w:pPr>
            <w:r>
              <w:rPr>
                <w:sz w:val="4"/>
                <w:szCs w:val="4"/>
              </w:rPr>
            </w:r>
          </w:p>
        </w:tc>
      </w:tr>
      <w:tr>
        <w:trPr/>
        <w:tc>
          <w:tcPr>
            <w:tcW w:w="108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896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8">
              <w:r>
                <w:rPr>
                  <w:rStyle w:val="InternetLink"/>
                </w:rPr>
                <w:t xml:space="preserve">English translation of the share pledge agreement, dated as of June 18, 2015, by and among Dayin Network Technology Co., Ltd., Shanghai Zhaoyan Network Technology Co., Ltd. and each </w:t>
              </w:r>
            </w:hyperlink>
            <w:hyperlink r:id="rId9">
              <w:r>
                <w:rPr>
                  <w:rStyle w:val="InternetLink"/>
                </w:rPr>
                <w:t xml:space="preserve">then </w:t>
              </w:r>
            </w:hyperlink>
            <w:hyperlink r:id="rId10">
              <w:r>
                <w:rPr>
                  <w:rStyle w:val="InternetLink"/>
                </w:rPr>
                <w:t>shareholder of Shanghai Zhaoyan Network Technology Co., Ltd. (incorporated by reference to Exhibit 10.1 of our registration statement on Form F-1 (File No. 333-238960) filed with the SEC on June 5, 2020, as amended)</w:t>
              </w:r>
            </w:hyperlink>
          </w:p>
        </w:tc>
        <w:tc>
          <w:tcPr>
            <w:tcW w:w="156" w:type="dxa"/>
            <w:tcBorders/>
            <w:shd w:fill="auto" w:val="clear"/>
            <w:vAlign w:val="center"/>
          </w:tcPr>
          <w:p>
            <w:pPr>
              <w:pStyle w:val="TableContents"/>
              <w:spacing w:before="0" w:after="283"/>
              <w:rPr>
                <w:sz w:val="4"/>
                <w:szCs w:val="4"/>
              </w:rPr>
            </w:pPr>
            <w:r>
              <w:rPr>
                <w:sz w:val="4"/>
                <w:szCs w:val="4"/>
              </w:rPr>
            </w:r>
          </w:p>
        </w:tc>
      </w:tr>
      <w:tr>
        <w:trPr/>
        <w:tc>
          <w:tcPr>
            <w:tcW w:w="108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896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11">
              <w:r>
                <w:rPr>
                  <w:rStyle w:val="InternetLink"/>
                </w:rPr>
                <w:t xml:space="preserve">English translation of the voting rights proxy agreement, dated as of June 18, 2015, by and among Dayin Network Technology Co., Ltd., Shanghai Zhaoyan Network Technology Co., Ltd. and each </w:t>
              </w:r>
            </w:hyperlink>
            <w:hyperlink r:id="rId12">
              <w:r>
                <w:rPr>
                  <w:rStyle w:val="InternetLink"/>
                </w:rPr>
                <w:t xml:space="preserve">then </w:t>
              </w:r>
            </w:hyperlink>
            <w:hyperlink r:id="rId13">
              <w:r>
                <w:rPr>
                  <w:rStyle w:val="InternetLink"/>
                </w:rPr>
                <w:t>shareholder of Shanghai Zhaoyan Network Technology Co., Ltd. (incorporated by reference to Exhibit 10.2 of our registration statement on Form F-1 (File No. 333-238960) filed with the SEC on June 5, 2020, as amended)</w:t>
              </w:r>
            </w:hyperlink>
          </w:p>
        </w:tc>
        <w:tc>
          <w:tcPr>
            <w:tcW w:w="156" w:type="dxa"/>
            <w:tcBorders/>
            <w:shd w:fill="auto" w:val="clear"/>
            <w:vAlign w:val="center"/>
          </w:tcPr>
          <w:p>
            <w:pPr>
              <w:pStyle w:val="TableContents"/>
              <w:spacing w:before="0" w:after="283"/>
              <w:rPr>
                <w:sz w:val="4"/>
                <w:szCs w:val="4"/>
              </w:rPr>
            </w:pPr>
            <w:r>
              <w:rPr>
                <w:sz w:val="4"/>
                <w:szCs w:val="4"/>
              </w:rPr>
            </w:r>
          </w:p>
        </w:tc>
      </w:tr>
      <w:tr>
        <w:trPr/>
        <w:tc>
          <w:tcPr>
            <w:tcW w:w="108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896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14">
              <w:r>
                <w:rPr>
                  <w:rStyle w:val="InternetLink"/>
                  <w:rFonts w:ascii="Times New Roman;sans-serif" w:hAnsi="Times New Roman;sans-serif"/>
                  <w:b w:val="false"/>
                  <w:color w:val="0000FF"/>
                  <w:sz w:val="20"/>
                  <w:u w:val="single"/>
                </w:rPr>
                <w:t>English translation of the power of attorney of Bin (Tony) Zhao pursuant to the voting rights proxy agreement, dated as of June 18, 2015 (incorporated by reference to Exhibit 10.3 of our registration statement on Form F-1 (File No. 333-238960) filed with the SEC on June 5, 2020, as amended)</w:t>
              </w:r>
            </w:hyperlink>
          </w:p>
        </w:tc>
        <w:tc>
          <w:tcPr>
            <w:tcW w:w="156" w:type="dxa"/>
            <w:tcBorders/>
            <w:shd w:fill="auto" w:val="clear"/>
            <w:vAlign w:val="center"/>
          </w:tcPr>
          <w:p>
            <w:pPr>
              <w:pStyle w:val="TableContents"/>
              <w:spacing w:before="0" w:after="283"/>
              <w:rPr>
                <w:sz w:val="4"/>
                <w:szCs w:val="4"/>
              </w:rPr>
            </w:pPr>
            <w:r>
              <w:rPr>
                <w:sz w:val="4"/>
                <w:szCs w:val="4"/>
              </w:rPr>
            </w:r>
          </w:p>
        </w:tc>
      </w:tr>
      <w:tr>
        <w:trPr/>
        <w:tc>
          <w:tcPr>
            <w:tcW w:w="108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896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15">
              <w:r>
                <w:rPr>
                  <w:rStyle w:val="InternetLink"/>
                  <w:rFonts w:ascii="Times New Roman;sans-serif" w:hAnsi="Times New Roman;sans-serif"/>
                  <w:b w:val="false"/>
                  <w:color w:val="0000FF"/>
                  <w:sz w:val="20"/>
                  <w:u w:val="single"/>
                </w:rPr>
                <w:t>English translation of the power of attorney of Wenjing Ma pursuant to the voting rights proxy agreement, dated as of June 18, 2015 (incorporated by reference to Exhibit 10.4 of our registration statement on Form F-1 (File No. 333-238960) filed with the SEC on June 5, 2020, as amended)</w:t>
              </w:r>
            </w:hyperlink>
          </w:p>
        </w:tc>
        <w:tc>
          <w:tcPr>
            <w:tcW w:w="156" w:type="dxa"/>
            <w:tcBorders/>
            <w:shd w:fill="auto" w:val="clear"/>
            <w:vAlign w:val="center"/>
          </w:tcPr>
          <w:p>
            <w:pPr>
              <w:pStyle w:val="TableContents"/>
              <w:spacing w:before="0" w:after="283"/>
              <w:rPr>
                <w:sz w:val="4"/>
                <w:szCs w:val="4"/>
              </w:rPr>
            </w:pPr>
            <w:r>
              <w:rPr>
                <w:sz w:val="4"/>
                <w:szCs w:val="4"/>
              </w:rPr>
            </w:r>
          </w:p>
        </w:tc>
      </w:tr>
      <w:tr>
        <w:trPr/>
        <w:tc>
          <w:tcPr>
            <w:tcW w:w="108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896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16">
              <w:r>
                <w:rPr>
                  <w:rStyle w:val="InternetLink"/>
                  <w:rFonts w:ascii="Times New Roman;sans-serif" w:hAnsi="Times New Roman;sans-serif"/>
                  <w:b w:val="false"/>
                  <w:color w:val="0000FF"/>
                  <w:sz w:val="20"/>
                  <w:u w:val="single"/>
                </w:rPr>
                <w:t>English translation of the exclusive technology consulting and services agreement, dated as of June 18, 2015, by and between Dayin Network Technology Co., Ltd. and Shanghai Zhaoyan Network Technology Co., Ltd. (incorporated by reference to Exhibit 10.5 of our registration statement on Form F-1 (File No. 333-238960) filed with the SEC on June 5, 2020, as amended)</w:t>
              </w:r>
            </w:hyperlink>
          </w:p>
        </w:tc>
        <w:tc>
          <w:tcPr>
            <w:tcW w:w="156" w:type="dxa"/>
            <w:tcBorders/>
            <w:shd w:fill="auto" w:val="clear"/>
            <w:vAlign w:val="center"/>
          </w:tcPr>
          <w:p>
            <w:pPr>
              <w:pStyle w:val="TableContents"/>
              <w:spacing w:before="0" w:after="283"/>
              <w:rPr>
                <w:sz w:val="4"/>
                <w:szCs w:val="4"/>
              </w:rPr>
            </w:pPr>
            <w:r>
              <w:rPr>
                <w:sz w:val="4"/>
                <w:szCs w:val="4"/>
              </w:rPr>
            </w:r>
          </w:p>
        </w:tc>
      </w:tr>
      <w:tr>
        <w:trPr/>
        <w:tc>
          <w:tcPr>
            <w:tcW w:w="108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896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17">
              <w:r>
                <w:rPr>
                  <w:rStyle w:val="InternetLink"/>
                </w:rPr>
                <w:t xml:space="preserve">English translation of the exclusive option agreement, dated as of June 18, 2015, by and among Dayin Network Technology Co., Ltd., Shanghai Zhaoyan Network Technology Co., Ltd. and each </w:t>
              </w:r>
            </w:hyperlink>
            <w:hyperlink r:id="rId18">
              <w:r>
                <w:rPr>
                  <w:rStyle w:val="InternetLink"/>
                </w:rPr>
                <w:t xml:space="preserve">then </w:t>
              </w:r>
            </w:hyperlink>
            <w:hyperlink r:id="rId19">
              <w:r>
                <w:rPr>
                  <w:rStyle w:val="InternetLink"/>
                </w:rPr>
                <w:t>shareholder of Shanghai Zhaoyan Network Technology Co., Ltd. (incorporated by reference to Exhibit 10.6 of our registration statement on Form F-1 (File No. 333-238960) filed with the SEC on June 5, 2020, as amended)</w:t>
              </w:r>
            </w:hyperlink>
          </w:p>
        </w:tc>
        <w:tc>
          <w:tcPr>
            <w:tcW w:w="156" w:type="dxa"/>
            <w:tcBorders/>
            <w:shd w:fill="auto" w:val="clear"/>
            <w:vAlign w:val="center"/>
          </w:tcPr>
          <w:p>
            <w:pPr>
              <w:pStyle w:val="TableContents"/>
              <w:spacing w:before="0" w:after="283"/>
              <w:rPr>
                <w:sz w:val="4"/>
                <w:szCs w:val="4"/>
              </w:rPr>
            </w:pPr>
            <w:r>
              <w:rPr>
                <w:sz w:val="4"/>
                <w:szCs w:val="4"/>
              </w:rPr>
            </w:r>
          </w:p>
        </w:tc>
      </w:tr>
      <w:tr>
        <w:trPr/>
        <w:tc>
          <w:tcPr>
            <w:tcW w:w="108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4.7</w:t>
            </w:r>
          </w:p>
        </w:tc>
        <w:tc>
          <w:tcPr>
            <w:tcW w:w="8968" w:type="dxa"/>
            <w:gridSpan w:val="3"/>
            <w:tcBorders/>
            <w:shd w:fill="auto" w:val="clear"/>
            <w:tcMar>
              <w:top w:w="0" w:type="dxa"/>
              <w:left w:w="0" w:type="dxa"/>
              <w:bottom w:w="0" w:type="dxa"/>
              <w:right w:w="0" w:type="dxa"/>
            </w:tcMar>
            <w:vAlign w:val="center"/>
          </w:tcPr>
          <w:p>
            <w:pPr>
              <w:pStyle w:val="TableContents"/>
              <w:spacing w:lineRule="auto" w:line="288" w:before="0" w:after="120"/>
              <w:jc w:val="both"/>
              <w:rPr/>
            </w:pPr>
            <w:hyperlink r:id="rId20">
              <w:r>
                <w:rPr>
                  <w:rStyle w:val="InternetLink"/>
                  <w:rFonts w:ascii="Times New Roman;sans-serif" w:hAnsi="Times New Roman;sans-serif"/>
                  <w:b w:val="false"/>
                  <w:color w:val="0000FF"/>
                  <w:sz w:val="20"/>
                  <w:u w:val="single"/>
                </w:rPr>
                <w:t>2014 equity incentive plan (incorporated by reference to Exhibit 10.7 of our registration statement on Form F-1 (File No. 333-238960) filed with the SEC on June 5, 2020, as amended)</w:t>
              </w:r>
            </w:hyperlink>
          </w:p>
        </w:tc>
        <w:tc>
          <w:tcPr>
            <w:tcW w:w="156" w:type="dxa"/>
            <w:tcBorders/>
            <w:shd w:fill="auto" w:val="cle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385445"/>
                <wp:effectExtent l="0" t="0" r="0" b="0"/>
                <wp:wrapNone/>
                <wp:docPr id="158" name="Frame157"/>
                <a:graphic xmlns:a="http://schemas.openxmlformats.org/drawingml/2006/main">
                  <a:graphicData uri="http://schemas.microsoft.com/office/word/2010/wordprocessingShape">
                    <wps:wsp>
                      <wps:cNvSpPr txBox="1"/>
                      <wps:spPr>
                        <a:xfrm>
                          <a:off x="0" y="0"/>
                          <a:ext cx="6480175" cy="385445"/>
                        </a:xfrm>
                        <a:prstGeom prst="rect"/>
                      </wps:spPr>
                      <wps:txbx>
                        <w:txbxContent>
                          <w:p>
                            <w:pPr>
                              <w:pStyle w:val="TextBody"/>
                              <w:spacing w:lineRule="auto" w:line="288" w:before="0" w:after="0"/>
                              <w:rPr>
                                <w:rFonts w:ascii="Times New Roman;sans-serif" w:hAnsi="Times New Roman;sans-serif"/>
                                <w:b w:val="false"/>
                                <w:color w:val="000000"/>
                                <w:sz w:val="24"/>
                              </w:rPr>
                            </w:pPr>
                            <w:r>
                              <w:rPr>
                                <w:rFonts w:ascii="Times New Roman;sans-serif" w:hAnsi="Times New Roman;sans-serif"/>
                                <w:b w:val="false"/>
                                <w:color w:val="000000"/>
                                <w:sz w:val="24"/>
                              </w:rPr>
                              <w:t>153</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4"/>
                        </w:rPr>
                      </w:pPr>
                      <w:r>
                        <w:rPr>
                          <w:rFonts w:ascii="Times New Roman;sans-serif" w:hAnsi="Times New Roman;sans-serif"/>
                          <w:b w:val="false"/>
                          <w:color w:val="000000"/>
                          <w:sz w:val="24"/>
                        </w:rPr>
                        <w:t>153</w:t>
                      </w:r>
                    </w:p>
                    <w:p>
                      <w:pPr>
                        <w:pStyle w:val="TextBody"/>
                        <w:spacing w:before="0" w:after="0"/>
                        <w:jc w:val="center"/>
                        <w:rPr/>
                      </w:pPr>
                      <w:r>
                        <w:rPr/>
                      </w:r>
                    </w:p>
                  </w:txbxContent>
                </v:textbox>
              </v:rect>
            </w:pict>
          </mc:Fallback>
        </mc:AlternateContent>
      </w:r>
    </w:p>
    <w:p>
      <w:pPr>
        <w:pStyle w:val="TextBody"/>
        <w:spacing w:before="0" w:after="0"/>
        <w:rPr/>
      </w:pPr>
      <w:r>
        <w:rPr/>
      </w:r>
    </w:p>
    <w:tbl>
      <w:tblPr>
        <w:tblW w:w="10205" w:type="dxa"/>
        <w:jc w:val="left"/>
        <w:tblInd w:w="0" w:type="dxa"/>
        <w:tblCellMar>
          <w:top w:w="28" w:type="dxa"/>
          <w:left w:w="28" w:type="dxa"/>
          <w:bottom w:w="28" w:type="dxa"/>
          <w:right w:w="28" w:type="dxa"/>
        </w:tblCellMar>
      </w:tblPr>
      <w:tblGrid>
        <w:gridCol w:w="248"/>
        <w:gridCol w:w="200"/>
        <w:gridCol w:w="205"/>
        <w:gridCol w:w="3544"/>
        <w:gridCol w:w="2922"/>
        <w:gridCol w:w="2929"/>
        <w:gridCol w:w="157"/>
      </w:tblGrid>
      <w:tr>
        <w:trPr/>
        <w:tc>
          <w:tcPr>
            <w:tcW w:w="248"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3544" w:type="dxa"/>
            <w:tcBorders/>
            <w:shd w:fill="auto" w:val="clear"/>
            <w:vAlign w:val="center"/>
          </w:tcPr>
          <w:p>
            <w:pPr>
              <w:pStyle w:val="TableContents"/>
              <w:spacing w:before="0" w:after="283"/>
              <w:rPr>
                <w:sz w:val="4"/>
                <w:szCs w:val="4"/>
              </w:rPr>
            </w:pPr>
            <w:r>
              <w:rPr>
                <w:sz w:val="4"/>
                <w:szCs w:val="4"/>
              </w:rPr>
            </w:r>
          </w:p>
        </w:tc>
        <w:tc>
          <w:tcPr>
            <w:tcW w:w="2922" w:type="dxa"/>
            <w:tcBorders/>
            <w:shd w:fill="auto" w:val="clear"/>
            <w:vAlign w:val="center"/>
          </w:tcPr>
          <w:p>
            <w:pPr>
              <w:pStyle w:val="TableContents"/>
              <w:spacing w:before="0" w:after="283"/>
              <w:rPr>
                <w:sz w:val="4"/>
                <w:szCs w:val="4"/>
              </w:rPr>
            </w:pPr>
            <w:r>
              <w:rPr>
                <w:sz w:val="4"/>
                <w:szCs w:val="4"/>
              </w:rPr>
            </w:r>
          </w:p>
        </w:tc>
        <w:tc>
          <w:tcPr>
            <w:tcW w:w="292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65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9395" w:type="dxa"/>
            <w:gridSpan w:val="3"/>
            <w:tcBorders/>
            <w:shd w:fill="auto" w:val="clear"/>
            <w:tcMar>
              <w:top w:w="0" w:type="dxa"/>
              <w:left w:w="0" w:type="dxa"/>
              <w:bottom w:w="0" w:type="dxa"/>
              <w:right w:w="0" w:type="dxa"/>
            </w:tcMar>
            <w:vAlign w:val="center"/>
          </w:tcPr>
          <w:p>
            <w:pPr>
              <w:pStyle w:val="TableContents"/>
              <w:spacing w:lineRule="auto" w:line="288" w:before="0" w:after="120"/>
              <w:jc w:val="both"/>
              <w:rPr/>
            </w:pPr>
            <w:hyperlink r:id="rId21">
              <w:r>
                <w:rPr>
                  <w:rStyle w:val="InternetLink"/>
                  <w:rFonts w:ascii="Times New Roman;sans-serif" w:hAnsi="Times New Roman;sans-serif"/>
                  <w:b w:val="false"/>
                  <w:color w:val="0E32E1"/>
                  <w:sz w:val="20"/>
                  <w:u w:val="single"/>
                </w:rPr>
                <w:t>2018 equity incentive plan (incorporated by reference to Exhibit 10.8 of our registration statement on Form F-1 (File No. 333-238960) filed with the SEC on June 5, 2020, as amended)</w:t>
              </w:r>
            </w:hyperlink>
          </w:p>
        </w:tc>
        <w:tc>
          <w:tcPr>
            <w:tcW w:w="157" w:type="dxa"/>
            <w:tcBorders/>
            <w:shd w:fill="auto" w:val="clear"/>
            <w:vAlign w:val="center"/>
          </w:tcPr>
          <w:p>
            <w:pPr>
              <w:pStyle w:val="TableContents"/>
              <w:spacing w:before="0" w:after="283"/>
              <w:rPr>
                <w:sz w:val="4"/>
                <w:szCs w:val="4"/>
              </w:rPr>
            </w:pPr>
            <w:r>
              <w:rPr>
                <w:sz w:val="4"/>
                <w:szCs w:val="4"/>
              </w:rPr>
            </w:r>
          </w:p>
        </w:tc>
      </w:tr>
      <w:tr>
        <w:trPr/>
        <w:tc>
          <w:tcPr>
            <w:tcW w:w="65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4.9</w:t>
            </w:r>
          </w:p>
        </w:tc>
        <w:tc>
          <w:tcPr>
            <w:tcW w:w="9395" w:type="dxa"/>
            <w:gridSpan w:val="3"/>
            <w:tcBorders/>
            <w:shd w:fill="auto" w:val="clear"/>
            <w:tcMar>
              <w:top w:w="0" w:type="dxa"/>
              <w:left w:w="0" w:type="dxa"/>
              <w:bottom w:w="0" w:type="dxa"/>
              <w:right w:w="0" w:type="dxa"/>
            </w:tcMar>
            <w:vAlign w:val="center"/>
          </w:tcPr>
          <w:p>
            <w:pPr>
              <w:pStyle w:val="TableContents"/>
              <w:spacing w:lineRule="auto" w:line="288" w:before="0" w:after="120"/>
              <w:jc w:val="both"/>
              <w:rPr/>
            </w:pPr>
            <w:hyperlink r:id="rId22">
              <w:r>
                <w:rPr>
                  <w:rStyle w:val="InternetLink"/>
                  <w:rFonts w:ascii="Times New Roman;sans-serif" w:hAnsi="Times New Roman;sans-serif"/>
                  <w:b w:val="false"/>
                  <w:color w:val="0E32E1"/>
                  <w:sz w:val="20"/>
                  <w:u w:val="single"/>
                </w:rPr>
                <w:t>Global equity incentive plan (incorporated by reference to Exhibit 10.9 of our registration statement on the Amendment No. 1 to Form F-1 (File No. 333-238960) filed with the SEC on June 15, 2020, as amended)</w:t>
              </w:r>
            </w:hyperlink>
          </w:p>
        </w:tc>
        <w:tc>
          <w:tcPr>
            <w:tcW w:w="157" w:type="dxa"/>
            <w:tcBorders/>
            <w:shd w:fill="auto" w:val="clear"/>
            <w:vAlign w:val="center"/>
          </w:tcPr>
          <w:p>
            <w:pPr>
              <w:pStyle w:val="TableContents"/>
              <w:spacing w:before="0" w:after="283"/>
              <w:rPr>
                <w:sz w:val="4"/>
                <w:szCs w:val="4"/>
              </w:rPr>
            </w:pPr>
            <w:r>
              <w:rPr>
                <w:sz w:val="4"/>
                <w:szCs w:val="4"/>
              </w:rPr>
            </w:r>
          </w:p>
        </w:tc>
      </w:tr>
      <w:tr>
        <w:trPr/>
        <w:tc>
          <w:tcPr>
            <w:tcW w:w="65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4.10</w:t>
            </w:r>
          </w:p>
        </w:tc>
        <w:tc>
          <w:tcPr>
            <w:tcW w:w="939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23">
              <w:r>
                <w:rPr>
                  <w:rStyle w:val="InternetLink"/>
                  <w:rFonts w:ascii="Times New Roman;sans-serif" w:hAnsi="Times New Roman;sans-serif"/>
                  <w:b w:val="false"/>
                  <w:color w:val="0000FF"/>
                  <w:sz w:val="20"/>
                  <w:u w:val="single"/>
                </w:rPr>
                <w:t>Employee stock purchase plan (incorporated by reference to Exhibit 10.10 of our registration statement on the Amendment No. 1 to Form F-1 (File No. 333-238960) filed with the SEC on June 15, 2020, as amended)</w:t>
              </w:r>
            </w:hyperlink>
          </w:p>
        </w:tc>
        <w:tc>
          <w:tcPr>
            <w:tcW w:w="157" w:type="dxa"/>
            <w:tcBorders/>
            <w:shd w:fill="auto" w:val="clear"/>
            <w:vAlign w:val="center"/>
          </w:tcPr>
          <w:p>
            <w:pPr>
              <w:pStyle w:val="TableContents"/>
              <w:spacing w:before="0" w:after="283"/>
              <w:rPr>
                <w:sz w:val="4"/>
                <w:szCs w:val="4"/>
              </w:rPr>
            </w:pPr>
            <w:r>
              <w:rPr>
                <w:sz w:val="4"/>
                <w:szCs w:val="4"/>
              </w:rPr>
            </w:r>
          </w:p>
        </w:tc>
      </w:tr>
      <w:tr>
        <w:trPr/>
        <w:tc>
          <w:tcPr>
            <w:tcW w:w="65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4.11</w:t>
            </w:r>
          </w:p>
        </w:tc>
        <w:tc>
          <w:tcPr>
            <w:tcW w:w="939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24">
              <w:r>
                <w:rPr>
                  <w:rStyle w:val="InternetLink"/>
                  <w:rFonts w:ascii="Times New Roman;sans-serif" w:hAnsi="Times New Roman;sans-serif"/>
                  <w:b w:val="false"/>
                  <w:color w:val="0000FF"/>
                  <w:sz w:val="20"/>
                  <w:u w:val="single"/>
                </w:rPr>
                <w:t>Form of employment agreement between the registrant and its executive officers (incorporated by reference to Exhibit 10.11 of our registration statement on the Amendment No. 1 to Form F-1 (File No. 333-238960) filed with the SEC on June 15, 2020, as amended)</w:t>
              </w:r>
            </w:hyperlink>
          </w:p>
        </w:tc>
        <w:tc>
          <w:tcPr>
            <w:tcW w:w="157" w:type="dxa"/>
            <w:tcBorders/>
            <w:shd w:fill="auto" w:val="clear"/>
            <w:vAlign w:val="center"/>
          </w:tcPr>
          <w:p>
            <w:pPr>
              <w:pStyle w:val="TableContents"/>
              <w:spacing w:before="0" w:after="283"/>
              <w:rPr>
                <w:sz w:val="4"/>
                <w:szCs w:val="4"/>
              </w:rPr>
            </w:pPr>
            <w:r>
              <w:rPr>
                <w:sz w:val="4"/>
                <w:szCs w:val="4"/>
              </w:rPr>
            </w:r>
          </w:p>
        </w:tc>
      </w:tr>
      <w:tr>
        <w:trPr/>
        <w:tc>
          <w:tcPr>
            <w:tcW w:w="65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4.12</w:t>
            </w:r>
          </w:p>
        </w:tc>
        <w:tc>
          <w:tcPr>
            <w:tcW w:w="939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25">
              <w:r>
                <w:rPr>
                  <w:rStyle w:val="InternetLink"/>
                </w:rPr>
                <w:t xml:space="preserve">Form of </w:t>
              </w:r>
            </w:hyperlink>
            <w:hyperlink r:id="rId26">
              <w:r>
                <w:rPr>
                  <w:rStyle w:val="InternetLink"/>
                </w:rPr>
                <w:t>indemnification</w:t>
              </w:r>
            </w:hyperlink>
            <w:hyperlink r:id="rId27">
              <w:r>
                <w:rPr>
                  <w:rStyle w:val="InternetLink"/>
                </w:rPr>
                <w:t xml:space="preserve"> agreement between the registrant and its </w:t>
              </w:r>
            </w:hyperlink>
            <w:hyperlink r:id="rId28">
              <w:r>
                <w:rPr>
                  <w:rStyle w:val="InternetLink"/>
                </w:rPr>
                <w:t xml:space="preserve">directors and </w:t>
              </w:r>
            </w:hyperlink>
            <w:hyperlink r:id="rId29">
              <w:r>
                <w:rPr>
                  <w:rStyle w:val="InternetLink"/>
                </w:rPr>
                <w:t>executive officers (incorporated by reference to Exhibit 10.1</w:t>
              </w:r>
            </w:hyperlink>
            <w:hyperlink r:id="rId30">
              <w:r>
                <w:rPr>
                  <w:rStyle w:val="InternetLink"/>
                </w:rPr>
                <w:t>2</w:t>
              </w:r>
            </w:hyperlink>
            <w:hyperlink r:id="rId31">
              <w:r>
                <w:rPr>
                  <w:rStyle w:val="InternetLink"/>
                </w:rPr>
                <w:t xml:space="preserve"> of our registration statement on the Amendment No. 1 to Form F-1 (File No. 333-238960) filed with the SEC on June 15, 2020, as amended)</w:t>
              </w:r>
            </w:hyperlink>
          </w:p>
        </w:tc>
        <w:tc>
          <w:tcPr>
            <w:tcW w:w="157" w:type="dxa"/>
            <w:tcBorders/>
            <w:shd w:fill="auto" w:val="clear"/>
            <w:vAlign w:val="center"/>
          </w:tcPr>
          <w:p>
            <w:pPr>
              <w:pStyle w:val="TableContents"/>
              <w:spacing w:before="0" w:after="283"/>
              <w:rPr>
                <w:sz w:val="4"/>
                <w:szCs w:val="4"/>
              </w:rPr>
            </w:pPr>
            <w:r>
              <w:rPr>
                <w:sz w:val="4"/>
                <w:szCs w:val="4"/>
              </w:rPr>
            </w:r>
          </w:p>
        </w:tc>
      </w:tr>
      <w:tr>
        <w:trPr/>
        <w:tc>
          <w:tcPr>
            <w:tcW w:w="65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4.13*</w:t>
            </w:r>
          </w:p>
        </w:tc>
        <w:tc>
          <w:tcPr>
            <w:tcW w:w="939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ex413.htm">
              <w:r>
                <w:rPr>
                  <w:rStyle w:val="InternetLink"/>
                  <w:rFonts w:ascii="Times New Roman;sans-serif" w:hAnsi="Times New Roman;sans-serif"/>
                  <w:b w:val="false"/>
                  <w:color w:val="0000FF"/>
                  <w:sz w:val="20"/>
                  <w:u w:val="single"/>
                </w:rPr>
                <w:t xml:space="preserve">English translation of the joinder agreement to the contractual arrangements, dated as of January 19, 2021, by and among Dayin Network Technology Co., Ltd., Shanghai Zhaoyan Network Technology Co., Ltd. and Ms. Yan Chen </w:t>
              </w:r>
            </w:hyperlink>
          </w:p>
        </w:tc>
        <w:tc>
          <w:tcPr>
            <w:tcW w:w="157" w:type="dxa"/>
            <w:tcBorders/>
            <w:shd w:fill="auto" w:val="clear"/>
            <w:vAlign w:val="center"/>
          </w:tcPr>
          <w:p>
            <w:pPr>
              <w:pStyle w:val="TableContents"/>
              <w:spacing w:before="0" w:after="283"/>
              <w:rPr>
                <w:sz w:val="4"/>
                <w:szCs w:val="4"/>
              </w:rPr>
            </w:pPr>
            <w:r>
              <w:rPr>
                <w:sz w:val="4"/>
                <w:szCs w:val="4"/>
              </w:rPr>
            </w:r>
          </w:p>
        </w:tc>
      </w:tr>
      <w:tr>
        <w:trPr/>
        <w:tc>
          <w:tcPr>
            <w:tcW w:w="65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4.14</w:t>
            </w:r>
          </w:p>
        </w:tc>
        <w:tc>
          <w:tcPr>
            <w:tcW w:w="939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32">
              <w:r>
                <w:rPr>
                  <w:rStyle w:val="InternetLink"/>
                </w:rPr>
                <w:t xml:space="preserve">Class A Ordinary Shares Purchase Agreement, dated as of June 18, 2020, by and between the </w:t>
              </w:r>
            </w:hyperlink>
            <w:hyperlink r:id="rId33">
              <w:r>
                <w:rPr>
                  <w:rStyle w:val="InternetLink"/>
                </w:rPr>
                <w:t>r</w:t>
              </w:r>
            </w:hyperlink>
            <w:hyperlink r:id="rId34">
              <w:r>
                <w:rPr>
                  <w:rStyle w:val="InternetLink"/>
                </w:rPr>
                <w:t>egistrant and Coatue CPP 10 LLC</w:t>
              </w:r>
            </w:hyperlink>
            <w:hyperlink r:id="rId35">
              <w:r>
                <w:rPr>
                  <w:rStyle w:val="InternetLink"/>
                </w:rPr>
                <w:t xml:space="preserve"> </w:t>
              </w:r>
            </w:hyperlink>
            <w:hyperlink r:id="rId36">
              <w:r>
                <w:rPr>
                  <w:rStyle w:val="InternetLink"/>
                </w:rPr>
                <w:t>(</w:t>
              </w:r>
            </w:hyperlink>
            <w:hyperlink r:id="rId37">
              <w:r>
                <w:rPr>
                  <w:rStyle w:val="InternetLink"/>
                </w:rPr>
                <w:t xml:space="preserve">incorporated by reference to Exhibit </w:t>
              </w:r>
            </w:hyperlink>
            <w:hyperlink r:id="rId38">
              <w:r>
                <w:rPr>
                  <w:rStyle w:val="InternetLink"/>
                </w:rPr>
                <w:t>10</w:t>
              </w:r>
            </w:hyperlink>
            <w:hyperlink r:id="rId39">
              <w:r>
                <w:rPr>
                  <w:rStyle w:val="InternetLink"/>
                </w:rPr>
                <w:t>.</w:t>
              </w:r>
            </w:hyperlink>
            <w:hyperlink r:id="rId40">
              <w:r>
                <w:rPr>
                  <w:rStyle w:val="InternetLink"/>
                </w:rPr>
                <w:t>1</w:t>
              </w:r>
            </w:hyperlink>
            <w:hyperlink r:id="rId41">
              <w:r>
                <w:rPr>
                  <w:rStyle w:val="InternetLink"/>
                </w:rPr>
                <w:t>3 of our registration statement on the Amendment No. 2 to Form F-1 (File No. 333-238960) filed with the SEC on June 19, 2020, as amended</w:t>
              </w:r>
            </w:hyperlink>
            <w:hyperlink r:id="rId42">
              <w:r>
                <w:rPr>
                  <w:rStyle w:val="InternetLink"/>
                </w:rPr>
                <w:t>)</w:t>
              </w:r>
            </w:hyperlink>
          </w:p>
        </w:tc>
        <w:tc>
          <w:tcPr>
            <w:tcW w:w="157" w:type="dxa"/>
            <w:tcBorders/>
            <w:shd w:fill="auto" w:val="clear"/>
            <w:vAlign w:val="center"/>
          </w:tcPr>
          <w:p>
            <w:pPr>
              <w:pStyle w:val="TableContents"/>
              <w:spacing w:before="0" w:after="283"/>
              <w:rPr>
                <w:sz w:val="4"/>
                <w:szCs w:val="4"/>
              </w:rPr>
            </w:pPr>
            <w:r>
              <w:rPr>
                <w:sz w:val="4"/>
                <w:szCs w:val="4"/>
              </w:rPr>
            </w:r>
          </w:p>
        </w:tc>
      </w:tr>
      <w:tr>
        <w:trPr/>
        <w:tc>
          <w:tcPr>
            <w:tcW w:w="65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4.15</w:t>
            </w:r>
          </w:p>
        </w:tc>
        <w:tc>
          <w:tcPr>
            <w:tcW w:w="939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43">
              <w:r>
                <w:rPr>
                  <w:rStyle w:val="InternetLink"/>
                  <w:rFonts w:ascii="Times New Roman;sans-serif" w:hAnsi="Times New Roman;sans-serif"/>
                  <w:b w:val="false"/>
                  <w:color w:val="0000FF"/>
                  <w:sz w:val="20"/>
                  <w:u w:val="single"/>
                </w:rPr>
                <w:t xml:space="preserve">Class A Ordinary Shares Purchase Agreement, dated as of June 17, 2020, by and between the </w:t>
              </w:r>
            </w:hyperlink>
            <w:hyperlink r:id="rId44">
              <w:r>
                <w:rPr>
                  <w:rStyle w:val="InternetLink"/>
                  <w:rFonts w:ascii="Arial;sans-serif" w:hAnsi="Arial;sans-serif"/>
                  <w:b w:val="false"/>
                  <w:color w:val="0000FF"/>
                  <w:sz w:val="20"/>
                  <w:u w:val="single"/>
                </w:rPr>
                <w:t>r</w:t>
              </w:r>
            </w:hyperlink>
            <w:hyperlink r:id="rId45">
              <w:r>
                <w:rPr>
                  <w:rStyle w:val="InternetLink"/>
                </w:rPr>
                <w:t>egistrant and Neumann Capital</w:t>
              </w:r>
            </w:hyperlink>
            <w:hyperlink r:id="rId46">
              <w:r>
                <w:rPr>
                  <w:rStyle w:val="InternetLink"/>
                </w:rPr>
                <w:t xml:space="preserve"> </w:t>
              </w:r>
            </w:hyperlink>
            <w:hyperlink r:id="rId47">
              <w:r>
                <w:rPr>
                  <w:rStyle w:val="InternetLink"/>
                </w:rPr>
                <w:t>(</w:t>
              </w:r>
            </w:hyperlink>
            <w:hyperlink r:id="rId48">
              <w:r>
                <w:rPr>
                  <w:rStyle w:val="InternetLink"/>
                </w:rPr>
                <w:t xml:space="preserve">incorporated by reference to Exhibit </w:t>
              </w:r>
            </w:hyperlink>
            <w:hyperlink r:id="rId49">
              <w:r>
                <w:rPr>
                  <w:rStyle w:val="InternetLink"/>
                </w:rPr>
                <w:t>10</w:t>
              </w:r>
            </w:hyperlink>
            <w:hyperlink r:id="rId50">
              <w:r>
                <w:rPr>
                  <w:rStyle w:val="InternetLink"/>
                </w:rPr>
                <w:t>.</w:t>
              </w:r>
            </w:hyperlink>
            <w:hyperlink r:id="rId51">
              <w:r>
                <w:rPr>
                  <w:rStyle w:val="InternetLink"/>
                </w:rPr>
                <w:t>14</w:t>
              </w:r>
            </w:hyperlink>
            <w:hyperlink r:id="rId52">
              <w:r>
                <w:rPr>
                  <w:rStyle w:val="InternetLink"/>
                </w:rPr>
                <w:t xml:space="preserve"> of our registration statement on the Amendment No. 2 to Form F-1 (File No. 333-238960) filed with the SEC on June 19, 2020, as amended</w:t>
              </w:r>
            </w:hyperlink>
            <w:hyperlink r:id="rId53">
              <w:r>
                <w:rPr>
                  <w:rStyle w:val="InternetLink"/>
                </w:rPr>
                <w:t>)</w:t>
              </w:r>
            </w:hyperlink>
          </w:p>
        </w:tc>
        <w:tc>
          <w:tcPr>
            <w:tcW w:w="157" w:type="dxa"/>
            <w:tcBorders/>
            <w:shd w:fill="auto" w:val="clear"/>
            <w:vAlign w:val="center"/>
          </w:tcPr>
          <w:p>
            <w:pPr>
              <w:pStyle w:val="TableContents"/>
              <w:spacing w:before="0" w:after="283"/>
              <w:rPr>
                <w:sz w:val="4"/>
                <w:szCs w:val="4"/>
              </w:rPr>
            </w:pPr>
            <w:r>
              <w:rPr>
                <w:sz w:val="4"/>
                <w:szCs w:val="4"/>
              </w:rPr>
            </w:r>
          </w:p>
        </w:tc>
      </w:tr>
      <w:tr>
        <w:trPr/>
        <w:tc>
          <w:tcPr>
            <w:tcW w:w="65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4.16</w:t>
            </w:r>
          </w:p>
        </w:tc>
        <w:tc>
          <w:tcPr>
            <w:tcW w:w="939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54">
              <w:r>
                <w:rPr>
                  <w:rStyle w:val="InternetLink"/>
                </w:rPr>
                <w:t xml:space="preserve">Class A Ordinary Shares Purchase Agreement, dated as of June 19, 2020, by and between the </w:t>
              </w:r>
            </w:hyperlink>
            <w:hyperlink r:id="rId55">
              <w:r>
                <w:rPr>
                  <w:rStyle w:val="InternetLink"/>
                </w:rPr>
                <w:t>r</w:t>
              </w:r>
            </w:hyperlink>
            <w:hyperlink r:id="rId56">
              <w:r>
                <w:rPr>
                  <w:rStyle w:val="InternetLink"/>
                </w:rPr>
                <w:t>egistrant and VIP III Nominees Limited</w:t>
              </w:r>
            </w:hyperlink>
            <w:hyperlink r:id="rId57">
              <w:r>
                <w:rPr>
                  <w:rStyle w:val="InternetLink"/>
                </w:rPr>
                <w:t xml:space="preserve"> </w:t>
              </w:r>
            </w:hyperlink>
            <w:hyperlink r:id="rId58">
              <w:r>
                <w:rPr>
                  <w:rStyle w:val="InternetLink"/>
                </w:rPr>
                <w:t>(</w:t>
              </w:r>
            </w:hyperlink>
            <w:hyperlink r:id="rId59">
              <w:r>
                <w:rPr>
                  <w:rStyle w:val="InternetLink"/>
                </w:rPr>
                <w:t xml:space="preserve">incorporated by reference to Exhibit </w:t>
              </w:r>
            </w:hyperlink>
            <w:hyperlink r:id="rId60">
              <w:r>
                <w:rPr>
                  <w:rStyle w:val="InternetLink"/>
                </w:rPr>
                <w:t>10.15</w:t>
              </w:r>
            </w:hyperlink>
            <w:hyperlink r:id="rId61">
              <w:r>
                <w:rPr>
                  <w:rStyle w:val="InternetLink"/>
                </w:rPr>
                <w:t xml:space="preserve"> of our registration statement on the Amendment No. 2 to Form F-1 (File No. 333-238960) filed with the SEC on June 19, 2020, as amended</w:t>
              </w:r>
            </w:hyperlink>
            <w:hyperlink r:id="rId62">
              <w:r>
                <w:rPr>
                  <w:rStyle w:val="InternetLink"/>
                </w:rPr>
                <w:t>)</w:t>
              </w:r>
            </w:hyperlink>
          </w:p>
        </w:tc>
        <w:tc>
          <w:tcPr>
            <w:tcW w:w="157" w:type="dxa"/>
            <w:tcBorders/>
            <w:shd w:fill="auto" w:val="clear"/>
            <w:vAlign w:val="center"/>
          </w:tcPr>
          <w:p>
            <w:pPr>
              <w:pStyle w:val="TableContents"/>
              <w:spacing w:before="0" w:after="283"/>
              <w:rPr>
                <w:sz w:val="4"/>
                <w:szCs w:val="4"/>
              </w:rPr>
            </w:pPr>
            <w:r>
              <w:rPr>
                <w:sz w:val="4"/>
                <w:szCs w:val="4"/>
              </w:rPr>
            </w:r>
          </w:p>
        </w:tc>
      </w:tr>
      <w:tr>
        <w:trPr/>
        <w:tc>
          <w:tcPr>
            <w:tcW w:w="653" w:type="dxa"/>
            <w:gridSpan w:val="3"/>
            <w:tcBorders/>
            <w:shd w:fill="auto" w:val="clear"/>
            <w:tcMar>
              <w:top w:w="0" w:type="dxa"/>
              <w:left w:w="0" w:type="dxa"/>
              <w:bottom w:w="0" w:type="dxa"/>
              <w:right w:w="0" w:type="dxa"/>
            </w:tcMar>
            <w:vAlign w:val="center"/>
          </w:tcPr>
          <w:p>
            <w:pPr>
              <w:pStyle w:val="TableContents"/>
              <w:spacing w:lineRule="auto" w:line="288" w:before="0" w:after="120"/>
              <w:jc w:val="both"/>
              <w:rPr/>
            </w:pPr>
            <w:r>
              <w:rPr>
                <w:rFonts w:ascii="Times New Roman;sans-serif" w:hAnsi="Times New Roman;sans-serif"/>
                <w:b w:val="false"/>
                <w:color w:val="000000"/>
                <w:sz w:val="20"/>
              </w:rPr>
              <w:t>8.1</w:t>
            </w:r>
            <w:r>
              <w:rPr>
                <w:rFonts w:ascii="Times New Roman;sans-serif" w:hAnsi="Times New Roman;sans-serif"/>
                <w:b w:val="false"/>
                <w:color w:val="000000"/>
                <w:sz w:val="13"/>
              </w:rPr>
              <w:t>*</w:t>
            </w:r>
          </w:p>
        </w:tc>
        <w:tc>
          <w:tcPr>
            <w:tcW w:w="939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ex81.htm">
              <w:r>
                <w:rPr>
                  <w:rStyle w:val="InternetLink"/>
                </w:rPr>
                <w:t>List of principal subsidiaries and variable interest entit</w:t>
              </w:r>
            </w:hyperlink>
            <w:hyperlink w:anchor="ex81.htm">
              <w:r>
                <w:rPr>
                  <w:rStyle w:val="InternetLink"/>
                </w:rPr>
                <w:t>y</w:t>
              </w:r>
            </w:hyperlink>
            <w:hyperlink w:anchor="ex81.htm">
              <w:r>
                <w:rPr>
                  <w:rStyle w:val="InternetLink"/>
                </w:rPr>
                <w:t xml:space="preserve"> of the registrant</w:t>
              </w:r>
            </w:hyperlink>
          </w:p>
        </w:tc>
        <w:tc>
          <w:tcPr>
            <w:tcW w:w="157" w:type="dxa"/>
            <w:tcBorders/>
            <w:shd w:fill="auto" w:val="clear"/>
            <w:vAlign w:val="center"/>
          </w:tcPr>
          <w:p>
            <w:pPr>
              <w:pStyle w:val="TableContents"/>
              <w:spacing w:before="0" w:after="283"/>
              <w:rPr>
                <w:sz w:val="4"/>
                <w:szCs w:val="4"/>
              </w:rPr>
            </w:pPr>
            <w:r>
              <w:rPr>
                <w:sz w:val="4"/>
                <w:szCs w:val="4"/>
              </w:rPr>
            </w:r>
          </w:p>
        </w:tc>
      </w:tr>
      <w:tr>
        <w:trPr/>
        <w:tc>
          <w:tcPr>
            <w:tcW w:w="65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11.1</w:t>
            </w:r>
          </w:p>
        </w:tc>
        <w:tc>
          <w:tcPr>
            <w:tcW w:w="939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63">
              <w:r>
                <w:rPr>
                  <w:rStyle w:val="InternetLink"/>
                  <w:rFonts w:ascii="Times New Roman;sans-serif" w:hAnsi="Times New Roman;sans-serif"/>
                  <w:b w:val="false"/>
                  <w:color w:val="0000FF"/>
                  <w:sz w:val="20"/>
                  <w:u w:val="single"/>
                </w:rPr>
                <w:t>Code of Business Conduct and Ethics of the Registrant (incorporated by reference to Exhibit 99.1 of our registration statement on the Amendment No. 1 to Form F-1 (File No. 333-238960) filed with the SEC on June 15, 2020, as amended)</w:t>
              </w:r>
            </w:hyperlink>
          </w:p>
        </w:tc>
        <w:tc>
          <w:tcPr>
            <w:tcW w:w="157" w:type="dxa"/>
            <w:tcBorders/>
            <w:shd w:fill="auto" w:val="clear"/>
            <w:vAlign w:val="center"/>
          </w:tcPr>
          <w:p>
            <w:pPr>
              <w:pStyle w:val="TableContents"/>
              <w:spacing w:before="0" w:after="283"/>
              <w:rPr>
                <w:sz w:val="4"/>
                <w:szCs w:val="4"/>
              </w:rPr>
            </w:pPr>
            <w:r>
              <w:rPr>
                <w:sz w:val="4"/>
                <w:szCs w:val="4"/>
              </w:rPr>
            </w:r>
          </w:p>
        </w:tc>
      </w:tr>
      <w:tr>
        <w:trPr/>
        <w:tc>
          <w:tcPr>
            <w:tcW w:w="653" w:type="dxa"/>
            <w:gridSpan w:val="3"/>
            <w:tcBorders/>
            <w:shd w:fill="auto" w:val="clear"/>
            <w:tcMar>
              <w:top w:w="0" w:type="dxa"/>
              <w:left w:w="0" w:type="dxa"/>
              <w:bottom w:w="0" w:type="dxa"/>
              <w:right w:w="0" w:type="dxa"/>
            </w:tcMar>
            <w:vAlign w:val="center"/>
          </w:tcPr>
          <w:p>
            <w:pPr>
              <w:pStyle w:val="TableContents"/>
              <w:spacing w:lineRule="auto" w:line="288" w:before="0" w:after="120"/>
              <w:jc w:val="both"/>
              <w:rPr/>
            </w:pPr>
            <w:r>
              <w:rPr>
                <w:rFonts w:ascii="Times New Roman;sans-serif" w:hAnsi="Times New Roman;sans-serif"/>
                <w:b w:val="false"/>
                <w:color w:val="000000"/>
                <w:sz w:val="20"/>
              </w:rPr>
              <w:t>12.1</w:t>
            </w:r>
            <w:r>
              <w:rPr>
                <w:rFonts w:ascii="Times New Roman;sans-serif" w:hAnsi="Times New Roman;sans-serif"/>
                <w:b w:val="false"/>
                <w:color w:val="000000"/>
                <w:sz w:val="13"/>
              </w:rPr>
              <w:t>*</w:t>
            </w:r>
          </w:p>
        </w:tc>
        <w:tc>
          <w:tcPr>
            <w:tcW w:w="939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ex121.htm">
              <w:r>
                <w:rPr>
                  <w:rStyle w:val="InternetLink"/>
                  <w:rFonts w:ascii="Times New Roman;sans-serif" w:hAnsi="Times New Roman;sans-serif"/>
                  <w:b w:val="false"/>
                  <w:color w:val="0000FF"/>
                  <w:sz w:val="20"/>
                  <w:u w:val="single"/>
                </w:rPr>
                <w:t>CEO Certification pursuant to Section 302 of the Sarbanes-Oxley Act of 2002</w:t>
              </w:r>
            </w:hyperlink>
          </w:p>
        </w:tc>
        <w:tc>
          <w:tcPr>
            <w:tcW w:w="157" w:type="dxa"/>
            <w:tcBorders/>
            <w:shd w:fill="auto" w:val="clear"/>
            <w:vAlign w:val="center"/>
          </w:tcPr>
          <w:p>
            <w:pPr>
              <w:pStyle w:val="TableContents"/>
              <w:spacing w:before="0" w:after="283"/>
              <w:rPr>
                <w:sz w:val="4"/>
                <w:szCs w:val="4"/>
              </w:rPr>
            </w:pPr>
            <w:r>
              <w:rPr>
                <w:sz w:val="4"/>
                <w:szCs w:val="4"/>
              </w:rPr>
            </w:r>
          </w:p>
        </w:tc>
      </w:tr>
      <w:tr>
        <w:trPr/>
        <w:tc>
          <w:tcPr>
            <w:tcW w:w="653" w:type="dxa"/>
            <w:gridSpan w:val="3"/>
            <w:tcBorders/>
            <w:shd w:fill="auto" w:val="clear"/>
            <w:tcMar>
              <w:top w:w="0" w:type="dxa"/>
              <w:left w:w="0" w:type="dxa"/>
              <w:bottom w:w="0" w:type="dxa"/>
              <w:right w:w="0" w:type="dxa"/>
            </w:tcMar>
            <w:vAlign w:val="center"/>
          </w:tcPr>
          <w:p>
            <w:pPr>
              <w:pStyle w:val="TableContents"/>
              <w:spacing w:lineRule="auto" w:line="288" w:before="0" w:after="120"/>
              <w:jc w:val="both"/>
              <w:rPr/>
            </w:pPr>
            <w:r>
              <w:rPr>
                <w:rFonts w:ascii="Times New Roman;sans-serif" w:hAnsi="Times New Roman;sans-serif"/>
                <w:b w:val="false"/>
                <w:color w:val="000000"/>
                <w:sz w:val="20"/>
              </w:rPr>
              <w:t>12.2</w:t>
            </w:r>
            <w:r>
              <w:rPr>
                <w:rFonts w:ascii="Times New Roman;sans-serif" w:hAnsi="Times New Roman;sans-serif"/>
                <w:b w:val="false"/>
                <w:color w:val="000000"/>
                <w:sz w:val="13"/>
              </w:rPr>
              <w:t>*</w:t>
            </w:r>
          </w:p>
        </w:tc>
        <w:tc>
          <w:tcPr>
            <w:tcW w:w="939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ex122.htm">
              <w:r>
                <w:rPr>
                  <w:rStyle w:val="InternetLink"/>
                  <w:rFonts w:ascii="Times New Roman;sans-serif" w:hAnsi="Times New Roman;sans-serif"/>
                  <w:b w:val="false"/>
                  <w:color w:val="0000FF"/>
                  <w:sz w:val="20"/>
                  <w:u w:val="single"/>
                </w:rPr>
                <w:t>CFO Certification pursuant to Section 302 of the Sarbanes-Oxley Act of 2002</w:t>
              </w:r>
            </w:hyperlink>
          </w:p>
        </w:tc>
        <w:tc>
          <w:tcPr>
            <w:tcW w:w="157" w:type="dxa"/>
            <w:tcBorders/>
            <w:shd w:fill="auto" w:val="clear"/>
            <w:vAlign w:val="center"/>
          </w:tcPr>
          <w:p>
            <w:pPr>
              <w:pStyle w:val="TableContents"/>
              <w:spacing w:before="0" w:after="283"/>
              <w:rPr>
                <w:sz w:val="4"/>
                <w:szCs w:val="4"/>
              </w:rPr>
            </w:pPr>
            <w:r>
              <w:rPr>
                <w:sz w:val="4"/>
                <w:szCs w:val="4"/>
              </w:rPr>
            </w:r>
          </w:p>
        </w:tc>
      </w:tr>
      <w:tr>
        <w:trPr/>
        <w:tc>
          <w:tcPr>
            <w:tcW w:w="653" w:type="dxa"/>
            <w:gridSpan w:val="3"/>
            <w:tcBorders/>
            <w:shd w:fill="auto" w:val="clear"/>
            <w:tcMar>
              <w:top w:w="0" w:type="dxa"/>
              <w:left w:w="0" w:type="dxa"/>
              <w:bottom w:w="0" w:type="dxa"/>
              <w:right w:w="0" w:type="dxa"/>
            </w:tcMar>
            <w:vAlign w:val="center"/>
          </w:tcPr>
          <w:p>
            <w:pPr>
              <w:pStyle w:val="TableContents"/>
              <w:spacing w:lineRule="auto" w:line="288" w:before="0" w:after="120"/>
              <w:jc w:val="both"/>
              <w:rPr/>
            </w:pPr>
            <w:r>
              <w:rPr>
                <w:rFonts w:ascii="Times New Roman;sans-serif" w:hAnsi="Times New Roman;sans-serif"/>
                <w:b w:val="false"/>
                <w:color w:val="000000"/>
                <w:sz w:val="20"/>
              </w:rPr>
              <w:t>13.1</w:t>
            </w:r>
            <w:r>
              <w:rPr>
                <w:rFonts w:ascii="Times New Roman;sans-serif" w:hAnsi="Times New Roman;sans-serif"/>
                <w:b w:val="false"/>
                <w:color w:val="000000"/>
                <w:sz w:val="13"/>
              </w:rPr>
              <w:t>**</w:t>
            </w:r>
          </w:p>
        </w:tc>
        <w:tc>
          <w:tcPr>
            <w:tcW w:w="939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ex131.htm">
              <w:r>
                <w:rPr>
                  <w:rStyle w:val="InternetLink"/>
                  <w:rFonts w:ascii="Times New Roman;sans-serif" w:hAnsi="Times New Roman;sans-serif"/>
                  <w:b w:val="false"/>
                  <w:color w:val="0000FF"/>
                  <w:sz w:val="20"/>
                  <w:u w:val="single"/>
                </w:rPr>
                <w:t>CEO Certification pursuant to Section 906 of the Sarbanes-Oxley Act of 2002</w:t>
              </w:r>
            </w:hyperlink>
          </w:p>
        </w:tc>
        <w:tc>
          <w:tcPr>
            <w:tcW w:w="157" w:type="dxa"/>
            <w:tcBorders/>
            <w:shd w:fill="auto" w:val="clear"/>
            <w:vAlign w:val="center"/>
          </w:tcPr>
          <w:p>
            <w:pPr>
              <w:pStyle w:val="TableContents"/>
              <w:spacing w:before="0" w:after="283"/>
              <w:rPr>
                <w:sz w:val="4"/>
                <w:szCs w:val="4"/>
              </w:rPr>
            </w:pPr>
            <w:r>
              <w:rPr>
                <w:sz w:val="4"/>
                <w:szCs w:val="4"/>
              </w:rPr>
            </w:r>
          </w:p>
        </w:tc>
      </w:tr>
      <w:tr>
        <w:trPr/>
        <w:tc>
          <w:tcPr>
            <w:tcW w:w="653" w:type="dxa"/>
            <w:gridSpan w:val="3"/>
            <w:tcBorders/>
            <w:shd w:fill="auto" w:val="clear"/>
            <w:tcMar>
              <w:top w:w="0" w:type="dxa"/>
              <w:left w:w="0" w:type="dxa"/>
              <w:bottom w:w="0" w:type="dxa"/>
              <w:right w:w="0" w:type="dxa"/>
            </w:tcMar>
            <w:vAlign w:val="center"/>
          </w:tcPr>
          <w:p>
            <w:pPr>
              <w:pStyle w:val="TableContents"/>
              <w:spacing w:lineRule="auto" w:line="288" w:before="0" w:after="120"/>
              <w:jc w:val="both"/>
              <w:rPr/>
            </w:pPr>
            <w:r>
              <w:rPr>
                <w:rFonts w:ascii="Times New Roman;sans-serif" w:hAnsi="Times New Roman;sans-serif"/>
                <w:b w:val="false"/>
                <w:color w:val="000000"/>
                <w:sz w:val="20"/>
              </w:rPr>
              <w:t>13.2</w:t>
            </w:r>
            <w:r>
              <w:rPr>
                <w:rFonts w:ascii="Times New Roman;sans-serif" w:hAnsi="Times New Roman;sans-serif"/>
                <w:b w:val="false"/>
                <w:color w:val="000000"/>
                <w:sz w:val="13"/>
              </w:rPr>
              <w:t>**</w:t>
            </w:r>
          </w:p>
        </w:tc>
        <w:tc>
          <w:tcPr>
            <w:tcW w:w="939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ex132.htm">
              <w:r>
                <w:rPr>
                  <w:rStyle w:val="InternetLink"/>
                  <w:rFonts w:ascii="Times New Roman;sans-serif" w:hAnsi="Times New Roman;sans-serif"/>
                  <w:b w:val="false"/>
                  <w:color w:val="0000FF"/>
                  <w:sz w:val="20"/>
                  <w:u w:val="single"/>
                </w:rPr>
                <w:t>CFO Certification pursuant to Section 906 of the Sarbanes-Oxley Act of 2002</w:t>
              </w:r>
            </w:hyperlink>
          </w:p>
        </w:tc>
        <w:tc>
          <w:tcPr>
            <w:tcW w:w="157" w:type="dxa"/>
            <w:tcBorders/>
            <w:shd w:fill="auto" w:val="clear"/>
            <w:vAlign w:val="center"/>
          </w:tcPr>
          <w:p>
            <w:pPr>
              <w:pStyle w:val="TableContents"/>
              <w:spacing w:before="0" w:after="283"/>
              <w:rPr>
                <w:sz w:val="4"/>
                <w:szCs w:val="4"/>
              </w:rPr>
            </w:pPr>
            <w:r>
              <w:rPr>
                <w:sz w:val="4"/>
                <w:szCs w:val="4"/>
              </w:rPr>
            </w:r>
          </w:p>
        </w:tc>
      </w:tr>
      <w:tr>
        <w:trPr/>
        <w:tc>
          <w:tcPr>
            <w:tcW w:w="653" w:type="dxa"/>
            <w:gridSpan w:val="3"/>
            <w:tcBorders/>
            <w:shd w:fill="auto" w:val="clear"/>
            <w:tcMar>
              <w:top w:w="0" w:type="dxa"/>
              <w:left w:w="0" w:type="dxa"/>
              <w:bottom w:w="0" w:type="dxa"/>
              <w:right w:w="0" w:type="dxa"/>
            </w:tcMar>
            <w:vAlign w:val="center"/>
          </w:tcPr>
          <w:p>
            <w:pPr>
              <w:pStyle w:val="TableContents"/>
              <w:spacing w:lineRule="auto" w:line="288" w:before="0" w:after="120"/>
              <w:jc w:val="both"/>
              <w:rPr/>
            </w:pPr>
            <w:r>
              <w:rPr>
                <w:rFonts w:ascii="Times New Roman;sans-serif" w:hAnsi="Times New Roman;sans-serif"/>
                <w:b w:val="false"/>
                <w:color w:val="000000"/>
                <w:sz w:val="20"/>
              </w:rPr>
              <w:t>15.1</w:t>
            </w:r>
            <w:r>
              <w:rPr>
                <w:rFonts w:ascii="Times New Roman;sans-serif" w:hAnsi="Times New Roman;sans-serif"/>
                <w:b w:val="false"/>
                <w:color w:val="000000"/>
                <w:sz w:val="13"/>
              </w:rPr>
              <w:t>*</w:t>
            </w:r>
          </w:p>
        </w:tc>
        <w:tc>
          <w:tcPr>
            <w:tcW w:w="939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ex151.htm">
              <w:r>
                <w:rPr>
                  <w:rStyle w:val="InternetLink"/>
                  <w:rFonts w:ascii="Times New Roman;sans-serif" w:hAnsi="Times New Roman;sans-serif"/>
                  <w:b w:val="false"/>
                  <w:color w:val="0000FF"/>
                  <w:sz w:val="20"/>
                  <w:u w:val="single"/>
                </w:rPr>
                <w:t>Consent of King &amp; Wood Mallesons</w:t>
              </w:r>
            </w:hyperlink>
          </w:p>
        </w:tc>
        <w:tc>
          <w:tcPr>
            <w:tcW w:w="157" w:type="dxa"/>
            <w:tcBorders/>
            <w:shd w:fill="auto" w:val="clear"/>
            <w:vAlign w:val="center"/>
          </w:tcPr>
          <w:p>
            <w:pPr>
              <w:pStyle w:val="TableContents"/>
              <w:spacing w:before="0" w:after="283"/>
              <w:rPr>
                <w:sz w:val="4"/>
                <w:szCs w:val="4"/>
              </w:rPr>
            </w:pPr>
            <w:r>
              <w:rPr>
                <w:sz w:val="4"/>
                <w:szCs w:val="4"/>
              </w:rPr>
            </w:r>
          </w:p>
        </w:tc>
      </w:tr>
      <w:tr>
        <w:trPr/>
        <w:tc>
          <w:tcPr>
            <w:tcW w:w="653" w:type="dxa"/>
            <w:gridSpan w:val="3"/>
            <w:tcBorders/>
            <w:shd w:fill="auto" w:val="clear"/>
            <w:tcMar>
              <w:top w:w="0" w:type="dxa"/>
              <w:left w:w="0" w:type="dxa"/>
              <w:bottom w:w="0" w:type="dxa"/>
              <w:right w:w="0" w:type="dxa"/>
            </w:tcMar>
            <w:vAlign w:val="center"/>
          </w:tcPr>
          <w:p>
            <w:pPr>
              <w:pStyle w:val="TableContents"/>
              <w:spacing w:lineRule="auto" w:line="288" w:before="0" w:after="120"/>
              <w:jc w:val="both"/>
              <w:rPr/>
            </w:pPr>
            <w:r>
              <w:rPr>
                <w:rFonts w:ascii="Times New Roman;sans-serif" w:hAnsi="Times New Roman;sans-serif"/>
                <w:b w:val="false"/>
                <w:color w:val="000000"/>
                <w:sz w:val="20"/>
              </w:rPr>
              <w:t>15.2</w:t>
            </w:r>
            <w:r>
              <w:rPr>
                <w:rFonts w:ascii="Times New Roman;sans-serif" w:hAnsi="Times New Roman;sans-serif"/>
                <w:b w:val="false"/>
                <w:color w:val="000000"/>
                <w:sz w:val="13"/>
              </w:rPr>
              <w:t>*</w:t>
            </w:r>
          </w:p>
        </w:tc>
        <w:tc>
          <w:tcPr>
            <w:tcW w:w="939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ex152.htm">
              <w:r>
                <w:rPr>
                  <w:rStyle w:val="InternetLink"/>
                  <w:rFonts w:ascii="Times New Roman;sans-serif" w:hAnsi="Times New Roman;sans-serif"/>
                  <w:b w:val="false"/>
                  <w:color w:val="0000FF"/>
                  <w:sz w:val="20"/>
                  <w:u w:val="single"/>
                </w:rPr>
                <w:t>Consent of PricewaterhouseCoopers Zhong Tian LLP</w:t>
              </w:r>
            </w:hyperlink>
          </w:p>
        </w:tc>
        <w:tc>
          <w:tcPr>
            <w:tcW w:w="157" w:type="dxa"/>
            <w:tcBorders/>
            <w:shd w:fill="auto" w:val="clear"/>
            <w:vAlign w:val="center"/>
          </w:tcPr>
          <w:p>
            <w:pPr>
              <w:pStyle w:val="TableContents"/>
              <w:spacing w:before="0" w:after="283"/>
              <w:rPr>
                <w:sz w:val="4"/>
                <w:szCs w:val="4"/>
              </w:rPr>
            </w:pPr>
            <w:r>
              <w:rPr>
                <w:sz w:val="4"/>
                <w:szCs w:val="4"/>
              </w:rPr>
            </w:r>
          </w:p>
        </w:tc>
      </w:tr>
      <w:tr>
        <w:trPr/>
        <w:tc>
          <w:tcPr>
            <w:tcW w:w="65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93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Instance Document</w:t>
            </w:r>
          </w:p>
        </w:tc>
        <w:tc>
          <w:tcPr>
            <w:tcW w:w="157" w:type="dxa"/>
            <w:tcBorders/>
            <w:shd w:fill="auto" w:val="clear"/>
            <w:vAlign w:val="center"/>
          </w:tcPr>
          <w:p>
            <w:pPr>
              <w:pStyle w:val="TableContents"/>
              <w:spacing w:before="0" w:after="283"/>
              <w:rPr>
                <w:sz w:val="4"/>
                <w:szCs w:val="4"/>
              </w:rPr>
            </w:pPr>
            <w:r>
              <w:rPr>
                <w:sz w:val="4"/>
                <w:szCs w:val="4"/>
              </w:rPr>
            </w:r>
          </w:p>
        </w:tc>
      </w:tr>
      <w:tr>
        <w:trPr/>
        <w:tc>
          <w:tcPr>
            <w:tcW w:w="65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93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Scheme Document</w:t>
            </w:r>
          </w:p>
        </w:tc>
        <w:tc>
          <w:tcPr>
            <w:tcW w:w="157" w:type="dxa"/>
            <w:tcBorders/>
            <w:shd w:fill="auto" w:val="clear"/>
            <w:vAlign w:val="center"/>
          </w:tcPr>
          <w:p>
            <w:pPr>
              <w:pStyle w:val="TableContents"/>
              <w:spacing w:before="0" w:after="283"/>
              <w:rPr>
                <w:sz w:val="4"/>
                <w:szCs w:val="4"/>
              </w:rPr>
            </w:pPr>
            <w:r>
              <w:rPr>
                <w:sz w:val="4"/>
                <w:szCs w:val="4"/>
              </w:rPr>
            </w:r>
          </w:p>
        </w:tc>
      </w:tr>
      <w:tr>
        <w:trPr/>
        <w:tc>
          <w:tcPr>
            <w:tcW w:w="65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93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Calculation Linkbase Document</w:t>
            </w:r>
          </w:p>
        </w:tc>
        <w:tc>
          <w:tcPr>
            <w:tcW w:w="157" w:type="dxa"/>
            <w:tcBorders/>
            <w:shd w:fill="auto" w:val="clear"/>
            <w:vAlign w:val="center"/>
          </w:tcPr>
          <w:p>
            <w:pPr>
              <w:pStyle w:val="TableContents"/>
              <w:spacing w:before="0" w:after="283"/>
              <w:rPr>
                <w:sz w:val="4"/>
                <w:szCs w:val="4"/>
              </w:rPr>
            </w:pPr>
            <w:r>
              <w:rPr>
                <w:sz w:val="4"/>
                <w:szCs w:val="4"/>
              </w:rPr>
            </w:r>
          </w:p>
        </w:tc>
      </w:tr>
      <w:tr>
        <w:trPr/>
        <w:tc>
          <w:tcPr>
            <w:tcW w:w="65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93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Definition Linkbase Document</w:t>
            </w:r>
          </w:p>
        </w:tc>
        <w:tc>
          <w:tcPr>
            <w:tcW w:w="157" w:type="dxa"/>
            <w:tcBorders/>
            <w:shd w:fill="auto" w:val="clear"/>
            <w:vAlign w:val="center"/>
          </w:tcPr>
          <w:p>
            <w:pPr>
              <w:pStyle w:val="TableContents"/>
              <w:spacing w:before="0" w:after="283"/>
              <w:rPr>
                <w:sz w:val="4"/>
                <w:szCs w:val="4"/>
              </w:rPr>
            </w:pPr>
            <w:r>
              <w:rPr>
                <w:sz w:val="4"/>
                <w:szCs w:val="4"/>
              </w:rPr>
            </w:r>
          </w:p>
        </w:tc>
      </w:tr>
      <w:tr>
        <w:trPr/>
        <w:tc>
          <w:tcPr>
            <w:tcW w:w="65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93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Label Linkbase Document</w:t>
            </w:r>
          </w:p>
        </w:tc>
        <w:tc>
          <w:tcPr>
            <w:tcW w:w="157" w:type="dxa"/>
            <w:tcBorders/>
            <w:shd w:fill="auto" w:val="clear"/>
            <w:vAlign w:val="center"/>
          </w:tcPr>
          <w:p>
            <w:pPr>
              <w:pStyle w:val="TableContents"/>
              <w:spacing w:before="0" w:after="283"/>
              <w:rPr>
                <w:sz w:val="4"/>
                <w:szCs w:val="4"/>
              </w:rPr>
            </w:pPr>
            <w:r>
              <w:rPr>
                <w:sz w:val="4"/>
                <w:szCs w:val="4"/>
              </w:rPr>
            </w:r>
          </w:p>
        </w:tc>
      </w:tr>
      <w:tr>
        <w:trPr/>
        <w:tc>
          <w:tcPr>
            <w:tcW w:w="653"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9395"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Presentation Linkbase Document</w:t>
            </w:r>
          </w:p>
        </w:tc>
        <w:tc>
          <w:tcPr>
            <w:tcW w:w="157" w:type="dxa"/>
            <w:tcBorders/>
            <w:shd w:fill="auto" w:val="clear"/>
            <w:vAlign w:val="center"/>
          </w:tcPr>
          <w:p>
            <w:pPr>
              <w:pStyle w:val="TableContents"/>
              <w:spacing w:before="0" w:after="283"/>
              <w:rPr>
                <w:sz w:val="4"/>
                <w:szCs w:val="4"/>
              </w:rPr>
            </w:pPr>
            <w:r>
              <w:rPr>
                <w:sz w:val="4"/>
                <w:szCs w:val="4"/>
              </w:rPr>
            </w:r>
          </w:p>
        </w:tc>
      </w:tr>
    </w:tbl>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*Filed with this annual report on Form 20-F</w:t>
      </w:r>
    </w:p>
    <w:p>
      <w:pPr>
        <w:pStyle w:val="TextBody"/>
        <w:spacing w:lineRule="auto" w:line="288" w:before="0" w:after="0"/>
        <w:ind w:left="0" w:right="0" w:hanging="576"/>
        <w:jc w:val="both"/>
        <w:rPr>
          <w:rFonts w:ascii="Times New Roman;sans-serif" w:hAnsi="Times New Roman;sans-serif"/>
          <w:b w:val="false"/>
          <w:color w:val="000000"/>
          <w:sz w:val="20"/>
        </w:rPr>
      </w:pPr>
      <w:r>
        <w:rPr>
          <w:rFonts w:ascii="Times New Roman;sans-serif" w:hAnsi="Times New Roman;sans-serif"/>
          <w:b w:val="false"/>
          <w:color w:val="000000"/>
          <w:sz w:val="20"/>
        </w:rPr>
        <w:t>**Furnished with this annual report on Form 20-F</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385445"/>
                <wp:effectExtent l="0" t="0" r="0" b="0"/>
                <wp:wrapNone/>
                <wp:docPr id="159" name="Frame158"/>
                <a:graphic xmlns:a="http://schemas.openxmlformats.org/drawingml/2006/main">
                  <a:graphicData uri="http://schemas.microsoft.com/office/word/2010/wordprocessingShape">
                    <wps:wsp>
                      <wps:cNvSpPr txBox="1"/>
                      <wps:spPr>
                        <a:xfrm>
                          <a:off x="0" y="0"/>
                          <a:ext cx="6480175" cy="385445"/>
                        </a:xfrm>
                        <a:prstGeom prst="rect"/>
                      </wps:spPr>
                      <wps:txbx>
                        <w:txbxContent>
                          <w:p>
                            <w:pPr>
                              <w:pStyle w:val="TextBody"/>
                              <w:spacing w:lineRule="auto" w:line="288" w:before="0" w:after="0"/>
                              <w:rPr>
                                <w:rFonts w:ascii="Times New Roman;sans-serif" w:hAnsi="Times New Roman;sans-serif"/>
                                <w:b w:val="false"/>
                                <w:color w:val="000000"/>
                                <w:sz w:val="24"/>
                              </w:rPr>
                            </w:pPr>
                            <w:r>
                              <w:rPr>
                                <w:rFonts w:ascii="Times New Roman;sans-serif" w:hAnsi="Times New Roman;sans-serif"/>
                                <w:b w:val="false"/>
                                <w:color w:val="000000"/>
                                <w:sz w:val="24"/>
                              </w:rPr>
                              <w:t>154</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4"/>
                        </w:rPr>
                      </w:pPr>
                      <w:r>
                        <w:rPr>
                          <w:rFonts w:ascii="Times New Roman;sans-serif" w:hAnsi="Times New Roman;sans-serif"/>
                          <w:b w:val="false"/>
                          <w:color w:val="000000"/>
                          <w:sz w:val="24"/>
                        </w:rPr>
                        <w:t>154</w:t>
                      </w:r>
                    </w:p>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lineRule="auto" w:line="319" w:before="0" w:after="24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registrant hereby certifies that it meets all of the requirements for filing on Form 20-F and that it has duly caused and authorized the undersigned to sign this annual report on its behalf.</w:t>
      </w:r>
    </w:p>
    <w:p>
      <w:pPr>
        <w:pStyle w:val="TextBody"/>
        <w:spacing w:before="0" w:after="0"/>
        <w:rPr/>
      </w:pPr>
      <w:r>
        <w:rPr/>
      </w:r>
    </w:p>
    <w:p>
      <w:pPr>
        <w:pStyle w:val="TextBody"/>
        <w:spacing w:before="0" w:after="0"/>
        <w:rPr/>
      </w:pPr>
      <w:r>
        <w:rPr/>
      </w:r>
    </w:p>
    <w:tbl>
      <w:tblPr>
        <w:tblW w:w="6100" w:type="dxa"/>
        <w:jc w:val="left"/>
        <w:tblInd w:w="0" w:type="dxa"/>
        <w:tblCellMar>
          <w:top w:w="28" w:type="dxa"/>
          <w:left w:w="28" w:type="dxa"/>
          <w:bottom w:w="28" w:type="dxa"/>
          <w:right w:w="28" w:type="dxa"/>
        </w:tblCellMar>
      </w:tblPr>
      <w:tblGrid>
        <w:gridCol w:w="683"/>
        <w:gridCol w:w="601"/>
        <w:gridCol w:w="605"/>
        <w:gridCol w:w="109"/>
        <w:gridCol w:w="109"/>
        <w:gridCol w:w="109"/>
        <w:gridCol w:w="233"/>
        <w:gridCol w:w="197"/>
        <w:gridCol w:w="200"/>
        <w:gridCol w:w="949"/>
        <w:gridCol w:w="949"/>
        <w:gridCol w:w="1356"/>
      </w:tblGrid>
      <w:tr>
        <w:trPr/>
        <w:tc>
          <w:tcPr>
            <w:tcW w:w="683" w:type="dxa"/>
            <w:tcBorders/>
            <w:shd w:fill="auto" w:val="clear"/>
            <w:vAlign w:val="center"/>
          </w:tcPr>
          <w:p>
            <w:pPr>
              <w:pStyle w:val="TableContents"/>
              <w:spacing w:before="0" w:after="283"/>
              <w:rPr>
                <w:sz w:val="4"/>
                <w:szCs w:val="4"/>
              </w:rPr>
            </w:pPr>
            <w:r>
              <w:rPr>
                <w:sz w:val="4"/>
                <w:szCs w:val="4"/>
              </w:rPr>
            </w:r>
          </w:p>
        </w:tc>
        <w:tc>
          <w:tcPr>
            <w:tcW w:w="601" w:type="dxa"/>
            <w:tcBorders/>
            <w:shd w:fill="auto" w:val="clear"/>
            <w:vAlign w:val="center"/>
          </w:tcPr>
          <w:p>
            <w:pPr>
              <w:pStyle w:val="TableContents"/>
              <w:spacing w:before="0" w:after="283"/>
              <w:rPr>
                <w:sz w:val="4"/>
                <w:szCs w:val="4"/>
              </w:rPr>
            </w:pPr>
            <w:r>
              <w:rPr>
                <w:sz w:val="4"/>
                <w:szCs w:val="4"/>
              </w:rPr>
            </w:r>
          </w:p>
        </w:tc>
        <w:tc>
          <w:tcPr>
            <w:tcW w:w="60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949" w:type="dxa"/>
            <w:tcBorders/>
            <w:shd w:fill="auto" w:val="clear"/>
            <w:vAlign w:val="center"/>
          </w:tcPr>
          <w:p>
            <w:pPr>
              <w:pStyle w:val="TableContents"/>
              <w:spacing w:before="0" w:after="283"/>
              <w:rPr>
                <w:sz w:val="4"/>
                <w:szCs w:val="4"/>
              </w:rPr>
            </w:pPr>
            <w:r>
              <w:rPr>
                <w:sz w:val="4"/>
                <w:szCs w:val="4"/>
              </w:rPr>
            </w:r>
          </w:p>
        </w:tc>
        <w:tc>
          <w:tcPr>
            <w:tcW w:w="949" w:type="dxa"/>
            <w:tcBorders/>
            <w:shd w:fill="auto" w:val="clear"/>
            <w:vAlign w:val="center"/>
          </w:tcPr>
          <w:p>
            <w:pPr>
              <w:pStyle w:val="TableContents"/>
              <w:spacing w:before="0" w:after="283"/>
              <w:rPr>
                <w:sz w:val="4"/>
                <w:szCs w:val="4"/>
              </w:rPr>
            </w:pPr>
            <w:r>
              <w:rPr>
                <w:sz w:val="4"/>
                <w:szCs w:val="4"/>
              </w:rPr>
            </w:r>
          </w:p>
        </w:tc>
        <w:tc>
          <w:tcPr>
            <w:tcW w:w="1356" w:type="dxa"/>
            <w:tcBorders/>
            <w:shd w:fill="auto" w:val="clear"/>
            <w:vAlign w:val="center"/>
          </w:tcPr>
          <w:p>
            <w:pPr>
              <w:pStyle w:val="TableContents"/>
              <w:spacing w:before="0" w:after="283"/>
              <w:rPr>
                <w:sz w:val="4"/>
                <w:szCs w:val="4"/>
              </w:rPr>
            </w:pPr>
            <w:r>
              <w:rPr>
                <w:sz w:val="4"/>
                <w:szCs w:val="4"/>
              </w:rPr>
            </w:r>
          </w:p>
        </w:tc>
      </w:tr>
      <w:tr>
        <w:trPr/>
        <w:tc>
          <w:tcPr>
            <w:tcW w:w="18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884"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Agora, Inc.</w:t>
            </w:r>
          </w:p>
        </w:tc>
      </w:tr>
      <w:tr>
        <w:trPr/>
        <w:tc>
          <w:tcPr>
            <w:tcW w:w="18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6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18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6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Bin (Tony) Zhao</w:t>
            </w:r>
          </w:p>
        </w:tc>
      </w:tr>
      <w:tr>
        <w:trPr/>
        <w:tc>
          <w:tcPr>
            <w:tcW w:w="18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6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325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Bin (Tony) Zhao</w:t>
            </w:r>
          </w:p>
        </w:tc>
      </w:tr>
      <w:tr>
        <w:trPr/>
        <w:tc>
          <w:tcPr>
            <w:tcW w:w="18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6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32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 and Chairman</w:t>
            </w:r>
          </w:p>
        </w:tc>
      </w:tr>
      <w:tr>
        <w:trPr/>
        <w:tc>
          <w:tcPr>
            <w:tcW w:w="18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6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1889"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March 26, 2021</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6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bl>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p>
    <w:p>
      <w:pPr>
        <w:pStyle w:val="HorizontalLine"/>
        <w:rPr/>
      </w:pPr>
      <w:r>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175260"/>
                <wp:effectExtent l="0" t="0" r="0" b="0"/>
                <wp:wrapNone/>
                <wp:docPr id="160" name="Frame15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INDEX TO CONSOLIDATED FINANCIAL STATEMENTS</w:t>
      </w:r>
    </w:p>
    <w:p>
      <w:pPr>
        <w:pStyle w:val="TextBody"/>
        <w:spacing w:before="0" w:after="0"/>
        <w:rPr/>
      </w:pPr>
      <w:r>
        <w:rPr/>
      </w:r>
    </w:p>
    <w:p>
      <w:pPr>
        <w:pStyle w:val="TextBody"/>
        <w:spacing w:before="0" w:after="0"/>
        <w:rPr/>
      </w:pPr>
      <w:r>
        <w:rPr/>
      </w:r>
    </w:p>
    <w:tbl>
      <w:tblPr>
        <w:tblW w:w="6331" w:type="dxa"/>
        <w:jc w:val="left"/>
        <w:tblInd w:w="0" w:type="dxa"/>
        <w:tblCellMar>
          <w:top w:w="28" w:type="dxa"/>
          <w:left w:w="28" w:type="dxa"/>
          <w:bottom w:w="28" w:type="dxa"/>
          <w:right w:w="28" w:type="dxa"/>
        </w:tblCellMar>
      </w:tblPr>
      <w:tblGrid>
        <w:gridCol w:w="2085"/>
        <w:gridCol w:w="1832"/>
        <w:gridCol w:w="1843"/>
        <w:gridCol w:w="167"/>
        <w:gridCol w:w="167"/>
        <w:gridCol w:w="237"/>
      </w:tblGrid>
      <w:tr>
        <w:trPr/>
        <w:tc>
          <w:tcPr>
            <w:tcW w:w="2085" w:type="dxa"/>
            <w:tcBorders/>
            <w:shd w:fill="auto" w:val="clear"/>
            <w:vAlign w:val="center"/>
          </w:tcPr>
          <w:p>
            <w:pPr>
              <w:pStyle w:val="TableContents"/>
              <w:spacing w:before="0" w:after="283"/>
              <w:rPr>
                <w:sz w:val="4"/>
                <w:szCs w:val="4"/>
              </w:rPr>
            </w:pPr>
            <w:r>
              <w:rPr>
                <w:sz w:val="4"/>
                <w:szCs w:val="4"/>
              </w:rPr>
            </w:r>
          </w:p>
        </w:tc>
        <w:tc>
          <w:tcPr>
            <w:tcW w:w="1832" w:type="dxa"/>
            <w:tcBorders/>
            <w:shd w:fill="auto" w:val="clear"/>
            <w:vAlign w:val="center"/>
          </w:tcPr>
          <w:p>
            <w:pPr>
              <w:pStyle w:val="TableContents"/>
              <w:spacing w:before="0" w:after="283"/>
              <w:rPr>
                <w:sz w:val="4"/>
                <w:szCs w:val="4"/>
              </w:rPr>
            </w:pPr>
            <w:r>
              <w:rPr>
                <w:sz w:val="4"/>
                <w:szCs w:val="4"/>
              </w:rPr>
            </w:r>
          </w:p>
        </w:tc>
        <w:tc>
          <w:tcPr>
            <w:tcW w:w="1843"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r>
      <w:tr>
        <w:trPr/>
        <w:tc>
          <w:tcPr>
            <w:tcW w:w="57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Page</w:t>
            </w:r>
          </w:p>
        </w:tc>
      </w:tr>
      <w:tr>
        <w:trPr/>
        <w:tc>
          <w:tcPr>
            <w:tcW w:w="576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beb44053da9f4835bd7389b4e7209b35_112">
              <w:r>
                <w:rPr>
                  <w:rStyle w:val="InternetLink"/>
                  <w:rFonts w:ascii="Times New Roman;sans-serif" w:hAnsi="Times New Roman;sans-serif"/>
                  <w:b w:val="false"/>
                  <w:strike w:val="false"/>
                  <w:dstrike w:val="false"/>
                  <w:color w:val="000000"/>
                  <w:sz w:val="20"/>
                  <w:u w:val="none"/>
                  <w:effect w:val="none"/>
                </w:rPr>
                <w:t>Report of Independent Registered Public Accounting Firm</w:t>
              </w:r>
            </w:hyperlink>
          </w:p>
        </w:tc>
        <w:tc>
          <w:tcPr>
            <w:tcW w:w="57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val="false"/>
                <w:color w:val="000000"/>
                <w:sz w:val="20"/>
              </w:rPr>
              <w:t>F-</w:t>
            </w:r>
            <w:hyperlink w:anchor="ibeb44053da9f4835bd7389b4e7209b35_112">
              <w:r>
                <w:rPr>
                  <w:rStyle w:val="InternetLink"/>
                  <w:rFonts w:ascii="Times New Roman;sans-serif" w:hAnsi="Times New Roman;sans-serif"/>
                  <w:b w:val="false"/>
                  <w:strike w:val="false"/>
                  <w:dstrike w:val="false"/>
                  <w:color w:val="000000"/>
                  <w:sz w:val="20"/>
                  <w:u w:val="none"/>
                  <w:effect w:val="none"/>
                </w:rPr>
                <w:t>2</w:t>
              </w:r>
            </w:hyperlink>
          </w:p>
        </w:tc>
      </w:tr>
      <w:tr>
        <w:trPr/>
        <w:tc>
          <w:tcPr>
            <w:tcW w:w="576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beb44053da9f4835bd7389b4e7209b35_115">
              <w:r>
                <w:rPr>
                  <w:rStyle w:val="InternetLink"/>
                  <w:rFonts w:ascii="Times New Roman;sans-serif" w:hAnsi="Times New Roman;sans-serif"/>
                  <w:b w:val="false"/>
                  <w:strike w:val="false"/>
                  <w:dstrike w:val="false"/>
                  <w:color w:val="000000"/>
                  <w:sz w:val="20"/>
                  <w:u w:val="none"/>
                  <w:effect w:val="none"/>
                </w:rPr>
                <w:t>Consolidated Balance Sheets</w:t>
              </w:r>
            </w:hyperlink>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val="false"/>
                <w:color w:val="000000"/>
                <w:sz w:val="20"/>
              </w:rPr>
              <w:t>F-</w:t>
            </w:r>
            <w:hyperlink w:anchor="ibeb44053da9f4835bd7389b4e7209b35_115">
              <w:r>
                <w:rPr>
                  <w:rStyle w:val="InternetLink"/>
                  <w:rFonts w:ascii="Times New Roman;sans-serif" w:hAnsi="Times New Roman;sans-serif"/>
                  <w:b w:val="false"/>
                  <w:strike w:val="false"/>
                  <w:dstrike w:val="false"/>
                  <w:color w:val="000000"/>
                  <w:sz w:val="20"/>
                  <w:u w:val="none"/>
                  <w:effect w:val="none"/>
                </w:rPr>
                <w:t>3</w:t>
              </w:r>
            </w:hyperlink>
          </w:p>
        </w:tc>
      </w:tr>
      <w:tr>
        <w:trPr/>
        <w:tc>
          <w:tcPr>
            <w:tcW w:w="576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beb44053da9f4835bd7389b4e7209b35_118">
              <w:r>
                <w:rPr>
                  <w:rStyle w:val="InternetLink"/>
                  <w:rFonts w:ascii="Times New Roman;sans-serif" w:hAnsi="Times New Roman;sans-serif"/>
                  <w:b w:val="false"/>
                  <w:strike w:val="false"/>
                  <w:dstrike w:val="false"/>
                  <w:color w:val="000000"/>
                  <w:sz w:val="20"/>
                  <w:u w:val="none"/>
                  <w:effect w:val="none"/>
                </w:rPr>
                <w:t>Consolidated Statements of Comprehensive Loss</w:t>
              </w:r>
            </w:hyperlink>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F-5</w:t>
            </w:r>
          </w:p>
        </w:tc>
      </w:tr>
      <w:tr>
        <w:trPr/>
        <w:tc>
          <w:tcPr>
            <w:tcW w:w="576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beb44053da9f4835bd7389b4e7209b35_121">
              <w:r>
                <w:rPr>
                  <w:rStyle w:val="InternetLink"/>
                </w:rPr>
                <w:t>Consolidated Statements of Changes in Shareholders'</w:t>
              </w:r>
            </w:hyperlink>
            <w:hyperlink w:anchor="ibeb44053da9f4835bd7389b4e7209b35_121">
              <w:r>
                <w:rPr>
                  <w:rStyle w:val="InternetLink"/>
                </w:rPr>
                <w:t xml:space="preserve"> </w:t>
              </w:r>
            </w:hyperlink>
            <w:hyperlink w:anchor="ibeb44053da9f4835bd7389b4e7209b35_121">
              <w:r>
                <w:rPr>
                  <w:rStyle w:val="InternetLink"/>
                </w:rPr>
                <w:t>Equity (</w:t>
              </w:r>
            </w:hyperlink>
            <w:hyperlink w:anchor="ibeb44053da9f4835bd7389b4e7209b35_121">
              <w:r>
                <w:rPr>
                  <w:rStyle w:val="InternetLink"/>
                </w:rPr>
                <w:t>Deficit</w:t>
              </w:r>
            </w:hyperlink>
            <w:r>
              <w:rPr>
                <w:rFonts w:ascii="Times New Roman;sans-serif" w:hAnsi="Times New Roman;sans-serif"/>
                <w:b w:val="false"/>
                <w:color w:val="000000"/>
                <w:sz w:val="20"/>
              </w:rPr>
              <w:t>)</w:t>
            </w:r>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val="false"/>
                <w:color w:val="000000"/>
                <w:sz w:val="20"/>
              </w:rPr>
              <w:t>F-</w:t>
            </w:r>
            <w:hyperlink w:anchor="ibeb44053da9f4835bd7389b4e7209b35_121">
              <w:r>
                <w:rPr>
                  <w:rStyle w:val="InternetLink"/>
                  <w:rFonts w:ascii="Times New Roman;sans-serif" w:hAnsi="Times New Roman;sans-serif"/>
                  <w:b w:val="false"/>
                  <w:strike w:val="false"/>
                  <w:dstrike w:val="false"/>
                  <w:color w:val="000000"/>
                  <w:sz w:val="20"/>
                  <w:u w:val="none"/>
                  <w:effect w:val="none"/>
                </w:rPr>
                <w:t>6</w:t>
              </w:r>
            </w:hyperlink>
          </w:p>
        </w:tc>
      </w:tr>
      <w:tr>
        <w:trPr/>
        <w:tc>
          <w:tcPr>
            <w:tcW w:w="576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beb44053da9f4835bd7389b4e7209b35_124">
              <w:r>
                <w:rPr>
                  <w:rStyle w:val="InternetLink"/>
                  <w:rFonts w:ascii="Times New Roman;sans-serif" w:hAnsi="Times New Roman;sans-serif"/>
                  <w:b w:val="false"/>
                  <w:strike w:val="false"/>
                  <w:dstrike w:val="false"/>
                  <w:color w:val="000000"/>
                  <w:sz w:val="20"/>
                  <w:u w:val="none"/>
                  <w:effect w:val="none"/>
                </w:rPr>
                <w:t>Consolidated Statements of Cash Flows</w:t>
              </w:r>
            </w:hyperlink>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F-7</w:t>
            </w:r>
          </w:p>
        </w:tc>
      </w:tr>
      <w:tr>
        <w:trPr/>
        <w:tc>
          <w:tcPr>
            <w:tcW w:w="576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beb44053da9f4835bd7389b4e7209b35_127">
              <w:r>
                <w:rPr>
                  <w:rStyle w:val="InternetLink"/>
                  <w:rFonts w:ascii="Times New Roman;sans-serif" w:hAnsi="Times New Roman;sans-serif"/>
                  <w:b w:val="false"/>
                  <w:strike w:val="false"/>
                  <w:dstrike w:val="false"/>
                  <w:color w:val="000000"/>
                  <w:sz w:val="20"/>
                  <w:u w:val="none"/>
                  <w:effect w:val="none"/>
                </w:rPr>
                <w:t>Notes to the Consolidated Financial Statements</w:t>
              </w:r>
            </w:hyperlink>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F-9</w:t>
            </w:r>
          </w:p>
        </w:tc>
      </w:tr>
    </w:tbl>
    <w:p>
      <w:pPr>
        <w:pStyle w:val="TextBody"/>
        <w:spacing w:before="0" w:after="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175260"/>
                <wp:effectExtent l="0" t="0" r="0" b="0"/>
                <wp:wrapNone/>
                <wp:docPr id="161" name="Frame160"/>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333"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F-1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33"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F-1</w:t>
                      </w:r>
                    </w:p>
                  </w:txbxContent>
                </v:textbox>
              </v:rect>
            </w:pict>
          </mc:Fallback>
        </mc:AlternateContent>
      </w:r>
    </w:p>
    <w:p>
      <w:pPr>
        <w:pStyle w:val="TextBody"/>
        <w:spacing w:before="0" w:after="0"/>
        <w:rPr/>
      </w:pPr>
      <w:r>
        <w:rPr/>
      </w:r>
    </w:p>
    <w:p>
      <w:pPr>
        <w:pStyle w:val="TextBody"/>
        <w:spacing w:lineRule="auto" w:line="319" w:before="0" w:after="240"/>
        <w:jc w:val="center"/>
        <w:rPr>
          <w:rFonts w:ascii="Times New Roman;sans-serif" w:hAnsi="Times New Roman;sans-serif"/>
          <w:b/>
          <w:color w:val="000000"/>
          <w:sz w:val="20"/>
        </w:rPr>
      </w:pPr>
      <w:r>
        <w:rPr>
          <w:rFonts w:ascii="Times New Roman;sans-serif" w:hAnsi="Times New Roman;sans-serif"/>
          <w:b/>
          <w:color w:val="000000"/>
          <w:sz w:val="20"/>
        </w:rPr>
        <w:t>Report of Independent Registered Public Accounting Firm</w:t>
      </w:r>
    </w:p>
    <w:p>
      <w:pPr>
        <w:pStyle w:val="TextBody"/>
        <w:spacing w:lineRule="auto" w:line="319" w:before="0" w:after="240"/>
        <w:rPr>
          <w:rFonts w:ascii="Times New Roman;sans-serif" w:hAnsi="Times New Roman;sans-serif"/>
          <w:b w:val="false"/>
          <w:color w:val="000000"/>
          <w:sz w:val="20"/>
        </w:rPr>
      </w:pPr>
      <w:r>
        <w:rPr>
          <w:rFonts w:ascii="Times New Roman;sans-serif" w:hAnsi="Times New Roman;sans-serif"/>
          <w:b w:val="false"/>
          <w:color w:val="000000"/>
          <w:sz w:val="20"/>
        </w:rPr>
        <w:t>To the Board of Directors and Shareholders of Agora, Inc.</w:t>
      </w:r>
    </w:p>
    <w:p>
      <w:pPr>
        <w:pStyle w:val="TextBody"/>
        <w:spacing w:lineRule="auto" w:line="319" w:before="0" w:after="240"/>
        <w:rPr>
          <w:rFonts w:ascii="Times New Roman;sans-serif" w:hAnsi="Times New Roman;sans-serif"/>
          <w:b/>
          <w:i/>
          <w:color w:val="000000"/>
          <w:sz w:val="20"/>
        </w:rPr>
      </w:pPr>
      <w:r>
        <w:rPr>
          <w:rFonts w:ascii="Times New Roman;sans-serif" w:hAnsi="Times New Roman;sans-serif"/>
          <w:b/>
          <w:i/>
          <w:color w:val="000000"/>
          <w:sz w:val="20"/>
        </w:rPr>
        <w:t>Opinion on the Financial Statements</w:t>
      </w:r>
    </w:p>
    <w:p>
      <w:pPr>
        <w:pStyle w:val="TextBody"/>
        <w:spacing w:lineRule="auto" w:line="276" w:before="0" w:after="0"/>
        <w:ind w:left="0" w:right="0" w:firstLine="340"/>
        <w:jc w:val="both"/>
        <w:rPr>
          <w:rFonts w:ascii="Times New Roman;sans-serif" w:hAnsi="Times New Roman;sans-serif"/>
          <w:b w:val="false"/>
          <w:color w:val="000000"/>
          <w:sz w:val="20"/>
        </w:rPr>
      </w:pPr>
      <w:r>
        <w:rPr>
          <w:rFonts w:ascii="Times New Roman;sans-serif" w:hAnsi="Times New Roman;sans-serif"/>
          <w:b w:val="false"/>
          <w:color w:val="000000"/>
          <w:sz w:val="20"/>
        </w:rPr>
        <w:t>We have audited the accompanying consolidated balance sheets of Agora, Inc. and its subsidiaries (the “Company”) as of December 31, 2020 and 2019, and the related consolidated statements of comprehensive loss, of changes in shareholders’ equity (deficit) and of cash flows for each of the three years in the period ended December 31, 2020, including the related notes (collectively referred to as the “consolidated financial statements”). In our opinion, the consolidated financial statements present fairly, in all material respects, the financial position of the Company as of December 31, 2020 and 2019, and the results of its operations and its cash flows for each of the three years in the period ended December 31, 2020 in conformity with accounting principles generally accepted in the United States of America.</w:t>
      </w:r>
    </w:p>
    <w:p>
      <w:pPr>
        <w:pStyle w:val="TextBody"/>
        <w:spacing w:before="0" w:after="0"/>
        <w:jc w:val="both"/>
        <w:rPr/>
      </w:pPr>
      <w:r>
        <w:rPr/>
      </w:r>
    </w:p>
    <w:p>
      <w:pPr>
        <w:pStyle w:val="TextBody"/>
        <w:spacing w:lineRule="auto" w:line="319" w:before="0" w:after="240"/>
        <w:jc w:val="both"/>
        <w:rPr>
          <w:rFonts w:ascii="Times New Roman;sans-serif" w:hAnsi="Times New Roman;sans-serif"/>
          <w:b/>
          <w:i/>
          <w:color w:val="000000"/>
          <w:sz w:val="20"/>
        </w:rPr>
      </w:pPr>
      <w:r>
        <w:rPr>
          <w:rFonts w:ascii="Times New Roman;sans-serif" w:hAnsi="Times New Roman;sans-serif"/>
          <w:b/>
          <w:i/>
          <w:color w:val="000000"/>
          <w:sz w:val="20"/>
        </w:rPr>
        <w:t>Basis for Opinion</w:t>
      </w:r>
    </w:p>
    <w:p>
      <w:pPr>
        <w:pStyle w:val="TextBody"/>
        <w:spacing w:lineRule="auto" w:line="319" w:before="0" w:after="240"/>
        <w:ind w:left="0" w:right="0" w:firstLine="340"/>
        <w:jc w:val="both"/>
        <w:rPr>
          <w:rFonts w:ascii="Times New Roman;sans-serif" w:hAnsi="Times New Roman;sans-serif"/>
          <w:b w:val="false"/>
          <w:color w:val="000000"/>
          <w:sz w:val="20"/>
        </w:rPr>
      </w:pPr>
      <w:r>
        <w:rPr>
          <w:rFonts w:ascii="Times New Roman;sans-serif" w:hAnsi="Times New Roman;sans-serif"/>
          <w:b w:val="false"/>
          <w:color w:val="000000"/>
          <w:sz w:val="20"/>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spacing w:lineRule="auto" w:line="319" w:before="0" w:after="240"/>
        <w:ind w:left="0" w:right="0" w:firstLine="340"/>
        <w:jc w:val="both"/>
        <w:rPr>
          <w:rFonts w:ascii="Times New Roman;sans-serif" w:hAnsi="Times New Roman;sans-serif"/>
          <w:b w:val="false"/>
          <w:color w:val="000000"/>
          <w:sz w:val="20"/>
        </w:rPr>
      </w:pPr>
      <w:r>
        <w:rPr>
          <w:rFonts w:ascii="Times New Roman;sans-serif" w:hAnsi="Times New Roman;sans-serif"/>
          <w:b w:val="false"/>
          <w:color w:val="000000"/>
          <w:sz w:val="20"/>
        </w:rPr>
        <w:t>We conducted our audits of these consolidated financial statements in accordance with the standards of the PCAOB. Those standards require that we plan and perform the audit to obtain reasonable assurance about whether the consolidated financial statements are free of material misstatement, whether due to error or fraud.</w:t>
      </w:r>
    </w:p>
    <w:p>
      <w:pPr>
        <w:pStyle w:val="TextBody"/>
        <w:spacing w:lineRule="auto" w:line="319" w:before="0" w:after="240"/>
        <w:ind w:left="0" w:right="0" w:firstLine="340"/>
        <w:jc w:val="both"/>
        <w:rPr>
          <w:rFonts w:ascii="Times New Roman;sans-serif" w:hAnsi="Times New Roman;sans-serif"/>
          <w:b w:val="false"/>
          <w:color w:val="000000"/>
          <w:sz w:val="20"/>
        </w:rPr>
      </w:pPr>
      <w:r>
        <w:rPr>
          <w:rFonts w:ascii="Times New Roman;sans-serif" w:hAnsi="Times New Roman;sans-serif"/>
          <w:b w:val="false"/>
          <w:color w:val="000000"/>
          <w:sz w:val="20"/>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pStyle w:val="TextBody"/>
        <w:spacing w:before="0" w:after="240"/>
        <w:rPr/>
      </w:pPr>
      <w:r>
        <w:rPr/>
      </w:r>
    </w:p>
    <w:p>
      <w:pPr>
        <w:pStyle w:val="TextBody"/>
        <w:spacing w:lineRule="auto" w:line="319"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/s/ PricewaterhouseCoopers Zhong Tian LLP </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Shanghai, the People’s Republic of China</w:t>
      </w:r>
    </w:p>
    <w:p>
      <w:pPr>
        <w:pStyle w:val="TextBody"/>
        <w:spacing w:lineRule="auto" w:line="288" w:before="0" w:after="0"/>
        <w:rPr/>
      </w:pPr>
      <w:r>
        <w:rPr>
          <w:rFonts w:ascii="Times New Roman;sans-serif" w:hAnsi="Times New Roman;sans-serif"/>
          <w:b w:val="false"/>
          <w:color w:val="000000"/>
          <w:sz w:val="20"/>
        </w:rPr>
        <w:t xml:space="preserve">March </w:t>
      </w:r>
      <w:r>
        <w:rPr>
          <w:rFonts w:ascii="Times New Roman;sans-serif" w:hAnsi="Times New Roman;sans-serif"/>
          <w:b w:val="false"/>
          <w:color w:val="000000"/>
          <w:sz w:val="20"/>
          <w:highlight w:val="white"/>
        </w:rPr>
        <w:t>26</w:t>
      </w:r>
      <w:r>
        <w:rPr>
          <w:rFonts w:ascii="Times New Roman;sans-serif" w:hAnsi="Times New Roman;sans-serif"/>
          <w:b w:val="false"/>
          <w:color w:val="000000"/>
          <w:sz w:val="20"/>
        </w:rPr>
        <w:t>, 2021</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We have served as the Company’s auditor since 2017.</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175260"/>
                <wp:effectExtent l="0" t="0" r="0" b="0"/>
                <wp:wrapNone/>
                <wp:docPr id="162" name="Frame16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F-2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F-2</w:t>
                      </w:r>
                    </w:p>
                  </w:txbxContent>
                </v:textbox>
              </v:rect>
            </w:pict>
          </mc:Fallback>
        </mc:AlternateConten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AGORA, INC.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CONSOLIDATED BALANCE SHEETS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OF DECEMBER 31, 2019 and 2020</w:t>
      </w:r>
    </w:p>
    <w:p>
      <w:pPr>
        <w:pStyle w:val="TextBody"/>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(All amounts in US$, except share data, unless otherwise stated)</w:t>
      </w:r>
    </w:p>
    <w:p>
      <w:pPr>
        <w:pStyle w:val="TextBody"/>
        <w:spacing w:before="93" w:after="283"/>
        <w:jc w:val="center"/>
        <w:rPr/>
      </w:pPr>
      <w:r>
        <w:rPr/>
      </w:r>
    </w:p>
    <w:tbl>
      <w:tblPr>
        <w:tblW w:w="10205" w:type="dxa"/>
        <w:jc w:val="left"/>
        <w:tblInd w:w="0" w:type="dxa"/>
        <w:tblCellMar>
          <w:top w:w="28" w:type="dxa"/>
          <w:left w:w="28" w:type="dxa"/>
          <w:bottom w:w="28" w:type="dxa"/>
          <w:right w:w="28" w:type="dxa"/>
        </w:tblCellMar>
      </w:tblPr>
      <w:tblGrid>
        <w:gridCol w:w="2547"/>
        <w:gridCol w:w="2088"/>
        <w:gridCol w:w="2027"/>
        <w:gridCol w:w="211"/>
        <w:gridCol w:w="1186"/>
        <w:gridCol w:w="109"/>
        <w:gridCol w:w="109"/>
        <w:gridCol w:w="109"/>
        <w:gridCol w:w="109"/>
        <w:gridCol w:w="211"/>
        <w:gridCol w:w="1186"/>
        <w:gridCol w:w="313"/>
      </w:tblGrid>
      <w:tr>
        <w:trPr/>
        <w:tc>
          <w:tcPr>
            <w:tcW w:w="2547" w:type="dxa"/>
            <w:tcBorders/>
            <w:shd w:fill="auto" w:val="clear"/>
            <w:vAlign w:val="center"/>
          </w:tcPr>
          <w:p>
            <w:pPr>
              <w:pStyle w:val="TableContents"/>
              <w:spacing w:before="0" w:after="283"/>
              <w:rPr>
                <w:sz w:val="4"/>
                <w:szCs w:val="4"/>
              </w:rPr>
            </w:pPr>
            <w:r>
              <w:rPr>
                <w:sz w:val="4"/>
                <w:szCs w:val="4"/>
              </w:rPr>
            </w:r>
          </w:p>
        </w:tc>
        <w:tc>
          <w:tcPr>
            <w:tcW w:w="2088" w:type="dxa"/>
            <w:tcBorders/>
            <w:shd w:fill="auto" w:val="clear"/>
            <w:vAlign w:val="center"/>
          </w:tcPr>
          <w:p>
            <w:pPr>
              <w:pStyle w:val="TableContents"/>
              <w:spacing w:before="0" w:after="283"/>
              <w:rPr>
                <w:sz w:val="4"/>
                <w:szCs w:val="4"/>
              </w:rPr>
            </w:pPr>
            <w:r>
              <w:rPr>
                <w:sz w:val="4"/>
                <w:szCs w:val="4"/>
              </w:rPr>
            </w:r>
          </w:p>
        </w:tc>
        <w:tc>
          <w:tcPr>
            <w:tcW w:w="202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1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186" w:type="dxa"/>
            <w:tcBorders/>
            <w:shd w:fill="auto" w:val="clear"/>
            <w:vAlign w:val="center"/>
          </w:tcPr>
          <w:p>
            <w:pPr>
              <w:pStyle w:val="TableContents"/>
              <w:spacing w:before="0" w:after="283"/>
              <w:rPr>
                <w:sz w:val="4"/>
                <w:szCs w:val="4"/>
              </w:rPr>
            </w:pPr>
            <w:r>
              <w:rPr>
                <w:sz w:val="4"/>
                <w:szCs w:val="4"/>
              </w:rPr>
            </w:r>
          </w:p>
        </w:tc>
        <w:tc>
          <w:tcPr>
            <w:tcW w:w="313" w:type="dxa"/>
            <w:tcBorders/>
            <w:shd w:fill="auto" w:val="clear"/>
            <w:vAlign w:val="center"/>
          </w:tcPr>
          <w:p>
            <w:pPr>
              <w:pStyle w:val="TableContents"/>
              <w:spacing w:before="0" w:after="283"/>
              <w:rPr>
                <w:sz w:val="4"/>
                <w:szCs w:val="4"/>
              </w:rPr>
            </w:pPr>
            <w:r>
              <w:rPr>
                <w:sz w:val="4"/>
                <w:szCs w:val="4"/>
              </w:rPr>
            </w:r>
          </w:p>
        </w:tc>
      </w:tr>
      <w:tr>
        <w:trPr/>
        <w:tc>
          <w:tcPr>
            <w:tcW w:w="666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3" w:type="dxa"/>
            <w:gridSpan w:val="9"/>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As of December 31,</w:t>
            </w:r>
          </w:p>
        </w:tc>
      </w:tr>
      <w:tr>
        <w:trPr/>
        <w:tc>
          <w:tcPr>
            <w:tcW w:w="666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2019</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71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2020</w:t>
            </w:r>
          </w:p>
        </w:tc>
      </w:tr>
      <w:tr>
        <w:trPr/>
        <w:tc>
          <w:tcPr>
            <w:tcW w:w="666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150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1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66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5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1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6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105,603,153 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111,217,606 </w:t>
            </w:r>
          </w:p>
        </w:tc>
        <w:tc>
          <w:tcPr>
            <w:tcW w:w="3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6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w:t>
            </w:r>
          </w:p>
        </w:tc>
        <w:tc>
          <w:tcPr>
            <w:tcW w:w="13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524,220,154 </w:t>
            </w:r>
          </w:p>
        </w:tc>
        <w:tc>
          <w:tcPr>
            <w:tcW w:w="3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6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13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16,247,565 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27,840,149 </w:t>
            </w:r>
          </w:p>
        </w:tc>
        <w:tc>
          <w:tcPr>
            <w:tcW w:w="3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6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Prepayments and other current assets</w:t>
            </w:r>
          </w:p>
        </w:tc>
        <w:tc>
          <w:tcPr>
            <w:tcW w:w="13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1,381,037 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7,458,832 </w:t>
            </w:r>
          </w:p>
        </w:tc>
        <w:tc>
          <w:tcPr>
            <w:tcW w:w="3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6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139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123,231,755 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670,736,741 </w:t>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6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assets:</w:t>
            </w:r>
          </w:p>
        </w:tc>
        <w:tc>
          <w:tcPr>
            <w:tcW w:w="150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10"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66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13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6,281,990 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16,753,850 </w:t>
            </w:r>
          </w:p>
        </w:tc>
        <w:tc>
          <w:tcPr>
            <w:tcW w:w="3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62"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13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3,089,432 </w:t>
            </w:r>
          </w:p>
        </w:tc>
        <w:tc>
          <w:tcPr>
            <w:tcW w:w="3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62" w:type="dxa"/>
            <w:gridSpan w:val="3"/>
            <w:tcBorders/>
            <w:shd w:fill="CCEEFF" w:val="clear"/>
            <w:tcMar>
              <w:top w:w="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w:t>
            </w:r>
          </w:p>
        </w:tc>
        <w:tc>
          <w:tcPr>
            <w:tcW w:w="13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209,277 </w:t>
            </w:r>
          </w:p>
        </w:tc>
        <w:tc>
          <w:tcPr>
            <w:tcW w:w="3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6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assets</w:t>
            </w:r>
          </w:p>
        </w:tc>
        <w:tc>
          <w:tcPr>
            <w:tcW w:w="13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836,514 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510,500 </w:t>
            </w:r>
          </w:p>
        </w:tc>
        <w:tc>
          <w:tcPr>
            <w:tcW w:w="3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6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assets</w:t>
            </w:r>
          </w:p>
        </w:tc>
        <w:tc>
          <w:tcPr>
            <w:tcW w:w="13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808,862 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1,603,937 </w:t>
            </w:r>
          </w:p>
        </w:tc>
        <w:tc>
          <w:tcPr>
            <w:tcW w:w="3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6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non-current assets</w:t>
            </w:r>
          </w:p>
        </w:tc>
        <w:tc>
          <w:tcPr>
            <w:tcW w:w="139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7,927,366 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22,166,996 </w:t>
            </w:r>
          </w:p>
        </w:tc>
        <w:tc>
          <w:tcPr>
            <w:tcW w:w="31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6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131,159,121 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692,903,737 </w:t>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6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 mezzanine equity and shareholders’ equity (deficit)</w:t>
            </w:r>
          </w:p>
        </w:tc>
        <w:tc>
          <w:tcPr>
            <w:tcW w:w="150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10"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66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5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1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62"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(including accounts payable of the variable interest entity (“VIE”) without recourse to the Company of US$2,992,628 and US$5,336,880 as of December 31, 2019 and 2020, respectively)</w:t>
            </w:r>
          </w:p>
        </w:tc>
        <w:tc>
          <w:tcPr>
            <w:tcW w:w="13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4,088,283 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7,721,368 </w:t>
            </w:r>
          </w:p>
        </w:tc>
        <w:tc>
          <w:tcPr>
            <w:tcW w:w="3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62"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Advances from customers (including advances from customers of the VIE without recourse to the Company of US$733,518 and US$1,112,800 as of December 31, 2019 and 2020, respectively)</w:t>
            </w:r>
          </w:p>
        </w:tc>
        <w:tc>
          <w:tcPr>
            <w:tcW w:w="13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920,925 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1,338,516 </w:t>
            </w:r>
          </w:p>
        </w:tc>
        <w:tc>
          <w:tcPr>
            <w:tcW w:w="3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62"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Taxes payable (including taxes payable of the VIE without recourse to the Company of US$756,020 and US$253,617 as of December 31, 2019 and 2020, respectively)</w:t>
            </w:r>
          </w:p>
        </w:tc>
        <w:tc>
          <w:tcPr>
            <w:tcW w:w="13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2,493,137 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2,171,280 </w:t>
            </w:r>
          </w:p>
        </w:tc>
        <w:tc>
          <w:tcPr>
            <w:tcW w:w="3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62"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and other current liabilities (including accrued expenses and other current liabilities of the VIE without recourse to the Company of US$3,440,748 and US$5,035,100 as of December 31, 2019 and 2020, respectively)</w:t>
            </w:r>
          </w:p>
        </w:tc>
        <w:tc>
          <w:tcPr>
            <w:tcW w:w="13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10,978,932 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23,925,523 </w:t>
            </w:r>
          </w:p>
        </w:tc>
        <w:tc>
          <w:tcPr>
            <w:tcW w:w="313" w:type="dxa"/>
            <w:tcBorders/>
            <w:shd w:fill="CCEEFF" w:val="clear"/>
            <w:tcMar>
              <w:top w:w="0" w:type="dxa"/>
              <w:left w:w="0" w:type="dxa"/>
              <w:bottom w:w="0" w:type="dxa"/>
              <w:right w:w="0" w:type="dxa"/>
            </w:tcMar>
            <w:vAlign w:val="center"/>
          </w:tcPr>
          <w:p>
            <w:pPr>
              <w:pStyle w:val="TableContents"/>
              <w:spacing w:before="0" w:after="283"/>
              <w:ind w:left="0" w:right="0" w:firstLine="180"/>
              <w:rPr>
                <w:sz w:val="4"/>
                <w:szCs w:val="4"/>
              </w:rPr>
            </w:pPr>
            <w:r>
              <w:rPr>
                <w:sz w:val="4"/>
                <w:szCs w:val="4"/>
              </w:rPr>
            </w:r>
          </w:p>
        </w:tc>
      </w:tr>
      <w:tr>
        <w:trPr/>
        <w:tc>
          <w:tcPr>
            <w:tcW w:w="6662" w:type="dxa"/>
            <w:gridSpan w:val="3"/>
            <w:tcBorders/>
            <w:shd w:fill="FFFFFF" w:val="clear"/>
            <w:tcMar>
              <w:top w:w="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Amounts due to a related party (Note 18)</w:t>
            </w:r>
          </w:p>
        </w:tc>
        <w:tc>
          <w:tcPr>
            <w:tcW w:w="13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1,150,000 </w:t>
            </w:r>
          </w:p>
        </w:tc>
        <w:tc>
          <w:tcPr>
            <w:tcW w:w="3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6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139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18,481,277 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36,306,687 </w:t>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62" w:type="dxa"/>
            <w:gridSpan w:val="3"/>
            <w:tcBorders/>
            <w:shd w:fill="FFFFFF" w:val="clear"/>
            <w:tcMar>
              <w:top w:w="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liabilities:</w:t>
            </w:r>
          </w:p>
        </w:tc>
        <w:tc>
          <w:tcPr>
            <w:tcW w:w="15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1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62" w:type="dxa"/>
            <w:gridSpan w:val="3"/>
            <w:tcBorders/>
            <w:shd w:fill="CCEEFF" w:val="clear"/>
            <w:tcMar>
              <w:top w:w="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 term payable</w:t>
            </w:r>
          </w:p>
        </w:tc>
        <w:tc>
          <w:tcPr>
            <w:tcW w:w="13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81,569 </w:t>
            </w:r>
          </w:p>
        </w:tc>
        <w:tc>
          <w:tcPr>
            <w:tcW w:w="3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6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liabilities</w:t>
            </w:r>
          </w:p>
        </w:tc>
        <w:tc>
          <w:tcPr>
            <w:tcW w:w="13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52,319 </w:t>
            </w:r>
          </w:p>
        </w:tc>
        <w:tc>
          <w:tcPr>
            <w:tcW w:w="3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6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non-current liabilities</w:t>
            </w:r>
          </w:p>
        </w:tc>
        <w:tc>
          <w:tcPr>
            <w:tcW w:w="139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133,888 </w:t>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6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18,481,277 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36,440,575 </w:t>
            </w:r>
          </w:p>
        </w:tc>
        <w:tc>
          <w:tcPr>
            <w:tcW w:w="31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6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contingencies (Note 17)</w:t>
            </w:r>
          </w:p>
        </w:tc>
        <w:tc>
          <w:tcPr>
            <w:tcW w:w="150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10"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HorizontalLine"/>
        <w:rPr/>
      </w:pPr>
      <w:r>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526415"/>
                <wp:effectExtent l="0" t="0" r="0" b="0"/>
                <wp:wrapNone/>
                <wp:docPr id="163" name="Frame162"/>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F-3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F-3</w:t>
                      </w:r>
                    </w:p>
                  </w:txbxContent>
                </v:textbox>
              </v:rect>
            </w:pict>
          </mc:Fallback>
        </mc:AlternateConten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AGORA, INC.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CONSOLIDATED BALANCE SHEETS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OF DECEMBER 31, 2019 and 2020</w:t>
      </w:r>
    </w:p>
    <w:p>
      <w:pPr>
        <w:pStyle w:val="TextBody"/>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(All amounts in US$, except share data, unless otherwise stated)</w:t>
      </w:r>
    </w:p>
    <w:p>
      <w:pPr>
        <w:pStyle w:val="TextBody"/>
        <w:spacing w:before="0" w:after="0"/>
        <w:jc w:val="center"/>
        <w:rPr/>
      </w:pPr>
      <w:r>
        <w:rPr/>
      </w:r>
    </w:p>
    <w:tbl>
      <w:tblPr>
        <w:tblW w:w="10205" w:type="dxa"/>
        <w:jc w:val="left"/>
        <w:tblInd w:w="0" w:type="dxa"/>
        <w:tblCellMar>
          <w:top w:w="28" w:type="dxa"/>
          <w:left w:w="28" w:type="dxa"/>
          <w:bottom w:w="28" w:type="dxa"/>
          <w:right w:w="28" w:type="dxa"/>
        </w:tblCellMar>
      </w:tblPr>
      <w:tblGrid>
        <w:gridCol w:w="2600"/>
        <w:gridCol w:w="2090"/>
        <w:gridCol w:w="2095"/>
        <w:gridCol w:w="211"/>
        <w:gridCol w:w="1221"/>
        <w:gridCol w:w="109"/>
        <w:gridCol w:w="109"/>
        <w:gridCol w:w="109"/>
        <w:gridCol w:w="109"/>
        <w:gridCol w:w="211"/>
        <w:gridCol w:w="1186"/>
        <w:gridCol w:w="155"/>
      </w:tblGrid>
      <w:tr>
        <w:trPr/>
        <w:tc>
          <w:tcPr>
            <w:tcW w:w="2600" w:type="dxa"/>
            <w:tcBorders/>
            <w:shd w:fill="auto" w:val="clear"/>
            <w:vAlign w:val="center"/>
          </w:tcPr>
          <w:p>
            <w:pPr>
              <w:pStyle w:val="TableContents"/>
              <w:spacing w:before="0" w:after="283"/>
              <w:rPr>
                <w:sz w:val="4"/>
                <w:szCs w:val="4"/>
              </w:rPr>
            </w:pPr>
            <w:r>
              <w:rPr>
                <w:sz w:val="4"/>
                <w:szCs w:val="4"/>
              </w:rPr>
            </w:r>
          </w:p>
        </w:tc>
        <w:tc>
          <w:tcPr>
            <w:tcW w:w="2090" w:type="dxa"/>
            <w:tcBorders/>
            <w:shd w:fill="auto" w:val="clear"/>
            <w:vAlign w:val="center"/>
          </w:tcPr>
          <w:p>
            <w:pPr>
              <w:pStyle w:val="TableContents"/>
              <w:spacing w:before="0" w:after="283"/>
              <w:rPr>
                <w:sz w:val="4"/>
                <w:szCs w:val="4"/>
              </w:rPr>
            </w:pPr>
            <w:r>
              <w:rPr>
                <w:sz w:val="4"/>
                <w:szCs w:val="4"/>
              </w:rPr>
            </w:r>
          </w:p>
        </w:tc>
        <w:tc>
          <w:tcPr>
            <w:tcW w:w="209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2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186"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67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of December 31,</w:t>
            </w:r>
          </w:p>
        </w:tc>
      </w:tr>
      <w:tr>
        <w:trPr/>
        <w:tc>
          <w:tcPr>
            <w:tcW w:w="67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2019</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5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2020</w:t>
            </w:r>
          </w:p>
        </w:tc>
      </w:tr>
      <w:tr>
        <w:trPr/>
        <w:tc>
          <w:tcPr>
            <w:tcW w:w="67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Mezzanine equity</w:t>
            </w:r>
          </w:p>
        </w:tc>
        <w:tc>
          <w:tcPr>
            <w:tcW w:w="15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785"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Series A convertible redeemable preferred shares ($0.0001 par value, 55,626,960 shares authorized, issued and outstanding as of December 31, 2019 and nil as of December 31, 2020)</w:t>
            </w:r>
          </w:p>
        </w:tc>
        <w:tc>
          <w:tcPr>
            <w:tcW w:w="14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90,049,774 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85"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Series B convertible redeemable preferred shares ($0.0001 par value, 50,783,698 shares authorized, issued and outstanding as of December 31, 2019 and nil as of December 31, 2020)</w:t>
            </w:r>
          </w:p>
        </w:tc>
        <w:tc>
          <w:tcPr>
            <w:tcW w:w="14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30,045,929 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85"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Series B+ convertible redeemable preferred shares ($0.0001 par value, 26,651,410 shares authorized, issued and outstanding as of December 31, 2019 and nil as of December 31, 2020)</w:t>
            </w:r>
          </w:p>
        </w:tc>
        <w:tc>
          <w:tcPr>
            <w:tcW w:w="14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46,274,560 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85"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Series C convertible redeemable preferred shares ($0.0001 par value, 36,533,085 shares authorized, 34,793,413 issued and outstanding as of December 31, 2019 and nil as of December 31, 2020)</w:t>
            </w:r>
          </w:p>
        </w:tc>
        <w:tc>
          <w:tcPr>
            <w:tcW w:w="14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73,600,134 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Mezzanine equity</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239,970,397 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Shareholders’ equity (deficit)</w:t>
            </w:r>
          </w:p>
        </w:tc>
        <w:tc>
          <w:tcPr>
            <w:tcW w:w="154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2"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785"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Ordinary shares</w:t>
            </w:r>
          </w:p>
        </w:tc>
        <w:tc>
          <w:tcPr>
            <w:tcW w:w="14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11,907 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85"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Class A ordinary shares ($0.0001 par value, no shares authorized, issued and outstanding as of December 31, 2019; 800,000,000 shares authorized; 338,835,056 shares issued and outstanding as of December 31, 2020)</w:t>
            </w:r>
          </w:p>
        </w:tc>
        <w:tc>
          <w:tcPr>
            <w:tcW w:w="14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33,884 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85"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Class B ordinary shares ($0.0001 par value, no shares authorized, issued and outstanding as of December 31, 2019; 76,179,938 shares authorized, issued and outstanding as of December 31, 2020)</w:t>
            </w:r>
          </w:p>
        </w:tc>
        <w:tc>
          <w:tcPr>
            <w:tcW w:w="14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7,617 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paid-in-capital</w:t>
            </w:r>
          </w:p>
        </w:tc>
        <w:tc>
          <w:tcPr>
            <w:tcW w:w="14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818,427,919 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loss (income)</w:t>
            </w:r>
          </w:p>
        </w:tc>
        <w:tc>
          <w:tcPr>
            <w:tcW w:w="14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(988,417)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1,940,970 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deficit</w:t>
            </w:r>
          </w:p>
        </w:tc>
        <w:tc>
          <w:tcPr>
            <w:tcW w:w="14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(126,316,043)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(163,947,228)</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shareholders’ equity (deficit)</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(127,292,553)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656,463,162 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mezzanine equity and shareholders’ equity (deficit)</w:t>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131,159,121 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692,903,737 </w:t>
            </w:r>
          </w:p>
        </w:tc>
        <w:tc>
          <w:tcPr>
            <w:tcW w:w="15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526415"/>
                <wp:effectExtent l="0" t="0" r="0" b="0"/>
                <wp:wrapNone/>
                <wp:docPr id="164" name="Frame163"/>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F-4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F-4</w:t>
                      </w:r>
                    </w:p>
                  </w:txbxContent>
                </v:textbox>
              </v:rect>
            </w:pict>
          </mc:Fallback>
        </mc:AlternateConten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AGORA,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CONSOLIDATED STATEMENTS OF COMPREHENSIVE LOSS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YEARS ENDED DECEMBER 31, 2018, 2019 and 2020</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(All amounts in US$, except share data, unless otherwise stated)</w:t>
      </w:r>
    </w:p>
    <w:p>
      <w:pPr>
        <w:pStyle w:val="TextBody"/>
        <w:spacing w:before="0" w:after="0"/>
        <w:rPr/>
      </w:pPr>
      <w:r>
        <w:rPr/>
      </w:r>
    </w:p>
    <w:tbl>
      <w:tblPr>
        <w:tblW w:w="10205" w:type="dxa"/>
        <w:jc w:val="left"/>
        <w:tblInd w:w="0" w:type="dxa"/>
        <w:tblCellMar>
          <w:top w:w="28" w:type="dxa"/>
          <w:left w:w="28" w:type="dxa"/>
          <w:bottom w:w="28" w:type="dxa"/>
          <w:right w:w="28" w:type="dxa"/>
        </w:tblCellMar>
      </w:tblPr>
      <w:tblGrid>
        <w:gridCol w:w="1879"/>
        <w:gridCol w:w="1577"/>
        <w:gridCol w:w="1582"/>
        <w:gridCol w:w="211"/>
        <w:gridCol w:w="1133"/>
        <w:gridCol w:w="109"/>
        <w:gridCol w:w="109"/>
        <w:gridCol w:w="109"/>
        <w:gridCol w:w="109"/>
        <w:gridCol w:w="211"/>
        <w:gridCol w:w="1133"/>
        <w:gridCol w:w="109"/>
        <w:gridCol w:w="109"/>
        <w:gridCol w:w="109"/>
        <w:gridCol w:w="109"/>
        <w:gridCol w:w="211"/>
        <w:gridCol w:w="1238"/>
        <w:gridCol w:w="158"/>
      </w:tblGrid>
      <w:tr>
        <w:trPr/>
        <w:tc>
          <w:tcPr>
            <w:tcW w:w="1879" w:type="dxa"/>
            <w:tcBorders/>
            <w:shd w:fill="auto" w:val="clear"/>
            <w:vAlign w:val="center"/>
          </w:tcPr>
          <w:p>
            <w:pPr>
              <w:pStyle w:val="TableContents"/>
              <w:spacing w:before="0" w:after="283"/>
              <w:rPr>
                <w:sz w:val="4"/>
                <w:szCs w:val="4"/>
              </w:rPr>
            </w:pPr>
            <w:r>
              <w:rPr>
                <w:sz w:val="4"/>
                <w:szCs w:val="4"/>
              </w:rPr>
            </w:r>
          </w:p>
        </w:tc>
        <w:tc>
          <w:tcPr>
            <w:tcW w:w="1577" w:type="dxa"/>
            <w:tcBorders/>
            <w:shd w:fill="auto" w:val="clear"/>
            <w:vAlign w:val="center"/>
          </w:tcPr>
          <w:p>
            <w:pPr>
              <w:pStyle w:val="TableContents"/>
              <w:spacing w:before="0" w:after="283"/>
              <w:rPr>
                <w:sz w:val="4"/>
                <w:szCs w:val="4"/>
              </w:rPr>
            </w:pPr>
            <w:r>
              <w:rPr>
                <w:sz w:val="4"/>
                <w:szCs w:val="4"/>
              </w:rPr>
            </w:r>
          </w:p>
        </w:tc>
        <w:tc>
          <w:tcPr>
            <w:tcW w:w="1582"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13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13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238"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50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67"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50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2018</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5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2019</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60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2020</w:t>
            </w:r>
          </w:p>
        </w:tc>
      </w:tr>
      <w:tr>
        <w:trPr/>
        <w:tc>
          <w:tcPr>
            <w:tcW w:w="503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Real-time engagement service 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43,199,085 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63,925,303 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131,148,297 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3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revenues</w:t>
            </w:r>
          </w:p>
        </w:tc>
        <w:tc>
          <w:tcPr>
            <w:tcW w:w="134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457,869 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503,387 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2,415,624 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3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134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43,656,954 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64,428,690 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133,563,921 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3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revenues</w:t>
            </w:r>
          </w:p>
        </w:tc>
        <w:tc>
          <w:tcPr>
            <w:tcW w:w="134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(12,634,565)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(20,417,464)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(47,199,851)</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3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34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31,022,389 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44,011,226 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86,364,070 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3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453"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3"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038"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expenses</w:t>
            </w:r>
          </w:p>
        </w:tc>
        <w:tc>
          <w:tcPr>
            <w:tcW w:w="134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(14,425,536)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(23,622,830)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(49,494,413)</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3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 expenses</w:t>
            </w:r>
          </w:p>
        </w:tc>
        <w:tc>
          <w:tcPr>
            <w:tcW w:w="134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(11,986,444)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(19,408,377)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(25,723,472)</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3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w:t>
            </w:r>
          </w:p>
        </w:tc>
        <w:tc>
          <w:tcPr>
            <w:tcW w:w="134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(5,372,990)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(7,176,816)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(18,010,124)</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3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34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(31,784,970)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(50,208,023)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(93,228,009)</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3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operating income</w:t>
            </w:r>
          </w:p>
        </w:tc>
        <w:tc>
          <w:tcPr>
            <w:tcW w:w="134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1,025,148 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107,852 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1,672,241 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3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from operations</w:t>
            </w:r>
          </w:p>
        </w:tc>
        <w:tc>
          <w:tcPr>
            <w:tcW w:w="134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262,567 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(6,088,945)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(5,191,698)</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3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Exchange gain (loss)</w:t>
            </w:r>
          </w:p>
        </w:tc>
        <w:tc>
          <w:tcPr>
            <w:tcW w:w="134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(20,549)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86,874 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(65,400)</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3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34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239,176 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625,970 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2,704,032 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3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before income taxes</w:t>
            </w:r>
          </w:p>
        </w:tc>
        <w:tc>
          <w:tcPr>
            <w:tcW w:w="134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481,194 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(5,376,101)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(2,553,066)</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3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taxes</w:t>
            </w:r>
          </w:p>
        </w:tc>
        <w:tc>
          <w:tcPr>
            <w:tcW w:w="134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(105,078)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(801,337)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(561,794)</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3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134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376,116 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(6,177,438)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(3,114,860)</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503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cumulative undeclared dividends on convertible redeemable preferred shares</w:t>
            </w:r>
          </w:p>
        </w:tc>
        <w:tc>
          <w:tcPr>
            <w:tcW w:w="134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(9,961,473)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(9,961,473)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(6,714,852)</w:t>
            </w:r>
          </w:p>
        </w:tc>
        <w:tc>
          <w:tcPr>
            <w:tcW w:w="158"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503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accretion on convertible redeemable preferred shares to redemption value</w:t>
            </w:r>
          </w:p>
        </w:tc>
        <w:tc>
          <w:tcPr>
            <w:tcW w:w="134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(33,234,811)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(50,714,953)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(193,465,743)</w:t>
            </w:r>
          </w:p>
        </w:tc>
        <w:tc>
          <w:tcPr>
            <w:tcW w:w="158"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503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Agora, Inc.’s ordinary shareholders</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3"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(42,820,168)</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3"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(66,853,864)</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8"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(203,295,455)</w:t>
            </w:r>
          </w:p>
        </w:tc>
        <w:tc>
          <w:tcPr>
            <w:tcW w:w="158"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3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w:t>
            </w:r>
          </w:p>
        </w:tc>
        <w:tc>
          <w:tcPr>
            <w:tcW w:w="1453"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3"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7"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03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adjustments</w:t>
            </w:r>
          </w:p>
        </w:tc>
        <w:tc>
          <w:tcPr>
            <w:tcW w:w="134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(749,030)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(358,083)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2,929,387 </w:t>
            </w:r>
          </w:p>
        </w:tc>
        <w:tc>
          <w:tcPr>
            <w:tcW w:w="158"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503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comprehensive loss attributable to Agora, Inc.’s ordinary shareholders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(43,569,198)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(67,211,947)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(200,366,068)</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503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per share attributable to Agora, Inc.’s ordinary shareholders—basic and diluted</w:t>
            </w:r>
          </w:p>
        </w:tc>
        <w:tc>
          <w:tcPr>
            <w:tcW w:w="1344"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(0.39)</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4"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(0.58)</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9"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(0.76)</w:t>
            </w:r>
          </w:p>
        </w:tc>
        <w:tc>
          <w:tcPr>
            <w:tcW w:w="158"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503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number of ordinary shares—basic and diluted</w:t>
            </w:r>
          </w:p>
        </w:tc>
        <w:tc>
          <w:tcPr>
            <w:tcW w:w="134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109,141,311 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115,716,392 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268,849,967 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3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3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Share-based compensation expenses included in:</w:t>
            </w:r>
          </w:p>
        </w:tc>
        <w:tc>
          <w:tcPr>
            <w:tcW w:w="145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3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revenues</w:t>
            </w:r>
          </w:p>
        </w:tc>
        <w:tc>
          <w:tcPr>
            <w:tcW w:w="134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49,893 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79,552 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357,053 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3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expenses</w:t>
            </w:r>
          </w:p>
        </w:tc>
        <w:tc>
          <w:tcPr>
            <w:tcW w:w="134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919,773 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1,472,528 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5,312,704 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3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 expenses</w:t>
            </w:r>
          </w:p>
        </w:tc>
        <w:tc>
          <w:tcPr>
            <w:tcW w:w="134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975,297 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1,653,717 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2,060,523 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3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w:t>
            </w:r>
          </w:p>
        </w:tc>
        <w:tc>
          <w:tcPr>
            <w:tcW w:w="134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905,389 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1,046,372 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4,244,879 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526415"/>
                <wp:effectExtent l="0" t="0" r="0" b="0"/>
                <wp:wrapNone/>
                <wp:docPr id="165" name="Frame164"/>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F-5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F-5</w:t>
                      </w:r>
                    </w:p>
                  </w:txbxContent>
                </v:textbox>
              </v:rect>
            </w:pict>
          </mc:Fallback>
        </mc:AlternateConten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AGORA,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CONSOLIDATED STATEMENTS OF CHANGES IN SHAREHOLDERS’ EQUITY (DEFICIT)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YEARS ENDED DECEMBER 31, 2018, 2019 and 2020</w:t>
      </w:r>
    </w:p>
    <w:p>
      <w:pPr>
        <w:pStyle w:val="TextBody"/>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(All amounts in US$, except share data, unless otherwise stated)</w:t>
      </w:r>
    </w:p>
    <w:p>
      <w:pPr>
        <w:pStyle w:val="TextBody"/>
        <w:spacing w:before="0" w:after="0"/>
        <w:jc w:val="center"/>
        <w:rPr/>
      </w:pPr>
      <w:r>
        <w:rPr/>
      </w:r>
    </w:p>
    <w:tbl>
      <w:tblPr>
        <w:tblW w:w="16117" w:type="dxa"/>
        <w:jc w:val="left"/>
        <w:tblInd w:w="0" w:type="dxa"/>
        <w:tblCellMar>
          <w:top w:w="28" w:type="dxa"/>
          <w:left w:w="28" w:type="dxa"/>
          <w:bottom w:w="28" w:type="dxa"/>
          <w:right w:w="28" w:type="dxa"/>
        </w:tblCellMar>
      </w:tblPr>
      <w:tblGrid>
        <w:gridCol w:w="914"/>
        <w:gridCol w:w="210"/>
        <w:gridCol w:w="212"/>
        <w:gridCol w:w="532"/>
        <w:gridCol w:w="534"/>
        <w:gridCol w:w="231"/>
        <w:gridCol w:w="109"/>
        <w:gridCol w:w="109"/>
        <w:gridCol w:w="109"/>
        <w:gridCol w:w="196"/>
        <w:gridCol w:w="646"/>
        <w:gridCol w:w="109"/>
        <w:gridCol w:w="109"/>
        <w:gridCol w:w="109"/>
        <w:gridCol w:w="109"/>
        <w:gridCol w:w="524"/>
        <w:gridCol w:w="527"/>
        <w:gridCol w:w="231"/>
        <w:gridCol w:w="109"/>
        <w:gridCol w:w="109"/>
        <w:gridCol w:w="109"/>
        <w:gridCol w:w="196"/>
        <w:gridCol w:w="646"/>
        <w:gridCol w:w="109"/>
        <w:gridCol w:w="109"/>
        <w:gridCol w:w="109"/>
        <w:gridCol w:w="109"/>
        <w:gridCol w:w="480"/>
        <w:gridCol w:w="481"/>
        <w:gridCol w:w="231"/>
        <w:gridCol w:w="109"/>
        <w:gridCol w:w="109"/>
        <w:gridCol w:w="109"/>
        <w:gridCol w:w="196"/>
        <w:gridCol w:w="556"/>
        <w:gridCol w:w="109"/>
        <w:gridCol w:w="109"/>
        <w:gridCol w:w="109"/>
        <w:gridCol w:w="109"/>
        <w:gridCol w:w="196"/>
        <w:gridCol w:w="1051"/>
        <w:gridCol w:w="109"/>
        <w:gridCol w:w="109"/>
        <w:gridCol w:w="109"/>
        <w:gridCol w:w="109"/>
        <w:gridCol w:w="196"/>
        <w:gridCol w:w="871"/>
        <w:gridCol w:w="109"/>
        <w:gridCol w:w="109"/>
        <w:gridCol w:w="109"/>
        <w:gridCol w:w="109"/>
        <w:gridCol w:w="196"/>
        <w:gridCol w:w="1066"/>
        <w:gridCol w:w="109"/>
        <w:gridCol w:w="109"/>
        <w:gridCol w:w="109"/>
        <w:gridCol w:w="109"/>
        <w:gridCol w:w="196"/>
        <w:gridCol w:w="1051"/>
        <w:gridCol w:w="154"/>
      </w:tblGrid>
      <w:tr>
        <w:trPr/>
        <w:tc>
          <w:tcPr>
            <w:tcW w:w="914"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532" w:type="dxa"/>
            <w:tcBorders/>
            <w:shd w:fill="auto" w:val="clear"/>
            <w:vAlign w:val="center"/>
          </w:tcPr>
          <w:p>
            <w:pPr>
              <w:pStyle w:val="TableContents"/>
              <w:spacing w:before="0" w:after="283"/>
              <w:rPr>
                <w:sz w:val="4"/>
                <w:szCs w:val="4"/>
              </w:rPr>
            </w:pPr>
            <w:r>
              <w:rPr>
                <w:sz w:val="4"/>
                <w:szCs w:val="4"/>
              </w:rPr>
            </w:r>
          </w:p>
        </w:tc>
        <w:tc>
          <w:tcPr>
            <w:tcW w:w="534"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24" w:type="dxa"/>
            <w:tcBorders/>
            <w:shd w:fill="auto" w:val="clear"/>
            <w:vAlign w:val="center"/>
          </w:tcPr>
          <w:p>
            <w:pPr>
              <w:pStyle w:val="TableContents"/>
              <w:spacing w:before="0" w:after="283"/>
              <w:rPr>
                <w:sz w:val="4"/>
                <w:szCs w:val="4"/>
              </w:rPr>
            </w:pPr>
            <w:r>
              <w:rPr>
                <w:sz w:val="4"/>
                <w:szCs w:val="4"/>
              </w:rPr>
            </w:r>
          </w:p>
        </w:tc>
        <w:tc>
          <w:tcPr>
            <w:tcW w:w="527"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0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3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7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Ordinary shares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Class A Ordinary shares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Class B Ordinary shares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 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 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 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 paid-in capital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Accumulated other</w:t>
            </w:r>
          </w:p>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comprehensive income (loss)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deficit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shareholders’ equity (deficit)</w:t>
            </w:r>
          </w:p>
        </w:tc>
      </w:tr>
      <w:tr>
        <w:trPr/>
        <w:tc>
          <w:tcPr>
            <w:tcW w:w="133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as of January 1, 2018</w:t>
            </w:r>
          </w:p>
        </w:tc>
        <w:tc>
          <w:tcPr>
            <w:tcW w:w="106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106,527,778 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118,696 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(41,397,864)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(41,268,515)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Repurchase of ordinary shares</w:t>
            </w:r>
          </w:p>
        </w:tc>
        <w:tc>
          <w:tcPr>
            <w:tcW w:w="10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(820,062)</w:t>
            </w:r>
          </w:p>
        </w:tc>
        <w:tc>
          <w:tcPr>
            <w:tcW w:w="2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(784,717)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(784,799)</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Vesting of restricted shares (Note 13)</w:t>
            </w:r>
          </w:p>
        </w:tc>
        <w:tc>
          <w:tcPr>
            <w:tcW w:w="10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6,733,333 </w:t>
            </w:r>
          </w:p>
        </w:tc>
        <w:tc>
          <w:tcPr>
            <w:tcW w:w="2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165,038 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165,711 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Share-based compensation expense (Note 13)</w:t>
            </w:r>
          </w:p>
        </w:tc>
        <w:tc>
          <w:tcPr>
            <w:tcW w:w="10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2,253,350 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2,253,350 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spacing w:lineRule="auto" w:line="288"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Accretion on convertible redeemable preferred shares to redemption value (Note 11)</w:t>
            </w:r>
          </w:p>
        </w:tc>
        <w:tc>
          <w:tcPr>
            <w:tcW w:w="10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(2,418,388)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(30,816,423)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(33,234,811)</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10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376,116 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376,116 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Foreign currency translation adjustments</w:t>
            </w:r>
          </w:p>
        </w:tc>
        <w:tc>
          <w:tcPr>
            <w:tcW w:w="10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(749,030)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(749,030)</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Balance as of December 31, 2018</w:t>
            </w:r>
          </w:p>
        </w:tc>
        <w:tc>
          <w:tcPr>
            <w:tcW w:w="106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112,441,049 </w:t>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(630,334)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(72,622,888)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(73,241,978)</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Vesting of restricted shares (Note 13)</w:t>
            </w:r>
          </w:p>
        </w:tc>
        <w:tc>
          <w:tcPr>
            <w:tcW w:w="1066"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6,733,333 </w:t>
            </w:r>
          </w:p>
        </w:tc>
        <w:tc>
          <w:tcPr>
            <w:tcW w:w="231"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673 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1"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1"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7"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76,768 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2"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7"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77,441 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Share-based compensation expense (Note 13)</w:t>
            </w:r>
          </w:p>
        </w:tc>
        <w:tc>
          <w:tcPr>
            <w:tcW w:w="10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3,158,886 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3,158,886 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Repurchase of restricted shares (Note 13)</w:t>
            </w:r>
          </w:p>
        </w:tc>
        <w:tc>
          <w:tcPr>
            <w:tcW w:w="10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(100,000)</w:t>
            </w:r>
          </w:p>
        </w:tc>
        <w:tc>
          <w:tcPr>
            <w:tcW w:w="2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(84,430)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(84,440)</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Reclassification of liability-classified awards to equity-classified awards (Note 13)</w:t>
            </w:r>
          </w:p>
        </w:tc>
        <w:tc>
          <w:tcPr>
            <w:tcW w:w="10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48,012 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48,012 </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Accretion on convertible redeemable preferred shares to redemption value (Note 11)</w:t>
            </w:r>
          </w:p>
        </w:tc>
        <w:tc>
          <w:tcPr>
            <w:tcW w:w="10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(3,199,236)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(47,515,717)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(50,714,953)</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10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(6,177,438)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(6,177,438)</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Foreign currency translation adjustments</w:t>
            </w:r>
          </w:p>
        </w:tc>
        <w:tc>
          <w:tcPr>
            <w:tcW w:w="10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(358,083)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(358,083)</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Balance as of December 31, 2019</w:t>
            </w:r>
          </w:p>
        </w:tc>
        <w:tc>
          <w:tcPr>
            <w:tcW w:w="106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119,074,382 </w:t>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11,907 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(988,417)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(126,316,043)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(127,292,553)</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Vesting of restricted shares (Note 13)</w:t>
            </w:r>
          </w:p>
        </w:tc>
        <w:tc>
          <w:tcPr>
            <w:tcW w:w="1066"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2,805,557 </w:t>
            </w:r>
          </w:p>
        </w:tc>
        <w:tc>
          <w:tcPr>
            <w:tcW w:w="231"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280 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1"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1"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7"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(280)</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2"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7"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Share-based compensation expense (Note 13)</w:t>
            </w:r>
          </w:p>
        </w:tc>
        <w:tc>
          <w:tcPr>
            <w:tcW w:w="10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8,522,453 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8,522,453 </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Conversion of ordinary shares to Class A and Class B Ordinary Shares</w:t>
            </w:r>
          </w:p>
        </w:tc>
        <w:tc>
          <w:tcPr>
            <w:tcW w:w="10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(121,879,939)</w:t>
            </w:r>
          </w:p>
        </w:tc>
        <w:tc>
          <w:tcPr>
            <w:tcW w:w="2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(12,187)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45,700,000 </w:t>
            </w:r>
          </w:p>
        </w:tc>
        <w:tc>
          <w:tcPr>
            <w:tcW w:w="2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4,570 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76,179,939 </w:t>
            </w:r>
          </w:p>
        </w:tc>
        <w:tc>
          <w:tcPr>
            <w:tcW w:w="2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7,617 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Accretion on convertible redeemable preferred shares to redemption value (Note 11)</w:t>
            </w:r>
          </w:p>
        </w:tc>
        <w:tc>
          <w:tcPr>
            <w:tcW w:w="10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(158,949,418)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(34,516,325)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(193,465,743)</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Conversion of convertible redeemable preferred shares to Class A ordinary shares (Note 11)</w:t>
            </w:r>
          </w:p>
        </w:tc>
        <w:tc>
          <w:tcPr>
            <w:tcW w:w="10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182,917,991 </w:t>
            </w:r>
          </w:p>
        </w:tc>
        <w:tc>
          <w:tcPr>
            <w:tcW w:w="2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18,292 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483,417,850 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483,436,142 </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Class A ordinary shares upon Initial Public Offering (“IPO”), and over-allotment option, net of cost of issuance (Note 12)</w:t>
            </w:r>
          </w:p>
        </w:tc>
        <w:tc>
          <w:tcPr>
            <w:tcW w:w="10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80,500,000 </w:t>
            </w:r>
          </w:p>
        </w:tc>
        <w:tc>
          <w:tcPr>
            <w:tcW w:w="2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8,050 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373,629,822 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373,637,872 </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Class A ordinary shares upon Concurrent private placement (Note 12)</w:t>
            </w:r>
          </w:p>
        </w:tc>
        <w:tc>
          <w:tcPr>
            <w:tcW w:w="10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22,000,000 </w:t>
            </w:r>
          </w:p>
        </w:tc>
        <w:tc>
          <w:tcPr>
            <w:tcW w:w="2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109,997,800 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110,000,000 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10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(3,114,860)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(3,114,860)</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Foreign currency translation adjustments</w:t>
            </w:r>
          </w:p>
        </w:tc>
        <w:tc>
          <w:tcPr>
            <w:tcW w:w="10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2,929,387 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2,929,387 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Shares issued as part of an acquisition (Note 3)</w:t>
            </w:r>
          </w:p>
        </w:tc>
        <w:tc>
          <w:tcPr>
            <w:tcW w:w="10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84,634 </w:t>
            </w:r>
          </w:p>
        </w:tc>
        <w:tc>
          <w:tcPr>
            <w:tcW w:w="2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849,992 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850,000 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Exercise of options</w:t>
            </w:r>
          </w:p>
        </w:tc>
        <w:tc>
          <w:tcPr>
            <w:tcW w:w="10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7,632,431 </w:t>
            </w:r>
          </w:p>
        </w:tc>
        <w:tc>
          <w:tcPr>
            <w:tcW w:w="2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959,700 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960,464 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as of December 31, 2020</w:t>
            </w:r>
          </w:p>
        </w:tc>
        <w:tc>
          <w:tcPr>
            <w:tcW w:w="10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338,835,056 </w:t>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33,884 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76,179,939 </w:t>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7,617 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818,427,919 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1,940,970 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(163,947,228)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656,463,162 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351155"/>
                <wp:effectExtent l="0" t="0" r="0" b="0"/>
                <wp:wrapNone/>
                <wp:docPr id="166" name="Frame165"/>
                <a:graphic xmlns:a="http://schemas.openxmlformats.org/drawingml/2006/main">
                  <a:graphicData uri="http://schemas.microsoft.com/office/word/2010/wordprocessingShape">
                    <wps:wsp>
                      <wps:cNvSpPr txBox="1"/>
                      <wps:spPr>
                        <a:xfrm>
                          <a:off x="0" y="0"/>
                          <a:ext cx="6480175" cy="35115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F-6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F-6</w:t>
                      </w:r>
                    </w:p>
                  </w:txbxContent>
                </v:textbox>
              </v:rect>
            </w:pict>
          </mc:Fallback>
        </mc:AlternateConten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AGORA,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CASH FLOWS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YEARS ENDED DECEMBER 31, 2018, 2019 and 2020</w:t>
      </w:r>
    </w:p>
    <w:p>
      <w:pPr>
        <w:pStyle w:val="TextBody"/>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 xml:space="preserve">(All amounts in US$, except share data, unless otherwise stated) </w:t>
      </w:r>
    </w:p>
    <w:p>
      <w:pPr>
        <w:pStyle w:val="TextBody"/>
        <w:spacing w:before="0" w:after="0"/>
        <w:jc w:val="center"/>
        <w:rPr/>
      </w:pPr>
      <w:r>
        <w:rPr/>
      </w:r>
    </w:p>
    <w:tbl>
      <w:tblPr>
        <w:tblW w:w="10205" w:type="dxa"/>
        <w:jc w:val="center"/>
        <w:tblInd w:w="0" w:type="dxa"/>
        <w:tblCellMar>
          <w:top w:w="28" w:type="dxa"/>
          <w:left w:w="28" w:type="dxa"/>
          <w:bottom w:w="28" w:type="dxa"/>
          <w:right w:w="28" w:type="dxa"/>
        </w:tblCellMar>
      </w:tblPr>
      <w:tblGrid>
        <w:gridCol w:w="1956"/>
        <w:gridCol w:w="1513"/>
        <w:gridCol w:w="1517"/>
        <w:gridCol w:w="211"/>
        <w:gridCol w:w="1186"/>
        <w:gridCol w:w="109"/>
        <w:gridCol w:w="109"/>
        <w:gridCol w:w="109"/>
        <w:gridCol w:w="109"/>
        <w:gridCol w:w="211"/>
        <w:gridCol w:w="1186"/>
        <w:gridCol w:w="109"/>
        <w:gridCol w:w="109"/>
        <w:gridCol w:w="109"/>
        <w:gridCol w:w="109"/>
        <w:gridCol w:w="211"/>
        <w:gridCol w:w="1186"/>
        <w:gridCol w:w="156"/>
      </w:tblGrid>
      <w:tr>
        <w:trPr/>
        <w:tc>
          <w:tcPr>
            <w:tcW w:w="1956" w:type="dxa"/>
            <w:tcBorders/>
            <w:shd w:fill="auto" w:val="clear"/>
            <w:vAlign w:val="center"/>
          </w:tcPr>
          <w:p>
            <w:pPr>
              <w:pStyle w:val="TableContents"/>
              <w:spacing w:before="0" w:after="283"/>
              <w:rPr>
                <w:sz w:val="4"/>
                <w:szCs w:val="4"/>
              </w:rPr>
            </w:pPr>
            <w:r>
              <w:rPr>
                <w:sz w:val="4"/>
                <w:szCs w:val="4"/>
              </w:rPr>
            </w:r>
          </w:p>
        </w:tc>
        <w:tc>
          <w:tcPr>
            <w:tcW w:w="1513" w:type="dxa"/>
            <w:tcBorders/>
            <w:shd w:fill="auto" w:val="clear"/>
            <w:vAlign w:val="center"/>
          </w:tcPr>
          <w:p>
            <w:pPr>
              <w:pStyle w:val="TableContents"/>
              <w:spacing w:before="0" w:after="283"/>
              <w:rPr>
                <w:sz w:val="4"/>
                <w:szCs w:val="4"/>
              </w:rPr>
            </w:pPr>
            <w:r>
              <w:rPr>
                <w:sz w:val="4"/>
                <w:szCs w:val="4"/>
              </w:rPr>
            </w:r>
          </w:p>
        </w:tc>
        <w:tc>
          <w:tcPr>
            <w:tcW w:w="151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1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1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18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49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19"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49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2018</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50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2019</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53"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2020</w:t>
            </w:r>
          </w:p>
        </w:tc>
      </w:tr>
      <w:tr>
        <w:trPr/>
        <w:tc>
          <w:tcPr>
            <w:tcW w:w="49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from operating activities:</w:t>
            </w:r>
          </w:p>
        </w:tc>
        <w:tc>
          <w:tcPr>
            <w:tcW w:w="150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9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376,116 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(6,177,438)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(3,114,860)</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 expense</w:t>
            </w:r>
          </w:p>
        </w:tc>
        <w:tc>
          <w:tcPr>
            <w:tcW w:w="13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2,850,352 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3,405,084 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11,975,159 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of property and equipment</w:t>
            </w:r>
          </w:p>
        </w:tc>
        <w:tc>
          <w:tcPr>
            <w:tcW w:w="13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922,351 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1,867,734 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4,461,528 </w:t>
            </w:r>
          </w:p>
        </w:tc>
        <w:tc>
          <w:tcPr>
            <w:tcW w:w="156"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49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assets and liabilities, net of effects of businesses acquired:</w:t>
            </w:r>
          </w:p>
        </w:tc>
        <w:tc>
          <w:tcPr>
            <w:tcW w:w="15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13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(5,614,028)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(4,807,207)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(9,788,503)</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Prepayments and other current assets</w:t>
            </w:r>
          </w:p>
        </w:tc>
        <w:tc>
          <w:tcPr>
            <w:tcW w:w="13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47,809 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206,559 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(5,140,608)</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assets</w:t>
            </w:r>
          </w:p>
        </w:tc>
        <w:tc>
          <w:tcPr>
            <w:tcW w:w="13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(358,071)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(336,463)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378,008 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assets</w:t>
            </w:r>
          </w:p>
        </w:tc>
        <w:tc>
          <w:tcPr>
            <w:tcW w:w="13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(338,478)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(135,120)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(691,093)</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13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806,508 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1,121,563 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1,753,706 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Advances from customers</w:t>
            </w:r>
          </w:p>
        </w:tc>
        <w:tc>
          <w:tcPr>
            <w:tcW w:w="13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292,655 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302,655 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334,578 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Taxes payable</w:t>
            </w:r>
          </w:p>
        </w:tc>
        <w:tc>
          <w:tcPr>
            <w:tcW w:w="13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(1,134,236)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1,214,926 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(450,594)</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and other liabilities</w:t>
            </w:r>
          </w:p>
        </w:tc>
        <w:tc>
          <w:tcPr>
            <w:tcW w:w="13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2,685,123 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4,044,130 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6,846,963 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generated from operating activities</w:t>
            </w:r>
          </w:p>
        </w:tc>
        <w:tc>
          <w:tcPr>
            <w:tcW w:w="139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536,101 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706,423 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6,564,284 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from investing activities:</w:t>
            </w:r>
          </w:p>
        </w:tc>
        <w:tc>
          <w:tcPr>
            <w:tcW w:w="150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9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of short-term investments</w:t>
            </w:r>
          </w:p>
        </w:tc>
        <w:tc>
          <w:tcPr>
            <w:tcW w:w="13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(1,511,800)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(97,558,282)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(522,729,746)</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sale and maturity of short-term investments</w:t>
            </w:r>
          </w:p>
        </w:tc>
        <w:tc>
          <w:tcPr>
            <w:tcW w:w="13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99,007,872 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of property and equipment</w:t>
            </w:r>
          </w:p>
        </w:tc>
        <w:tc>
          <w:tcPr>
            <w:tcW w:w="13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(2,260,791)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(4,802,253)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(12,879,553)</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received from an acquisition</w:t>
            </w:r>
          </w:p>
        </w:tc>
        <w:tc>
          <w:tcPr>
            <w:tcW w:w="13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556,361 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139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(3,772,591)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(3,352,663)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(535,052,938)</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from financing activities:</w:t>
            </w:r>
          </w:p>
        </w:tc>
        <w:tc>
          <w:tcPr>
            <w:tcW w:w="150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49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Repurchase of ordinary shares</w:t>
            </w:r>
          </w:p>
        </w:tc>
        <w:tc>
          <w:tcPr>
            <w:tcW w:w="13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(784,799)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86"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issuance of Series C convertible redeemable preferred shares, net of issuance costs of $110,059</w:t>
            </w:r>
          </w:p>
        </w:tc>
        <w:tc>
          <w:tcPr>
            <w:tcW w:w="13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66,556,608 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86"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issuance of Series C+ convertible redeemable preferred shares, net of issuance costs of nil</w:t>
            </w:r>
          </w:p>
        </w:tc>
        <w:tc>
          <w:tcPr>
            <w:tcW w:w="13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50,000,002 </w:t>
            </w:r>
          </w:p>
        </w:tc>
        <w:tc>
          <w:tcPr>
            <w:tcW w:w="156"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49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the initial public offering and concurrent private placement, net of underwriter discounts and commissions and other offering costs paid</w:t>
            </w:r>
          </w:p>
        </w:tc>
        <w:tc>
          <w:tcPr>
            <w:tcW w:w="13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483,628,037 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86"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exercise of employees’ share options</w:t>
            </w:r>
          </w:p>
        </w:tc>
        <w:tc>
          <w:tcPr>
            <w:tcW w:w="13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10,000 </w:t>
            </w:r>
          </w:p>
        </w:tc>
        <w:tc>
          <w:tcPr>
            <w:tcW w:w="156"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49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w:t>
            </w:r>
          </w:p>
        </w:tc>
        <w:tc>
          <w:tcPr>
            <w:tcW w:w="139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65,771,809 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533,638,039 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49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foreign exchange rate changes on cash, cash equivalents and restricted cash</w:t>
            </w:r>
          </w:p>
        </w:tc>
        <w:tc>
          <w:tcPr>
            <w:tcW w:w="139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(555,985)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(268,646)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465,068 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49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increase (decrease) in cash, cash equivalents and restricted cash</w:t>
            </w:r>
          </w:p>
        </w:tc>
        <w:tc>
          <w:tcPr>
            <w:tcW w:w="139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61,979,334 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(2,914,886)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5,614,453 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49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at beginning of year</w:t>
            </w:r>
          </w:p>
        </w:tc>
        <w:tc>
          <w:tcPr>
            <w:tcW w:w="13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46,618,705 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108,598,039 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105,683,153 </w:t>
            </w:r>
          </w:p>
        </w:tc>
        <w:tc>
          <w:tcPr>
            <w:tcW w:w="156"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49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at end of year</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108,598,039 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105,683,153 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111,297,606 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Supplemental disclosure of cash flow information:</w:t>
            </w:r>
          </w:p>
        </w:tc>
        <w:tc>
          <w:tcPr>
            <w:tcW w:w="150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3"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9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taxes paid</w:t>
            </w:r>
          </w:p>
        </w:tc>
        <w:tc>
          <w:tcPr>
            <w:tcW w:w="13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421,560 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411,068 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742,049 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80175" cy="525780"/>
                <wp:effectExtent l="0" t="0" r="0" b="0"/>
                <wp:wrapNone/>
                <wp:docPr id="167" name="Frame166"/>
                <a:graphic xmlns:a="http://schemas.openxmlformats.org/drawingml/2006/main">
                  <a:graphicData uri="http://schemas.microsoft.com/office/word/2010/wordprocessingShape">
                    <wps:wsp>
                      <wps:cNvSpPr txBox="1"/>
                      <wps:spPr>
                        <a:xfrm>
                          <a:off x="0" y="0"/>
                          <a:ext cx="6480175" cy="525780"/>
                        </a:xfrm>
                        <a:prstGeom prst="rect"/>
                      </wps:spPr>
                      <wps:txbx>
                        <w:txbxContent>
                          <w:p>
                            <w:pPr>
                              <w:pStyle w:val="TextBody"/>
                              <w:spacing w:before="0" w:after="0"/>
                              <w:jc w:val="center"/>
                              <w:rPr/>
                            </w:pPr>
                            <w:r>
                              <w:rPr/>
                            </w:r>
                          </w:p>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F-7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F-7</w:t>
                      </w:r>
                    </w:p>
                  </w:txbxContent>
                </v:textbox>
              </v:rect>
            </w:pict>
          </mc:Fallback>
        </mc:AlternateConten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AGORA,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CASH FLOWS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YEARS ENDED DECEMBER 31, 2018, 2019 and 2020</w:t>
      </w:r>
    </w:p>
    <w:p>
      <w:pPr>
        <w:pStyle w:val="TextBody"/>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 xml:space="preserve">(All amounts in US$, except share data, unless otherwise stated) </w:t>
      </w:r>
    </w:p>
    <w:tbl>
      <w:tblPr>
        <w:tblW w:w="10205" w:type="dxa"/>
        <w:jc w:val="center"/>
        <w:tblInd w:w="0" w:type="dxa"/>
        <w:tblCellMar>
          <w:top w:w="28" w:type="dxa"/>
          <w:left w:w="28" w:type="dxa"/>
          <w:bottom w:w="28" w:type="dxa"/>
          <w:right w:w="28" w:type="dxa"/>
        </w:tblCellMar>
      </w:tblPr>
      <w:tblGrid>
        <w:gridCol w:w="1967"/>
        <w:gridCol w:w="1708"/>
        <w:gridCol w:w="1714"/>
        <w:gridCol w:w="540"/>
        <w:gridCol w:w="541"/>
        <w:gridCol w:w="176"/>
        <w:gridCol w:w="146"/>
        <w:gridCol w:w="146"/>
        <w:gridCol w:w="146"/>
        <w:gridCol w:w="540"/>
        <w:gridCol w:w="541"/>
        <w:gridCol w:w="176"/>
        <w:gridCol w:w="146"/>
        <w:gridCol w:w="146"/>
        <w:gridCol w:w="146"/>
        <w:gridCol w:w="593"/>
        <w:gridCol w:w="593"/>
        <w:gridCol w:w="240"/>
      </w:tblGrid>
      <w:tr>
        <w:trPr/>
        <w:tc>
          <w:tcPr>
            <w:tcW w:w="1967" w:type="dxa"/>
            <w:tcBorders/>
            <w:shd w:fill="auto" w:val="clear"/>
            <w:vAlign w:val="center"/>
          </w:tcPr>
          <w:p>
            <w:pPr>
              <w:pStyle w:val="TableContents"/>
              <w:spacing w:before="0" w:after="283"/>
              <w:rPr>
                <w:sz w:val="4"/>
                <w:szCs w:val="4"/>
              </w:rPr>
            </w:pPr>
            <w:r>
              <w:rPr>
                <w:sz w:val="4"/>
                <w:szCs w:val="4"/>
              </w:rPr>
            </w:r>
          </w:p>
        </w:tc>
        <w:tc>
          <w:tcPr>
            <w:tcW w:w="1708" w:type="dxa"/>
            <w:tcBorders/>
            <w:shd w:fill="auto" w:val="clear"/>
            <w:vAlign w:val="center"/>
          </w:tcPr>
          <w:p>
            <w:pPr>
              <w:pStyle w:val="TableContents"/>
              <w:spacing w:before="0" w:after="283"/>
              <w:rPr>
                <w:sz w:val="4"/>
                <w:szCs w:val="4"/>
              </w:rPr>
            </w:pPr>
            <w:r>
              <w:rPr>
                <w:sz w:val="4"/>
                <w:szCs w:val="4"/>
              </w:rPr>
            </w:r>
          </w:p>
        </w:tc>
        <w:tc>
          <w:tcPr>
            <w:tcW w:w="1714" w:type="dxa"/>
            <w:tcBorders/>
            <w:shd w:fill="auto" w:val="clear"/>
            <w:vAlign w:val="center"/>
          </w:tcPr>
          <w:p>
            <w:pPr>
              <w:pStyle w:val="TableContents"/>
              <w:spacing w:before="0" w:after="283"/>
              <w:rPr>
                <w:sz w:val="4"/>
                <w:szCs w:val="4"/>
              </w:rPr>
            </w:pPr>
            <w:r>
              <w:rPr>
                <w:sz w:val="4"/>
                <w:szCs w:val="4"/>
              </w:rPr>
            </w:r>
          </w:p>
        </w:tc>
        <w:tc>
          <w:tcPr>
            <w:tcW w:w="540"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40"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93" w:type="dxa"/>
            <w:tcBorders/>
            <w:shd w:fill="auto" w:val="clear"/>
            <w:vAlign w:val="center"/>
          </w:tcPr>
          <w:p>
            <w:pPr>
              <w:pStyle w:val="TableContents"/>
              <w:spacing w:before="0" w:after="283"/>
              <w:rPr>
                <w:sz w:val="4"/>
                <w:szCs w:val="4"/>
              </w:rPr>
            </w:pPr>
            <w:r>
              <w:rPr>
                <w:sz w:val="4"/>
                <w:szCs w:val="4"/>
              </w:rPr>
            </w:r>
          </w:p>
        </w:tc>
        <w:tc>
          <w:tcPr>
            <w:tcW w:w="593"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r>
      <w:tr>
        <w:trPr/>
        <w:tc>
          <w:tcPr>
            <w:tcW w:w="53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6"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53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7"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2018</w:t>
            </w:r>
          </w:p>
        </w:tc>
        <w:tc>
          <w:tcPr>
            <w:tcW w:w="438"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257"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2019</w:t>
            </w:r>
          </w:p>
        </w:tc>
        <w:tc>
          <w:tcPr>
            <w:tcW w:w="43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2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2020</w:t>
            </w:r>
          </w:p>
        </w:tc>
      </w:tr>
      <w:tr>
        <w:trPr/>
        <w:tc>
          <w:tcPr>
            <w:tcW w:w="53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financing and investing activities:</w:t>
            </w:r>
          </w:p>
        </w:tc>
        <w:tc>
          <w:tcPr>
            <w:tcW w:w="125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6" w:type="dxa"/>
            <w:gridSpan w:val="3"/>
            <w:tcBorders/>
            <w:shd w:fill="auto"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53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Accretion to redemption value of convertible redeemable preferred shares</w:t>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33,234,811 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50,714,953 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193,465,743 </w:t>
            </w:r>
          </w:p>
        </w:tc>
        <w:tc>
          <w:tcPr>
            <w:tcW w:w="240"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53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Payables for property and equipment</w:t>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366,503 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613,463 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2,292,922 </w:t>
            </w:r>
          </w:p>
        </w:tc>
        <w:tc>
          <w:tcPr>
            <w:tcW w:w="2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89" w:type="dxa"/>
            <w:gridSpan w:val="3"/>
            <w:tcBorders/>
            <w:shd w:fill="CCEEFF" w:val="clear"/>
            <w:tcMar>
              <w:top w:w="0" w:type="dxa"/>
              <w:left w:w="0" w:type="dxa"/>
              <w:bottom w:w="0" w:type="dxa"/>
              <w:right w:w="0" w:type="dxa"/>
            </w:tcMar>
            <w:vAlign w:val="center"/>
          </w:tcPr>
          <w:p>
            <w:pPr>
              <w:pStyle w:val="TableContents"/>
              <w:spacing w:lineRule="auto" w:line="276"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Consideration payable for the acquisition</w:t>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3,150,001 </w:t>
            </w:r>
          </w:p>
        </w:tc>
        <w:tc>
          <w:tcPr>
            <w:tcW w:w="24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89"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Proceeds receivable from exercise of employees’ share options</w:t>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611,745 </w:t>
            </w:r>
          </w:p>
        </w:tc>
        <w:tc>
          <w:tcPr>
            <w:tcW w:w="240"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53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Deposits utilized for employees’ share option exercises</w:t>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(338,718)</w:t>
            </w:r>
          </w:p>
        </w:tc>
        <w:tc>
          <w:tcPr>
            <w:tcW w:w="24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p>
    <w:p>
      <w:pPr>
        <w:pStyle w:val="HorizontalLine"/>
        <w:rPr/>
      </w:pPr>
      <w:r>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80175" cy="526415"/>
                <wp:effectExtent l="0" t="0" r="0" b="0"/>
                <wp:wrapNone/>
                <wp:docPr id="168" name="Frame167"/>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F-8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F-8</w:t>
                      </w:r>
                    </w:p>
                  </w:txbxContent>
                </v:textbox>
              </v:rect>
            </w:pict>
          </mc:Fallback>
        </mc:AlternateConten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AGORA,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 xml:space="preserve">(All amounts in US$, except share data, unless otherwise stated) </w:t>
      </w:r>
    </w:p>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240"/>
        <w:ind w:left="0" w:right="0" w:hanging="567"/>
        <w:jc w:val="both"/>
        <w:rPr>
          <w:rFonts w:ascii="Times New Roman;sans-serif" w:hAnsi="Times New Roman;sans-serif"/>
          <w:b/>
          <w:color w:val="000000"/>
          <w:sz w:val="20"/>
        </w:rPr>
      </w:pPr>
      <w:r>
        <w:rPr>
          <w:rFonts w:ascii="Times New Roman;sans-serif" w:hAnsi="Times New Roman;sans-serif"/>
          <w:b/>
          <w:color w:val="000000"/>
          <w:sz w:val="20"/>
        </w:rPr>
        <w:t>1.Organization and Nature of Operations</w:t>
      </w:r>
    </w:p>
    <w:p>
      <w:pPr>
        <w:pStyle w:val="TextBody"/>
        <w:spacing w:lineRule="auto" w:line="288" w:before="0" w:after="240"/>
        <w:ind w:left="0" w:right="0" w:hanging="567"/>
        <w:jc w:val="both"/>
        <w:rPr>
          <w:rFonts w:ascii="Times New Roman;sans-serif" w:hAnsi="Times New Roman;sans-serif"/>
          <w:b/>
          <w:i/>
          <w:color w:val="000000"/>
          <w:sz w:val="20"/>
        </w:rPr>
      </w:pPr>
      <w:r>
        <w:rPr>
          <w:rFonts w:ascii="Times New Roman;sans-serif" w:hAnsi="Times New Roman;sans-serif"/>
          <w:b/>
          <w:i/>
          <w:color w:val="000000"/>
          <w:sz w:val="20"/>
        </w:rPr>
        <w:t>(a)Principal Activities</w:t>
      </w:r>
    </w:p>
    <w:p>
      <w:pPr>
        <w:pStyle w:val="TextBody"/>
        <w:spacing w:lineRule="auto" w:line="288" w:before="0" w:after="240"/>
        <w:ind w:left="0" w:right="0" w:firstLine="567"/>
        <w:jc w:val="both"/>
        <w:rPr>
          <w:rFonts w:ascii="Times New Roman;sans-serif" w:hAnsi="Times New Roman;sans-serif"/>
          <w:b w:val="false"/>
          <w:color w:val="000000"/>
          <w:sz w:val="20"/>
        </w:rPr>
      </w:pPr>
      <w:r>
        <w:rPr>
          <w:rFonts w:ascii="Times New Roman;sans-serif" w:hAnsi="Times New Roman;sans-serif"/>
          <w:b w:val="false"/>
          <w:color w:val="000000"/>
          <w:sz w:val="20"/>
        </w:rPr>
        <w:t>Agora, Inc. (the “Company”), an exempted company with limited liability, was incorporated in Cayman Islands on November 29, 2013. The Company, through its consolidated subsidiaries and variable interest entity (“VIE”) (collectively referred to as the “Group”) engages primarily in providing Real-Time Engagement Platform-as-a-Service (“RTE-PaaS”), which offers developers software tools to embed real-time video, voice and messaging capabilities into their applications without the need to create and maintain the underlying infrastructure themselves. The Group’s real-time engagement products are delivered through its Software-Defined Real-Time Network (“SD-RTN”), which is a virtual network overlay on top of the public internet. The Group’s principal operation and geographic market is in the People’s Republic of China (“PRC”) and the United States.</w:t>
      </w:r>
    </w:p>
    <w:p>
      <w:pPr>
        <w:pStyle w:val="TextBody"/>
        <w:spacing w:lineRule="auto" w:line="288" w:before="0" w:after="240"/>
        <w:ind w:left="0" w:right="0" w:hanging="567"/>
        <w:jc w:val="both"/>
        <w:rPr>
          <w:rFonts w:ascii="Times New Roman;sans-serif" w:hAnsi="Times New Roman;sans-serif"/>
          <w:b/>
          <w:i/>
          <w:color w:val="000000"/>
          <w:sz w:val="20"/>
          <w:highlight w:val="white"/>
        </w:rPr>
      </w:pPr>
      <w:r>
        <w:rPr>
          <w:rFonts w:ascii="Times New Roman;sans-serif" w:hAnsi="Times New Roman;sans-serif"/>
          <w:b/>
          <w:i/>
          <w:color w:val="000000"/>
          <w:sz w:val="20"/>
          <w:highlight w:val="white"/>
        </w:rPr>
        <w:t>(b)Reorganization</w:t>
      </w:r>
    </w:p>
    <w:p>
      <w:pPr>
        <w:pStyle w:val="TextBody"/>
        <w:spacing w:lineRule="auto" w:line="288" w:before="0" w:after="240"/>
        <w:ind w:left="0" w:right="0" w:firstLine="567"/>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The Group commenced its operations in 2014 through Agora Lab, Inc. and Shanghai Zhaoyan Network Technology Co., Ltd. (“Zhaoyan”), both of which were established and controlled by Bin (Tony) Zhao (the “Founder”). In December 2014, Agora IO, Inc was formed as part of a reorganization through which the Company, Agora IO, Inc and their respective shareholders entered into a share swap arrangement resulting in the Company along with its subsidiary, Agora Lab, Inc., becoming Agora IO, Inc’s subsidiaries. Further, Agora IO Hongkong Limited and Dayin Network Technology Co., Ltd. (“Dayin”) were established. The Group then entered into a series of contractual arrangements among Dayin, Zhaoyan and Zhaoyan’s shareholders in June 2015, and thereafter Zhaoyan became the variable interest entity of the Group (collectively referred to as the “Historical Reorganization”).</w:t>
      </w:r>
    </w:p>
    <w:p>
      <w:pPr>
        <w:pStyle w:val="TextBody"/>
        <w:spacing w:lineRule="auto" w:line="288" w:before="0" w:after="240"/>
        <w:ind w:left="0" w:right="0" w:firstLine="567"/>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In January 2020, the Group underwent another reorganization (the “Corporate Reorganization”) which ultimately resulted in Agora, Inc. becoming the parent company of the Group and the issuer in connection with its planned initial public offering in the following steps:</w:t>
      </w:r>
    </w:p>
    <w:p>
      <w:pPr>
        <w:pStyle w:val="TextBody"/>
        <w:spacing w:lineRule="auto" w:line="288" w:before="0" w:after="240"/>
        <w:ind w:left="0" w:right="0" w:firstLine="567"/>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First, Agora IO, Inc contributed 100% of the shares of Agora IO Hongkong Limited into Agora, Inc., after which Agora, Inc. held 100% of the equity securities of Agora IO Hongkong, Limited. Second, the Company obtained shares of Agora IO, Inc by having the shareholders swap their current Agora IO, Inc shares for the same number of shares in Agora, Inc., which mirrored the restrictions, rights, preferences and privileges as stipulated in the current shareholder agreements governing Agora IO, Inc. Agora IO, Inc became a wholly owned subsidiary of Agora, Inc., and in return, the shareholders of Agora IO, Inc became shareholders of Agora, Inc. As a result of the Corporate Reorganization, Agora, Inc. became wholly owned by the former shareholders of Agora IO, Inc while Agora IO, Inc became wholly owned by Agora, Inc.</w:t>
      </w:r>
    </w:p>
    <w:p>
      <w:pPr>
        <w:pStyle w:val="TextBody"/>
        <w:spacing w:lineRule="auto" w:line="288" w:before="0" w:after="240"/>
        <w:ind w:left="0" w:right="0" w:firstLine="567"/>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 xml:space="preserve">The Corporate Reorganization was completed on January 19, 2020. Through the Historical Reorganization and the Corporate Reorganization, the Group’s business continued to be carried out by Agora Lab, Inc. and Zhaoyan without a change in control. The Historical Reorganization and the Corporate Reorganization were accounted for as transactions under common control and therefore, the carryover basis was used to record assets and liabilities of Agora Lab, Inc. and Zhaoyan using historical costs for all periods presented as if the current corporate structure after the Corporate Reorganization had existed as of the beginning of the earliest period presented in the consolidated financial statements to reflect the final shares issued in the Corporate Reorganization. After the completion of the Corporate Reorganization, the Group’s consolidated financial statements include the financial statements of the Company, its subsidiaries and the consolidated VIE (Zhaoyan). </w:t>
      </w:r>
    </w:p>
    <w:p>
      <w:pPr>
        <w:pStyle w:val="TextBody"/>
        <w:spacing w:lineRule="auto" w:line="276" w:before="0" w:after="0"/>
        <w:ind w:left="0" w:right="0" w:firstLine="72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 xml:space="preserve">During 2020, the Company established Shanghai Jiyin Network Technology Co., Ltd. to further develop their business in the PRC. </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480175" cy="175260"/>
                <wp:effectExtent l="0" t="0" r="0" b="0"/>
                <wp:wrapNone/>
                <wp:docPr id="169" name="Frame16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F-9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F-9</w:t>
                      </w:r>
                    </w:p>
                  </w:txbxContent>
                </v:textbox>
              </v:rect>
            </w:pict>
          </mc:Fallback>
        </mc:AlternateConten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AGORA,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 xml:space="preserve">(All amounts in US$, except share data, unless otherwise stated) </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Company’s principal subsidiaries and VIE as of December 31, 2020 are as follows:</w:t>
      </w:r>
    </w:p>
    <w:tbl>
      <w:tblPr>
        <w:tblW w:w="10205" w:type="dxa"/>
        <w:jc w:val="left"/>
        <w:tblInd w:w="0" w:type="dxa"/>
        <w:tblCellMar>
          <w:top w:w="28" w:type="dxa"/>
          <w:left w:w="28" w:type="dxa"/>
          <w:bottom w:w="28" w:type="dxa"/>
          <w:right w:w="28" w:type="dxa"/>
        </w:tblCellMar>
      </w:tblPr>
      <w:tblGrid>
        <w:gridCol w:w="1029"/>
        <w:gridCol w:w="907"/>
        <w:gridCol w:w="909"/>
        <w:gridCol w:w="525"/>
        <w:gridCol w:w="525"/>
        <w:gridCol w:w="526"/>
        <w:gridCol w:w="109"/>
        <w:gridCol w:w="109"/>
        <w:gridCol w:w="109"/>
        <w:gridCol w:w="546"/>
        <w:gridCol w:w="546"/>
        <w:gridCol w:w="547"/>
        <w:gridCol w:w="109"/>
        <w:gridCol w:w="109"/>
        <w:gridCol w:w="109"/>
        <w:gridCol w:w="593"/>
        <w:gridCol w:w="593"/>
        <w:gridCol w:w="595"/>
        <w:gridCol w:w="109"/>
        <w:gridCol w:w="109"/>
        <w:gridCol w:w="109"/>
        <w:gridCol w:w="519"/>
        <w:gridCol w:w="354"/>
        <w:gridCol w:w="510"/>
      </w:tblGrid>
      <w:tr>
        <w:trPr/>
        <w:tc>
          <w:tcPr>
            <w:tcW w:w="1029" w:type="dxa"/>
            <w:tcBorders/>
            <w:shd w:fill="auto" w:val="clear"/>
            <w:vAlign w:val="center"/>
          </w:tcPr>
          <w:p>
            <w:pPr>
              <w:pStyle w:val="TableContents"/>
              <w:spacing w:before="0" w:after="283"/>
              <w:rPr>
                <w:sz w:val="4"/>
                <w:szCs w:val="4"/>
              </w:rPr>
            </w:pPr>
            <w:r>
              <w:rPr>
                <w:sz w:val="4"/>
                <w:szCs w:val="4"/>
              </w:rPr>
            </w:r>
          </w:p>
        </w:tc>
        <w:tc>
          <w:tcPr>
            <w:tcW w:w="907" w:type="dxa"/>
            <w:tcBorders/>
            <w:shd w:fill="auto" w:val="clear"/>
            <w:vAlign w:val="center"/>
          </w:tcPr>
          <w:p>
            <w:pPr>
              <w:pStyle w:val="TableContents"/>
              <w:spacing w:before="0" w:after="283"/>
              <w:rPr>
                <w:sz w:val="4"/>
                <w:szCs w:val="4"/>
              </w:rPr>
            </w:pPr>
            <w:r>
              <w:rPr>
                <w:sz w:val="4"/>
                <w:szCs w:val="4"/>
              </w:rPr>
            </w:r>
          </w:p>
        </w:tc>
        <w:tc>
          <w:tcPr>
            <w:tcW w:w="909" w:type="dxa"/>
            <w:tcBorders/>
            <w:shd w:fill="auto" w:val="clear"/>
            <w:vAlign w:val="center"/>
          </w:tcPr>
          <w:p>
            <w:pPr>
              <w:pStyle w:val="TableContents"/>
              <w:spacing w:before="0" w:after="283"/>
              <w:rPr>
                <w:sz w:val="4"/>
                <w:szCs w:val="4"/>
              </w:rPr>
            </w:pPr>
            <w:r>
              <w:rPr>
                <w:sz w:val="4"/>
                <w:szCs w:val="4"/>
              </w:rPr>
            </w:r>
          </w:p>
        </w:tc>
        <w:tc>
          <w:tcPr>
            <w:tcW w:w="525" w:type="dxa"/>
            <w:tcBorders/>
            <w:shd w:fill="auto" w:val="clear"/>
            <w:vAlign w:val="center"/>
          </w:tcPr>
          <w:p>
            <w:pPr>
              <w:pStyle w:val="TableContents"/>
              <w:spacing w:before="0" w:after="283"/>
              <w:rPr>
                <w:sz w:val="4"/>
                <w:szCs w:val="4"/>
              </w:rPr>
            </w:pPr>
            <w:r>
              <w:rPr>
                <w:sz w:val="4"/>
                <w:szCs w:val="4"/>
              </w:rPr>
            </w:r>
          </w:p>
        </w:tc>
        <w:tc>
          <w:tcPr>
            <w:tcW w:w="525"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46" w:type="dxa"/>
            <w:tcBorders/>
            <w:shd w:fill="auto" w:val="clear"/>
            <w:vAlign w:val="center"/>
          </w:tcPr>
          <w:p>
            <w:pPr>
              <w:pStyle w:val="TableContents"/>
              <w:spacing w:before="0" w:after="283"/>
              <w:rPr>
                <w:sz w:val="4"/>
                <w:szCs w:val="4"/>
              </w:rPr>
            </w:pPr>
            <w:r>
              <w:rPr>
                <w:sz w:val="4"/>
                <w:szCs w:val="4"/>
              </w:rPr>
            </w:r>
          </w:p>
        </w:tc>
        <w:tc>
          <w:tcPr>
            <w:tcW w:w="546" w:type="dxa"/>
            <w:tcBorders/>
            <w:shd w:fill="auto" w:val="clear"/>
            <w:vAlign w:val="center"/>
          </w:tcPr>
          <w:p>
            <w:pPr>
              <w:pStyle w:val="TableContents"/>
              <w:spacing w:before="0" w:after="283"/>
              <w:rPr>
                <w:sz w:val="4"/>
                <w:szCs w:val="4"/>
              </w:rPr>
            </w:pPr>
            <w:r>
              <w:rPr>
                <w:sz w:val="4"/>
                <w:szCs w:val="4"/>
              </w:rPr>
            </w:r>
          </w:p>
        </w:tc>
        <w:tc>
          <w:tcPr>
            <w:tcW w:w="54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93" w:type="dxa"/>
            <w:tcBorders/>
            <w:shd w:fill="auto" w:val="clear"/>
            <w:vAlign w:val="center"/>
          </w:tcPr>
          <w:p>
            <w:pPr>
              <w:pStyle w:val="TableContents"/>
              <w:spacing w:before="0" w:after="283"/>
              <w:rPr>
                <w:sz w:val="4"/>
                <w:szCs w:val="4"/>
              </w:rPr>
            </w:pPr>
            <w:r>
              <w:rPr>
                <w:sz w:val="4"/>
                <w:szCs w:val="4"/>
              </w:rPr>
            </w:r>
          </w:p>
        </w:tc>
        <w:tc>
          <w:tcPr>
            <w:tcW w:w="593" w:type="dxa"/>
            <w:tcBorders/>
            <w:shd w:fill="auto" w:val="clear"/>
            <w:vAlign w:val="center"/>
          </w:tcPr>
          <w:p>
            <w:pPr>
              <w:pStyle w:val="TableContents"/>
              <w:spacing w:before="0" w:after="283"/>
              <w:rPr>
                <w:sz w:val="4"/>
                <w:szCs w:val="4"/>
              </w:rPr>
            </w:pPr>
            <w:r>
              <w:rPr>
                <w:sz w:val="4"/>
                <w:szCs w:val="4"/>
              </w:rPr>
            </w:r>
          </w:p>
        </w:tc>
        <w:tc>
          <w:tcPr>
            <w:tcW w:w="59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19" w:type="dxa"/>
            <w:tcBorders/>
            <w:shd w:fill="auto" w:val="clear"/>
            <w:vAlign w:val="center"/>
          </w:tcPr>
          <w:p>
            <w:pPr>
              <w:pStyle w:val="TableContents"/>
              <w:spacing w:before="0" w:after="283"/>
              <w:rPr>
                <w:sz w:val="4"/>
                <w:szCs w:val="4"/>
              </w:rPr>
            </w:pPr>
            <w:r>
              <w:rPr>
                <w:sz w:val="4"/>
                <w:szCs w:val="4"/>
              </w:rPr>
            </w:r>
          </w:p>
        </w:tc>
        <w:tc>
          <w:tcPr>
            <w:tcW w:w="354" w:type="dxa"/>
            <w:tcBorders/>
            <w:shd w:fill="auto" w:val="clear"/>
            <w:vAlign w:val="center"/>
          </w:tcPr>
          <w:p>
            <w:pPr>
              <w:pStyle w:val="TableContents"/>
              <w:spacing w:before="0" w:after="283"/>
              <w:rPr>
                <w:sz w:val="4"/>
                <w:szCs w:val="4"/>
              </w:rPr>
            </w:pPr>
            <w:r>
              <w:rPr>
                <w:sz w:val="4"/>
                <w:szCs w:val="4"/>
              </w:rPr>
            </w:r>
          </w:p>
        </w:tc>
        <w:tc>
          <w:tcPr>
            <w:tcW w:w="510" w:type="dxa"/>
            <w:tcBorders/>
            <w:shd w:fill="auto" w:val="clear"/>
            <w:vAlign w:val="center"/>
          </w:tcPr>
          <w:p>
            <w:pPr>
              <w:pStyle w:val="TableContents"/>
              <w:spacing w:before="0" w:after="283"/>
              <w:rPr>
                <w:sz w:val="4"/>
                <w:szCs w:val="4"/>
              </w:rPr>
            </w:pPr>
            <w:r>
              <w:rPr>
                <w:sz w:val="4"/>
                <w:szCs w:val="4"/>
              </w:rPr>
            </w:r>
          </w:p>
        </w:tc>
      </w:tr>
      <w:tr>
        <w:trPr/>
        <w:tc>
          <w:tcPr>
            <w:tcW w:w="28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Date of Incorporation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Place of Incorporation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1"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Percentage of Direct or Indirect</w:t>
            </w:r>
          </w:p>
          <w:p>
            <w:pPr>
              <w:pStyle w:val="TableContents"/>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Ownership</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3" w:type="dxa"/>
            <w:gridSpan w:val="3"/>
            <w:tcBorders/>
            <w:shd w:fill="auto" w:val="clear"/>
            <w:tcMar>
              <w:top w:w="0" w:type="dxa"/>
              <w:left w:w="0" w:type="dxa"/>
              <w:bottom w:w="0" w:type="dxa"/>
              <w:right w:w="0" w:type="dxa"/>
            </w:tcMar>
            <w:vAlign w:val="center"/>
          </w:tcPr>
          <w:p>
            <w:pPr>
              <w:pStyle w:val="TableContents"/>
              <w:spacing w:lineRule="auto" w:line="240" w:before="0" w:after="283"/>
              <w:ind w:left="0" w:right="0" w:hanging="180"/>
              <w:jc w:val="center"/>
              <w:rPr>
                <w:rFonts w:ascii="Times New Roman;sans-serif" w:hAnsi="Times New Roman;sans-serif"/>
                <w:b/>
                <w:color w:val="000000"/>
                <w:sz w:val="20"/>
              </w:rPr>
            </w:pPr>
            <w:r>
              <w:rPr>
                <w:rFonts w:ascii="Times New Roman;sans-serif" w:hAnsi="Times New Roman;sans-serif"/>
                <w:b/>
                <w:color w:val="000000"/>
                <w:sz w:val="20"/>
              </w:rPr>
              <w:t>Principal Activities</w:t>
            </w:r>
          </w:p>
        </w:tc>
      </w:tr>
      <w:tr>
        <w:trPr/>
        <w:tc>
          <w:tcPr>
            <w:tcW w:w="28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Subsidiaries:</w:t>
            </w:r>
          </w:p>
        </w:tc>
        <w:tc>
          <w:tcPr>
            <w:tcW w:w="157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8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Agora Lab, Inc.</w:t>
            </w:r>
          </w:p>
        </w:tc>
        <w:tc>
          <w:tcPr>
            <w:tcW w:w="157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January 13, 2014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California, United States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3" w:type="dxa"/>
            <w:gridSpan w:val="3"/>
            <w:tcBorders/>
            <w:shd w:fill="FFFFFF" w:val="clear"/>
            <w:tcMar>
              <w:top w:w="0" w:type="dxa"/>
              <w:left w:w="0" w:type="dxa"/>
              <w:bottom w:w="0" w:type="dxa"/>
              <w:right w:w="0" w:type="dxa"/>
            </w:tcMar>
            <w:vAlign w:val="center"/>
          </w:tcPr>
          <w:p>
            <w:pPr>
              <w:pStyle w:val="TableContents"/>
              <w:spacing w:lineRule="auto" w:line="240" w:before="0" w:after="283"/>
              <w:ind w:left="0" w:right="0" w:hanging="180"/>
              <w:jc w:val="center"/>
              <w:rPr>
                <w:rFonts w:ascii="Times New Roman;sans-serif" w:hAnsi="Times New Roman;sans-serif"/>
                <w:b w:val="false"/>
                <w:color w:val="000000"/>
                <w:sz w:val="20"/>
              </w:rPr>
            </w:pPr>
            <w:r>
              <w:rPr>
                <w:rFonts w:ascii="Times New Roman;sans-serif" w:hAnsi="Times New Roman;sans-serif"/>
                <w:b w:val="false"/>
                <w:color w:val="000000"/>
                <w:sz w:val="20"/>
              </w:rPr>
              <w:t>Provision of services</w:t>
            </w:r>
          </w:p>
        </w:tc>
      </w:tr>
      <w:tr>
        <w:trPr/>
        <w:tc>
          <w:tcPr>
            <w:tcW w:w="28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Agora IO, Inc</w:t>
            </w:r>
          </w:p>
        </w:tc>
        <w:tc>
          <w:tcPr>
            <w:tcW w:w="157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2, 2014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Cayman Islands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3" w:type="dxa"/>
            <w:gridSpan w:val="3"/>
            <w:tcBorders/>
            <w:shd w:fill="CCEEFF" w:val="clear"/>
            <w:tcMar>
              <w:top w:w="0" w:type="dxa"/>
              <w:left w:w="0" w:type="dxa"/>
              <w:bottom w:w="0" w:type="dxa"/>
              <w:right w:w="0" w:type="dxa"/>
            </w:tcMar>
            <w:vAlign w:val="center"/>
          </w:tcPr>
          <w:p>
            <w:pPr>
              <w:pStyle w:val="TableContents"/>
              <w:spacing w:lineRule="auto" w:line="240" w:before="0" w:after="283"/>
              <w:ind w:left="0" w:right="0" w:hanging="180"/>
              <w:jc w:val="center"/>
              <w:rPr>
                <w:rFonts w:ascii="Times New Roman;sans-serif" w:hAnsi="Times New Roman;sans-serif"/>
                <w:b w:val="false"/>
                <w:color w:val="000000"/>
                <w:sz w:val="20"/>
              </w:rPr>
            </w:pPr>
            <w:r>
              <w:rPr>
                <w:rFonts w:ascii="Times New Roman;sans-serif" w:hAnsi="Times New Roman;sans-serif"/>
                <w:b w:val="false"/>
                <w:color w:val="000000"/>
                <w:sz w:val="20"/>
              </w:rPr>
              <w:t>Investment holding</w:t>
            </w:r>
          </w:p>
        </w:tc>
      </w:tr>
      <w:tr>
        <w:trPr/>
        <w:tc>
          <w:tcPr>
            <w:tcW w:w="28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Agora IO Hongkong Limited</w:t>
            </w:r>
          </w:p>
        </w:tc>
        <w:tc>
          <w:tcPr>
            <w:tcW w:w="157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12, 2014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Hong Kong</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3" w:type="dxa"/>
            <w:gridSpan w:val="3"/>
            <w:tcBorders/>
            <w:shd w:fill="FFFFFF" w:val="clear"/>
            <w:tcMar>
              <w:top w:w="0" w:type="dxa"/>
              <w:left w:w="0" w:type="dxa"/>
              <w:bottom w:w="0" w:type="dxa"/>
              <w:right w:w="0" w:type="dxa"/>
            </w:tcMar>
            <w:vAlign w:val="center"/>
          </w:tcPr>
          <w:p>
            <w:pPr>
              <w:pStyle w:val="TableContents"/>
              <w:spacing w:lineRule="auto" w:line="240" w:before="0" w:after="283"/>
              <w:ind w:left="0" w:right="0" w:hanging="180"/>
              <w:jc w:val="center"/>
              <w:rPr>
                <w:rFonts w:ascii="Times New Roman;sans-serif" w:hAnsi="Times New Roman;sans-serif"/>
                <w:b w:val="false"/>
                <w:color w:val="000000"/>
                <w:sz w:val="20"/>
              </w:rPr>
            </w:pPr>
            <w:r>
              <w:rPr>
                <w:rFonts w:ascii="Times New Roman;sans-serif" w:hAnsi="Times New Roman;sans-serif"/>
                <w:b w:val="false"/>
                <w:color w:val="000000"/>
                <w:sz w:val="20"/>
              </w:rPr>
              <w:t>Investment holding</w:t>
            </w:r>
          </w:p>
        </w:tc>
      </w:tr>
      <w:tr>
        <w:trPr/>
        <w:tc>
          <w:tcPr>
            <w:tcW w:w="28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Dayin Network Technology Co., Ltd. (“Dayin”)</w:t>
            </w:r>
          </w:p>
        </w:tc>
        <w:tc>
          <w:tcPr>
            <w:tcW w:w="157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April 30, 2015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3"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Provision of services</w:t>
            </w:r>
          </w:p>
        </w:tc>
      </w:tr>
      <w:tr>
        <w:trPr/>
        <w:tc>
          <w:tcPr>
            <w:tcW w:w="2845" w:type="dxa"/>
            <w:gridSpan w:val="3"/>
            <w:tcBorders/>
            <w:shd w:fill="FFFFFF" w:val="clear"/>
            <w:tcMar>
              <w:top w:w="0" w:type="dxa"/>
              <w:left w:w="0" w:type="dxa"/>
              <w:bottom w:w="0" w:type="dxa"/>
              <w:right w:w="0" w:type="dxa"/>
            </w:tcMar>
            <w:vAlign w:val="center"/>
          </w:tcPr>
          <w:p>
            <w:pPr>
              <w:pStyle w:val="TableContents"/>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Shanghai Jiyin Network Technology Co., Ltd. (“Jiyin”)</w:t>
            </w:r>
          </w:p>
        </w:tc>
        <w:tc>
          <w:tcPr>
            <w:tcW w:w="157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26, 2020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3"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Provision of services</w:t>
            </w:r>
          </w:p>
        </w:tc>
      </w:tr>
      <w:tr>
        <w:trPr/>
        <w:tc>
          <w:tcPr>
            <w:tcW w:w="28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Agora.IO Ltd</w:t>
            </w:r>
          </w:p>
        </w:tc>
        <w:tc>
          <w:tcPr>
            <w:tcW w:w="157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July 25, 2019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United Kingdom</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3"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Startup</w:t>
            </w:r>
          </w:p>
        </w:tc>
      </w:tr>
      <w:tr>
        <w:trPr/>
        <w:tc>
          <w:tcPr>
            <w:tcW w:w="2845"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Agora IO Singapore PTE. Ltd.</w:t>
            </w:r>
          </w:p>
        </w:tc>
        <w:tc>
          <w:tcPr>
            <w:tcW w:w="157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November 4, 2020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9" w:type="dxa"/>
            <w:gridSpan w:val="3"/>
            <w:tcBorders/>
            <w:shd w:fill="FFFFFF"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Singapore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3"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Investment holding</w:t>
            </w:r>
          </w:p>
        </w:tc>
      </w:tr>
      <w:tr>
        <w:trPr/>
        <w:tc>
          <w:tcPr>
            <w:tcW w:w="28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VIE:</w:t>
            </w:r>
          </w:p>
        </w:tc>
        <w:tc>
          <w:tcPr>
            <w:tcW w:w="15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45" w:type="dxa"/>
            <w:gridSpan w:val="3"/>
            <w:tcBorders/>
            <w:shd w:fill="CCEEFF" w:val="clear"/>
            <w:tcMar>
              <w:top w:w="0" w:type="dxa"/>
              <w:left w:w="0" w:type="dxa"/>
              <w:bottom w:w="0" w:type="dxa"/>
              <w:right w:w="0" w:type="dxa"/>
            </w:tcMar>
            <w:vAlign w:val="center"/>
          </w:tcPr>
          <w:p>
            <w:pPr>
              <w:pStyle w:val="TableContents"/>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Shanghai Zhaoyan Network Technology Co., Ltd. (“Zhaoyan”)</w:t>
            </w:r>
          </w:p>
        </w:tc>
        <w:tc>
          <w:tcPr>
            <w:tcW w:w="157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28, 2014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3"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Provision of services</w:t>
            </w:r>
          </w:p>
        </w:tc>
      </w:tr>
    </w:tbl>
    <w:p>
      <w:pPr>
        <w:pStyle w:val="TextBody"/>
        <w:spacing w:lineRule="auto" w:line="288" w:before="0" w:after="240"/>
        <w:ind w:left="0" w:right="0" w:hanging="567"/>
        <w:jc w:val="both"/>
        <w:rPr>
          <w:rFonts w:ascii="Times New Roman;sans-serif" w:hAnsi="Times New Roman;sans-serif"/>
          <w:b/>
          <w:i/>
          <w:color w:val="000000"/>
          <w:sz w:val="20"/>
          <w:highlight w:val="white"/>
        </w:rPr>
      </w:pPr>
      <w:r>
        <w:rPr>
          <w:rFonts w:ascii="Times New Roman;sans-serif" w:hAnsi="Times New Roman;sans-serif"/>
          <w:b/>
          <w:i/>
          <w:color w:val="000000"/>
          <w:sz w:val="20"/>
          <w:highlight w:val="white"/>
        </w:rPr>
        <w:t>(c)Consolidated Variable Interest Entities</w:t>
      </w:r>
    </w:p>
    <w:p>
      <w:pPr>
        <w:pStyle w:val="TextBody"/>
        <w:spacing w:lineRule="auto" w:line="276" w:before="0" w:after="0"/>
        <w:ind w:left="0" w:right="0" w:firstLine="567"/>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In order to comply with the PRC laws and regulations which prohibit or restrict foreign control of companies involved in the internet sector, the Group operates its businesses in the PRC through Zhaoyan, whose equity interests are controlled by the Founder of the Group. The Company obtained control over Zhaoyan by entering into a series of contractual arrangements with the legal shareholders who are also referred to as nominee shareholders. These nominee shareholders are the legal owners of Zhaoyan. However, the rights of those nominee shareholders have been transferred to the Company through a series of contractual arrangements.</w:t>
      </w:r>
    </w:p>
    <w:p>
      <w:pPr>
        <w:pStyle w:val="TextBody"/>
        <w:spacing w:before="0" w:after="0"/>
        <w:rPr/>
      </w:pPr>
      <w:r>
        <w:rPr/>
      </w:r>
    </w:p>
    <w:p>
      <w:pPr>
        <w:pStyle w:val="TextBody"/>
        <w:spacing w:lineRule="auto" w:line="288" w:before="0" w:after="240"/>
        <w:ind w:left="0" w:right="0" w:firstLine="567"/>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The principal terms of the contractual arrangements entered into by and among Dayin, Zhaoyan and the nominee shareholders of Zhaoyan are described below:</w:t>
      </w:r>
    </w:p>
    <w:p>
      <w:pPr>
        <w:pStyle w:val="TextBody"/>
        <w:spacing w:lineRule="auto" w:line="288" w:before="0" w:after="240"/>
        <w:ind w:left="0" w:right="0" w:firstLine="567"/>
        <w:rPr>
          <w:rFonts w:ascii="Times New Roman;sans-serif" w:hAnsi="Times New Roman;sans-serif"/>
          <w:b w:val="false"/>
          <w:i/>
          <w:color w:val="000000"/>
          <w:sz w:val="20"/>
          <w:highlight w:val="white"/>
        </w:rPr>
      </w:pPr>
      <w:r>
        <w:rPr>
          <w:rFonts w:ascii="Times New Roman;sans-serif" w:hAnsi="Times New Roman;sans-serif"/>
          <w:b w:val="false"/>
          <w:i/>
          <w:color w:val="000000"/>
          <w:sz w:val="20"/>
          <w:highlight w:val="white"/>
        </w:rPr>
        <w:t>Exclusive Technology Consulting and Services Agreement</w:t>
      </w:r>
    </w:p>
    <w:p>
      <w:pPr>
        <w:pStyle w:val="TextBody"/>
        <w:spacing w:lineRule="auto" w:line="288" w:before="0" w:after="240"/>
        <w:ind w:left="0" w:right="0" w:firstLine="567"/>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 xml:space="preserve">Under the Exclusive Technology Consulting and Services Agreement between Dayin and Zhaoyan, Dayin has the exclusive right to provide Zhaoyan consulting services related to, among other things, information consulting, assisting in information collection and market research, and providing training to personnel. Dayin has the exclusive ownership of intellectual property rights created as a result of the performance of this agreement. Zhaoyan shall pay to Dayin an annual service fee, which may only be adjusted with the approval of Dayin and Agora IO Hongkong Limited. Unless otherwise agreed pursuant to the agreement, this agreement will remain effective until the earlier of: (1) the end of a ten-year term, which will automatically extend annually unless Dayin provides 30 days’ prior written notice to Zhaoyan; (2) Dayin terminates the agreement because of Zhaoyan’s breach of the agreement; and (3) termination of the term of operation of Zhaoyan. For the years ended December 31, 2018, 2019 and 2020, the service fee is US$20,034,954, US$32,889,678 and US$53,843,706, respectively. </w:t>
      </w:r>
    </w:p>
    <w:p>
      <w:pPr>
        <w:pStyle w:val="TextBody"/>
        <w:spacing w:lineRule="auto" w:line="288" w:before="0" w:after="240"/>
        <w:ind w:left="0" w:right="0" w:firstLine="567"/>
        <w:rPr>
          <w:rFonts w:ascii="Times New Roman;sans-serif" w:hAnsi="Times New Roman;sans-serif"/>
          <w:b w:val="false"/>
          <w:i/>
          <w:color w:val="000000"/>
          <w:sz w:val="20"/>
          <w:highlight w:val="white"/>
        </w:rPr>
      </w:pPr>
      <w:r>
        <w:rPr>
          <w:rFonts w:ascii="Times New Roman;sans-serif" w:hAnsi="Times New Roman;sans-serif"/>
          <w:b w:val="false"/>
          <w:i/>
          <w:color w:val="000000"/>
          <w:sz w:val="20"/>
          <w:highlight w:val="white"/>
        </w:rPr>
        <w:t>Voting Rights Proxy Agreement and Irrevocable Powers of Attorney</w:t>
      </w:r>
    </w:p>
    <w:p>
      <w:pPr>
        <w:pStyle w:val="HorizontalLine"/>
        <w:rPr/>
      </w:pPr>
      <w:r>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480175" cy="175260"/>
                <wp:effectExtent l="0" t="0" r="0" b="0"/>
                <wp:wrapNone/>
                <wp:docPr id="170" name="Frame16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F-10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F-10</w:t>
                      </w:r>
                    </w:p>
                  </w:txbxContent>
                </v:textbox>
              </v:rect>
            </w:pict>
          </mc:Fallback>
        </mc:AlternateConten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AGORA,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 xml:space="preserve">(All amounts in US$, except share data, unless otherwise stated) </w:t>
      </w:r>
    </w:p>
    <w:p>
      <w:pPr>
        <w:pStyle w:val="TextBody"/>
        <w:spacing w:lineRule="auto" w:line="288" w:before="0" w:after="240"/>
        <w:ind w:left="0" w:right="0" w:firstLine="567"/>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Under the Voting Rights Proxy Agreement, by and among Zhaoyan, Dayin and each of the shareholders of Zhaoyan, and the related irrevocable powers of attorney executed by Zhaoyan’s shareholders on the same date pursuant to the Voting Rights Proxy Agreement, each of the shareholders of Zhaoyan irrevocably granted Dayin’s designated representative full power of attorney to exercise his or her rights as a shareholder of Zhaoyan including rights to convene and attend shareholders’ meeting, nominate and elect directors, and appoint and dismiss the senior management of Zhaoyan. Unless otherwise agreed pursuant to the Voting Rights Proxy Agreement, it will remain effective until the earlier of: (1) the end of a ten-year term, which will automatically extend annually unless Dayin provide 30 days’ prior written notice to Zhaoyan; (2) the termination of the term of operation of Zhaoyan. The related irrevocable powers of attorney will remain effective until the expiration or early termination of the Voting Rights Proxy Agreement.</w:t>
      </w:r>
    </w:p>
    <w:p>
      <w:pPr>
        <w:pStyle w:val="TextBody"/>
        <w:spacing w:lineRule="auto" w:line="288" w:before="0" w:after="240"/>
        <w:ind w:left="0" w:right="0" w:firstLine="567"/>
        <w:rPr>
          <w:rFonts w:ascii="Times New Roman;sans-serif" w:hAnsi="Times New Roman;sans-serif"/>
          <w:b w:val="false"/>
          <w:i/>
          <w:color w:val="000000"/>
          <w:sz w:val="20"/>
          <w:highlight w:val="white"/>
        </w:rPr>
      </w:pPr>
      <w:r>
        <w:rPr>
          <w:rFonts w:ascii="Times New Roman;sans-serif" w:hAnsi="Times New Roman;sans-serif"/>
          <w:b w:val="false"/>
          <w:i/>
          <w:color w:val="000000"/>
          <w:sz w:val="20"/>
          <w:highlight w:val="white"/>
        </w:rPr>
        <w:t>Share Pledge Agreement</w:t>
      </w:r>
    </w:p>
    <w:p>
      <w:pPr>
        <w:pStyle w:val="TextBody"/>
        <w:spacing w:lineRule="auto" w:line="288" w:before="0" w:after="240"/>
        <w:ind w:left="0" w:right="0" w:firstLine="567"/>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Pursuant to the Share Pledge Agreement, among Dayin, Zhaoyan and Zhaoyan’s shareholders, the shareholders of Zhaoyan pledged all of their equity interests in Zhaoyan to Dayin to guarantee their and Zhaoyan’s performance of their obligations under the contractual arrangements. In the event of a breach by Zhaoyan or Zhaoyan’s shareholders of contractual obligations under these agreements, Dayin, as pledgee, will be entitled the right to dispose of the pledged equity interests in Zhaoyan. The shareholders of Zhaoyan also undertakes that, during the term of the share pledge agreement, without the prior written consent to Dayin, they shall not dispose of the pledged equity interests or create or allow any encumbrance on the pledged equity interests or increase the registered capital of Zhaoyan. If there is any increased registered capital pursuant to the terms of this agreement, such increased registered capital would also be deemed as pledged equity interest. Following the terms of the Share Pledge Agreement, the shareholders of Zhaoyan have registered the pledge at the SAMR on July 29, 2015. The pledge will remain binding until Zhaoyan and their shareholders discharge all their obligations under the contractual arrangements and the de-registration at SAMR is completed.</w:t>
      </w:r>
    </w:p>
    <w:p>
      <w:pPr>
        <w:pStyle w:val="TextBody"/>
        <w:spacing w:lineRule="auto" w:line="288" w:before="0" w:after="240"/>
        <w:ind w:left="0" w:right="0" w:firstLine="567"/>
        <w:rPr>
          <w:rFonts w:ascii="Times New Roman;sans-serif" w:hAnsi="Times New Roman;sans-serif"/>
          <w:b w:val="false"/>
          <w:i/>
          <w:color w:val="000000"/>
          <w:sz w:val="20"/>
          <w:highlight w:val="white"/>
        </w:rPr>
      </w:pPr>
      <w:r>
        <w:rPr>
          <w:rFonts w:ascii="Times New Roman;sans-serif" w:hAnsi="Times New Roman;sans-serif"/>
          <w:b w:val="false"/>
          <w:i/>
          <w:color w:val="000000"/>
          <w:sz w:val="20"/>
          <w:highlight w:val="white"/>
        </w:rPr>
        <w:t>Exclusive Option Agreement</w:t>
      </w:r>
    </w:p>
    <w:p>
      <w:pPr>
        <w:pStyle w:val="TextBody"/>
        <w:spacing w:lineRule="auto" w:line="288" w:before="0" w:after="240"/>
        <w:ind w:left="0" w:right="0" w:firstLine="567"/>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Pursuant to the Exclusive Option Agreement, among Dayin, Zhaoyan and Zhaoyan’s shareholders, each of the shareholders of Zhaoyan irrevocably granted Dayin an exclusive option to purchase, or have its designated person to purchase, at its discretion, to the extent permitted under PRC law, all or part of their equity interests in Zhaoyan, and the purchase price shall be the registered capital of Zhaoyan pro rata to Zhaoyan’s shareholders’ shareholdings or the lowest price permitted by applicable PRC law. The shareholders of Zhaoyan undertakes that, without the prior written consent of Dayin, they shall not, among other things, increase or decrease the registered capital of Zhaoyan, dispose of its assets, incur any debts or guarantee liabilities, terminate any material agreements or enter into any agreements that are in conflict with any of the existing material agreements, distribute or vote to distribute any profits, interests or dividends, amend its articles of association or provide any loans to third parties. Unless otherwise agreed pursuant to the agreement, the Exclusive Option Agreement will remain effective until the earliest of: (1) the end of a ten-year term that is automatically extended annually unless Dayin gives Zhaoyan a termination notice 30 days before the term ends; (2) all equity interests in Zhaoyan held by Zhaoyan’s shareholders are transferred or assigned to Dayin or its designated representatives; and (3) the termination of the term of operation of Zhaoyan.</w:t>
      </w:r>
    </w:p>
    <w:p>
      <w:pPr>
        <w:pStyle w:val="TextBody"/>
        <w:spacing w:lineRule="auto" w:line="288" w:before="0" w:after="240"/>
        <w:ind w:left="0" w:right="0" w:firstLine="567"/>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The contractual arrangements cannot be unilaterally terminated. Management concluded that the Company, through Dayin and the contractual arrangements, has the power and control to direct the activities that most significantly impact Zhaoyan’s economic performance, bears the risks and enjoys the rewards normally associated with ownership of Zhaoyan, receive substantially all of the economic benefits and residual returns, and absorb substantially all the risks and expected losses from Zhaoyan as if it was their sole shareholder and therefore the Company is the ultimate primary beneficiary of Zhaoyan. As such, the Group consolidates the financial results of Zhaoyan which are prepared in accordance with the basis of presentation as stated in Note 2 below.</w:t>
      </w:r>
    </w:p>
    <w:p>
      <w:pPr>
        <w:pStyle w:val="TextBody"/>
        <w:spacing w:lineRule="auto" w:line="288" w:before="0" w:after="240"/>
        <w:ind w:left="0" w:right="0" w:firstLine="72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 xml:space="preserve">The following financial information set forth the assets, liabilities, results of operations and changes in cash and cash equivalents of the consolidated VIE (Zhaoyan) taken as a whole of the Group as of December 31, 2019 and </w:t>
      </w:r>
    </w:p>
    <w:p>
      <w:pPr>
        <w:pStyle w:val="HorizontalLine"/>
        <w:rPr/>
      </w:pPr>
      <w:r>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480175" cy="175260"/>
                <wp:effectExtent l="0" t="0" r="0" b="0"/>
                <wp:wrapNone/>
                <wp:docPr id="171" name="Frame170"/>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F-11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F-11</w:t>
                      </w:r>
                    </w:p>
                  </w:txbxContent>
                </v:textbox>
              </v:rect>
            </w:pict>
          </mc:Fallback>
        </mc:AlternateConten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AGORA,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 xml:space="preserve">(All amounts in US$, except share data, unless otherwise stated) </w:t>
      </w:r>
    </w:p>
    <w:p>
      <w:pPr>
        <w:pStyle w:val="TextBody"/>
        <w:spacing w:lineRule="auto" w:line="288" w:before="0" w:after="24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2020 and for the years ended December 31, 2018, 2019 and 2020, which was included in the accompanying consolidated financial statements of the Group with intercompany transactions eliminated as follows:</w:t>
      </w:r>
    </w:p>
    <w:tbl>
      <w:tblPr>
        <w:tblW w:w="6998" w:type="dxa"/>
        <w:jc w:val="left"/>
        <w:tblInd w:w="0" w:type="dxa"/>
        <w:tblCellMar>
          <w:top w:w="28" w:type="dxa"/>
          <w:left w:w="28" w:type="dxa"/>
          <w:bottom w:w="28" w:type="dxa"/>
          <w:right w:w="28" w:type="dxa"/>
        </w:tblCellMar>
      </w:tblPr>
      <w:tblGrid>
        <w:gridCol w:w="1378"/>
        <w:gridCol w:w="1215"/>
        <w:gridCol w:w="1231"/>
        <w:gridCol w:w="211"/>
        <w:gridCol w:w="1081"/>
        <w:gridCol w:w="109"/>
        <w:gridCol w:w="109"/>
        <w:gridCol w:w="109"/>
        <w:gridCol w:w="109"/>
        <w:gridCol w:w="211"/>
        <w:gridCol w:w="1081"/>
        <w:gridCol w:w="154"/>
      </w:tblGrid>
      <w:tr>
        <w:trPr/>
        <w:tc>
          <w:tcPr>
            <w:tcW w:w="1378" w:type="dxa"/>
            <w:tcBorders/>
            <w:shd w:fill="auto" w:val="clear"/>
            <w:vAlign w:val="center"/>
          </w:tcPr>
          <w:p>
            <w:pPr>
              <w:pStyle w:val="TableContents"/>
              <w:spacing w:before="0" w:after="283"/>
              <w:rPr>
                <w:sz w:val="4"/>
                <w:szCs w:val="4"/>
              </w:rPr>
            </w:pPr>
            <w:r>
              <w:rPr>
                <w:sz w:val="4"/>
                <w:szCs w:val="4"/>
              </w:rPr>
            </w:r>
          </w:p>
        </w:tc>
        <w:tc>
          <w:tcPr>
            <w:tcW w:w="1215" w:type="dxa"/>
            <w:tcBorders/>
            <w:shd w:fill="auto" w:val="clear"/>
            <w:vAlign w:val="center"/>
          </w:tcPr>
          <w:p>
            <w:pPr>
              <w:pStyle w:val="TableContents"/>
              <w:spacing w:before="0" w:after="283"/>
              <w:rPr>
                <w:sz w:val="4"/>
                <w:szCs w:val="4"/>
              </w:rPr>
            </w:pPr>
            <w:r>
              <w:rPr>
                <w:sz w:val="4"/>
                <w:szCs w:val="4"/>
              </w:rPr>
            </w:r>
          </w:p>
        </w:tc>
        <w:tc>
          <w:tcPr>
            <w:tcW w:w="123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8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74" w:type="dxa"/>
            <w:gridSpan w:val="9"/>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As of December 31,</w:t>
            </w:r>
          </w:p>
        </w:tc>
      </w:tr>
      <w:tr>
        <w:trPr/>
        <w:tc>
          <w:tcPr>
            <w:tcW w:w="38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2019</w:t>
            </w:r>
          </w:p>
        </w:tc>
        <w:tc>
          <w:tcPr>
            <w:tcW w:w="327" w:type="dxa"/>
            <w:gridSpan w:val="3"/>
            <w:tcBorders>
              <w:top w:val="sing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144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2020</w:t>
            </w:r>
          </w:p>
        </w:tc>
      </w:tr>
      <w:tr>
        <w:trPr/>
        <w:tc>
          <w:tcPr>
            <w:tcW w:w="38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74"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(US$)</w:t>
            </w:r>
          </w:p>
        </w:tc>
      </w:tr>
      <w:tr>
        <w:trPr/>
        <w:tc>
          <w:tcPr>
            <w:tcW w:w="38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14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4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17,308,887 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2,362,068 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w:t>
            </w:r>
          </w:p>
        </w:tc>
        <w:tc>
          <w:tcPr>
            <w:tcW w:w="12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12,413,983 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12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14,827,841 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23,557,994 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Amounts due from related parties</w:t>
            </w:r>
          </w:p>
        </w:tc>
        <w:tc>
          <w:tcPr>
            <w:tcW w:w="12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2,445,447 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2,090,321 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Prepayments and other current assets</w:t>
            </w:r>
          </w:p>
        </w:tc>
        <w:tc>
          <w:tcPr>
            <w:tcW w:w="12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886,022 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2,704,275 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35,468,197 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43,128,641 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assets:</w:t>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12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3,292,978 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8,951,306 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assets</w:t>
            </w:r>
          </w:p>
        </w:tc>
        <w:tc>
          <w:tcPr>
            <w:tcW w:w="12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387,950 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510,500 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assets</w:t>
            </w:r>
          </w:p>
        </w:tc>
        <w:tc>
          <w:tcPr>
            <w:tcW w:w="12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69,968 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205,147 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non-current assets</w:t>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3,750,896 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9,666,953 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39,219,093 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52,795,594 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w:t>
            </w:r>
          </w:p>
        </w:tc>
        <w:tc>
          <w:tcPr>
            <w:tcW w:w="140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4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12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2,992,628 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5,336,880 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Amounts due to related parties</w:t>
            </w:r>
          </w:p>
        </w:tc>
        <w:tc>
          <w:tcPr>
            <w:tcW w:w="12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27,780,440 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34,198,167 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Advances from customers</w:t>
            </w:r>
          </w:p>
        </w:tc>
        <w:tc>
          <w:tcPr>
            <w:tcW w:w="12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733,518 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1,112,800 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Taxes payable</w:t>
            </w:r>
          </w:p>
        </w:tc>
        <w:tc>
          <w:tcPr>
            <w:tcW w:w="12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756,020 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253,617 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and other current liabilities</w:t>
            </w:r>
          </w:p>
        </w:tc>
        <w:tc>
          <w:tcPr>
            <w:tcW w:w="12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3,440,748 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5,035,100 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35,703,354 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45,936,564 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35,703,354 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45,936,564 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tbl>
      <w:tblPr>
        <w:tblW w:w="6378" w:type="dxa"/>
        <w:jc w:val="left"/>
        <w:tblInd w:w="0" w:type="dxa"/>
        <w:tblCellMar>
          <w:top w:w="28" w:type="dxa"/>
          <w:left w:w="28" w:type="dxa"/>
          <w:bottom w:w="28" w:type="dxa"/>
          <w:right w:w="28" w:type="dxa"/>
        </w:tblCellMar>
      </w:tblPr>
      <w:tblGrid>
        <w:gridCol w:w="553"/>
        <w:gridCol w:w="487"/>
        <w:gridCol w:w="489"/>
        <w:gridCol w:w="540"/>
        <w:gridCol w:w="541"/>
        <w:gridCol w:w="176"/>
        <w:gridCol w:w="152"/>
        <w:gridCol w:w="152"/>
        <w:gridCol w:w="152"/>
        <w:gridCol w:w="540"/>
        <w:gridCol w:w="541"/>
        <w:gridCol w:w="176"/>
        <w:gridCol w:w="152"/>
        <w:gridCol w:w="152"/>
        <w:gridCol w:w="152"/>
        <w:gridCol w:w="593"/>
        <w:gridCol w:w="593"/>
        <w:gridCol w:w="237"/>
      </w:tblGrid>
      <w:tr>
        <w:trPr/>
        <w:tc>
          <w:tcPr>
            <w:tcW w:w="553" w:type="dxa"/>
            <w:tcBorders/>
            <w:shd w:fill="auto" w:val="clear"/>
            <w:vAlign w:val="center"/>
          </w:tcPr>
          <w:p>
            <w:pPr>
              <w:pStyle w:val="TableContents"/>
              <w:spacing w:before="0" w:after="283"/>
              <w:rPr>
                <w:sz w:val="4"/>
                <w:szCs w:val="4"/>
              </w:rPr>
            </w:pPr>
            <w:r>
              <w:rPr>
                <w:sz w:val="4"/>
                <w:szCs w:val="4"/>
              </w:rPr>
            </w:r>
          </w:p>
        </w:tc>
        <w:tc>
          <w:tcPr>
            <w:tcW w:w="487" w:type="dxa"/>
            <w:tcBorders/>
            <w:shd w:fill="auto" w:val="clear"/>
            <w:vAlign w:val="center"/>
          </w:tcPr>
          <w:p>
            <w:pPr>
              <w:pStyle w:val="TableContents"/>
              <w:spacing w:before="0" w:after="283"/>
              <w:rPr>
                <w:sz w:val="4"/>
                <w:szCs w:val="4"/>
              </w:rPr>
            </w:pPr>
            <w:r>
              <w:rPr>
                <w:sz w:val="4"/>
                <w:szCs w:val="4"/>
              </w:rPr>
            </w:r>
          </w:p>
        </w:tc>
        <w:tc>
          <w:tcPr>
            <w:tcW w:w="489" w:type="dxa"/>
            <w:tcBorders/>
            <w:shd w:fill="auto" w:val="clear"/>
            <w:vAlign w:val="center"/>
          </w:tcPr>
          <w:p>
            <w:pPr>
              <w:pStyle w:val="TableContents"/>
              <w:spacing w:before="0" w:after="283"/>
              <w:rPr>
                <w:sz w:val="4"/>
                <w:szCs w:val="4"/>
              </w:rPr>
            </w:pPr>
            <w:r>
              <w:rPr>
                <w:sz w:val="4"/>
                <w:szCs w:val="4"/>
              </w:rPr>
            </w:r>
          </w:p>
        </w:tc>
        <w:tc>
          <w:tcPr>
            <w:tcW w:w="540"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540"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593" w:type="dxa"/>
            <w:tcBorders/>
            <w:shd w:fill="auto" w:val="clear"/>
            <w:vAlign w:val="center"/>
          </w:tcPr>
          <w:p>
            <w:pPr>
              <w:pStyle w:val="TableContents"/>
              <w:spacing w:before="0" w:after="283"/>
              <w:rPr>
                <w:sz w:val="4"/>
                <w:szCs w:val="4"/>
              </w:rPr>
            </w:pPr>
            <w:r>
              <w:rPr>
                <w:sz w:val="4"/>
                <w:szCs w:val="4"/>
              </w:rPr>
            </w:r>
          </w:p>
        </w:tc>
        <w:tc>
          <w:tcPr>
            <w:tcW w:w="593"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r>
      <w:tr>
        <w:trPr/>
        <w:tc>
          <w:tcPr>
            <w:tcW w:w="15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49"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15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2018</w:t>
            </w:r>
          </w:p>
        </w:tc>
        <w:tc>
          <w:tcPr>
            <w:tcW w:w="45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57"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2019</w:t>
            </w:r>
          </w:p>
        </w:tc>
        <w:tc>
          <w:tcPr>
            <w:tcW w:w="45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23"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2020</w:t>
            </w:r>
          </w:p>
        </w:tc>
      </w:tr>
      <w:tr>
        <w:trPr/>
        <w:tc>
          <w:tcPr>
            <w:tcW w:w="15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49"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(US$)</w:t>
            </w:r>
          </w:p>
        </w:tc>
      </w:tr>
      <w:tr>
        <w:trPr/>
        <w:tc>
          <w:tcPr>
            <w:tcW w:w="15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37,172,123 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57,444,924 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115,831,093 </w:t>
            </w:r>
          </w:p>
        </w:tc>
        <w:tc>
          <w:tcPr>
            <w:tcW w:w="2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(146,806)</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224,905 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1,247,450 </w:t>
            </w:r>
          </w:p>
        </w:tc>
        <w:tc>
          <w:tcPr>
            <w:tcW w:w="2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tbl>
      <w:tblPr>
        <w:tblW w:w="10113" w:type="dxa"/>
        <w:jc w:val="left"/>
        <w:tblInd w:w="0" w:type="dxa"/>
        <w:tblCellMar>
          <w:top w:w="28" w:type="dxa"/>
          <w:left w:w="28" w:type="dxa"/>
          <w:bottom w:w="28" w:type="dxa"/>
          <w:right w:w="28" w:type="dxa"/>
        </w:tblCellMar>
      </w:tblPr>
      <w:tblGrid>
        <w:gridCol w:w="1966"/>
        <w:gridCol w:w="1727"/>
        <w:gridCol w:w="1737"/>
        <w:gridCol w:w="524"/>
        <w:gridCol w:w="526"/>
        <w:gridCol w:w="176"/>
        <w:gridCol w:w="152"/>
        <w:gridCol w:w="152"/>
        <w:gridCol w:w="152"/>
        <w:gridCol w:w="488"/>
        <w:gridCol w:w="488"/>
        <w:gridCol w:w="176"/>
        <w:gridCol w:w="152"/>
        <w:gridCol w:w="152"/>
        <w:gridCol w:w="152"/>
        <w:gridCol w:w="578"/>
        <w:gridCol w:w="578"/>
        <w:gridCol w:w="237"/>
      </w:tblGrid>
      <w:tr>
        <w:trPr/>
        <w:tc>
          <w:tcPr>
            <w:tcW w:w="1966" w:type="dxa"/>
            <w:tcBorders/>
            <w:shd w:fill="auto" w:val="clear"/>
            <w:vAlign w:val="center"/>
          </w:tcPr>
          <w:p>
            <w:pPr>
              <w:pStyle w:val="TableContents"/>
              <w:spacing w:before="0" w:after="283"/>
              <w:rPr>
                <w:sz w:val="4"/>
                <w:szCs w:val="4"/>
              </w:rPr>
            </w:pPr>
            <w:r>
              <w:rPr>
                <w:sz w:val="4"/>
                <w:szCs w:val="4"/>
              </w:rPr>
            </w:r>
          </w:p>
        </w:tc>
        <w:tc>
          <w:tcPr>
            <w:tcW w:w="1727" w:type="dxa"/>
            <w:tcBorders/>
            <w:shd w:fill="auto" w:val="clear"/>
            <w:vAlign w:val="center"/>
          </w:tcPr>
          <w:p>
            <w:pPr>
              <w:pStyle w:val="TableContents"/>
              <w:spacing w:before="0" w:after="283"/>
              <w:rPr>
                <w:sz w:val="4"/>
                <w:szCs w:val="4"/>
              </w:rPr>
            </w:pPr>
            <w:r>
              <w:rPr>
                <w:sz w:val="4"/>
                <w:szCs w:val="4"/>
              </w:rPr>
            </w:r>
          </w:p>
        </w:tc>
        <w:tc>
          <w:tcPr>
            <w:tcW w:w="1737" w:type="dxa"/>
            <w:tcBorders/>
            <w:shd w:fill="auto" w:val="clear"/>
            <w:vAlign w:val="center"/>
          </w:tcPr>
          <w:p>
            <w:pPr>
              <w:pStyle w:val="TableContents"/>
              <w:spacing w:before="0" w:after="283"/>
              <w:rPr>
                <w:sz w:val="4"/>
                <w:szCs w:val="4"/>
              </w:rPr>
            </w:pPr>
            <w:r>
              <w:rPr>
                <w:sz w:val="4"/>
                <w:szCs w:val="4"/>
              </w:rPr>
            </w:r>
          </w:p>
        </w:tc>
        <w:tc>
          <w:tcPr>
            <w:tcW w:w="524"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578" w:type="dxa"/>
            <w:tcBorders/>
            <w:shd w:fill="auto" w:val="clear"/>
            <w:vAlign w:val="center"/>
          </w:tcPr>
          <w:p>
            <w:pPr>
              <w:pStyle w:val="TableContents"/>
              <w:spacing w:before="0" w:after="283"/>
              <w:rPr>
                <w:sz w:val="4"/>
                <w:szCs w:val="4"/>
              </w:rPr>
            </w:pPr>
            <w:r>
              <w:rPr>
                <w:sz w:val="4"/>
                <w:szCs w:val="4"/>
              </w:rPr>
            </w:r>
          </w:p>
        </w:tc>
        <w:tc>
          <w:tcPr>
            <w:tcW w:w="578"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r>
      <w:tr>
        <w:trPr/>
        <w:tc>
          <w:tcPr>
            <w:tcW w:w="54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83"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54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2018</w:t>
            </w:r>
          </w:p>
        </w:tc>
        <w:tc>
          <w:tcPr>
            <w:tcW w:w="45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52"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2019</w:t>
            </w:r>
          </w:p>
        </w:tc>
        <w:tc>
          <w:tcPr>
            <w:tcW w:w="45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93"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2020</w:t>
            </w:r>
          </w:p>
        </w:tc>
      </w:tr>
      <w:tr>
        <w:trPr/>
        <w:tc>
          <w:tcPr>
            <w:tcW w:w="54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83"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ind w:left="0" w:right="0" w:hanging="180"/>
              <w:jc w:val="center"/>
              <w:rPr>
                <w:rFonts w:ascii="Times New Roman;sans-serif" w:hAnsi="Times New Roman;sans-serif"/>
                <w:b w:val="false"/>
                <w:color w:val="000000"/>
                <w:sz w:val="20"/>
              </w:rPr>
            </w:pPr>
            <w:r>
              <w:rPr>
                <w:rFonts w:ascii="Times New Roman;sans-serif" w:hAnsi="Times New Roman;sans-serif"/>
                <w:b w:val="false"/>
                <w:color w:val="000000"/>
                <w:sz w:val="20"/>
              </w:rPr>
              <w:t>(US$)</w:t>
            </w:r>
          </w:p>
        </w:tc>
      </w:tr>
      <w:tr>
        <w:trPr/>
        <w:tc>
          <w:tcPr>
            <w:tcW w:w="54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and cash equivalents generated from operating activities</w:t>
            </w:r>
          </w:p>
        </w:tc>
        <w:tc>
          <w:tcPr>
            <w:tcW w:w="10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2,774,063 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9,389,954 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3,918,250 </w:t>
            </w:r>
          </w:p>
        </w:tc>
        <w:tc>
          <w:tcPr>
            <w:tcW w:w="237"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54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and cash equivalents used in investing activities</w:t>
            </w:r>
          </w:p>
        </w:tc>
        <w:tc>
          <w:tcPr>
            <w:tcW w:w="10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(2,251,153)</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(998,141)</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(18,865,069)</w:t>
            </w:r>
          </w:p>
        </w:tc>
        <w:tc>
          <w:tcPr>
            <w:tcW w:w="237"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54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and cash equivalents used in financing activities</w:t>
            </w:r>
          </w:p>
        </w:tc>
        <w:tc>
          <w:tcPr>
            <w:tcW w:w="10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240"/>
        <w:ind w:left="0" w:right="0" w:firstLine="567"/>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 xml:space="preserve">In accordance with the aforementioned agreements, the Company has power to direct activities of Zhaoyan, and can have assets transferred out of Zhaoyan. Therefore the Company considers that there is no asset in Zhaoyan </w:t>
      </w:r>
    </w:p>
    <w:p>
      <w:pPr>
        <w:pStyle w:val="HorizontalLine"/>
        <w:rPr/>
      </w:pPr>
      <w:r>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480175" cy="175260"/>
                <wp:effectExtent l="0" t="0" r="0" b="0"/>
                <wp:wrapNone/>
                <wp:docPr id="172" name="Frame17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F-12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F-12</w:t>
                      </w:r>
                    </w:p>
                  </w:txbxContent>
                </v:textbox>
              </v:rect>
            </w:pict>
          </mc:Fallback>
        </mc:AlternateConten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AGORA,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 xml:space="preserve">(All amounts in US$, except share data, unless otherwise stated) </w:t>
      </w:r>
    </w:p>
    <w:p>
      <w:pPr>
        <w:pStyle w:val="TextBody"/>
        <w:spacing w:lineRule="auto" w:line="288" w:before="0" w:after="24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that can be used only to settle obligations of Zhaoyan, except for registered capital, as of December 31, 2019 and 2020. As Zhaoyan was formed as a limited liability company under the PRC Company Law, the creditors do not have recourse to the general credit of the Company for all the liabilities of Zhaoyan.</w:t>
      </w:r>
    </w:p>
    <w:p>
      <w:pPr>
        <w:pStyle w:val="TextBody"/>
        <w:spacing w:lineRule="auto" w:line="288" w:before="0" w:after="240"/>
        <w:ind w:left="0" w:right="0" w:firstLine="567"/>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There is currently no contractual arrangement that would require the Company to provide additional financial support to Zhaoyan. As the Group is conducting certain businesses in the PRC through Zhaoyan, the Group may provide additional financial support on a discretionary basis in the future, which could expose the Group to a loss.</w:t>
      </w:r>
    </w:p>
    <w:p>
      <w:pPr>
        <w:pStyle w:val="TextBody"/>
        <w:spacing w:lineRule="auto" w:line="288" w:before="0" w:after="240"/>
        <w:ind w:left="0" w:right="0" w:firstLine="567"/>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There is no variable interest entity where the Company has variable interest but is not the primary beneficiary.</w:t>
      </w:r>
    </w:p>
    <w:p>
      <w:pPr>
        <w:pStyle w:val="TextBody"/>
        <w:spacing w:lineRule="auto" w:line="288" w:before="0" w:after="240"/>
        <w:ind w:left="0" w:right="0" w:firstLine="567"/>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The Group believes that the contractual arrangements among Zhaoyan’s shareholders, Zhaoyan and Dayin comply with PRC law and are legally enforceable. However, uncertainties in the PRC legal system could limit the Company’s ability to enforce these contractual arrangements and if the shareholders of Zhaoyan were to reduce their interest in the Company, their interests may diverge from that of the Company and that may potentially increase the risk that they would seek to act contrary to the contractual terms.</w:t>
      </w:r>
    </w:p>
    <w:p>
      <w:pPr>
        <w:pStyle w:val="TextBody"/>
        <w:spacing w:lineRule="auto" w:line="288" w:before="0" w:after="240"/>
        <w:ind w:left="0" w:right="0" w:firstLine="567"/>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The Company’s ability to control Zhaoyan also depends on the voting rights proxy and the effect of the share pledge under the Share Pledge Agreement and Dayin has to vote on all matters requiring shareholders’ approval in Zhaoyan. As noted above, the Company believes this voting right proxy is legally enforceable but may not be as effective as direct equity ownership.</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240"/>
        <w:ind w:left="0" w:right="0" w:hanging="567"/>
        <w:jc w:val="both"/>
        <w:rPr>
          <w:rFonts w:ascii="Times New Roman;sans-serif" w:hAnsi="Times New Roman;sans-serif"/>
          <w:b/>
          <w:color w:val="000000"/>
          <w:sz w:val="20"/>
        </w:rPr>
      </w:pPr>
      <w:r>
        <w:rPr>
          <w:rFonts w:ascii="Times New Roman;sans-serif" w:hAnsi="Times New Roman;sans-serif"/>
          <w:b/>
          <w:color w:val="000000"/>
          <w:sz w:val="20"/>
        </w:rPr>
        <w:t>2.    Principal Accounting Policies</w:t>
      </w:r>
    </w:p>
    <w:p>
      <w:pPr>
        <w:pStyle w:val="TextBody"/>
        <w:spacing w:lineRule="auto" w:line="288" w:before="0" w:after="240"/>
        <w:ind w:left="0" w:right="0" w:hanging="567"/>
        <w:jc w:val="both"/>
        <w:rPr>
          <w:rFonts w:ascii="Times New Roman;sans-serif" w:hAnsi="Times New Roman;sans-serif"/>
          <w:b/>
          <w:i/>
          <w:color w:val="000000"/>
          <w:sz w:val="20"/>
        </w:rPr>
      </w:pPr>
      <w:r>
        <w:rPr>
          <w:rFonts w:ascii="Times New Roman;sans-serif" w:hAnsi="Times New Roman;sans-serif"/>
          <w:b/>
          <w:i/>
          <w:color w:val="000000"/>
          <w:sz w:val="20"/>
        </w:rPr>
        <w:t>(a)    Basis of Presentation</w:t>
      </w:r>
    </w:p>
    <w:p>
      <w:pPr>
        <w:pStyle w:val="TextBody"/>
        <w:spacing w:lineRule="auto" w:line="288" w:before="0" w:after="240"/>
        <w:ind w:left="0" w:right="0" w:firstLine="567"/>
        <w:jc w:val="both"/>
        <w:rPr>
          <w:rFonts w:ascii="Times New Roman;sans-serif" w:hAnsi="Times New Roman;sans-serif"/>
          <w:b w:val="false"/>
          <w:color w:val="000000"/>
          <w:sz w:val="20"/>
        </w:rPr>
      </w:pPr>
      <w:r>
        <w:rPr>
          <w:rFonts w:ascii="Times New Roman;sans-serif" w:hAnsi="Times New Roman;sans-serif"/>
          <w:b w:val="false"/>
          <w:color w:val="000000"/>
          <w:sz w:val="20"/>
        </w:rPr>
        <w:t>The accompanying consolidated financial statements have been prepared in accordance with accounting principles generally accepted in the United States of America (“U.S. GAAP”).</w:t>
      </w:r>
    </w:p>
    <w:p>
      <w:pPr>
        <w:pStyle w:val="TextBody"/>
        <w:spacing w:lineRule="auto" w:line="288" w:before="0" w:after="240"/>
        <w:ind w:left="0" w:right="0" w:firstLine="567"/>
        <w:jc w:val="both"/>
        <w:rPr>
          <w:rFonts w:ascii="Times New Roman;sans-serif" w:hAnsi="Times New Roman;sans-serif"/>
          <w:b w:val="false"/>
          <w:color w:val="000000"/>
          <w:sz w:val="20"/>
        </w:rPr>
      </w:pPr>
      <w:r>
        <w:rPr>
          <w:rFonts w:ascii="Times New Roman;sans-serif" w:hAnsi="Times New Roman;sans-serif"/>
          <w:b w:val="false"/>
          <w:color w:val="000000"/>
          <w:sz w:val="20"/>
        </w:rPr>
        <w:t>The Corporate Reorganization was a recapitalization with no substantial changes in the shareholding of the Company. Accordingly, the accompanying consolidated financial statements have been prepared as if the current corporate structure had been in existence throughout the periods.</w:t>
      </w:r>
    </w:p>
    <w:p>
      <w:pPr>
        <w:pStyle w:val="TextBody"/>
        <w:spacing w:lineRule="auto" w:line="288" w:before="0" w:after="240"/>
        <w:ind w:left="0" w:right="0" w:firstLine="567"/>
        <w:jc w:val="both"/>
        <w:rPr>
          <w:rFonts w:ascii="Times New Roman;sans-serif" w:hAnsi="Times New Roman;sans-serif"/>
          <w:b w:val="false"/>
          <w:color w:val="000000"/>
          <w:sz w:val="20"/>
        </w:rPr>
      </w:pPr>
      <w:r>
        <w:rPr>
          <w:rFonts w:ascii="Times New Roman;sans-serif" w:hAnsi="Times New Roman;sans-serif"/>
          <w:b w:val="false"/>
          <w:color w:val="000000"/>
          <w:sz w:val="20"/>
        </w:rPr>
        <w:t>Principal accounting policies followed by the Company in the preparation of the accompanying consolidated financial statements are summarized below.</w:t>
      </w:r>
    </w:p>
    <w:p>
      <w:pPr>
        <w:pStyle w:val="TextBody"/>
        <w:spacing w:lineRule="auto" w:line="288" w:before="0" w:after="240"/>
        <w:ind w:left="0" w:right="0" w:hanging="567"/>
        <w:jc w:val="both"/>
        <w:rPr>
          <w:rFonts w:ascii="Times New Roman;sans-serif" w:hAnsi="Times New Roman;sans-serif"/>
          <w:b/>
          <w:i/>
          <w:color w:val="000000"/>
          <w:sz w:val="20"/>
        </w:rPr>
      </w:pPr>
      <w:r>
        <w:rPr>
          <w:rFonts w:ascii="Times New Roman;sans-serif" w:hAnsi="Times New Roman;sans-serif"/>
          <w:b/>
          <w:i/>
          <w:color w:val="000000"/>
          <w:sz w:val="20"/>
        </w:rPr>
        <w:t>(b)    Basis of Consolidation</w:t>
      </w:r>
    </w:p>
    <w:p>
      <w:pPr>
        <w:pStyle w:val="TextBody"/>
        <w:spacing w:lineRule="auto" w:line="288" w:before="0" w:after="240"/>
        <w:ind w:left="0" w:right="0" w:firstLine="567"/>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The Group’s consolidated financial statements include the financial statements of the Company, its subsidiaries and the VIE (Zhaoyan) for which the Company is the primary beneficiary. All transactions and balances among the Company, its subsidiaries, and Zhaoyan have been eliminated upon consolidation.</w:t>
      </w:r>
    </w:p>
    <w:p>
      <w:pPr>
        <w:pStyle w:val="TextBody"/>
        <w:spacing w:lineRule="auto" w:line="288" w:before="0" w:after="240"/>
        <w:ind w:left="0" w:right="0" w:firstLine="567"/>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A subsidiary is an entity in which the Company, directly or indirectly: (1) controls more than one half of the voting power; (2) has the power to appoint or remove the majority of the members of the board of directors; (3) casts a majority of votes at the meeting of the board of directors; or (4) governs the financial and operating policies of the investee under a statute or agreement among the shareholders or equity holders.</w:t>
      </w:r>
    </w:p>
    <w:p>
      <w:pPr>
        <w:pStyle w:val="TextBody"/>
        <w:spacing w:lineRule="auto" w:line="288" w:before="0" w:after="240"/>
        <w:ind w:left="0" w:right="0" w:firstLine="72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The Company applies the guidance codified in Accounting Standard Codification (“ASC”) 810, Consolidations, which contains guidance of accounting for VIEs. The guidance requires certain variable interest entities to be consolidated by the primary beneficiary of the entity in which it has a controlling financial interest. A consolidated VIE is an entity in which the Company, or its subsidiary, through contractual arrangements, bears the risks of, and enjoys the rewards normally associated with, ownership of the entity, and therefore the Company or its subsidiary is the primary beneficiary of the entity.</w:t>
      </w:r>
    </w:p>
    <w:p>
      <w:pPr>
        <w:pStyle w:val="HorizontalLine"/>
        <w:rPr/>
      </w:pPr>
      <w:r>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480175" cy="175260"/>
                <wp:effectExtent l="0" t="0" r="0" b="0"/>
                <wp:wrapNone/>
                <wp:docPr id="173" name="Frame17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F-13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F-13</w:t>
                      </w:r>
                    </w:p>
                  </w:txbxContent>
                </v:textbox>
              </v:rect>
            </w:pict>
          </mc:Fallback>
        </mc:AlternateConten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AGORA,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 xml:space="preserve">(All amounts in US$, except share data, unless otherwise stated) </w:t>
      </w:r>
    </w:p>
    <w:p>
      <w:pPr>
        <w:pStyle w:val="TextBody"/>
        <w:spacing w:lineRule="auto" w:line="288" w:before="0" w:after="240"/>
        <w:ind w:left="0" w:right="0" w:hanging="567"/>
        <w:jc w:val="both"/>
        <w:rPr>
          <w:rFonts w:ascii="Times New Roman;sans-serif" w:hAnsi="Times New Roman;sans-serif"/>
          <w:b/>
          <w:i/>
          <w:color w:val="000000"/>
          <w:sz w:val="20"/>
        </w:rPr>
      </w:pPr>
      <w:r>
        <w:rPr>
          <w:rFonts w:ascii="Times New Roman;sans-serif" w:hAnsi="Times New Roman;sans-serif"/>
          <w:b/>
          <w:i/>
          <w:color w:val="000000"/>
          <w:sz w:val="20"/>
        </w:rPr>
        <w:t>(c)    Use of Estimates</w:t>
      </w:r>
    </w:p>
    <w:p>
      <w:pPr>
        <w:pStyle w:val="TextBody"/>
        <w:spacing w:lineRule="auto" w:line="288" w:before="0" w:after="240"/>
        <w:ind w:left="0" w:right="0" w:firstLine="567"/>
        <w:jc w:val="both"/>
        <w:rPr>
          <w:rFonts w:ascii="Times New Roman;sans-serif" w:hAnsi="Times New Roman;sans-serif"/>
          <w:b w:val="false"/>
          <w:color w:val="000000"/>
          <w:sz w:val="20"/>
        </w:rPr>
      </w:pPr>
      <w:r>
        <w:rPr>
          <w:rFonts w:ascii="Times New Roman;sans-serif" w:hAnsi="Times New Roman;sans-serif"/>
          <w:b w:val="false"/>
          <w:color w:val="000000"/>
          <w:sz w:val="20"/>
        </w:rPr>
        <w:t>The preparation of the consolidated financial statements in conformity with U.S. GAAP requires management to make estimates and assumptions that affect the reported amounts of assets and liabilities, disclosure of contingent assets, long-lived assets and liabilities at the balance sheet date, and the reported revenues and expenses during the reporting periods in the consolidated financial statements and accompanying notes. The Company believes that the valuation of the Company’s preferred shares and share-based awards, and acquired intangible assets reflect more significant judgments and estimates used in the preparation of its consolidated financial statements. Estimates are based on historical experiences and on various assumptions that the Company believes are reasonable under current circumstances. However, changes in circumstances, facts and experience may cause the Company to revise its estimates; therefore, actual results could differ materially from those estimates.</w:t>
      </w:r>
    </w:p>
    <w:p>
      <w:pPr>
        <w:pStyle w:val="TextBody"/>
        <w:spacing w:lineRule="auto" w:line="288" w:before="0" w:after="240"/>
        <w:ind w:left="0" w:right="0" w:hanging="567"/>
        <w:jc w:val="both"/>
        <w:rPr>
          <w:rFonts w:ascii="Times New Roman;sans-serif" w:hAnsi="Times New Roman;sans-serif"/>
          <w:b/>
          <w:i/>
          <w:color w:val="000000"/>
          <w:sz w:val="20"/>
        </w:rPr>
      </w:pPr>
      <w:r>
        <w:rPr>
          <w:rFonts w:ascii="Times New Roman;sans-serif" w:hAnsi="Times New Roman;sans-serif"/>
          <w:b/>
          <w:i/>
          <w:color w:val="000000"/>
          <w:sz w:val="20"/>
        </w:rPr>
        <w:t>(d)    Functional Currencies and Foreign Currency Translation</w:t>
      </w:r>
    </w:p>
    <w:p>
      <w:pPr>
        <w:pStyle w:val="TextBody"/>
        <w:spacing w:lineRule="auto" w:line="288" w:before="0" w:after="240"/>
        <w:ind w:left="0" w:right="0" w:firstLine="567"/>
        <w:jc w:val="both"/>
        <w:rPr>
          <w:rFonts w:ascii="Times New Roman;sans-serif" w:hAnsi="Times New Roman;sans-serif"/>
          <w:b w:val="false"/>
          <w:color w:val="000000"/>
          <w:sz w:val="20"/>
        </w:rPr>
      </w:pPr>
      <w:r>
        <w:rPr>
          <w:rFonts w:ascii="Times New Roman;sans-serif" w:hAnsi="Times New Roman;sans-serif"/>
          <w:b w:val="false"/>
          <w:color w:val="000000"/>
          <w:sz w:val="20"/>
        </w:rPr>
        <w:t>The Group uses U.S. dollars (“US$”) as its reporting currency. The functional currency of the Company and its subsidiaries incorporated outside of PRC is US$, while the functional currency of the PRC entities in the Group is Renminbi (“RMB”) as determined based on the criteria of ASC 830, Foreign Currency Matters.</w:t>
      </w:r>
    </w:p>
    <w:p>
      <w:pPr>
        <w:pStyle w:val="TextBody"/>
        <w:spacing w:lineRule="auto" w:line="288" w:before="0" w:after="240"/>
        <w:ind w:left="0" w:right="0" w:firstLine="567"/>
        <w:jc w:val="both"/>
        <w:rPr>
          <w:rFonts w:ascii="Times New Roman;sans-serif" w:hAnsi="Times New Roman;sans-serif"/>
          <w:b w:val="false"/>
          <w:color w:val="000000"/>
          <w:sz w:val="20"/>
        </w:rPr>
      </w:pPr>
      <w:r>
        <w:rPr>
          <w:rFonts w:ascii="Times New Roman;sans-serif" w:hAnsi="Times New Roman;sans-serif"/>
          <w:b w:val="false"/>
          <w:color w:val="000000"/>
          <w:sz w:val="20"/>
        </w:rPr>
        <w:t>Transactions denominated in other than the functional currencies are re-measured into the functional currency of the entity at the exchange rates prevailing on the transaction dates. Financial assets and liabilities denominated in other than the functional currency are re-measured at the balance sheet date exchange rate. The resulting exchange differences are recorded in the consolidated statements of comprehensive loss as foreign exchange related gain or loss.</w:t>
      </w:r>
    </w:p>
    <w:p>
      <w:pPr>
        <w:pStyle w:val="TextBody"/>
        <w:spacing w:lineRule="auto" w:line="288" w:before="0" w:after="240"/>
        <w:ind w:left="0" w:right="0" w:firstLine="567"/>
        <w:jc w:val="both"/>
        <w:rPr>
          <w:rFonts w:ascii="Times New Roman;sans-serif" w:hAnsi="Times New Roman;sans-serif"/>
          <w:b w:val="false"/>
          <w:color w:val="000000"/>
          <w:sz w:val="20"/>
        </w:rPr>
      </w:pPr>
      <w:r>
        <w:rPr>
          <w:rFonts w:ascii="Times New Roman;sans-serif" w:hAnsi="Times New Roman;sans-serif"/>
          <w:b w:val="false"/>
          <w:color w:val="000000"/>
          <w:sz w:val="20"/>
        </w:rPr>
        <w:t>The financial statements of the Group’s entities using functional currency other than US$ are translated from the functional currency to the reporting currency, US$. Assets and liabilities of the Group’s subsidiaries incorporated in PRC are translated into US$ at balance sheet date exchange rates, while income and expense items are translated at average exchange rates prevailing during the fiscal year, representing the index rates stipulated by the People’s Bank of China. Translation adjustments arising from these are reported as foreign currency translation adjustments and are shown as accumulated other comprehensive loss on the consolidated financial statement.</w:t>
      </w:r>
    </w:p>
    <w:p>
      <w:pPr>
        <w:pStyle w:val="TextBody"/>
        <w:spacing w:lineRule="auto" w:line="288" w:before="0" w:after="240"/>
        <w:ind w:left="0" w:right="0" w:hanging="567"/>
        <w:jc w:val="both"/>
        <w:rPr>
          <w:rFonts w:ascii="Times New Roman;sans-serif" w:hAnsi="Times New Roman;sans-serif"/>
          <w:b/>
          <w:i/>
          <w:color w:val="000000"/>
          <w:sz w:val="20"/>
        </w:rPr>
      </w:pPr>
      <w:r>
        <w:rPr>
          <w:rFonts w:ascii="Times New Roman;sans-serif" w:hAnsi="Times New Roman;sans-serif"/>
          <w:b/>
          <w:i/>
          <w:color w:val="000000"/>
          <w:sz w:val="20"/>
        </w:rPr>
        <w:t>(e)    Concentration of Credit Risk</w:t>
      </w:r>
    </w:p>
    <w:p>
      <w:pPr>
        <w:pStyle w:val="TextBody"/>
        <w:spacing w:lineRule="auto" w:line="288" w:before="0" w:after="240"/>
        <w:ind w:left="0" w:right="0" w:firstLine="567"/>
        <w:jc w:val="both"/>
        <w:rPr>
          <w:rFonts w:ascii="Times New Roman;sans-serif" w:hAnsi="Times New Roman;sans-serif"/>
          <w:b w:val="false"/>
          <w:color w:val="000000"/>
          <w:sz w:val="20"/>
        </w:rPr>
      </w:pPr>
      <w:r>
        <w:rPr>
          <w:rFonts w:ascii="Times New Roman;sans-serif" w:hAnsi="Times New Roman;sans-serif"/>
          <w:b w:val="false"/>
          <w:color w:val="000000"/>
          <w:sz w:val="20"/>
        </w:rPr>
        <w:t>Financial instruments that potentially subject the Group to concentration of credit risk consist of cash and cash equivalents, short-term investments and accounts receivable.</w:t>
      </w:r>
    </w:p>
    <w:p>
      <w:pPr>
        <w:pStyle w:val="TextBody"/>
        <w:spacing w:lineRule="auto" w:line="288" w:before="0" w:after="240"/>
        <w:ind w:left="0" w:right="0" w:firstLine="567"/>
        <w:jc w:val="both"/>
        <w:rPr>
          <w:rFonts w:ascii="Times New Roman;sans-serif" w:hAnsi="Times New Roman;sans-serif"/>
          <w:b w:val="false"/>
          <w:color w:val="000000"/>
          <w:sz w:val="20"/>
        </w:rPr>
      </w:pPr>
      <w:r>
        <w:rPr>
          <w:rFonts w:ascii="Times New Roman;sans-serif" w:hAnsi="Times New Roman;sans-serif"/>
          <w:b w:val="false"/>
          <w:color w:val="000000"/>
          <w:sz w:val="20"/>
        </w:rPr>
        <w:t>The Group deposits its cash and cash equivalents and short-term investments with major financial institutions which the Group believes that no significant credit risk with high credit quality. For the years ended December 31, 2019 and 2020, the amount of cash and cash equivalents held in banks in the PRC, as well as cash and cash equivalents denominated in RMB, were $19.0 million and $6.5 million, respectively.</w:t>
      </w:r>
    </w:p>
    <w:p>
      <w:pPr>
        <w:pStyle w:val="TextBody"/>
        <w:spacing w:lineRule="auto" w:line="288" w:before="0" w:after="240"/>
        <w:ind w:left="0" w:right="0" w:firstLine="567"/>
        <w:jc w:val="both"/>
        <w:rPr>
          <w:rFonts w:ascii="Times New Roman;sans-serif" w:hAnsi="Times New Roman;sans-serif"/>
          <w:b w:val="false"/>
          <w:color w:val="000000"/>
          <w:sz w:val="20"/>
        </w:rPr>
      </w:pPr>
      <w:r>
        <w:rPr>
          <w:rFonts w:ascii="Times New Roman;sans-serif" w:hAnsi="Times New Roman;sans-serif"/>
          <w:b w:val="false"/>
          <w:color w:val="000000"/>
          <w:sz w:val="20"/>
        </w:rPr>
        <w:t>The Group has not experienced any significant recoverability issue with respect to its accounts receivable. The Group assesses the creditworthiness of each customer when providing services and may require the customers to make advance payments or a deposit before the services are rendered. The Group typically offers payment terms in the range of 30 to 60 days to its customers. The Group also periodically determines an allowance for doubtful accounts based on the accounting policy indicated in Note 2(j) - Accounts Receivable.</w:t>
      </w:r>
    </w:p>
    <w:p>
      <w:pPr>
        <w:pStyle w:val="TextBody"/>
        <w:spacing w:lineRule="auto" w:line="288" w:before="0" w:after="240"/>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customers with greater than 10% of the accounts receivables:</w:t>
      </w:r>
    </w:p>
    <w:tbl>
      <w:tblPr>
        <w:tblW w:w="4830" w:type="dxa"/>
        <w:jc w:val="left"/>
        <w:tblInd w:w="0" w:type="dxa"/>
        <w:tblCellMar>
          <w:top w:w="28" w:type="dxa"/>
          <w:left w:w="28" w:type="dxa"/>
          <w:bottom w:w="28" w:type="dxa"/>
          <w:right w:w="28" w:type="dxa"/>
        </w:tblCellMar>
      </w:tblPr>
      <w:tblGrid>
        <w:gridCol w:w="1140"/>
        <w:gridCol w:w="1003"/>
        <w:gridCol w:w="1007"/>
        <w:gridCol w:w="180"/>
        <w:gridCol w:w="181"/>
        <w:gridCol w:w="292"/>
        <w:gridCol w:w="109"/>
        <w:gridCol w:w="109"/>
        <w:gridCol w:w="109"/>
        <w:gridCol w:w="180"/>
        <w:gridCol w:w="181"/>
        <w:gridCol w:w="339"/>
      </w:tblGrid>
      <w:tr>
        <w:trPr/>
        <w:tc>
          <w:tcPr>
            <w:tcW w:w="1140" w:type="dxa"/>
            <w:tcBorders/>
            <w:shd w:fill="auto" w:val="clear"/>
            <w:vAlign w:val="center"/>
          </w:tcPr>
          <w:p>
            <w:pPr>
              <w:pStyle w:val="TableContents"/>
              <w:spacing w:before="0" w:after="283"/>
              <w:rPr>
                <w:sz w:val="4"/>
                <w:szCs w:val="4"/>
              </w:rPr>
            </w:pPr>
            <w:r>
              <w:rPr>
                <w:sz w:val="4"/>
                <w:szCs w:val="4"/>
              </w:rPr>
            </w:r>
          </w:p>
        </w:tc>
        <w:tc>
          <w:tcPr>
            <w:tcW w:w="1003" w:type="dxa"/>
            <w:tcBorders/>
            <w:shd w:fill="auto" w:val="clear"/>
            <w:vAlign w:val="center"/>
          </w:tcPr>
          <w:p>
            <w:pPr>
              <w:pStyle w:val="TableContents"/>
              <w:spacing w:before="0" w:after="283"/>
              <w:rPr>
                <w:sz w:val="4"/>
                <w:szCs w:val="4"/>
              </w:rPr>
            </w:pPr>
            <w:r>
              <w:rPr>
                <w:sz w:val="4"/>
                <w:szCs w:val="4"/>
              </w:rPr>
            </w:r>
          </w:p>
        </w:tc>
        <w:tc>
          <w:tcPr>
            <w:tcW w:w="1007"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29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339" w:type="dxa"/>
            <w:tcBorders/>
            <w:shd w:fill="auto" w:val="clear"/>
            <w:vAlign w:val="center"/>
          </w:tcPr>
          <w:p>
            <w:pPr>
              <w:pStyle w:val="TableContents"/>
              <w:spacing w:before="0" w:after="283"/>
              <w:rPr>
                <w:sz w:val="4"/>
                <w:szCs w:val="4"/>
              </w:rPr>
            </w:pPr>
            <w:r>
              <w:rPr>
                <w:sz w:val="4"/>
                <w:szCs w:val="4"/>
              </w:rPr>
            </w:r>
          </w:p>
        </w:tc>
      </w:tr>
      <w:tr>
        <w:trPr/>
        <w:tc>
          <w:tcPr>
            <w:tcW w:w="31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2019</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2020</w:t>
            </w:r>
          </w:p>
        </w:tc>
      </w:tr>
      <w:tr>
        <w:trPr/>
        <w:tc>
          <w:tcPr>
            <w:tcW w:w="31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A — Social media platform</w:t>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customers with greater than 10% of total revenues:</w:t>
      </w:r>
    </w:p>
    <w:p>
      <w:pPr>
        <w:pStyle w:val="HorizontalLine"/>
        <w:rPr/>
      </w:pPr>
      <w:r>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480175" cy="175260"/>
                <wp:effectExtent l="0" t="0" r="0" b="0"/>
                <wp:wrapNone/>
                <wp:docPr id="174" name="Frame17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F-14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F-14</w:t>
                      </w:r>
                    </w:p>
                  </w:txbxContent>
                </v:textbox>
              </v:rect>
            </w:pict>
          </mc:Fallback>
        </mc:AlternateConten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AGORA,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 xml:space="preserve">(All amounts in US$, except share data, unless otherwise stated) </w:t>
      </w:r>
    </w:p>
    <w:tbl>
      <w:tblPr>
        <w:tblW w:w="5554" w:type="dxa"/>
        <w:jc w:val="left"/>
        <w:tblInd w:w="0" w:type="dxa"/>
        <w:tblCellMar>
          <w:top w:w="28" w:type="dxa"/>
          <w:left w:w="28" w:type="dxa"/>
          <w:bottom w:w="28" w:type="dxa"/>
          <w:right w:w="28" w:type="dxa"/>
        </w:tblCellMar>
      </w:tblPr>
      <w:tblGrid>
        <w:gridCol w:w="1140"/>
        <w:gridCol w:w="1003"/>
        <w:gridCol w:w="1007"/>
        <w:gridCol w:w="180"/>
        <w:gridCol w:w="181"/>
        <w:gridCol w:w="292"/>
        <w:gridCol w:w="109"/>
        <w:gridCol w:w="109"/>
        <w:gridCol w:w="109"/>
        <w:gridCol w:w="175"/>
        <w:gridCol w:w="175"/>
        <w:gridCol w:w="176"/>
        <w:gridCol w:w="109"/>
        <w:gridCol w:w="109"/>
        <w:gridCol w:w="109"/>
        <w:gridCol w:w="167"/>
        <w:gridCol w:w="167"/>
        <w:gridCol w:w="237"/>
      </w:tblGrid>
      <w:tr>
        <w:trPr/>
        <w:tc>
          <w:tcPr>
            <w:tcW w:w="1140" w:type="dxa"/>
            <w:tcBorders/>
            <w:shd w:fill="auto" w:val="clear"/>
            <w:vAlign w:val="center"/>
          </w:tcPr>
          <w:p>
            <w:pPr>
              <w:pStyle w:val="TableContents"/>
              <w:spacing w:before="0" w:after="283"/>
              <w:rPr>
                <w:sz w:val="4"/>
                <w:szCs w:val="4"/>
              </w:rPr>
            </w:pPr>
            <w:r>
              <w:rPr>
                <w:sz w:val="4"/>
                <w:szCs w:val="4"/>
              </w:rPr>
            </w:r>
          </w:p>
        </w:tc>
        <w:tc>
          <w:tcPr>
            <w:tcW w:w="1003" w:type="dxa"/>
            <w:tcBorders/>
            <w:shd w:fill="auto" w:val="clear"/>
            <w:vAlign w:val="center"/>
          </w:tcPr>
          <w:p>
            <w:pPr>
              <w:pStyle w:val="TableContents"/>
              <w:spacing w:before="0" w:after="283"/>
              <w:rPr>
                <w:sz w:val="4"/>
                <w:szCs w:val="4"/>
              </w:rPr>
            </w:pPr>
            <w:r>
              <w:rPr>
                <w:sz w:val="4"/>
                <w:szCs w:val="4"/>
              </w:rPr>
            </w:r>
          </w:p>
        </w:tc>
        <w:tc>
          <w:tcPr>
            <w:tcW w:w="1007"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29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r>
      <w:tr>
        <w:trPr/>
        <w:tc>
          <w:tcPr>
            <w:tcW w:w="31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2018</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2019</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2020</w:t>
            </w:r>
          </w:p>
        </w:tc>
      </w:tr>
      <w:tr>
        <w:trPr/>
        <w:tc>
          <w:tcPr>
            <w:tcW w:w="31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A — Social media platform</w:t>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240"/>
        <w:rPr>
          <w:rFonts w:ascii="Times New Roman;sans-serif" w:hAnsi="Times New Roman;sans-serif"/>
          <w:b w:val="false"/>
          <w:color w:val="000000"/>
          <w:sz w:val="18"/>
        </w:rPr>
      </w:pPr>
      <w:r>
        <w:rPr>
          <w:rFonts w:ascii="Times New Roman;sans-serif" w:hAnsi="Times New Roman;sans-serif"/>
          <w:b w:val="false"/>
          <w:color w:val="000000"/>
          <w:sz w:val="18"/>
        </w:rPr>
        <w:t>*Less than 10%</w:t>
      </w:r>
    </w:p>
    <w:p>
      <w:pPr>
        <w:pStyle w:val="TextBody"/>
        <w:spacing w:lineRule="auto" w:line="288" w:before="0" w:after="240"/>
        <w:ind w:left="0" w:right="0" w:hanging="567"/>
        <w:jc w:val="both"/>
        <w:rPr>
          <w:rFonts w:ascii="Times New Roman;sans-serif" w:hAnsi="Times New Roman;sans-serif"/>
          <w:b/>
          <w:i/>
          <w:color w:val="000000"/>
          <w:sz w:val="20"/>
        </w:rPr>
      </w:pPr>
      <w:r>
        <w:rPr>
          <w:rFonts w:ascii="Times New Roman;sans-serif" w:hAnsi="Times New Roman;sans-serif"/>
          <w:b/>
          <w:i/>
          <w:color w:val="000000"/>
          <w:sz w:val="20"/>
        </w:rPr>
        <w:t>(f)    Fair Value Measurements</w:t>
      </w:r>
    </w:p>
    <w:p>
      <w:pPr>
        <w:pStyle w:val="TextBody"/>
        <w:spacing w:lineRule="auto" w:line="288" w:before="0" w:after="240"/>
        <w:ind w:left="0" w:right="0" w:firstLine="567"/>
        <w:jc w:val="both"/>
        <w:rPr>
          <w:rFonts w:ascii="Times New Roman;sans-serif" w:hAnsi="Times New Roman;sans-serif"/>
          <w:b w:val="false"/>
          <w:color w:val="000000"/>
          <w:sz w:val="20"/>
        </w:rPr>
      </w:pPr>
      <w:r>
        <w:rPr>
          <w:rFonts w:ascii="Times New Roman;sans-serif" w:hAnsi="Times New Roman;sans-serif"/>
          <w:b w:val="false"/>
          <w:color w:val="000000"/>
          <w:sz w:val="20"/>
        </w:rPr>
        <w:t>Fair value is the price that would be received from selling an asset or paid to transfer a liability in an orderly transaction between market participants at the measurement date. When determining the fair value measurements for assets and liabilities required or permitted to be recorded at fair value, the Company considers the principal or most advantageous market in which it would transact and it considers assumptions that market participants would use when pricing the asset or liability.</w:t>
      </w:r>
    </w:p>
    <w:p>
      <w:pPr>
        <w:pStyle w:val="TextBody"/>
        <w:spacing w:lineRule="auto" w:line="288" w:before="0" w:after="240"/>
        <w:ind w:left="0" w:right="0" w:firstLine="567"/>
        <w:jc w:val="both"/>
        <w:rPr>
          <w:rFonts w:ascii="Times New Roman;sans-serif" w:hAnsi="Times New Roman;sans-serif"/>
          <w:b w:val="false"/>
          <w:color w:val="000000"/>
          <w:sz w:val="20"/>
        </w:rPr>
      </w:pPr>
      <w:r>
        <w:rPr>
          <w:rFonts w:ascii="Times New Roman;sans-serif" w:hAnsi="Times New Roman;sans-serif"/>
          <w:b w:val="false"/>
          <w:color w:val="000000"/>
          <w:sz w:val="20"/>
        </w:rPr>
        <w:t>The established fair value hierarchy requires an entity to maximize the use of observable inputs and minimize the use of unobservable inputs when measuring fair value. A financial instrument’s categorization within the fair value hierarchy is based upon the lowest level of input that is significant to the fair value measurement. The three levels of inputs that may be used to measure fair value include:</w:t>
      </w:r>
    </w:p>
    <w:p>
      <w:pPr>
        <w:pStyle w:val="TextBody"/>
        <w:spacing w:lineRule="auto" w:line="288" w:before="0" w:after="240"/>
        <w:ind w:left="0" w:right="0" w:hanging="567"/>
        <w:jc w:val="both"/>
        <w:rPr>
          <w:color w:val="000000"/>
        </w:rPr>
      </w:pPr>
      <w:r>
        <w:rPr>
          <w:color w:val="000000"/>
        </w:rPr>
        <w:t>•    </w:t>
      </w:r>
      <w:r>
        <w:rPr>
          <w:rFonts w:ascii="Times New Roman;sans-serif" w:hAnsi="Times New Roman;sans-serif"/>
          <w:b w:val="false"/>
          <w:color w:val="000000"/>
          <w:sz w:val="20"/>
        </w:rPr>
        <w:t>Level 1: Quoted prices (unadjusted) in active markets for identical assets or liabilities.</w:t>
      </w:r>
    </w:p>
    <w:p>
      <w:pPr>
        <w:pStyle w:val="TextBody"/>
        <w:spacing w:lineRule="auto" w:line="288" w:before="0" w:after="240"/>
        <w:ind w:left="0" w:right="0" w:hanging="567"/>
        <w:jc w:val="both"/>
        <w:rPr>
          <w:color w:val="000000"/>
        </w:rPr>
      </w:pPr>
      <w:r>
        <w:rPr>
          <w:color w:val="000000"/>
        </w:rPr>
        <w:t>•    </w:t>
      </w:r>
      <w:r>
        <w:rPr>
          <w:rFonts w:ascii="Times New Roman;sans-serif" w:hAnsi="Times New Roman;sans-serif"/>
          <w:b w:val="false"/>
          <w:color w:val="000000"/>
          <w:sz w:val="20"/>
        </w:rPr>
        <w:t>Level 2: Observable, market-based inputs, other than quoted prices, in active markets for identical assets or liabilities.</w:t>
      </w:r>
    </w:p>
    <w:p>
      <w:pPr>
        <w:pStyle w:val="TextBody"/>
        <w:spacing w:lineRule="auto" w:line="288" w:before="0" w:after="240"/>
        <w:ind w:left="0" w:right="0" w:hanging="567"/>
        <w:jc w:val="both"/>
        <w:rPr>
          <w:color w:val="000000"/>
        </w:rPr>
      </w:pPr>
      <w:r>
        <w:rPr>
          <w:color w:val="000000"/>
        </w:rPr>
        <w:t>•    </w:t>
      </w:r>
      <w:r>
        <w:rPr>
          <w:rFonts w:ascii="Times New Roman;sans-serif" w:hAnsi="Times New Roman;sans-serif"/>
          <w:b w:val="false"/>
          <w:color w:val="000000"/>
          <w:sz w:val="20"/>
        </w:rPr>
        <w:t>Level 3: Unobservable inputs to the valuation methodology that are significant to the measurement of the fair value of the assets or liabilities.</w:t>
      </w:r>
    </w:p>
    <w:p>
      <w:pPr>
        <w:pStyle w:val="TextBody"/>
        <w:spacing w:lineRule="auto" w:line="288" w:before="0" w:after="240"/>
        <w:ind w:left="0" w:right="0" w:firstLine="567"/>
        <w:jc w:val="both"/>
        <w:rPr>
          <w:rFonts w:ascii="Times New Roman;sans-serif" w:hAnsi="Times New Roman;sans-serif"/>
          <w:b w:val="false"/>
          <w:color w:val="000000"/>
          <w:sz w:val="20"/>
        </w:rPr>
      </w:pPr>
      <w:r>
        <w:rPr>
          <w:rFonts w:ascii="Times New Roman;sans-serif" w:hAnsi="Times New Roman;sans-serif"/>
          <w:b w:val="false"/>
          <w:color w:val="000000"/>
          <w:sz w:val="20"/>
        </w:rPr>
        <w:t>Accounting guidance also describes three main approaches to measuring the fair value of assets and liabilities: (1) market approach; (2) income approach and (3) cost approach. The market approach uses prices and other relevant information generated from market transactions involving identical or comparable assets or liabilities. The income approach uses valuation techniques to convert future amounts to a single present value amount. The measurement is based on the value indicated by current market expectations about those future amounts. The cost approach is based on the amount that would currently be required to replace an asset.</w:t>
      </w:r>
    </w:p>
    <w:p>
      <w:pPr>
        <w:pStyle w:val="TextBody"/>
        <w:spacing w:lineRule="auto" w:line="288" w:before="0" w:after="240"/>
        <w:ind w:left="0" w:right="0" w:firstLine="567"/>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financial instruments include cash and cash equivalents, short-term investments, accounts receivable, accounts payable, certain accrued expenses and other current liabilities. The carrying amounts of short-term financial instruments, approximate their fair values due to the short-term maturity of these instruments.</w:t>
      </w:r>
    </w:p>
    <w:p>
      <w:pPr>
        <w:pStyle w:val="TextBody"/>
        <w:spacing w:lineRule="auto" w:line="288" w:before="0" w:after="240"/>
        <w:ind w:left="0" w:right="0" w:firstLine="567"/>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Group’s assets and liabilities that are measured at fair value on a recurring basis and are categorized using the fair value hierarchy as of December 31, 2020:</w:t>
      </w:r>
    </w:p>
    <w:tbl>
      <w:tblPr>
        <w:tblW w:w="10205" w:type="dxa"/>
        <w:jc w:val="left"/>
        <w:tblInd w:w="0" w:type="dxa"/>
        <w:tblCellMar>
          <w:top w:w="28" w:type="dxa"/>
          <w:left w:w="28" w:type="dxa"/>
          <w:bottom w:w="28" w:type="dxa"/>
          <w:right w:w="28" w:type="dxa"/>
        </w:tblCellMar>
      </w:tblPr>
      <w:tblGrid>
        <w:gridCol w:w="1785"/>
        <w:gridCol w:w="1568"/>
        <w:gridCol w:w="1573"/>
        <w:gridCol w:w="242"/>
        <w:gridCol w:w="242"/>
        <w:gridCol w:w="244"/>
        <w:gridCol w:w="109"/>
        <w:gridCol w:w="109"/>
        <w:gridCol w:w="109"/>
        <w:gridCol w:w="540"/>
        <w:gridCol w:w="541"/>
        <w:gridCol w:w="244"/>
        <w:gridCol w:w="109"/>
        <w:gridCol w:w="109"/>
        <w:gridCol w:w="109"/>
        <w:gridCol w:w="242"/>
        <w:gridCol w:w="242"/>
        <w:gridCol w:w="244"/>
        <w:gridCol w:w="109"/>
        <w:gridCol w:w="109"/>
        <w:gridCol w:w="109"/>
        <w:gridCol w:w="540"/>
        <w:gridCol w:w="541"/>
        <w:gridCol w:w="436"/>
      </w:tblGrid>
      <w:tr>
        <w:trPr/>
        <w:tc>
          <w:tcPr>
            <w:tcW w:w="1785" w:type="dxa"/>
            <w:tcBorders/>
            <w:shd w:fill="auto" w:val="clear"/>
            <w:vAlign w:val="center"/>
          </w:tcPr>
          <w:p>
            <w:pPr>
              <w:pStyle w:val="TableContents"/>
              <w:spacing w:before="0" w:after="283"/>
              <w:rPr>
                <w:sz w:val="4"/>
                <w:szCs w:val="4"/>
              </w:rPr>
            </w:pPr>
            <w:r>
              <w:rPr>
                <w:sz w:val="4"/>
                <w:szCs w:val="4"/>
              </w:rPr>
            </w:r>
          </w:p>
        </w:tc>
        <w:tc>
          <w:tcPr>
            <w:tcW w:w="1568" w:type="dxa"/>
            <w:tcBorders/>
            <w:shd w:fill="auto" w:val="clear"/>
            <w:vAlign w:val="center"/>
          </w:tcPr>
          <w:p>
            <w:pPr>
              <w:pStyle w:val="TableContents"/>
              <w:spacing w:before="0" w:after="283"/>
              <w:rPr>
                <w:sz w:val="4"/>
                <w:szCs w:val="4"/>
              </w:rPr>
            </w:pPr>
            <w:r>
              <w:rPr>
                <w:sz w:val="4"/>
                <w:szCs w:val="4"/>
              </w:rPr>
            </w:r>
          </w:p>
        </w:tc>
        <w:tc>
          <w:tcPr>
            <w:tcW w:w="1573"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40"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40"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436" w:type="dxa"/>
            <w:tcBorders/>
            <w:shd w:fill="auto" w:val="clear"/>
            <w:vAlign w:val="center"/>
          </w:tcPr>
          <w:p>
            <w:pPr>
              <w:pStyle w:val="TableContents"/>
              <w:spacing w:before="0" w:after="283"/>
              <w:rPr>
                <w:sz w:val="4"/>
                <w:szCs w:val="4"/>
              </w:rPr>
            </w:pPr>
            <w:r>
              <w:rPr>
                <w:sz w:val="4"/>
                <w:szCs w:val="4"/>
              </w:rPr>
            </w:r>
          </w:p>
        </w:tc>
      </w:tr>
      <w:tr>
        <w:trPr/>
        <w:tc>
          <w:tcPr>
            <w:tcW w:w="49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79"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of December 31, 2020</w:t>
            </w:r>
          </w:p>
        </w:tc>
      </w:tr>
      <w:tr>
        <w:trPr/>
        <w:tc>
          <w:tcPr>
            <w:tcW w:w="49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2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2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1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Balance at</w:t>
              <w:br/>
              <w:t>Fair value</w:t>
            </w:r>
          </w:p>
        </w:tc>
      </w:tr>
      <w:tr>
        <w:trPr/>
        <w:tc>
          <w:tcPr>
            <w:tcW w:w="492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 — financial products issued by banks</w:t>
            </w:r>
          </w:p>
        </w:tc>
        <w:tc>
          <w:tcPr>
            <w:tcW w:w="48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24,046,345 </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24,046,345 </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240"/>
        <w:ind w:left="0" w:right="0" w:hanging="567"/>
        <w:jc w:val="both"/>
        <w:rPr>
          <w:rFonts w:ascii="Times New Roman;sans-serif" w:hAnsi="Times New Roman;sans-serif"/>
          <w:b w:val="false"/>
          <w:color w:val="000000"/>
          <w:sz w:val="20"/>
        </w:rPr>
      </w:pPr>
      <w:r>
        <w:rPr>
          <w:rFonts w:ascii="Times New Roman;sans-serif" w:hAnsi="Times New Roman;sans-serif"/>
          <w:b w:val="false"/>
          <w:color w:val="000000"/>
          <w:sz w:val="20"/>
        </w:rPr>
        <w:t>The Group did not hold short-term investments as of December 31, 2019.</w:t>
      </w:r>
    </w:p>
    <w:p>
      <w:pPr>
        <w:pStyle w:val="TextBody"/>
        <w:spacing w:lineRule="auto" w:line="288" w:before="0" w:after="240"/>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(g) Cash and Cash Equivalents</w:t>
      </w:r>
    </w:p>
    <w:p>
      <w:pPr>
        <w:pStyle w:val="TextBody"/>
        <w:spacing w:lineRule="auto" w:line="288" w:before="0" w:after="240"/>
        <w:ind w:left="0" w:right="0" w:firstLine="567"/>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Cash and cash equivalents include cash in bank and time deposits placed with banks or other financial institutions which have original maturities of three months or less at the time of purchase and are readily convertible </w:t>
      </w:r>
    </w:p>
    <w:p>
      <w:pPr>
        <w:pStyle w:val="HorizontalLine"/>
        <w:rPr/>
      </w:pPr>
      <w:r>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480175" cy="175260"/>
                <wp:effectExtent l="0" t="0" r="0" b="0"/>
                <wp:wrapNone/>
                <wp:docPr id="175" name="Frame17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F-15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F-15</w:t>
                      </w:r>
                    </w:p>
                  </w:txbxContent>
                </v:textbox>
              </v:rect>
            </w:pict>
          </mc:Fallback>
        </mc:AlternateConten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AGORA,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 xml:space="preserve">(All amounts in US$, except share data, unless otherwise stated) </w:t>
      </w:r>
    </w:p>
    <w:p>
      <w:pPr>
        <w:pStyle w:val="TextBody"/>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to known amounts of cash. As of December 31, 2019 and 2020, the amount of cash equivalents was nil and US$10.0 million in the consolidated balance sheets, respectively.</w:t>
      </w:r>
    </w:p>
    <w:p>
      <w:pPr>
        <w:pStyle w:val="TextBody"/>
        <w:spacing w:lineRule="auto" w:line="288" w:before="0" w:after="240"/>
        <w:ind w:left="0" w:right="0" w:hanging="567"/>
        <w:jc w:val="both"/>
        <w:rPr>
          <w:rFonts w:ascii="Times New Roman;sans-serif" w:hAnsi="Times New Roman;sans-serif"/>
          <w:b/>
          <w:i/>
          <w:color w:val="000000"/>
          <w:sz w:val="20"/>
        </w:rPr>
      </w:pPr>
      <w:r>
        <w:rPr>
          <w:rFonts w:ascii="Times New Roman;sans-serif" w:hAnsi="Times New Roman;sans-serif"/>
          <w:b/>
          <w:i/>
          <w:color w:val="000000"/>
          <w:sz w:val="20"/>
        </w:rPr>
        <w:t>(h)    Restricted Cash</w:t>
      </w:r>
    </w:p>
    <w:p>
      <w:pPr>
        <w:pStyle w:val="TextBody"/>
        <w:spacing w:lineRule="auto" w:line="288" w:before="0" w:after="240"/>
        <w:ind w:left="0" w:right="0" w:firstLine="567"/>
        <w:jc w:val="both"/>
        <w:rPr>
          <w:rFonts w:ascii="Times New Roman;sans-serif" w:hAnsi="Times New Roman;sans-serif"/>
          <w:b w:val="false"/>
          <w:color w:val="000000"/>
          <w:sz w:val="20"/>
        </w:rPr>
      </w:pPr>
      <w:r>
        <w:rPr>
          <w:rFonts w:ascii="Times New Roman;sans-serif" w:hAnsi="Times New Roman;sans-serif"/>
          <w:b w:val="false"/>
          <w:color w:val="000000"/>
          <w:sz w:val="20"/>
        </w:rPr>
        <w:t>The Group’s restricted cash mainly represents secured deposits held in designated bank accounts to secure a letter of credit and is included within prepayments and other current assets. See Note 5—Prepayments and Other Current Assets.</w:t>
      </w:r>
    </w:p>
    <w:p>
      <w:pPr>
        <w:pStyle w:val="TextBody"/>
        <w:spacing w:lineRule="auto" w:line="288" w:before="0" w:after="240"/>
        <w:ind w:left="0" w:right="0" w:hanging="567"/>
        <w:jc w:val="both"/>
        <w:rPr>
          <w:rFonts w:ascii="Times New Roman;sans-serif" w:hAnsi="Times New Roman;sans-serif"/>
          <w:b/>
          <w:i/>
          <w:color w:val="000000"/>
          <w:sz w:val="20"/>
        </w:rPr>
      </w:pPr>
      <w:r>
        <w:rPr>
          <w:rFonts w:ascii="Times New Roman;sans-serif" w:hAnsi="Times New Roman;sans-serif"/>
          <w:b/>
          <w:i/>
          <w:color w:val="000000"/>
          <w:sz w:val="20"/>
        </w:rPr>
        <w:t>(i)    Short-term Investments</w:t>
      </w:r>
    </w:p>
    <w:p>
      <w:pPr>
        <w:pStyle w:val="TextBody"/>
        <w:spacing w:lineRule="auto" w:line="288" w:before="0" w:after="240"/>
        <w:ind w:left="0" w:right="0" w:firstLine="567"/>
        <w:jc w:val="both"/>
        <w:rPr>
          <w:rFonts w:ascii="Times New Roman;sans-serif" w:hAnsi="Times New Roman;sans-serif"/>
          <w:b w:val="false"/>
          <w:color w:val="000000"/>
          <w:sz w:val="20"/>
        </w:rPr>
      </w:pPr>
      <w:r>
        <w:rPr>
          <w:rFonts w:ascii="Times New Roman;sans-serif" w:hAnsi="Times New Roman;sans-serif"/>
          <w:b w:val="false"/>
          <w:color w:val="000000"/>
          <w:sz w:val="20"/>
        </w:rPr>
        <w:t>Short-term investments are comprised of (i) held-to-maturity investments such as time deposits, which have a due date that is longer than three months but within one year and is stated at amortized cost and; (ii) investments in financial products issued by banks or other financial institutions, which contain a fixed or variable interest rate and with original maturities between three months and one year. The Company measures the short-term investments in financial products issued by banks at fair value using the quoted subscription or redemption prices published by these banks.</w:t>
      </w:r>
    </w:p>
    <w:p>
      <w:pPr>
        <w:pStyle w:val="TextBody"/>
        <w:spacing w:lineRule="auto" w:line="288" w:before="0" w:after="240"/>
        <w:ind w:left="0" w:right="0" w:firstLine="567"/>
        <w:jc w:val="both"/>
        <w:rPr>
          <w:rFonts w:ascii="Times New Roman;sans-serif" w:hAnsi="Times New Roman;sans-serif"/>
          <w:b w:val="false"/>
          <w:color w:val="000000"/>
          <w:sz w:val="20"/>
        </w:rPr>
      </w:pPr>
      <w:r>
        <w:rPr>
          <w:rFonts w:ascii="Times New Roman;sans-serif" w:hAnsi="Times New Roman;sans-serif"/>
          <w:b w:val="false"/>
          <w:color w:val="000000"/>
          <w:sz w:val="20"/>
        </w:rPr>
        <w:t>These investments are stated at fair value. Changes in the fair value are reflected in the consolidated statements of comprehensive loss. There was no other-than-temporary impairment of short-term investments measured at amortized cost for the years ended December 31, 2018, 2019 and 2020.</w:t>
      </w:r>
    </w:p>
    <w:p>
      <w:pPr>
        <w:pStyle w:val="TextBody"/>
        <w:spacing w:lineRule="auto" w:line="288" w:before="0" w:after="240"/>
        <w:ind w:left="0" w:right="0" w:hanging="567"/>
        <w:jc w:val="both"/>
        <w:rPr>
          <w:rFonts w:ascii="Times New Roman;sans-serif" w:hAnsi="Times New Roman;sans-serif"/>
          <w:b/>
          <w:i/>
          <w:color w:val="000000"/>
          <w:sz w:val="20"/>
        </w:rPr>
      </w:pPr>
      <w:r>
        <w:rPr>
          <w:rFonts w:ascii="Times New Roman;sans-serif" w:hAnsi="Times New Roman;sans-serif"/>
          <w:b/>
          <w:i/>
          <w:color w:val="000000"/>
          <w:sz w:val="20"/>
        </w:rPr>
        <w:t>(j)    Accounts Receivable</w:t>
      </w:r>
    </w:p>
    <w:p>
      <w:pPr>
        <w:pStyle w:val="TextBody"/>
        <w:spacing w:lineRule="auto" w:line="288" w:before="0" w:after="240"/>
        <w:ind w:left="0" w:right="0" w:firstLine="567"/>
        <w:jc w:val="both"/>
        <w:rPr>
          <w:rFonts w:ascii="Times New Roman;sans-serif" w:hAnsi="Times New Roman;sans-serif"/>
          <w:b w:val="false"/>
          <w:color w:val="000000"/>
          <w:sz w:val="20"/>
        </w:rPr>
      </w:pPr>
      <w:r>
        <w:rPr>
          <w:rFonts w:ascii="Times New Roman;sans-serif" w:hAnsi="Times New Roman;sans-serif"/>
          <w:b w:val="false"/>
          <w:color w:val="000000"/>
          <w:sz w:val="20"/>
        </w:rPr>
        <w:t>Accounts receivable are stated at the amount management expects to collect from customers based on their outstanding invoices. Management reviews accounts regularly to determine if any receivable will potentially be uncollectible. The Company maintains an allowance for doubtful accounts which reflects its best estimate of amounts that potentially will not be collected. The Company determines the allowance for doubtful accounts by taking into consideration various factors including but not limited to historical collection experience and credit-worthiness of the customers as well as the age of the individual receivables balance. Additionally, the Company makes specific bad debt provisions based on any specific knowledge the Company has acquired that might indicate that a receivable is uncollectible.</w:t>
      </w:r>
    </w:p>
    <w:p>
      <w:pPr>
        <w:pStyle w:val="TextBody"/>
        <w:spacing w:lineRule="auto" w:line="288" w:before="0" w:after="240"/>
        <w:ind w:left="0" w:right="0" w:hanging="567"/>
        <w:jc w:val="both"/>
        <w:rPr>
          <w:rFonts w:ascii="Times New Roman;sans-serif" w:hAnsi="Times New Roman;sans-serif"/>
          <w:b/>
          <w:i/>
          <w:color w:val="000000"/>
          <w:sz w:val="20"/>
        </w:rPr>
      </w:pPr>
      <w:r>
        <w:rPr>
          <w:rFonts w:ascii="Times New Roman;sans-serif" w:hAnsi="Times New Roman;sans-serif"/>
          <w:b/>
          <w:i/>
          <w:color w:val="000000"/>
          <w:sz w:val="20"/>
        </w:rPr>
        <w:t>(k)    Property and Equipment, Net</w:t>
      </w:r>
    </w:p>
    <w:p>
      <w:pPr>
        <w:pStyle w:val="TextBody"/>
        <w:spacing w:lineRule="auto" w:line="288" w:before="0" w:after="240"/>
        <w:ind w:left="0" w:right="0" w:firstLine="567"/>
        <w:jc w:val="both"/>
        <w:rPr>
          <w:rFonts w:ascii="Times New Roman;sans-serif" w:hAnsi="Times New Roman;sans-serif"/>
          <w:b w:val="false"/>
          <w:color w:val="000000"/>
          <w:sz w:val="20"/>
        </w:rPr>
      </w:pPr>
      <w:r>
        <w:rPr>
          <w:rFonts w:ascii="Times New Roman;sans-serif" w:hAnsi="Times New Roman;sans-serif"/>
          <w:b w:val="false"/>
          <w:color w:val="000000"/>
          <w:sz w:val="20"/>
        </w:rPr>
        <w:t>Property and equipment are carried at cost less accumulated depreciation. Depreciation is calculated on a straight-line basis over the following estimated useful lives, taking into account any estimated residual value. Expenditures for maintenance and repairs are expensed as incurred.</w:t>
      </w:r>
    </w:p>
    <w:p>
      <w:pPr>
        <w:pStyle w:val="TextBody"/>
        <w:spacing w:lineRule="auto" w:line="288" w:before="0" w:after="240"/>
        <w:ind w:left="0" w:right="0" w:firstLine="567"/>
        <w:jc w:val="both"/>
        <w:rPr>
          <w:rFonts w:ascii="Times New Roman;sans-serif" w:hAnsi="Times New Roman;sans-serif"/>
          <w:b w:val="false"/>
          <w:color w:val="000000"/>
          <w:sz w:val="20"/>
        </w:rPr>
      </w:pPr>
      <w:r>
        <w:rPr>
          <w:rFonts w:ascii="Times New Roman;sans-serif" w:hAnsi="Times New Roman;sans-serif"/>
          <w:b w:val="false"/>
          <w:color w:val="000000"/>
          <w:sz w:val="20"/>
        </w:rPr>
        <w:t>The estimated useful lives of property and equipment are as follows:</w:t>
      </w:r>
    </w:p>
    <w:tbl>
      <w:tblPr>
        <w:tblW w:w="7859" w:type="dxa"/>
        <w:jc w:val="left"/>
        <w:tblInd w:w="0" w:type="dxa"/>
        <w:tblCellMar>
          <w:top w:w="28" w:type="dxa"/>
          <w:left w:w="28" w:type="dxa"/>
          <w:bottom w:w="28" w:type="dxa"/>
          <w:right w:w="28" w:type="dxa"/>
        </w:tblCellMar>
      </w:tblPr>
      <w:tblGrid>
        <w:gridCol w:w="1293"/>
        <w:gridCol w:w="1135"/>
        <w:gridCol w:w="1142"/>
        <w:gridCol w:w="1253"/>
        <w:gridCol w:w="1253"/>
        <w:gridCol w:w="1783"/>
      </w:tblGrid>
      <w:tr>
        <w:trPr/>
        <w:tc>
          <w:tcPr>
            <w:tcW w:w="1293" w:type="dxa"/>
            <w:tcBorders/>
            <w:shd w:fill="auto" w:val="clear"/>
            <w:vAlign w:val="center"/>
          </w:tcPr>
          <w:p>
            <w:pPr>
              <w:pStyle w:val="TableContents"/>
              <w:spacing w:before="0" w:after="283"/>
              <w:rPr>
                <w:sz w:val="4"/>
                <w:szCs w:val="4"/>
              </w:rPr>
            </w:pPr>
            <w:r>
              <w:rPr>
                <w:sz w:val="4"/>
                <w:szCs w:val="4"/>
              </w:rPr>
            </w:r>
          </w:p>
        </w:tc>
        <w:tc>
          <w:tcPr>
            <w:tcW w:w="1135" w:type="dxa"/>
            <w:tcBorders/>
            <w:shd w:fill="auto" w:val="clear"/>
            <w:vAlign w:val="center"/>
          </w:tcPr>
          <w:p>
            <w:pPr>
              <w:pStyle w:val="TableContents"/>
              <w:spacing w:before="0" w:after="283"/>
              <w:rPr>
                <w:sz w:val="4"/>
                <w:szCs w:val="4"/>
              </w:rPr>
            </w:pPr>
            <w:r>
              <w:rPr>
                <w:sz w:val="4"/>
                <w:szCs w:val="4"/>
              </w:rPr>
            </w:r>
          </w:p>
        </w:tc>
        <w:tc>
          <w:tcPr>
            <w:tcW w:w="1142" w:type="dxa"/>
            <w:tcBorders/>
            <w:shd w:fill="auto" w:val="clear"/>
            <w:vAlign w:val="center"/>
          </w:tcPr>
          <w:p>
            <w:pPr>
              <w:pStyle w:val="TableContents"/>
              <w:spacing w:before="0" w:after="283"/>
              <w:rPr>
                <w:sz w:val="4"/>
                <w:szCs w:val="4"/>
              </w:rPr>
            </w:pPr>
            <w:r>
              <w:rPr>
                <w:sz w:val="4"/>
                <w:szCs w:val="4"/>
              </w:rPr>
            </w:r>
          </w:p>
        </w:tc>
        <w:tc>
          <w:tcPr>
            <w:tcW w:w="1253" w:type="dxa"/>
            <w:tcBorders/>
            <w:shd w:fill="auto" w:val="clear"/>
            <w:vAlign w:val="center"/>
          </w:tcPr>
          <w:p>
            <w:pPr>
              <w:pStyle w:val="TableContents"/>
              <w:spacing w:before="0" w:after="283"/>
              <w:rPr>
                <w:sz w:val="4"/>
                <w:szCs w:val="4"/>
              </w:rPr>
            </w:pPr>
            <w:r>
              <w:rPr>
                <w:sz w:val="4"/>
                <w:szCs w:val="4"/>
              </w:rPr>
            </w:r>
          </w:p>
        </w:tc>
        <w:tc>
          <w:tcPr>
            <w:tcW w:w="1253" w:type="dxa"/>
            <w:tcBorders/>
            <w:shd w:fill="auto" w:val="clear"/>
            <w:vAlign w:val="center"/>
          </w:tcPr>
          <w:p>
            <w:pPr>
              <w:pStyle w:val="TableContents"/>
              <w:spacing w:before="0" w:after="283"/>
              <w:rPr>
                <w:sz w:val="4"/>
                <w:szCs w:val="4"/>
              </w:rPr>
            </w:pPr>
            <w:r>
              <w:rPr>
                <w:sz w:val="4"/>
                <w:szCs w:val="4"/>
              </w:rPr>
            </w:r>
          </w:p>
        </w:tc>
        <w:tc>
          <w:tcPr>
            <w:tcW w:w="1783" w:type="dxa"/>
            <w:tcBorders/>
            <w:shd w:fill="auto" w:val="clear"/>
            <w:vAlign w:val="center"/>
          </w:tcPr>
          <w:p>
            <w:pPr>
              <w:pStyle w:val="TableContents"/>
              <w:spacing w:before="0" w:after="283"/>
              <w:rPr>
                <w:sz w:val="4"/>
                <w:szCs w:val="4"/>
              </w:rPr>
            </w:pPr>
            <w:r>
              <w:rPr>
                <w:sz w:val="4"/>
                <w:szCs w:val="4"/>
              </w:rPr>
            </w:r>
          </w:p>
        </w:tc>
      </w:tr>
      <w:tr>
        <w:trPr/>
        <w:tc>
          <w:tcPr>
            <w:tcW w:w="35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8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Estimated Useful Lives</w:t>
            </w:r>
          </w:p>
        </w:tc>
      </w:tr>
      <w:tr>
        <w:trPr/>
        <w:tc>
          <w:tcPr>
            <w:tcW w:w="35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Electronic equipment</w:t>
            </w:r>
          </w:p>
        </w:tc>
        <w:tc>
          <w:tcPr>
            <w:tcW w:w="428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 years</w:t>
            </w:r>
          </w:p>
        </w:tc>
      </w:tr>
      <w:tr>
        <w:trPr/>
        <w:tc>
          <w:tcPr>
            <w:tcW w:w="35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Furniture, computers and office equipment</w:t>
            </w:r>
          </w:p>
        </w:tc>
        <w:tc>
          <w:tcPr>
            <w:tcW w:w="42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 years</w:t>
            </w:r>
          </w:p>
        </w:tc>
      </w:tr>
      <w:tr>
        <w:trPr/>
        <w:tc>
          <w:tcPr>
            <w:tcW w:w="35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Network equipment</w:t>
            </w:r>
          </w:p>
        </w:tc>
        <w:tc>
          <w:tcPr>
            <w:tcW w:w="42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 years</w:t>
            </w:r>
          </w:p>
        </w:tc>
      </w:tr>
      <w:tr>
        <w:trPr/>
        <w:tc>
          <w:tcPr>
            <w:tcW w:w="35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42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Shorter of the lease term or the estimated useful life</w:t>
            </w:r>
          </w:p>
        </w:tc>
      </w:tr>
    </w:tbl>
    <w:p>
      <w:pPr>
        <w:pStyle w:val="TextBody"/>
        <w:spacing w:lineRule="auto" w:line="288" w:before="0" w:after="240"/>
        <w:ind w:left="0" w:right="0" w:hanging="567"/>
        <w:jc w:val="both"/>
        <w:rPr>
          <w:rFonts w:ascii="Times New Roman;sans-serif" w:hAnsi="Times New Roman;sans-serif"/>
          <w:b/>
          <w:i/>
          <w:color w:val="000000"/>
          <w:sz w:val="20"/>
        </w:rPr>
      </w:pPr>
      <w:r>
        <w:rPr>
          <w:rFonts w:ascii="Times New Roman;sans-serif" w:hAnsi="Times New Roman;sans-serif"/>
          <w:b/>
          <w:i/>
          <w:color w:val="000000"/>
          <w:sz w:val="20"/>
        </w:rPr>
        <w:t xml:space="preserve">(l)    Goodwill and intangible assets </w:t>
      </w:r>
    </w:p>
    <w:p>
      <w:pPr>
        <w:pStyle w:val="TextBody"/>
        <w:spacing w:lineRule="auto" w:line="288" w:before="0" w:after="240"/>
        <w:ind w:left="0" w:right="0" w:hanging="567"/>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Intangible assets </w:t>
      </w:r>
    </w:p>
    <w:p>
      <w:pPr>
        <w:pStyle w:val="HorizontalLine"/>
        <w:rPr/>
      </w:pPr>
      <w:r>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480175" cy="175260"/>
                <wp:effectExtent l="0" t="0" r="0" b="0"/>
                <wp:wrapNone/>
                <wp:docPr id="176" name="Frame17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F-16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F-16</w:t>
                      </w:r>
                    </w:p>
                  </w:txbxContent>
                </v:textbox>
              </v:rect>
            </w:pict>
          </mc:Fallback>
        </mc:AlternateConten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AGORA,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 xml:space="preserve">(All amounts in US$, except share data, unless otherwise stated) </w:t>
      </w:r>
    </w:p>
    <w:p>
      <w:pPr>
        <w:pStyle w:val="TextBody"/>
        <w:spacing w:lineRule="auto" w:line="276" w:before="0" w:after="0"/>
        <w:ind w:left="0" w:right="0" w:firstLine="567"/>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Intangible assets are recognized at fair value and consists of developed technology from an acquisition during 2020 (see Note 3). Intangible assets are amortized over the period of estimated benefit using the straight-line method and the estimated useful life of the developed technology is 5 years. The estimated life of intangible assets subject to amortization is reassessed if circumstances occur that indicate the life has changed. Intangible assets are reviewed for impairment whenever events or changes in circumstances indicate that the carrying amount of such assets may not be recoverable. No impairment of intangible assets was recognized for the year ended December 31, 2020. </w:t>
      </w:r>
    </w:p>
    <w:p>
      <w:pPr>
        <w:pStyle w:val="TextBody"/>
        <w:spacing w:before="0" w:after="0"/>
        <w:rPr/>
      </w:pPr>
      <w:r>
        <w:rPr/>
      </w:r>
    </w:p>
    <w:p>
      <w:pPr>
        <w:pStyle w:val="TextBody"/>
        <w:spacing w:lineRule="auto" w:line="288" w:before="0" w:after="240"/>
        <w:ind w:left="0" w:right="0" w:hanging="567"/>
        <w:jc w:val="both"/>
        <w:rPr>
          <w:rFonts w:ascii="Times New Roman;sans-serif" w:hAnsi="Times New Roman;sans-serif"/>
          <w:b w:val="false"/>
          <w:i/>
          <w:color w:val="000000"/>
          <w:sz w:val="20"/>
        </w:rPr>
      </w:pPr>
      <w:r>
        <w:rPr>
          <w:rFonts w:ascii="Times New Roman;sans-serif" w:hAnsi="Times New Roman;sans-serif"/>
          <w:b w:val="false"/>
          <w:i/>
          <w:color w:val="000000"/>
          <w:sz w:val="20"/>
        </w:rPr>
        <w:t>Goodwill</w:t>
      </w:r>
    </w:p>
    <w:p>
      <w:pPr>
        <w:pStyle w:val="TextBody"/>
        <w:spacing w:lineRule="auto" w:line="288" w:before="0" w:after="240"/>
        <w:ind w:left="0" w:right="0" w:firstLine="567"/>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Goodwill represents the excess of the total cost of the acquisition over the fair value of the identifiable tangible and intangible assets acquired and liabilities assumed of the acquired entity as a result of the Company’s business acquisition during 2020 (see Note 3). </w:t>
      </w:r>
    </w:p>
    <w:p>
      <w:pPr>
        <w:pStyle w:val="TextBody"/>
        <w:spacing w:lineRule="auto" w:line="288" w:before="0" w:after="240"/>
        <w:ind w:left="0" w:right="0" w:firstLine="567"/>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Goodwill is not amortized but is tested for impairment on an annual basis, or more frequently if events or changes in circumstances indicate that the asset might be impaired. The annual impairment test includes an option to perform a qualitative assessment of whether it is more likely than not that a reporting unit’s fair value is less than its carrying value. If as a result of the qualitative assessment, that it is more likely than not that the fair value of the reporting unit is less than its carrying amount, the quantitative goodwill impairment test is performed to determine if the fair value of the reporting unit exceeds its carrying value. Under the qualitative assessment, the Company considers primary factors such as industry and market considerations, overall financial performance of the reporting unit and other specific information related to the operations. If the reporting unit does not pass the qualitative assessment, the Company estimates its fair value and compares the fair value with the carrying value of its reporting unit, including goodwill. If the fair value is greater than the carrying value of its reporting unit, no impairment is recorded. If the fair value is less than the carrying value, an impairment loss is recognized for the amount that the carrying amount of a reporting unit, including goodwill, exceeds its fair value, limited to the total amount of goodwill allocated to that reporting unit. The impairment charge would be recorded to earnings in the consolidated statements of operations. As of December 31, 2020, there is no event or any circumstance that the Company identified, which indicated that the fair value of the Company’s reporting unit was below its carrying value. There was no impairment of goodwill for the year ended December 31, 2020. </w:t>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the Company’s policy is to update the fair value calculation of its reporting units and perform the quantitative goodwill impairment test on a periodic basis.</w:t>
      </w:r>
    </w:p>
    <w:p>
      <w:pPr>
        <w:pStyle w:val="TextBody"/>
        <w:spacing w:before="0" w:after="0"/>
        <w:ind w:left="0" w:right="0" w:firstLine="720"/>
        <w:jc w:val="both"/>
        <w:rPr/>
      </w:pPr>
      <w:r>
        <w:rPr/>
      </w:r>
    </w:p>
    <w:p>
      <w:pPr>
        <w:pStyle w:val="TextBody"/>
        <w:spacing w:lineRule="auto" w:line="288" w:before="0" w:after="240"/>
        <w:ind w:left="0" w:right="0" w:hanging="567"/>
        <w:jc w:val="both"/>
        <w:rPr>
          <w:rFonts w:ascii="Times New Roman;sans-serif" w:hAnsi="Times New Roman;sans-serif"/>
          <w:b/>
          <w:i/>
          <w:color w:val="000000"/>
          <w:sz w:val="20"/>
        </w:rPr>
      </w:pPr>
      <w:r>
        <w:rPr>
          <w:rFonts w:ascii="Times New Roman;sans-serif" w:hAnsi="Times New Roman;sans-serif"/>
          <w:b/>
          <w:i/>
          <w:color w:val="000000"/>
          <w:sz w:val="20"/>
        </w:rPr>
        <w:t>(m)    Impairment of long-lived assets other than goodwill</w:t>
      </w:r>
    </w:p>
    <w:p>
      <w:pPr>
        <w:pStyle w:val="TextBody"/>
        <w:spacing w:lineRule="auto" w:line="288" w:before="0" w:after="240"/>
        <w:ind w:left="0" w:right="0" w:firstLine="567"/>
        <w:jc w:val="both"/>
        <w:rPr>
          <w:rFonts w:ascii="Times New Roman;sans-serif" w:hAnsi="Times New Roman;sans-serif"/>
          <w:b w:val="false"/>
          <w:color w:val="000000"/>
          <w:sz w:val="20"/>
        </w:rPr>
      </w:pPr>
      <w:r>
        <w:rPr>
          <w:rFonts w:ascii="Times New Roman;sans-serif" w:hAnsi="Times New Roman;sans-serif"/>
          <w:b w:val="false"/>
          <w:color w:val="000000"/>
          <w:sz w:val="20"/>
        </w:rPr>
        <w:t>Long-lived assets (including amortizable intangible assets) are evaluated for impairment whenever events or changes in circumstances occur that indicate that the carrying value of an asset may not be recoverable or that the useful life is shorter than the Group had originally estimated. When these events occur, the Group evaluates the impairment for the long-lived assets by comparing the carrying value of the assets to an estimate of future undiscounted cash flows expected to be generated from the use of the assets and their eventual disposition. If the sum of the expected future undiscounted cash flows is less than the carrying value of the assets, an impairment loss is recognized for the excess of the carrying value of the assets over the fair value of the assets. No impairment charges were recognized for the years ended December 31, 2018, 2019 and 2020.</w:t>
      </w:r>
    </w:p>
    <w:p>
      <w:pPr>
        <w:pStyle w:val="TextBody"/>
        <w:spacing w:lineRule="auto" w:line="288" w:before="0" w:after="240"/>
        <w:ind w:left="0" w:right="0" w:hanging="567"/>
        <w:jc w:val="both"/>
        <w:rPr>
          <w:rFonts w:ascii="Times New Roman;sans-serif" w:hAnsi="Times New Roman;sans-serif"/>
          <w:b/>
          <w:i/>
          <w:color w:val="000000"/>
          <w:sz w:val="20"/>
        </w:rPr>
      </w:pPr>
      <w:r>
        <w:rPr>
          <w:rFonts w:ascii="Times New Roman;sans-serif" w:hAnsi="Times New Roman;sans-serif"/>
          <w:b/>
          <w:i/>
          <w:color w:val="000000"/>
          <w:sz w:val="20"/>
        </w:rPr>
        <w:t>(n)    Advances from Customers</w:t>
      </w:r>
    </w:p>
    <w:p>
      <w:pPr>
        <w:pStyle w:val="TextBody"/>
        <w:spacing w:lineRule="auto" w:line="288" w:before="0" w:after="240"/>
        <w:ind w:left="0" w:right="0" w:firstLine="567"/>
        <w:jc w:val="both"/>
        <w:rPr>
          <w:rFonts w:ascii="Times New Roman;sans-serif" w:hAnsi="Times New Roman;sans-serif"/>
          <w:b w:val="false"/>
          <w:color w:val="000000"/>
          <w:sz w:val="20"/>
        </w:rPr>
      </w:pPr>
      <w:r>
        <w:rPr>
          <w:rFonts w:ascii="Times New Roman;sans-serif" w:hAnsi="Times New Roman;sans-serif"/>
          <w:b w:val="false"/>
          <w:color w:val="000000"/>
          <w:sz w:val="20"/>
        </w:rPr>
        <w:t>Certain customers pay in advance prior to the service usage. Payments received from customers are initially recorded as advances from customers and are recognized as revenues when revenue recognition criteria are met. See Note 2(r)—Revenue Recognition.</w:t>
      </w:r>
    </w:p>
    <w:p>
      <w:pPr>
        <w:pStyle w:val="TextBody"/>
        <w:spacing w:lineRule="auto" w:line="288" w:before="0" w:after="240"/>
        <w:ind w:left="0" w:right="0" w:hanging="567"/>
        <w:jc w:val="both"/>
        <w:rPr>
          <w:rFonts w:ascii="Times New Roman;sans-serif" w:hAnsi="Times New Roman;sans-serif"/>
          <w:b/>
          <w:i/>
          <w:color w:val="000000"/>
          <w:sz w:val="20"/>
        </w:rPr>
      </w:pPr>
      <w:r>
        <w:rPr>
          <w:rFonts w:ascii="Times New Roman;sans-serif" w:hAnsi="Times New Roman;sans-serif"/>
          <w:b/>
          <w:i/>
          <w:color w:val="000000"/>
          <w:sz w:val="20"/>
        </w:rPr>
        <w:t>(o)    Mezzanine Equity</w:t>
      </w:r>
    </w:p>
    <w:p>
      <w:pPr>
        <w:pStyle w:val="TextBody"/>
        <w:spacing w:lineRule="auto" w:line="288" w:before="0" w:after="240"/>
        <w:ind w:left="0" w:right="0" w:firstLine="567"/>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Mezzanine equity represents the Series A, Series B, Series B+, Series C and Series C+ convertible redeemable preferred shares (collectively, the “Preferred Shares”) issued by the Company. Preferred Shares are </w:t>
      </w:r>
    </w:p>
    <w:p>
      <w:pPr>
        <w:pStyle w:val="HorizontalLine"/>
        <w:rPr/>
      </w:pPr>
      <w:r>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480175" cy="175260"/>
                <wp:effectExtent l="0" t="0" r="0" b="0"/>
                <wp:wrapNone/>
                <wp:docPr id="177" name="Frame17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F-17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F-17</w:t>
                      </w:r>
                    </w:p>
                  </w:txbxContent>
                </v:textbox>
              </v:rect>
            </w:pict>
          </mc:Fallback>
        </mc:AlternateConten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AGORA,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 xml:space="preserve">(All amounts in US$, except share data, unless otherwise stated) </w:t>
      </w:r>
    </w:p>
    <w:p>
      <w:pPr>
        <w:pStyle w:val="TextBody"/>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redeemable at the holders’ option any time after a certain date and were contingently redeemable upon the occurrence of certain liquidation events outside of the Company’s control. Therefore, the Group classifies the Preferred Shares as mezzanine equity. See Note 11—Convertible Redeemable Preferred Shares.</w:t>
      </w:r>
    </w:p>
    <w:p>
      <w:pPr>
        <w:pStyle w:val="TextBody"/>
        <w:spacing w:lineRule="auto" w:line="288" w:before="0" w:after="240"/>
        <w:ind w:left="0" w:right="0" w:hanging="567"/>
        <w:jc w:val="both"/>
        <w:rPr>
          <w:rFonts w:ascii="Times New Roman;sans-serif" w:hAnsi="Times New Roman;sans-serif"/>
          <w:b/>
          <w:i/>
          <w:color w:val="000000"/>
          <w:sz w:val="20"/>
        </w:rPr>
      </w:pPr>
      <w:r>
        <w:rPr>
          <w:rFonts w:ascii="Times New Roman;sans-serif" w:hAnsi="Times New Roman;sans-serif"/>
          <w:b/>
          <w:i/>
          <w:color w:val="000000"/>
          <w:sz w:val="20"/>
        </w:rPr>
        <w:t>(p)    Deferred Equity Offering Costs</w:t>
      </w:r>
    </w:p>
    <w:p>
      <w:pPr>
        <w:pStyle w:val="TextBody"/>
        <w:spacing w:lineRule="auto" w:line="288" w:before="0" w:after="240"/>
        <w:ind w:left="0" w:right="0" w:firstLine="567"/>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capitalizes certain legal, professional accounting and other third-party fees that are directly associated with in-process equity financings as deferred offering costs until such financings are consummated. After consummation of an equity financing, these costs are recorded in shareholders’ equity (deficit) as a reduction of additional paid-in capital generated as a result of the offering. Or in the case that the equity financing is related to mezzanine equity, these costs are recorded as a reduction of mezzanine equity. Should the in-process equity financing be abandoned, the deferred offering costs will be expensed immediately as a charge to operating expenses in the consolidated statements of comprehensive loss.</w:t>
      </w:r>
    </w:p>
    <w:p>
      <w:pPr>
        <w:pStyle w:val="TextBody"/>
        <w:spacing w:lineRule="auto" w:line="288" w:before="0" w:after="240"/>
        <w:ind w:left="0" w:right="0" w:firstLine="567"/>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2019 and 2020, deferred offering costs of US$287,331 and nil were recorded in the consolidated balance sheet, respectively. See Note 7—Other Non-current Assets.</w:t>
      </w:r>
    </w:p>
    <w:p>
      <w:pPr>
        <w:pStyle w:val="TextBody"/>
        <w:spacing w:lineRule="auto" w:line="288" w:before="0" w:after="240"/>
        <w:ind w:left="0" w:right="0" w:hanging="567"/>
        <w:jc w:val="both"/>
        <w:rPr>
          <w:rFonts w:ascii="Times New Roman;sans-serif" w:hAnsi="Times New Roman;sans-serif"/>
          <w:b/>
          <w:i/>
          <w:color w:val="000000"/>
          <w:sz w:val="20"/>
        </w:rPr>
      </w:pPr>
      <w:r>
        <w:rPr>
          <w:rFonts w:ascii="Times New Roman;sans-serif" w:hAnsi="Times New Roman;sans-serif"/>
          <w:b/>
          <w:i/>
          <w:color w:val="000000"/>
          <w:sz w:val="20"/>
        </w:rPr>
        <w:t>(q)    Value Added Taxes</w:t>
      </w:r>
    </w:p>
    <w:p>
      <w:pPr>
        <w:pStyle w:val="TextBody"/>
        <w:spacing w:lineRule="auto" w:line="288" w:before="0" w:after="240"/>
        <w:ind w:left="0" w:right="0" w:firstLine="567"/>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The Group’s entities in the PRC are subject to value-added taxes (“VAT”) at a rate of 6% on their services, less any deductible VAT the Group has already paid or borne. They are also subject to surcharges on VAT payments in accordance with PRC law. VAT is not included in the revenue recognized for the Group.</w:t>
      </w:r>
    </w:p>
    <w:p>
      <w:pPr>
        <w:pStyle w:val="TextBody"/>
        <w:spacing w:lineRule="auto" w:line="288" w:before="0" w:after="240"/>
        <w:ind w:left="0" w:right="0" w:hanging="567"/>
        <w:jc w:val="both"/>
        <w:rPr>
          <w:rFonts w:ascii="Times New Roman;sans-serif" w:hAnsi="Times New Roman;sans-serif"/>
          <w:b/>
          <w:i/>
          <w:color w:val="000000"/>
          <w:sz w:val="20"/>
        </w:rPr>
      </w:pPr>
      <w:r>
        <w:rPr>
          <w:rFonts w:ascii="Times New Roman;sans-serif" w:hAnsi="Times New Roman;sans-serif"/>
          <w:b/>
          <w:i/>
          <w:color w:val="000000"/>
          <w:sz w:val="20"/>
        </w:rPr>
        <w:t>(r)    Revenue Recognition</w:t>
      </w:r>
    </w:p>
    <w:p>
      <w:pPr>
        <w:pStyle w:val="TextBody"/>
        <w:spacing w:lineRule="auto" w:line="288" w:before="0" w:after="240"/>
        <w:ind w:left="0" w:right="0" w:firstLine="567"/>
        <w:jc w:val="both"/>
        <w:rPr>
          <w:rFonts w:ascii="Times New Roman;sans-serif" w:hAnsi="Times New Roman;sans-serif"/>
          <w:b w:val="false"/>
          <w:color w:val="000000"/>
          <w:sz w:val="20"/>
        </w:rPr>
      </w:pPr>
      <w:r>
        <w:rPr>
          <w:rFonts w:ascii="Times New Roman;sans-serif" w:hAnsi="Times New Roman;sans-serif"/>
          <w:b w:val="false"/>
          <w:color w:val="000000"/>
          <w:sz w:val="20"/>
        </w:rPr>
        <w:t>The Group early adopted ASC Topic 606, Revenue from Contracts with Customers (ASC 606) for all periods presented. According to ASC 606, revenue is recognized when control of the promised goods or services is transferred to the customers, in an amount that reflects the consideration the Group expects to be entitled to in exchange for those goods or services. The Group determines revenue recognition through the following steps: (1) identify the contract(s) with a customer, (2) identify the performance obligations in the contract, (3) determine the transaction price, (4) allocate the transaction price to the performance obligations in the contract, and (5) recognize revenue when (or as) the entity satisfies a performance obligation.</w:t>
      </w:r>
    </w:p>
    <w:p>
      <w:pPr>
        <w:pStyle w:val="TextBody"/>
        <w:spacing w:lineRule="auto" w:line="288" w:before="0" w:after="240"/>
        <w:ind w:left="0" w:right="0" w:firstLine="567"/>
        <w:jc w:val="both"/>
        <w:rPr>
          <w:rFonts w:ascii="Times New Roman;sans-serif" w:hAnsi="Times New Roman;sans-serif"/>
          <w:b w:val="false"/>
          <w:color w:val="000000"/>
          <w:sz w:val="20"/>
        </w:rPr>
      </w:pPr>
      <w:r>
        <w:rPr>
          <w:rFonts w:ascii="Times New Roman;sans-serif" w:hAnsi="Times New Roman;sans-serif"/>
          <w:b w:val="false"/>
          <w:color w:val="000000"/>
          <w:sz w:val="20"/>
        </w:rPr>
        <w:t>The Group’s revenue is primarily derived from real-time engagement services, which are usage-based fees earned from customers accessing the Group’s enterprise cloud computing platform. The performance obligation associated with the platform access is a series of distinct services that have the same pattern of transfer, and the usage-based fees are recognized as revenue in the period in which the usage occurs.</w:t>
      </w:r>
    </w:p>
    <w:p>
      <w:pPr>
        <w:pStyle w:val="TextBody"/>
        <w:spacing w:lineRule="auto" w:line="288" w:before="0" w:after="240"/>
        <w:ind w:left="0" w:right="0" w:firstLine="567"/>
        <w:jc w:val="both"/>
        <w:rPr>
          <w:rFonts w:ascii="Times New Roman;sans-serif" w:hAnsi="Times New Roman;sans-serif"/>
          <w:b w:val="false"/>
          <w:color w:val="000000"/>
          <w:sz w:val="20"/>
        </w:rPr>
      </w:pPr>
      <w:r>
        <w:rPr>
          <w:rFonts w:ascii="Times New Roman;sans-serif" w:hAnsi="Times New Roman;sans-serif"/>
          <w:b w:val="false"/>
          <w:color w:val="000000"/>
          <w:sz w:val="20"/>
        </w:rPr>
        <w:t>The Group’s other revenues are comprised primarily of project revenues, which are arrangements with specific customers where the Company will customize a software development kit to be integrated with the customer’s system based on the customer’s specific requirements. The progress of the project is defined by the readiness of the system integration as specified in the contract. To date, the Group’s projects are considered a single performance obligation, as the individual components of the project are not sold on a standalone basis and does not provide benefit to the customer on its own. Revenue is recognized over time as the Group’s performance enhances an asset controlled by the customer. Revenue recognition is based on the measurement of progress toward complete satisfaction of the performance obligation, for which the Group utilizes the output method.</w:t>
      </w:r>
    </w:p>
    <w:p>
      <w:pPr>
        <w:pStyle w:val="TextBody"/>
        <w:spacing w:lineRule="auto" w:line="288" w:before="0" w:after="240"/>
        <w:ind w:left="0" w:right="0" w:firstLine="567"/>
        <w:jc w:val="both"/>
        <w:rPr>
          <w:rFonts w:ascii="Times New Roman;sans-serif" w:hAnsi="Times New Roman;sans-serif"/>
          <w:b w:val="false"/>
          <w:color w:val="000000"/>
          <w:sz w:val="20"/>
        </w:rPr>
      </w:pPr>
      <w:r>
        <w:rPr>
          <w:rFonts w:ascii="Times New Roman;sans-serif" w:hAnsi="Times New Roman;sans-serif"/>
          <w:b w:val="false"/>
          <w:color w:val="000000"/>
          <w:sz w:val="20"/>
        </w:rPr>
        <w:t>Timing of revenue recognition may differ from the timing of invoicing to customers. The Group records a contract asset when the Group has a right to consideration in exchange for goods or services that it has transferred to a customer and when that right is conditioned on something other than the passage of time (for example, the entity’s future performance). Accounts receivables represent amounts invoiced and revenue recognized prior to invoicing, when the Group has satisfied its performance obligations and has the unconditional right to payment. As of December 31, 2019 and 2020, contract assets recorded in the Group’s consolidated balance sheets was immaterial.</w:t>
      </w:r>
    </w:p>
    <w:p>
      <w:pPr>
        <w:pStyle w:val="HorizontalLine"/>
        <w:rPr/>
      </w:pPr>
      <w:r>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480175" cy="175260"/>
                <wp:effectExtent l="0" t="0" r="0" b="0"/>
                <wp:wrapNone/>
                <wp:docPr id="178" name="Frame17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F-18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F-18</w:t>
                      </w:r>
                    </w:p>
                  </w:txbxContent>
                </v:textbox>
              </v:rect>
            </w:pict>
          </mc:Fallback>
        </mc:AlternateConten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AGORA,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 xml:space="preserve">(All amounts in US$, except share data, unless otherwise stated) </w:t>
      </w:r>
    </w:p>
    <w:p>
      <w:pPr>
        <w:pStyle w:val="TextBody"/>
        <w:spacing w:lineRule="auto" w:line="288" w:before="0" w:after="240"/>
        <w:ind w:left="0" w:right="0" w:firstLine="567"/>
        <w:jc w:val="both"/>
        <w:rPr>
          <w:rFonts w:ascii="Times New Roman;sans-serif" w:hAnsi="Times New Roman;sans-serif"/>
          <w:b w:val="false"/>
          <w:color w:val="000000"/>
          <w:sz w:val="20"/>
        </w:rPr>
      </w:pPr>
      <w:r>
        <w:rPr>
          <w:rFonts w:ascii="Times New Roman;sans-serif" w:hAnsi="Times New Roman;sans-serif"/>
          <w:b w:val="false"/>
          <w:color w:val="000000"/>
          <w:sz w:val="20"/>
        </w:rPr>
        <w:t>If a customer pays consideration, or the Group has a right to an amount of consideration that is unconditional (that is, a receivable), before the Group transfers a good or service to the customer, the Group shall present the contract as a contract liability when the payment is made or the payment is due (whichever is earlier). A contract liability is the Group’s obligation to transfer goods or services to a customer for which it has received consideration (or an amount of consideration is due) from the customer. Due to the generally short-term duration of the contracts, the majority of the performance obligations are satisfied in the following reporting period. As of December 31, 2019 and 2020, contract liabilities recorded as advances from customers are US$920,925 and US$1,338,516 as of December 31, 2019 and 2020, respectively, in the Group’s consolidated balance sheets. Revenue recognized for the years ended December 31, 2018, 2019 and 2020 that was included in the contract liabilities balance at the beginning of the period was US$358,213, US$628,954 and US$920,925, respectively.</w:t>
      </w:r>
    </w:p>
    <w:p>
      <w:pPr>
        <w:pStyle w:val="TextBody"/>
        <w:spacing w:lineRule="auto" w:line="288" w:before="0" w:after="240"/>
        <w:ind w:left="0" w:right="0" w:hanging="567"/>
        <w:jc w:val="both"/>
        <w:rPr>
          <w:rFonts w:ascii="Times New Roman;sans-serif" w:hAnsi="Times New Roman;sans-serif"/>
          <w:b w:val="false"/>
          <w:i/>
          <w:color w:val="000000"/>
          <w:sz w:val="20"/>
        </w:rPr>
      </w:pPr>
      <w:r>
        <w:rPr>
          <w:rFonts w:ascii="Times New Roman;sans-serif" w:hAnsi="Times New Roman;sans-serif"/>
          <w:b w:val="false"/>
          <w:i/>
          <w:color w:val="000000"/>
          <w:sz w:val="20"/>
        </w:rPr>
        <w:t>Practical Expedients and Exemptions</w:t>
      </w:r>
    </w:p>
    <w:p>
      <w:pPr>
        <w:pStyle w:val="TextBody"/>
        <w:spacing w:lineRule="auto" w:line="288" w:before="0" w:after="240"/>
        <w:ind w:left="0" w:right="0" w:firstLine="567"/>
        <w:jc w:val="both"/>
        <w:rPr>
          <w:rFonts w:ascii="Times New Roman;sans-serif" w:hAnsi="Times New Roman;sans-serif"/>
          <w:b w:val="false"/>
          <w:color w:val="000000"/>
          <w:sz w:val="20"/>
        </w:rPr>
      </w:pPr>
      <w:r>
        <w:rPr>
          <w:rFonts w:ascii="Times New Roman;sans-serif" w:hAnsi="Times New Roman;sans-serif"/>
          <w:b w:val="false"/>
          <w:color w:val="000000"/>
          <w:sz w:val="20"/>
        </w:rPr>
        <w:t>Upon the election of the practical expedient under ASC 340-40-25-4, the incremental costs of obtaining a contract are expensed when incurred if the amortization period of the asset that the entity otherwise would have recognized is one year or less. For the years ended December 31, 2019 and 2020, no incremental contract obtaining cost was capitalized as assets due to short term of the amortization period.</w:t>
      </w:r>
    </w:p>
    <w:p>
      <w:pPr>
        <w:pStyle w:val="TextBody"/>
        <w:spacing w:lineRule="auto" w:line="288" w:before="0" w:after="240"/>
        <w:ind w:left="0" w:right="0" w:hanging="567"/>
        <w:jc w:val="both"/>
        <w:rPr>
          <w:rFonts w:ascii="Times New Roman;sans-serif" w:hAnsi="Times New Roman;sans-serif"/>
          <w:b/>
          <w:i/>
          <w:color w:val="000000"/>
          <w:sz w:val="20"/>
        </w:rPr>
      </w:pPr>
      <w:r>
        <w:rPr>
          <w:rFonts w:ascii="Times New Roman;sans-serif" w:hAnsi="Times New Roman;sans-serif"/>
          <w:b/>
          <w:i/>
          <w:color w:val="000000"/>
          <w:sz w:val="20"/>
        </w:rPr>
        <w:t>(s)    Cost of Revenues</w:t>
      </w:r>
    </w:p>
    <w:p>
      <w:pPr>
        <w:pStyle w:val="TextBody"/>
        <w:spacing w:lineRule="auto" w:line="288" w:before="0" w:after="240"/>
        <w:ind w:left="0" w:right="0" w:firstLine="567"/>
        <w:jc w:val="both"/>
        <w:rPr>
          <w:rFonts w:ascii="Times New Roman;sans-serif" w:hAnsi="Times New Roman;sans-serif"/>
          <w:b w:val="false"/>
          <w:color w:val="000000"/>
          <w:sz w:val="20"/>
        </w:rPr>
      </w:pPr>
      <w:r>
        <w:rPr>
          <w:rFonts w:ascii="Times New Roman;sans-serif" w:hAnsi="Times New Roman;sans-serif"/>
          <w:b w:val="false"/>
          <w:color w:val="000000"/>
          <w:sz w:val="20"/>
        </w:rPr>
        <w:t>Cost of revenue consists primarily of costs of bandwidth purchased from network service providers and costs of hosting services purchased from data center operators, and personnel costs for the customer care and support services employees. These costs are charged to the consolidated statements of comprehensive loss as incurred.</w:t>
      </w:r>
    </w:p>
    <w:p>
      <w:pPr>
        <w:pStyle w:val="TextBody"/>
        <w:spacing w:lineRule="auto" w:line="288" w:before="0" w:after="240"/>
        <w:ind w:left="0" w:right="0" w:hanging="567"/>
        <w:jc w:val="both"/>
        <w:rPr>
          <w:rFonts w:ascii="Times New Roman;sans-serif" w:hAnsi="Times New Roman;sans-serif"/>
          <w:b/>
          <w:i/>
          <w:color w:val="000000"/>
          <w:sz w:val="20"/>
        </w:rPr>
      </w:pPr>
      <w:r>
        <w:rPr>
          <w:rFonts w:ascii="Times New Roman;sans-serif" w:hAnsi="Times New Roman;sans-serif"/>
          <w:b/>
          <w:i/>
          <w:color w:val="000000"/>
          <w:sz w:val="20"/>
        </w:rPr>
        <w:t>(t)    Research and Development Expenses</w:t>
      </w:r>
    </w:p>
    <w:p>
      <w:pPr>
        <w:pStyle w:val="TextBody"/>
        <w:spacing w:lineRule="auto" w:line="288" w:before="0" w:after="240"/>
        <w:ind w:left="0" w:right="0" w:firstLine="567"/>
        <w:jc w:val="both"/>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expenses consist primarily of employee wages and benefits for research and development personnel, cloud infrastructure fees for staging and development, third party software testing services, and an allocation of general overhead expenses. Research and development costs are expensed as incurred in accordance with ASC 730, Research and Development.</w:t>
      </w:r>
    </w:p>
    <w:p>
      <w:pPr>
        <w:pStyle w:val="TextBody"/>
        <w:spacing w:lineRule="auto" w:line="288" w:before="0" w:after="240"/>
        <w:ind w:left="0" w:right="0" w:hanging="567"/>
        <w:jc w:val="both"/>
        <w:rPr>
          <w:rFonts w:ascii="Times New Roman;sans-serif" w:hAnsi="Times New Roman;sans-serif"/>
          <w:b/>
          <w:i/>
          <w:color w:val="000000"/>
          <w:sz w:val="20"/>
        </w:rPr>
      </w:pPr>
      <w:r>
        <w:rPr>
          <w:rFonts w:ascii="Times New Roman;sans-serif" w:hAnsi="Times New Roman;sans-serif"/>
          <w:b/>
          <w:i/>
          <w:color w:val="000000"/>
          <w:sz w:val="20"/>
        </w:rPr>
        <w:t>(u)    Software Development Costs</w:t>
      </w:r>
    </w:p>
    <w:p>
      <w:pPr>
        <w:pStyle w:val="TextBody"/>
        <w:spacing w:lineRule="auto" w:line="288" w:before="0" w:after="240"/>
        <w:ind w:left="0" w:right="0" w:firstLine="567"/>
        <w:jc w:val="both"/>
        <w:rPr>
          <w:rFonts w:ascii="Times New Roman;sans-serif" w:hAnsi="Times New Roman;sans-serif"/>
          <w:b w:val="false"/>
          <w:color w:val="000000"/>
          <w:sz w:val="20"/>
        </w:rPr>
      </w:pPr>
      <w:r>
        <w:rPr>
          <w:rFonts w:ascii="Times New Roman;sans-serif" w:hAnsi="Times New Roman;sans-serif"/>
          <w:b w:val="false"/>
          <w:color w:val="000000"/>
          <w:sz w:val="20"/>
        </w:rPr>
        <w:t>The Group accounts for costs to develop or obtain internal use software in accordance with ASC 350-40, Internal-Use Software. For internal use software, the Group expenses costs incurred for the preliminary project stage and post implementation-operation stage of development, and costs associated with repair or maintenance of the existing applications. Costs incurred in the application development stage are capitalized and amortized on a straight-line basis over the estimated useful life. Development costs related to internal use software qualifying for capitalization have been immaterial, and as a result have been expensed as incurred.</w:t>
      </w:r>
    </w:p>
    <w:p>
      <w:pPr>
        <w:pStyle w:val="TextBody"/>
        <w:spacing w:lineRule="auto" w:line="288" w:before="0" w:after="240"/>
        <w:ind w:left="0" w:right="0" w:hanging="567"/>
        <w:jc w:val="both"/>
        <w:rPr>
          <w:rFonts w:ascii="Times New Roman;sans-serif" w:hAnsi="Times New Roman;sans-serif"/>
          <w:b/>
          <w:i/>
          <w:color w:val="000000"/>
          <w:sz w:val="20"/>
        </w:rPr>
      </w:pPr>
      <w:r>
        <w:rPr>
          <w:rFonts w:ascii="Times New Roman;sans-serif" w:hAnsi="Times New Roman;sans-serif"/>
          <w:b/>
          <w:i/>
          <w:color w:val="000000"/>
          <w:sz w:val="20"/>
        </w:rPr>
        <w:t>(v)    Sales and Marketing Expenses</w:t>
      </w:r>
    </w:p>
    <w:p>
      <w:pPr>
        <w:pStyle w:val="TextBody"/>
        <w:spacing w:lineRule="auto" w:line="288" w:before="0" w:after="240"/>
        <w:ind w:left="0" w:right="0" w:firstLine="567"/>
        <w:jc w:val="both"/>
        <w:rPr>
          <w:rFonts w:ascii="Times New Roman;sans-serif" w:hAnsi="Times New Roman;sans-serif"/>
          <w:b w:val="false"/>
          <w:color w:val="000000"/>
          <w:sz w:val="20"/>
        </w:rPr>
      </w:pPr>
      <w:r>
        <w:rPr>
          <w:rFonts w:ascii="Times New Roman;sans-serif" w:hAnsi="Times New Roman;sans-serif"/>
          <w:b w:val="false"/>
          <w:color w:val="000000"/>
          <w:sz w:val="20"/>
        </w:rPr>
        <w:t>Sales and marketing expenses consist primarily of marketing and promotional expenses, salaries and payroll expenses to the Group’s sales and marketing personnel. Advertising expenses consist primarily of costs for the promotion of corporate image and product marketing. The Group expenses all advertising costs as incurred and classifies these costs under sales and marketing. For the years ended December 31, 2018, 2019 and 2020, advertising and marketing costs totaled US$580,342, US$1,198,905 and US$1,630,954 respectively.</w:t>
      </w:r>
    </w:p>
    <w:p>
      <w:pPr>
        <w:pStyle w:val="TextBody"/>
        <w:spacing w:lineRule="auto" w:line="288" w:before="0" w:after="240"/>
        <w:ind w:left="0" w:right="0" w:hanging="567"/>
        <w:jc w:val="both"/>
        <w:rPr>
          <w:rFonts w:ascii="Times New Roman;sans-serif" w:hAnsi="Times New Roman;sans-serif"/>
          <w:b/>
          <w:i/>
          <w:color w:val="000000"/>
          <w:sz w:val="20"/>
        </w:rPr>
      </w:pPr>
      <w:r>
        <w:rPr>
          <w:rFonts w:ascii="Times New Roman;sans-serif" w:hAnsi="Times New Roman;sans-serif"/>
          <w:b/>
          <w:i/>
          <w:color w:val="000000"/>
          <w:sz w:val="20"/>
        </w:rPr>
        <w:t>(w)    General and Administrative Expenses</w:t>
      </w:r>
    </w:p>
    <w:p>
      <w:pPr>
        <w:pStyle w:val="TextBody"/>
        <w:spacing w:lineRule="auto" w:line="288" w:before="0" w:after="240"/>
        <w:ind w:left="0" w:right="0" w:firstLine="567"/>
        <w:jc w:val="both"/>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 consist of employee wages and benefits for corporate employees, rental expenses, audit and legal fees, depreciation of property and equipment, and other corporate overhead costs.</w:t>
      </w:r>
    </w:p>
    <w:p>
      <w:pPr>
        <w:pStyle w:val="TextBody"/>
        <w:spacing w:lineRule="auto" w:line="288" w:before="0" w:after="240"/>
        <w:ind w:left="0" w:right="0" w:hanging="567"/>
        <w:jc w:val="both"/>
        <w:rPr>
          <w:rFonts w:ascii="Times New Roman;sans-serif" w:hAnsi="Times New Roman;sans-serif"/>
          <w:b/>
          <w:i/>
          <w:color w:val="000000"/>
          <w:sz w:val="20"/>
        </w:rPr>
      </w:pPr>
      <w:r>
        <w:rPr>
          <w:rFonts w:ascii="Times New Roman;sans-serif" w:hAnsi="Times New Roman;sans-serif"/>
          <w:b/>
          <w:i/>
          <w:color w:val="000000"/>
          <w:sz w:val="20"/>
        </w:rPr>
        <w:t>(x)    Operating Leases</w:t>
      </w:r>
    </w:p>
    <w:p>
      <w:pPr>
        <w:pStyle w:val="HorizontalLine"/>
        <w:rPr/>
      </w:pPr>
      <w:r>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480175" cy="175260"/>
                <wp:effectExtent l="0" t="0" r="0" b="0"/>
                <wp:wrapNone/>
                <wp:docPr id="179" name="Frame17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F-19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F-19</w:t>
                      </w:r>
                    </w:p>
                  </w:txbxContent>
                </v:textbox>
              </v:rect>
            </w:pict>
          </mc:Fallback>
        </mc:AlternateConten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AGORA,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 xml:space="preserve">(All amounts in US$, except share data, unless otherwise stated) </w:t>
      </w:r>
    </w:p>
    <w:p>
      <w:pPr>
        <w:pStyle w:val="TextBody"/>
        <w:spacing w:lineRule="auto" w:line="288" w:before="0" w:after="240"/>
        <w:ind w:left="0" w:right="0" w:firstLine="567"/>
        <w:jc w:val="both"/>
        <w:rPr>
          <w:rFonts w:ascii="Times New Roman;sans-serif" w:hAnsi="Times New Roman;sans-serif"/>
          <w:b w:val="false"/>
          <w:color w:val="000000"/>
          <w:sz w:val="20"/>
        </w:rPr>
      </w:pPr>
      <w:r>
        <w:rPr>
          <w:rFonts w:ascii="Times New Roman;sans-serif" w:hAnsi="Times New Roman;sans-serif"/>
          <w:b w:val="false"/>
          <w:color w:val="000000"/>
          <w:sz w:val="20"/>
        </w:rPr>
        <w:t>Each lease is classified at the inception date as either a capital lease or an operating lease. For the lessee, a lease is a capital lease if any of the following conditions exist: a) ownership is transferred to the lessee by the end of the lease term, b) there is a bargain purchase option, c) the lease term is at least 75% of the property’s estimated remaining economic life or d) the present value of the minimum lease payments at the beginning of the lease term is 90% or more of the fair value of the leased property to the leaser at the inception date. The Group had no capital leases for the years ended December 31, 2019 and 2020. Rental expense is recognized from the date of initial possession of the leased property on a straight-line basis over the term of the lease.</w:t>
      </w:r>
    </w:p>
    <w:p>
      <w:pPr>
        <w:pStyle w:val="TextBody"/>
        <w:spacing w:lineRule="auto" w:line="288" w:before="0" w:after="240"/>
        <w:ind w:left="0" w:right="0" w:hanging="567"/>
        <w:jc w:val="both"/>
        <w:rPr>
          <w:rFonts w:ascii="Times New Roman;sans-serif" w:hAnsi="Times New Roman;sans-serif"/>
          <w:b/>
          <w:i/>
          <w:color w:val="000000"/>
          <w:sz w:val="20"/>
        </w:rPr>
      </w:pPr>
      <w:r>
        <w:rPr>
          <w:rFonts w:ascii="Times New Roman;sans-serif" w:hAnsi="Times New Roman;sans-serif"/>
          <w:b/>
          <w:i/>
          <w:color w:val="000000"/>
          <w:sz w:val="20"/>
        </w:rPr>
        <w:t>(y)    Income Tax</w:t>
      </w:r>
    </w:p>
    <w:p>
      <w:pPr>
        <w:pStyle w:val="TextBody"/>
        <w:spacing w:lineRule="auto" w:line="288" w:before="0" w:after="240"/>
        <w:ind w:left="0" w:right="0" w:firstLine="567"/>
        <w:jc w:val="both"/>
        <w:rPr>
          <w:rFonts w:ascii="Times New Roman;sans-serif" w:hAnsi="Times New Roman;sans-serif"/>
          <w:b w:val="false"/>
          <w:color w:val="000000"/>
          <w:sz w:val="20"/>
        </w:rPr>
      </w:pPr>
      <w:r>
        <w:rPr>
          <w:rFonts w:ascii="Times New Roman;sans-serif" w:hAnsi="Times New Roman;sans-serif"/>
          <w:b w:val="false"/>
          <w:color w:val="000000"/>
          <w:sz w:val="20"/>
        </w:rPr>
        <w:t>Current income taxes are recorded in accordance with the regulations of the relevant tax jurisdiction. The Group accounts for income taxes under the asset and liability method in accordance with ASC 740, Income Tax. Under this method, deferred tax assets and liabilities are recognized for the tax consequences attributable to differences between carrying amounts of existing assets and liabilities in the financial statements and their respective tax basis, and operating loss carry-forwards. Deferred tax assets are reduced by a valuation allowance when, in the opinion of management, it is more likely than not that some portion or all of the deferred tax assets will not be realized. Deferred tax assets and liabilities are measured using enacted tax rates expected to apply to taxable income in the years in which temporary differences are expected to be received or settled. The effect on deferred tax assets and liabilities of changes in tax rates is recognized in the statement of comprehensive loss in the period of the enactment of the change.</w:t>
      </w:r>
    </w:p>
    <w:p>
      <w:pPr>
        <w:pStyle w:val="TextBody"/>
        <w:spacing w:lineRule="auto" w:line="288" w:before="0" w:after="240"/>
        <w:ind w:left="0" w:right="0" w:firstLine="567"/>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considers positive and negative evidence when determining whether a portion or all of its deferred tax assets will more likely than not be realized. This assessment considers, among other matters, the nature, frequency and severity of current and cumulative losses, forecasts of future profitability, the duration of statutory carry-forward periods, its experience with tax attributes expiring unused, and its tax planning strategies. The ultimate realization of deferred tax assets is dependent upon its ability to generate sufficient future taxable income within the carry-forward periods provided for in the tax law and during the periods in which the temporary differences become deductible. When assessing the realization of deferred tax assets, the Company has considered possible sources of taxable income including (1) future reversals of existing taxable temporary differences, (2) future taxable income exclusive of reversing temporary differences and carry-forwards, (3) future taxable income arising from implementing tax planning strategies, and (4) specific known trend of profits expected to be reflected in the Company’s operations.</w:t>
      </w:r>
    </w:p>
    <w:p>
      <w:pPr>
        <w:pStyle w:val="TextBody"/>
        <w:spacing w:lineRule="auto" w:line="288" w:before="0" w:after="240"/>
        <w:ind w:left="0" w:right="0" w:firstLine="567"/>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recognizes a tax benefit associated with an uncertain tax position when, in its judgment, it is more likely than not that the position will be sustained upon examination by a taxing authority. For a tax position that meets the more-likely-than-not recognition threshold, the Company initially and subsequently measures the tax benefit as the largest amount that the Company judges to have a greater than 50% likelihood of being realized upon ultimate settlement with a taxing authority. The Company’s liability associated with unrecognized tax benefits is adjusted periodically due to changing circumstances, such as the progress of tax audits, case law developments and new or emerging legislation. Such adjustments are recognized entirely in the period in which they are identified. The Company’s effective tax rate includes the net impact of changes in the liability for unrecognized tax benefits and subsequent adjustments as considered appropriate by management. The Company classifies interest and penalties recognized on the liability for unrecognized tax benefits as income tax expense. For the years ended December 31, 2019 and 2020, there were no uncertain tax position liabilities or deferred tax recognized.</w:t>
      </w:r>
    </w:p>
    <w:p>
      <w:pPr>
        <w:pStyle w:val="TextBody"/>
        <w:spacing w:lineRule="auto" w:line="288" w:before="0" w:after="240"/>
        <w:ind w:left="0" w:right="0" w:hanging="567"/>
        <w:jc w:val="both"/>
        <w:rPr>
          <w:rFonts w:ascii="Times New Roman;sans-serif" w:hAnsi="Times New Roman;sans-serif"/>
          <w:b/>
          <w:i/>
          <w:color w:val="000000"/>
          <w:sz w:val="20"/>
        </w:rPr>
      </w:pPr>
      <w:r>
        <w:rPr>
          <w:rFonts w:ascii="Times New Roman;sans-serif" w:hAnsi="Times New Roman;sans-serif"/>
          <w:b/>
          <w:i/>
          <w:color w:val="000000"/>
          <w:sz w:val="20"/>
        </w:rPr>
        <w:t>(z)    Share-based Compensation</w:t>
      </w:r>
    </w:p>
    <w:p>
      <w:pPr>
        <w:pStyle w:val="TextBody"/>
        <w:spacing w:lineRule="auto" w:line="288" w:before="0" w:after="240"/>
        <w:ind w:left="0" w:right="0" w:firstLine="567"/>
        <w:jc w:val="both"/>
        <w:rPr>
          <w:rFonts w:ascii="Times New Roman;sans-serif" w:hAnsi="Times New Roman;sans-serif"/>
          <w:b w:val="false"/>
          <w:color w:val="000000"/>
          <w:sz w:val="20"/>
        </w:rPr>
      </w:pPr>
      <w:r>
        <w:rPr>
          <w:rFonts w:ascii="Times New Roman;sans-serif" w:hAnsi="Times New Roman;sans-serif"/>
          <w:b w:val="false"/>
          <w:color w:val="000000"/>
          <w:sz w:val="20"/>
        </w:rPr>
        <w:t>All share-based awards are measured at fair value on the grant date. The share-based compensation expenses have been categorized as either cost of revenues, research and development expenses, sales and marketing expenses or general and administrative expenses, depending on the job functions of the grantees.</w:t>
      </w:r>
    </w:p>
    <w:p>
      <w:pPr>
        <w:pStyle w:val="TextBody"/>
        <w:spacing w:lineRule="auto" w:line="288" w:before="0" w:after="240"/>
        <w:ind w:left="0" w:right="0" w:firstLine="567"/>
        <w:jc w:val="both"/>
        <w:rPr>
          <w:rFonts w:ascii="Times New Roman;sans-serif" w:hAnsi="Times New Roman;sans-serif"/>
          <w:b w:val="false"/>
          <w:i/>
          <w:color w:val="000000"/>
          <w:sz w:val="20"/>
        </w:rPr>
      </w:pPr>
      <w:r>
        <w:rPr>
          <w:rFonts w:ascii="Times New Roman;sans-serif" w:hAnsi="Times New Roman;sans-serif"/>
          <w:b w:val="false"/>
          <w:i/>
          <w:color w:val="000000"/>
          <w:sz w:val="20"/>
        </w:rPr>
        <w:t>Share Options Granted</w:t>
      </w:r>
    </w:p>
    <w:p>
      <w:pPr>
        <w:pStyle w:val="HorizontalLine"/>
        <w:rPr/>
      </w:pPr>
      <w:r>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480175" cy="175260"/>
                <wp:effectExtent l="0" t="0" r="0" b="0"/>
                <wp:wrapNone/>
                <wp:docPr id="180" name="Frame17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F-20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F-20</w:t>
                      </w:r>
                    </w:p>
                  </w:txbxContent>
                </v:textbox>
              </v:rect>
            </w:pict>
          </mc:Fallback>
        </mc:AlternateConten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AGORA,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 xml:space="preserve">(All amounts in US$, except share data, unless otherwise stated) </w:t>
      </w:r>
    </w:p>
    <w:p>
      <w:pPr>
        <w:pStyle w:val="TextBody"/>
        <w:spacing w:lineRule="auto" w:line="288" w:before="0" w:after="240"/>
        <w:ind w:left="0" w:right="0" w:firstLine="567"/>
        <w:jc w:val="both"/>
        <w:rPr>
          <w:rFonts w:ascii="Times New Roman;sans-serif" w:hAnsi="Times New Roman;sans-serif"/>
          <w:b w:val="false"/>
          <w:color w:val="000000"/>
          <w:sz w:val="20"/>
        </w:rPr>
      </w:pPr>
      <w:r>
        <w:rPr>
          <w:rFonts w:ascii="Times New Roman;sans-serif" w:hAnsi="Times New Roman;sans-serif"/>
          <w:b w:val="false"/>
          <w:color w:val="000000"/>
          <w:sz w:val="20"/>
        </w:rPr>
        <w:t>For the service condition only options granted to employees without a repurchase feature, the compensation expense is recognized using the straight-line method over the requisite service period. The Group early adopted Accounting Standards Update (“ASU”) 2016-09, Compensation—Share-Based Compensation (Topic 718): Improvements to Employee Share-Based Payment Accounting from the earliest period presented to recognize the effect of forfeiture in compensation cost when they occur. In determining the fair value of the Company’s share options, the binomial option pricing model has been applied.</w:t>
      </w:r>
    </w:p>
    <w:p>
      <w:pPr>
        <w:pStyle w:val="TextBody"/>
        <w:spacing w:lineRule="auto" w:line="288" w:before="0" w:after="240"/>
        <w:ind w:left="0" w:right="0" w:firstLine="567"/>
        <w:jc w:val="both"/>
        <w:rPr>
          <w:rFonts w:ascii="Times New Roman;sans-serif" w:hAnsi="Times New Roman;sans-serif"/>
          <w:b w:val="false"/>
          <w:i/>
          <w:color w:val="000000"/>
          <w:sz w:val="20"/>
        </w:rPr>
      </w:pPr>
      <w:r>
        <w:rPr>
          <w:rFonts w:ascii="Times New Roman;sans-serif" w:hAnsi="Times New Roman;sans-serif"/>
          <w:b w:val="false"/>
          <w:i/>
          <w:color w:val="000000"/>
          <w:sz w:val="20"/>
        </w:rPr>
        <w:t>Liability Classified Awards</w:t>
      </w:r>
    </w:p>
    <w:p>
      <w:pPr>
        <w:pStyle w:val="TextBody"/>
        <w:spacing w:lineRule="auto" w:line="276" w:before="0" w:after="0"/>
        <w:ind w:left="0" w:right="0" w:firstLine="567"/>
        <w:jc w:val="both"/>
        <w:rPr>
          <w:rFonts w:ascii="Times New Roman;sans-serif" w:hAnsi="Times New Roman;sans-serif"/>
          <w:b w:val="false"/>
          <w:color w:val="000000"/>
          <w:sz w:val="20"/>
        </w:rPr>
      </w:pPr>
      <w:r>
        <w:rPr>
          <w:rFonts w:ascii="Times New Roman;sans-serif" w:hAnsi="Times New Roman;sans-serif"/>
          <w:b w:val="false"/>
          <w:color w:val="000000"/>
          <w:sz w:val="20"/>
        </w:rPr>
        <w:t>For the Venture Partners Plan awards (See Note 13-Share-based Compensation), these awards can be settled through the issuance of shares or cash to employees at the decision of the Company and the number of shares that an employee ultimately receives is variable based on the share price at the settlement date. The Company accounts for these awards as a liability and will remeasure the liability at each reporting period until the award is settled. For the annual shared profit, compensation is recognized using the straight-line method over the performance period, using the estimated liability of the award at service inception date and begin to recognize compensation expense. For the accumulated retained profit, if any, compensation is recognized using the straight-line method over the requisite service period, using the estimated liability of the award at service inception date and begin to recognize compensation expense. The Group will true-up the compensation cost each reporting period for changes in liability prorated for the portion of the requisite service period rendered, if applicable. Once vested (that is, the performance period or the requisite-service period is complete), the Group will immediately recognize compensation cost for any changes in liability upon settlement.</w:t>
      </w:r>
    </w:p>
    <w:p>
      <w:pPr>
        <w:pStyle w:val="TextBody"/>
        <w:spacing w:before="0" w:after="0"/>
        <w:ind w:left="0" w:right="0" w:firstLine="567"/>
        <w:jc w:val="both"/>
        <w:rPr/>
      </w:pPr>
      <w:r>
        <w:rPr/>
      </w:r>
    </w:p>
    <w:p>
      <w:pPr>
        <w:pStyle w:val="TextBody"/>
        <w:spacing w:lineRule="auto" w:line="288" w:before="0" w:after="240"/>
        <w:ind w:left="0" w:right="0" w:firstLine="567"/>
        <w:jc w:val="both"/>
        <w:rPr>
          <w:rFonts w:ascii="Times New Roman;sans-serif" w:hAnsi="Times New Roman;sans-serif"/>
          <w:b w:val="false"/>
          <w:i/>
          <w:color w:val="000000"/>
          <w:sz w:val="20"/>
        </w:rPr>
      </w:pPr>
      <w:r>
        <w:rPr>
          <w:rFonts w:ascii="Times New Roman;sans-serif" w:hAnsi="Times New Roman;sans-serif"/>
          <w:b w:val="false"/>
          <w:i/>
          <w:color w:val="000000"/>
          <w:sz w:val="20"/>
        </w:rPr>
        <w:t>Restricted Shares and Restricted Share Units (“RSUs”)</w:t>
      </w:r>
    </w:p>
    <w:p>
      <w:pPr>
        <w:pStyle w:val="TextBody"/>
        <w:spacing w:lineRule="auto" w:line="288" w:before="0" w:after="240"/>
        <w:ind w:left="0" w:right="0" w:firstLine="567"/>
        <w:jc w:val="both"/>
        <w:rPr>
          <w:rFonts w:ascii="Times New Roman;sans-serif" w:hAnsi="Times New Roman;sans-serif"/>
          <w:b w:val="false"/>
          <w:color w:val="000000"/>
          <w:sz w:val="20"/>
        </w:rPr>
      </w:pPr>
      <w:r>
        <w:rPr>
          <w:rFonts w:ascii="Times New Roman;sans-serif" w:hAnsi="Times New Roman;sans-serif"/>
          <w:b w:val="false"/>
          <w:color w:val="000000"/>
          <w:sz w:val="20"/>
        </w:rPr>
        <w:t>For the restricted shares and RSUs granted with service conditions, the awards are measured at fair value on the grant date. Share-based compensation expense is recognized using the straight-line method over the requisite service period. The fair value of the restricted shares granted prior to the IPO was assessed using the income approaches, with a discount for lack of marketability given that the shares underlying the awards were not publicly traded at the time of grant. This assessment required complex and subjective judgments regarding the Company’s projected financial and operating results, its unique business risks, the liquidity of its ordinary shares and its operating history and prospects at the time the grants were made. The fair value of restricted shares and RSUs granted post-IPO is determined based on the closing quoted price of the Company’s ordinary share on the date of grant.</w:t>
      </w:r>
    </w:p>
    <w:p>
      <w:pPr>
        <w:pStyle w:val="TextBody"/>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certain restricted shares that have a performance condition, the final number of restricted shares may vest and settle depending on the employee’s performance against performance metrics over predefined performance periods. Over the performance period, the number of restricted shares that may be issued and the related share-based compensation expense that is recognized is adjusted upward or downward based upon the probability of achieving the approved performance targets against the performance metrics. </w:t>
      </w:r>
    </w:p>
    <w:p>
      <w:pPr>
        <w:pStyle w:val="TextBody"/>
        <w:spacing w:before="0" w:after="0"/>
        <w:rPr/>
      </w:pPr>
      <w:r>
        <w:rPr/>
      </w:r>
    </w:p>
    <w:p>
      <w:pPr>
        <w:pStyle w:val="TextBody"/>
        <w:spacing w:lineRule="auto" w:line="288" w:before="0" w:after="240"/>
        <w:ind w:left="0" w:right="0" w:firstLine="567"/>
        <w:jc w:val="both"/>
        <w:rPr>
          <w:rFonts w:ascii="Times New Roman;sans-serif" w:hAnsi="Times New Roman;sans-serif"/>
          <w:b w:val="false"/>
          <w:color w:val="000000"/>
          <w:sz w:val="20"/>
        </w:rPr>
      </w:pPr>
      <w:r>
        <w:rPr>
          <w:rFonts w:ascii="Times New Roman;sans-serif" w:hAnsi="Times New Roman;sans-serif"/>
          <w:b w:val="false"/>
          <w:color w:val="000000"/>
          <w:sz w:val="20"/>
        </w:rPr>
        <w:t>Similar to options above, the Group recognizes the effect of forfeitures in compensation costs when they occur. For the restricted shares that the Company is obligated to repurchase at grantee’s election, they are classified as liability awards and are applied the accounting policy of liability classified awards as mentioned above. For the restricted shares granted by the Founder to the Company’s employees, the compensation expense of these awards is pushed down to the Company and recorded by the Company based on grant-date fair value with total compensation expense recognized over the grantee’s own requisite service period. See Note 13—Share-based Compensation.</w:t>
      </w:r>
    </w:p>
    <w:p>
      <w:pPr>
        <w:pStyle w:val="TextBody"/>
        <w:spacing w:lineRule="auto" w:line="288" w:before="0" w:after="240"/>
        <w:ind w:left="0" w:right="0" w:firstLine="567"/>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Cancellation of an award accompanied by the grant of a replacement award is accounted for as a modification of the terms of the canceled award (“modification awards’’). The compensation costs associated with the modification awards are recognized if either the original vesting condition or the new vesting condition has been achieved. If the awards are expected to vest under the original vesting condition, the compensation cost would be recognized regardless of whether the employee satisfies the modified condition. Such compensation costs cannot be less than the grant-date fair value of the original award. The incremental compensation cost is measured as the excess of the fair value of the replacement award over the fair value of the canceled award at the cancellation date. Therefore, in relation to the modification awards, the Group recognizes share-based compensation over the vesting </w:t>
      </w:r>
    </w:p>
    <w:p>
      <w:pPr>
        <w:pStyle w:val="HorizontalLine"/>
        <w:rPr/>
      </w:pPr>
      <w:r>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6480175" cy="175260"/>
                <wp:effectExtent l="0" t="0" r="0" b="0"/>
                <wp:wrapNone/>
                <wp:docPr id="181" name="Frame180"/>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F-21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F-21</w:t>
                      </w:r>
                    </w:p>
                  </w:txbxContent>
                </v:textbox>
              </v:rect>
            </w:pict>
          </mc:Fallback>
        </mc:AlternateConten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AGORA,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 xml:space="preserve">(All amounts in US$, except share data, unless otherwise stated) </w:t>
      </w:r>
    </w:p>
    <w:p>
      <w:pPr>
        <w:pStyle w:val="TextBody"/>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periods of the new awards, which comprises (1) the amortization of the incremental portion of share-based compensation over the remaining vesting term and (2) any unrecognized compensation cost of original award, using either the original term or the new term, whichever is higher for each reporting period.</w:t>
      </w:r>
    </w:p>
    <w:p>
      <w:pPr>
        <w:pStyle w:val="TextBody"/>
        <w:spacing w:lineRule="auto" w:line="288" w:before="0" w:after="240"/>
        <w:ind w:left="0" w:right="0" w:hanging="567"/>
        <w:jc w:val="both"/>
        <w:rPr>
          <w:rFonts w:ascii="Times New Roman;sans-serif" w:hAnsi="Times New Roman;sans-serif"/>
          <w:b/>
          <w:i/>
          <w:color w:val="000000"/>
          <w:sz w:val="20"/>
        </w:rPr>
      </w:pPr>
      <w:r>
        <w:rPr>
          <w:rFonts w:ascii="Times New Roman;sans-serif" w:hAnsi="Times New Roman;sans-serif"/>
          <w:b/>
          <w:i/>
          <w:color w:val="000000"/>
          <w:sz w:val="20"/>
        </w:rPr>
        <w:t>(aa)    Related Parties</w:t>
      </w:r>
    </w:p>
    <w:p>
      <w:pPr>
        <w:pStyle w:val="TextBody"/>
        <w:spacing w:lineRule="auto" w:line="288" w:before="0" w:after="240"/>
        <w:ind w:left="0" w:right="0" w:firstLine="567"/>
        <w:jc w:val="both"/>
        <w:rPr>
          <w:rFonts w:ascii="Times New Roman;sans-serif" w:hAnsi="Times New Roman;sans-serif"/>
          <w:b w:val="false"/>
          <w:color w:val="000000"/>
          <w:sz w:val="20"/>
        </w:rPr>
      </w:pPr>
      <w:r>
        <w:rPr>
          <w:rFonts w:ascii="Times New Roman;sans-serif" w:hAnsi="Times New Roman;sans-serif"/>
          <w:b w:val="false"/>
          <w:color w:val="000000"/>
          <w:sz w:val="20"/>
        </w:rPr>
        <w:t>Parties are considered to be related if one party has the ability, directly or indirectly, to control the other party or exercise significant influence over the other party in making financial and operating decisions. Parties are also considered to be related if they are subject to common control or significant influence, such as a family member or relative, shareholder, or a related corporation.</w:t>
      </w:r>
    </w:p>
    <w:p>
      <w:pPr>
        <w:pStyle w:val="TextBody"/>
        <w:spacing w:lineRule="auto" w:line="288" w:before="0" w:after="240"/>
        <w:ind w:left="0" w:right="0" w:hanging="567"/>
        <w:jc w:val="both"/>
        <w:rPr>
          <w:rFonts w:ascii="Times New Roman;sans-serif" w:hAnsi="Times New Roman;sans-serif"/>
          <w:b/>
          <w:i/>
          <w:color w:val="000000"/>
          <w:sz w:val="20"/>
        </w:rPr>
      </w:pPr>
      <w:r>
        <w:rPr>
          <w:rFonts w:ascii="Times New Roman;sans-serif" w:hAnsi="Times New Roman;sans-serif"/>
          <w:b/>
          <w:i/>
          <w:color w:val="000000"/>
          <w:sz w:val="20"/>
        </w:rPr>
        <w:t>(bb)    Dividends</w:t>
      </w:r>
    </w:p>
    <w:p>
      <w:pPr>
        <w:pStyle w:val="TextBody"/>
        <w:spacing w:lineRule="auto" w:line="288" w:before="0" w:after="240"/>
        <w:ind w:left="0" w:right="0" w:firstLine="567"/>
        <w:jc w:val="both"/>
        <w:rPr>
          <w:rFonts w:ascii="Times New Roman;sans-serif" w:hAnsi="Times New Roman;sans-serif"/>
          <w:b w:val="false"/>
          <w:color w:val="000000"/>
          <w:sz w:val="20"/>
        </w:rPr>
      </w:pPr>
      <w:r>
        <w:rPr>
          <w:rFonts w:ascii="Times New Roman;sans-serif" w:hAnsi="Times New Roman;sans-serif"/>
          <w:b w:val="false"/>
          <w:color w:val="000000"/>
          <w:sz w:val="20"/>
        </w:rPr>
        <w:t>Dividends are recognized when declared. No dividends were declared for the years ended December 31, 2019 and 2020, respectively. The Group does not have any present plan to pay any dividends on ordinary shares in the foreseeable future. The Group currently intends to retain the available funds and any future earnings to operate and expand its business.</w:t>
      </w:r>
    </w:p>
    <w:p>
      <w:pPr>
        <w:pStyle w:val="TextBody"/>
        <w:spacing w:lineRule="auto" w:line="288" w:before="0" w:after="240"/>
        <w:ind w:left="0" w:right="0" w:hanging="567"/>
        <w:jc w:val="both"/>
        <w:rPr>
          <w:rFonts w:ascii="Times New Roman;sans-serif" w:hAnsi="Times New Roman;sans-serif"/>
          <w:b/>
          <w:i/>
          <w:color w:val="000000"/>
          <w:sz w:val="20"/>
        </w:rPr>
      </w:pPr>
      <w:r>
        <w:rPr>
          <w:rFonts w:ascii="Times New Roman;sans-serif" w:hAnsi="Times New Roman;sans-serif"/>
          <w:b/>
          <w:i/>
          <w:color w:val="000000"/>
          <w:sz w:val="20"/>
        </w:rPr>
        <w:t>(cc)    Earnings (Losses) Per Share</w:t>
      </w:r>
    </w:p>
    <w:p>
      <w:pPr>
        <w:pStyle w:val="TextBody"/>
        <w:spacing w:lineRule="auto" w:line="288" w:before="0" w:after="240"/>
        <w:ind w:left="0" w:right="0" w:firstLine="567"/>
        <w:jc w:val="both"/>
        <w:rPr>
          <w:rFonts w:ascii="Times New Roman;sans-serif" w:hAnsi="Times New Roman;sans-serif"/>
          <w:b w:val="false"/>
          <w:color w:val="000000"/>
          <w:sz w:val="20"/>
        </w:rPr>
      </w:pPr>
      <w:r>
        <w:rPr>
          <w:rFonts w:ascii="Times New Roman;sans-serif" w:hAnsi="Times New Roman;sans-serif"/>
          <w:b w:val="false"/>
          <w:color w:val="000000"/>
          <w:sz w:val="20"/>
        </w:rPr>
        <w:t>Basic earnings (losses) per share is computed by dividing net income (loss) attributable to holders of ordinary shares by the weighted average number of ordinary shares outstanding during the year using the two class method. The net loss will be adjusted by deducting (1) dividends declared in the period on preferred shares (if any), (2) cumulative dividends on preferred shares (whether or not declared) and (3) deemed dividends as required by U.S. GAAP. Using the two-class method, net income (loss) is allocated between ordinary shares and other participating securities (that is, the Preferred Shares) based on their participating rights.</w:t>
      </w:r>
    </w:p>
    <w:p>
      <w:pPr>
        <w:pStyle w:val="TextBody"/>
        <w:spacing w:lineRule="auto" w:line="288" w:before="0" w:after="240"/>
        <w:ind w:left="0" w:right="0" w:firstLine="567"/>
        <w:jc w:val="both"/>
        <w:rPr>
          <w:rFonts w:ascii="Times New Roman;sans-serif" w:hAnsi="Times New Roman;sans-serif"/>
          <w:b w:val="false"/>
          <w:color w:val="000000"/>
          <w:sz w:val="20"/>
        </w:rPr>
      </w:pPr>
      <w:r>
        <w:rPr>
          <w:rFonts w:ascii="Times New Roman;sans-serif" w:hAnsi="Times New Roman;sans-serif"/>
          <w:b w:val="false"/>
          <w:color w:val="000000"/>
          <w:sz w:val="20"/>
        </w:rPr>
        <w:t>Diluted earnings (losses) per share is calculated by dividing net income attributable to ordinary shareholders as adjusted for the effect of dilutive ordinary equivalent shares, if any, by the weighted average number of ordinary and dilutive ordinary equivalents shares outstanding during the year. Dilutive equivalent shares are excluded from the computation of diluted loss per share if their effects would be anti-dilutive. Ordinary share equivalents consist of the ordinary shares issuable in connection with the Group’s convertible redeemable preferred shares using the if-converted method, and ordinary shares issuable upon the conversion of share options, restricted shares and RSUs, using the treasury stock method. Except for voting rights, the Class A and Class B ordinary shares have all the same rights and therefore the earnings (loss) per share for both classes of shares are identical.</w:t>
      </w:r>
    </w:p>
    <w:p>
      <w:pPr>
        <w:pStyle w:val="TextBody"/>
        <w:spacing w:lineRule="auto" w:line="288" w:before="0" w:after="240"/>
        <w:ind w:left="0" w:right="0" w:hanging="567"/>
        <w:jc w:val="both"/>
        <w:rPr>
          <w:rFonts w:ascii="Times New Roman;sans-serif" w:hAnsi="Times New Roman;sans-serif"/>
          <w:b/>
          <w:i/>
          <w:color w:val="000000"/>
          <w:sz w:val="20"/>
        </w:rPr>
      </w:pPr>
      <w:r>
        <w:rPr>
          <w:rFonts w:ascii="Times New Roman;sans-serif" w:hAnsi="Times New Roman;sans-serif"/>
          <w:b/>
          <w:i/>
          <w:color w:val="000000"/>
          <w:sz w:val="20"/>
        </w:rPr>
        <w:t>(dd)    Comprehensive Income (Loss)</w:t>
      </w:r>
    </w:p>
    <w:p>
      <w:pPr>
        <w:pStyle w:val="TextBody"/>
        <w:spacing w:lineRule="auto" w:line="288" w:before="0" w:after="240"/>
        <w:ind w:left="0" w:right="0" w:firstLine="567"/>
        <w:jc w:val="both"/>
        <w:rPr>
          <w:rFonts w:ascii="Times New Roman;sans-serif" w:hAnsi="Times New Roman;sans-serif"/>
          <w:b w:val="false"/>
          <w:color w:val="000000"/>
          <w:sz w:val="20"/>
        </w:rPr>
      </w:pPr>
      <w:r>
        <w:rPr>
          <w:rFonts w:ascii="Times New Roman;sans-serif" w:hAnsi="Times New Roman;sans-serif"/>
          <w:b w:val="false"/>
          <w:color w:val="000000"/>
          <w:sz w:val="20"/>
        </w:rPr>
        <w:t>Comprehensive income (loss) is defined to include all changes in equity (deficit) of the Group during a period arising from transactions and other events and circumstances excluding transactions resulting from investments by shareholders and distributions to shareholders. Other comprehensive income (loss), as presented in the consolidated balance sheets, consists of accumulated foreign currency translation adjustments.</w:t>
      </w:r>
    </w:p>
    <w:p>
      <w:pPr>
        <w:pStyle w:val="TextBody"/>
        <w:spacing w:lineRule="auto" w:line="288" w:before="0" w:after="240"/>
        <w:ind w:left="0" w:right="0" w:hanging="567"/>
        <w:jc w:val="both"/>
        <w:rPr>
          <w:rFonts w:ascii="Times New Roman;sans-serif" w:hAnsi="Times New Roman;sans-serif"/>
          <w:b/>
          <w:i/>
          <w:color w:val="000000"/>
          <w:sz w:val="20"/>
        </w:rPr>
      </w:pPr>
      <w:r>
        <w:rPr>
          <w:rFonts w:ascii="Times New Roman;sans-serif" w:hAnsi="Times New Roman;sans-serif"/>
          <w:b/>
          <w:i/>
          <w:color w:val="000000"/>
          <w:sz w:val="20"/>
        </w:rPr>
        <w:t>(ee)    Segment Reporting</w:t>
      </w:r>
    </w:p>
    <w:p>
      <w:pPr>
        <w:pStyle w:val="TextBody"/>
        <w:spacing w:lineRule="auto" w:line="288" w:before="0" w:after="240"/>
        <w:ind w:left="0" w:right="0" w:firstLine="567"/>
        <w:jc w:val="both"/>
        <w:rPr>
          <w:rFonts w:ascii="Times New Roman;sans-serif" w:hAnsi="Times New Roman;sans-serif"/>
          <w:b w:val="false"/>
          <w:color w:val="000000"/>
          <w:sz w:val="20"/>
        </w:rPr>
      </w:pPr>
      <w:r>
        <w:rPr>
          <w:rFonts w:ascii="Times New Roman;sans-serif" w:hAnsi="Times New Roman;sans-serif"/>
          <w:b w:val="false"/>
          <w:color w:val="000000"/>
          <w:sz w:val="20"/>
        </w:rPr>
        <w:t>ASC 280, Segment Reporting, establishes standards for companies to report in their financial statements information about operating segments, products, services, geographic areas, and major customers. Operating segments are defined as components of an enterprise engaging in businesses activities for which separate financial information is available that is regularly evaluated by the Group’s chief operating decision makers in deciding how to allocate resources and assess performance. The Group’s chief operating decision maker has been identified as the Chief Executive Officer, who reviews consolidated results including revenue, gross profit and operating profit at a consolidated level only. The Group does not distinguish between markets for the purpose of making decisions about resources allocation and performance assessment. Hence, the Group has only one operating segment and one reportable segment.</w:t>
      </w:r>
    </w:p>
    <w:p>
      <w:pPr>
        <w:pStyle w:val="HorizontalLine"/>
        <w:rPr/>
      </w:pPr>
      <w:r>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6480175" cy="175260"/>
                <wp:effectExtent l="0" t="0" r="0" b="0"/>
                <wp:wrapNone/>
                <wp:docPr id="182" name="Frame18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F-22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F-22</w:t>
                      </w:r>
                    </w:p>
                  </w:txbxContent>
                </v:textbox>
              </v:rect>
            </w:pict>
          </mc:Fallback>
        </mc:AlternateConten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AGORA,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 xml:space="preserve">(All amounts in US$, except share data, unless otherwise stated) </w:t>
      </w:r>
    </w:p>
    <w:p>
      <w:pPr>
        <w:pStyle w:val="TextBody"/>
        <w:spacing w:lineRule="auto" w:line="288" w:before="0" w:after="240"/>
        <w:ind w:left="0" w:right="0" w:firstLine="567"/>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Group’s revenues disaggregated by primary geographical markets:</w:t>
      </w:r>
    </w:p>
    <w:tbl>
      <w:tblPr>
        <w:tblW w:w="9942" w:type="dxa"/>
        <w:jc w:val="left"/>
        <w:tblInd w:w="0" w:type="dxa"/>
        <w:tblCellMar>
          <w:top w:w="28" w:type="dxa"/>
          <w:left w:w="28" w:type="dxa"/>
          <w:bottom w:w="28" w:type="dxa"/>
          <w:right w:w="28" w:type="dxa"/>
        </w:tblCellMar>
      </w:tblPr>
      <w:tblGrid>
        <w:gridCol w:w="1789"/>
        <w:gridCol w:w="1569"/>
        <w:gridCol w:w="1577"/>
        <w:gridCol w:w="211"/>
        <w:gridCol w:w="1081"/>
        <w:gridCol w:w="109"/>
        <w:gridCol w:w="109"/>
        <w:gridCol w:w="109"/>
        <w:gridCol w:w="109"/>
        <w:gridCol w:w="211"/>
        <w:gridCol w:w="1081"/>
        <w:gridCol w:w="109"/>
        <w:gridCol w:w="109"/>
        <w:gridCol w:w="109"/>
        <w:gridCol w:w="109"/>
        <w:gridCol w:w="211"/>
        <w:gridCol w:w="1186"/>
        <w:gridCol w:w="154"/>
      </w:tblGrid>
      <w:tr>
        <w:trPr/>
        <w:tc>
          <w:tcPr>
            <w:tcW w:w="1789" w:type="dxa"/>
            <w:tcBorders/>
            <w:shd w:fill="auto" w:val="clear"/>
            <w:vAlign w:val="center"/>
          </w:tcPr>
          <w:p>
            <w:pPr>
              <w:pStyle w:val="TableContents"/>
              <w:spacing w:before="0" w:after="283"/>
              <w:rPr>
                <w:sz w:val="4"/>
                <w:szCs w:val="4"/>
              </w:rPr>
            </w:pPr>
            <w:r>
              <w:rPr>
                <w:sz w:val="4"/>
                <w:szCs w:val="4"/>
              </w:rPr>
            </w:r>
          </w:p>
        </w:tc>
        <w:tc>
          <w:tcPr>
            <w:tcW w:w="1569" w:type="dxa"/>
            <w:tcBorders/>
            <w:shd w:fill="auto" w:val="clear"/>
            <w:vAlign w:val="center"/>
          </w:tcPr>
          <w:p>
            <w:pPr>
              <w:pStyle w:val="TableContents"/>
              <w:spacing w:before="0" w:after="283"/>
              <w:rPr>
                <w:sz w:val="4"/>
                <w:szCs w:val="4"/>
              </w:rPr>
            </w:pPr>
            <w:r>
              <w:rPr>
                <w:sz w:val="4"/>
                <w:szCs w:val="4"/>
              </w:rPr>
            </w:r>
          </w:p>
        </w:tc>
        <w:tc>
          <w:tcPr>
            <w:tcW w:w="157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18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9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07"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49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2018</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0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2019</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5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2020</w:t>
            </w:r>
          </w:p>
        </w:tc>
      </w:tr>
      <w:tr>
        <w:trPr/>
        <w:tc>
          <w:tcPr>
            <w:tcW w:w="49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07"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(US$)</w:t>
            </w:r>
          </w:p>
        </w:tc>
      </w:tr>
      <w:tr>
        <w:trPr/>
        <w:tc>
          <w:tcPr>
            <w:tcW w:w="49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Primary geographical markets based on customers’ location</w:t>
            </w:r>
          </w:p>
        </w:tc>
        <w:tc>
          <w:tcPr>
            <w:tcW w:w="14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PRC</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33,311,919 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50,583,684 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107,092,363 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12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4,582,105 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5,296,269 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10,019,248 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Others</w:t>
            </w:r>
          </w:p>
        </w:tc>
        <w:tc>
          <w:tcPr>
            <w:tcW w:w="12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5,762,930 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8,548,737 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16,452,310 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43,656,954 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64,428,690 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133,563,921 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240"/>
        <w:ind w:left="0" w:right="0" w:firstLine="567"/>
        <w:jc w:val="both"/>
        <w:rPr>
          <w:rFonts w:ascii="Times New Roman;sans-serif" w:hAnsi="Times New Roman;sans-serif"/>
          <w:b w:val="false"/>
          <w:color w:val="000000"/>
          <w:sz w:val="20"/>
        </w:rPr>
      </w:pPr>
      <w:r>
        <w:rPr>
          <w:rFonts w:ascii="Times New Roman;sans-serif" w:hAnsi="Times New Roman;sans-serif"/>
          <w:b w:val="false"/>
          <w:color w:val="000000"/>
          <w:sz w:val="20"/>
        </w:rPr>
        <w:t>The majority of the Group’s long-lived assets are located and maintained within the PRC.</w:t>
      </w:r>
    </w:p>
    <w:p>
      <w:pPr>
        <w:pStyle w:val="TextBody"/>
        <w:spacing w:lineRule="auto" w:line="288" w:before="0" w:after="240"/>
        <w:ind w:left="0" w:right="0" w:hanging="567"/>
        <w:jc w:val="both"/>
        <w:rPr>
          <w:rFonts w:ascii="Times New Roman;sans-serif" w:hAnsi="Times New Roman;sans-serif"/>
          <w:b/>
          <w:i/>
          <w:color w:val="000000"/>
          <w:sz w:val="20"/>
        </w:rPr>
      </w:pPr>
      <w:r>
        <w:rPr>
          <w:rFonts w:ascii="Times New Roman;sans-serif" w:hAnsi="Times New Roman;sans-serif"/>
          <w:b/>
          <w:i/>
          <w:color w:val="000000"/>
          <w:sz w:val="20"/>
        </w:rPr>
        <w:t>(ff)    Recently Issued Accounting Pronouncements</w:t>
      </w:r>
    </w:p>
    <w:p>
      <w:pPr>
        <w:pStyle w:val="TextBody"/>
        <w:spacing w:lineRule="auto" w:line="288" w:before="0" w:after="240"/>
        <w:ind w:left="0" w:right="0" w:firstLine="567"/>
        <w:jc w:val="both"/>
        <w:rPr>
          <w:rFonts w:ascii="Times New Roman;sans-serif" w:hAnsi="Times New Roman;sans-serif"/>
          <w:b w:val="false"/>
          <w:i/>
          <w:color w:val="000000"/>
          <w:sz w:val="20"/>
        </w:rPr>
      </w:pPr>
      <w:r>
        <w:rPr>
          <w:rFonts w:ascii="Times New Roman;sans-serif" w:hAnsi="Times New Roman;sans-serif"/>
          <w:b w:val="false"/>
          <w:i/>
          <w:color w:val="000000"/>
          <w:sz w:val="20"/>
        </w:rPr>
        <w:t>New and Amended Standards Adopted by the Group</w:t>
      </w:r>
    </w:p>
    <w:p>
      <w:pPr>
        <w:pStyle w:val="TextBody"/>
        <w:spacing w:lineRule="auto" w:line="288" w:before="0" w:after="0"/>
        <w:ind w:left="0" w:right="0" w:firstLine="567"/>
        <w:jc w:val="both"/>
        <w:rPr>
          <w:rFonts w:ascii="Times New Roman;sans-serif" w:hAnsi="Times New Roman;sans-serif"/>
          <w:b w:val="false"/>
          <w:color w:val="000000"/>
          <w:sz w:val="20"/>
        </w:rPr>
      </w:pPr>
      <w:r>
        <w:rPr>
          <w:rFonts w:ascii="Times New Roman;sans-serif" w:hAnsi="Times New Roman;sans-serif"/>
          <w:b w:val="false"/>
          <w:color w:val="000000"/>
          <w:sz w:val="20"/>
        </w:rPr>
        <w:t>In August 2018, the FASB issued ASU 2018-13, Fair Value Measurement (Topic 820): Disclosure Framework—Changes to the Disclosure Requirements for Fair Value Measurement, which eliminates, adds and modifies certain disclosure requirements for fair value measurements. Under the guidance, public companies will be required to disclose the range and weighted average used to develop significant unobservable inputs for Level 3 fair value measurements. The guidance is effective for all public entities for fiscal years beginning after December 15, 2019 and for interim periods within those fiscal years, but entities are permitted to early adopt either the entire standard or only the provisions that eliminate or modify the requirements. The Company adopted this standard on January 1, 2020, and the adoption did not have a material impact on the Company’s consolidated financial statements.</w:t>
      </w:r>
    </w:p>
    <w:p>
      <w:pPr>
        <w:pStyle w:val="TextBody"/>
        <w:spacing w:before="0" w:after="0"/>
        <w:ind w:left="0" w:right="0" w:firstLine="567"/>
        <w:jc w:val="both"/>
        <w:rPr/>
      </w:pPr>
      <w:r>
        <w:rPr/>
      </w:r>
    </w:p>
    <w:p>
      <w:pPr>
        <w:pStyle w:val="TextBody"/>
        <w:spacing w:lineRule="auto" w:line="288" w:before="0" w:after="240"/>
        <w:ind w:left="0" w:right="0" w:firstLine="567"/>
        <w:jc w:val="both"/>
        <w:rPr>
          <w:rFonts w:ascii="Times New Roman;sans-serif" w:hAnsi="Times New Roman;sans-serif"/>
          <w:b w:val="false"/>
          <w:i/>
          <w:color w:val="000000"/>
          <w:sz w:val="20"/>
        </w:rPr>
      </w:pPr>
      <w:r>
        <w:rPr>
          <w:rFonts w:ascii="Times New Roman;sans-serif" w:hAnsi="Times New Roman;sans-serif"/>
          <w:b w:val="false"/>
          <w:i/>
          <w:color w:val="000000"/>
          <w:sz w:val="20"/>
        </w:rPr>
        <w:t>New and Amended Standards not yet Adopted by the Group</w:t>
      </w:r>
    </w:p>
    <w:p>
      <w:pPr>
        <w:pStyle w:val="TextBody"/>
        <w:spacing w:lineRule="auto" w:line="288" w:before="0" w:after="240"/>
        <w:ind w:left="0" w:right="0" w:firstLine="567"/>
        <w:jc w:val="both"/>
        <w:rPr>
          <w:rFonts w:ascii="Times New Roman;sans-serif" w:hAnsi="Times New Roman;sans-serif"/>
          <w:b w:val="false"/>
          <w:color w:val="000000"/>
          <w:sz w:val="20"/>
        </w:rPr>
      </w:pPr>
      <w:r>
        <w:rPr>
          <w:rFonts w:ascii="Times New Roman;sans-serif" w:hAnsi="Times New Roman;sans-serif"/>
          <w:b w:val="false"/>
          <w:color w:val="000000"/>
          <w:sz w:val="20"/>
        </w:rPr>
        <w:t>In February 2016, the FASB issued ASU 2016-02, Leases (“ASC 842”). Under the new guidance, lessees will be required to recognize a lease liability and a right-of use asset for each of its leases (other than leases that meet the definition of a short-term lease). Leases will be classified as either operating or finance. The update also expands the required quantitative and qualitative disclosures for leases. The standard is effective for the Company beginning January 1, 2021 and interim periods within the following fiscal year, with early adoption permitted. The Company will adopt the new standard in the first quarter of 2021 using the modified retrospective method with the optional transition that allows for a cumulative-effect adjustment to the opening balance of retained earnings recorded on January 1, 2021. The Company estimates that the total right-of-use assets and total lease liabilities expected to be recognized on its consolidated balance sheet as of January 1, 2021 is approximately $6.8 million. However, the Company does not expect the adoption to have a material impact to its Statement of Cash Flows or Statement of Comprehensive Loss.</w:t>
      </w:r>
    </w:p>
    <w:p>
      <w:pPr>
        <w:pStyle w:val="TextBody"/>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Incremental disclosure will be made in accordance with the guidelines provided by the new standard since the adoption date on January 1, 2021.</w:t>
      </w:r>
    </w:p>
    <w:p>
      <w:pPr>
        <w:pStyle w:val="TextBody"/>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Upon adoption of ASC 842, the Company intends to elect the following practical expedients:</w:t>
      </w:r>
    </w:p>
    <w:p>
      <w:pPr>
        <w:pStyle w:val="TextBody"/>
        <w:spacing w:lineRule="auto" w:line="288" w:before="0" w:after="240"/>
        <w:ind w:left="0" w:right="0" w:hanging="360"/>
        <w:jc w:val="both"/>
        <w:rPr/>
      </w:pPr>
      <w:r>
        <w:rPr>
          <w:color w:val="000000"/>
        </w:rPr>
        <w:t>–</w:t>
      </w:r>
      <w:r>
        <w:rPr>
          <w:rFonts w:ascii="Times New Roman;sans-serif" w:hAnsi="Times New Roman;sans-serif"/>
          <w:b w:val="false"/>
          <w:color w:val="000000"/>
          <w:sz w:val="20"/>
        </w:rPr>
        <w:t>The Company intends to elect not to separate non-lease components from lease components and instead to account for each separate lease component and the non-lease components associated with that lease component as a single lease component.</w:t>
      </w:r>
    </w:p>
    <w:p>
      <w:pPr>
        <w:pStyle w:val="HorizontalLine"/>
        <w:rPr/>
      </w:pPr>
      <w:r>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6480175" cy="175260"/>
                <wp:effectExtent l="0" t="0" r="0" b="0"/>
                <wp:wrapNone/>
                <wp:docPr id="183" name="Frame18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F-23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F-23</w:t>
                      </w:r>
                    </w:p>
                  </w:txbxContent>
                </v:textbox>
              </v:rect>
            </w:pict>
          </mc:Fallback>
        </mc:AlternateConten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AGORA,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 xml:space="preserve">(All amounts in US$, except share data, unless otherwise stated) </w:t>
      </w:r>
    </w:p>
    <w:p>
      <w:pPr>
        <w:pStyle w:val="TextBody"/>
        <w:spacing w:lineRule="auto" w:line="288" w:before="0" w:after="240"/>
        <w:ind w:left="0" w:right="0" w:hanging="360"/>
        <w:jc w:val="both"/>
        <w:rPr/>
      </w:pPr>
      <w:r>
        <w:rPr>
          <w:color w:val="000000"/>
        </w:rPr>
        <w:t>–</w:t>
      </w:r>
      <w:r>
        <w:rPr>
          <w:rFonts w:ascii="Times New Roman;sans-serif" w:hAnsi="Times New Roman;sans-serif"/>
          <w:b w:val="false"/>
          <w:color w:val="000000"/>
          <w:sz w:val="20"/>
        </w:rPr>
        <w:t>If at the lease commencement date, a lease has a lease term of 12 months or less and does not include a purchase option that is reasonably certain to exercise, the Company will elect not to apply ASC 842 recognition requirements.</w:t>
      </w:r>
    </w:p>
    <w:p>
      <w:pPr>
        <w:pStyle w:val="TextBody"/>
        <w:spacing w:lineRule="auto" w:line="288" w:before="0" w:after="240"/>
        <w:ind w:left="0" w:right="0" w:hanging="360"/>
        <w:jc w:val="both"/>
        <w:rPr/>
      </w:pPr>
      <w:r>
        <w:rPr>
          <w:color w:val="000000"/>
        </w:rPr>
        <w:t>–</w:t>
      </w:r>
      <w:r>
        <w:rPr>
          <w:rFonts w:ascii="Times New Roman;sans-serif" w:hAnsi="Times New Roman;sans-serif"/>
          <w:b w:val="false"/>
          <w:color w:val="000000"/>
          <w:sz w:val="20"/>
        </w:rPr>
        <w:t>As the Company plans to apply the alternative transition method, the Company intends to elect not to reassess arrangements entered into prior to January 1, 2021 for whether an arrangement is or contains a lease, the lease classification applied or to separate initial direct costs.</w:t>
      </w:r>
    </w:p>
    <w:p>
      <w:pPr>
        <w:pStyle w:val="TextBody"/>
        <w:spacing w:lineRule="auto" w:line="288" w:before="0" w:after="240"/>
        <w:ind w:left="0" w:right="0" w:firstLine="567"/>
        <w:jc w:val="both"/>
        <w:rPr>
          <w:rFonts w:ascii="Times New Roman;sans-serif" w:hAnsi="Times New Roman;sans-serif"/>
          <w:b w:val="false"/>
          <w:color w:val="000000"/>
          <w:sz w:val="20"/>
        </w:rPr>
      </w:pPr>
      <w:r>
        <w:rPr>
          <w:rFonts w:ascii="Times New Roman;sans-serif" w:hAnsi="Times New Roman;sans-serif"/>
          <w:b w:val="false"/>
          <w:color w:val="000000"/>
          <w:sz w:val="20"/>
        </w:rPr>
        <w:t>In June 2016, the FASB issued ASU 2016-13, Financial Instruments—Credit Losses (Topic 326): Measurement of Credit Losses on Financial Instruments (“ASU 2016-13”), which replaces the current incurred loss methodology with an expected loss methodology that is referred to as the current expected credit loss (“CECL”) methodology which changes how entities measure credit losses on financial instruments and the timing of when such losses are recorded. The measurement of expected credit losses under the CECL methodology is applicable to financial assets measured at amortized cost, including accounts receivable and other receivables. ASU 2016-13 is effective for fiscal years and interim periods within those years beginning after January 1, 2023 for the Company, with early adoption permitted. The Company will early adopt ASU 2016-13 on January 1, 2021 on a modified retrospective basis. The Company currently does not expect ASU 2016-13 to have a material impact to the Group’s consolidated financial statements. Amendments that have been issued by the FASB or other standard-setting bodies that do not require adoption until a future date are not expected to have a material impact on the Group’s consolidated financial statements upon adoption.</w:t>
      </w:r>
    </w:p>
    <w:p>
      <w:pPr>
        <w:pStyle w:val="TextBody"/>
        <w:spacing w:lineRule="auto" w:line="288" w:before="0" w:after="240"/>
        <w:ind w:left="0" w:right="0" w:firstLine="567"/>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December 2019, the FASB issued ASU 2019-12—Income Taxes (Topic 740): Simplifying the Accounting for Income Taxes. This update simplifies the accounting for income taxes as part of the FASB’s overall initiative to reduce complexity in accounting standards. The amendments in ASU 2019-12 simplify the accounting for income taxes by removing certain exceptions to the general principles in Topic 740. The amendments also improve consistent application of and simplify GAAP for other areas of Topic 740 by clarifying and amending existing guidance. ASU 2019-12 is effective for fiscal years and interim periods within those beginning after January 1, 2021 for the Company. Early adoption of the amendments is permitted. The adoption of this standard is not expected to have a material impact on the Company’s disclosures.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19" w:before="0" w:after="240"/>
        <w:ind w:left="0" w:right="0" w:hanging="540"/>
        <w:jc w:val="both"/>
        <w:rPr>
          <w:rFonts w:ascii="Times New Roman;sans-serif" w:hAnsi="Times New Roman;sans-serif"/>
          <w:b/>
          <w:color w:val="000000"/>
          <w:sz w:val="20"/>
        </w:rPr>
      </w:pPr>
      <w:r>
        <w:rPr>
          <w:rFonts w:ascii="Times New Roman;sans-serif" w:hAnsi="Times New Roman;sans-serif"/>
          <w:b/>
          <w:color w:val="000000"/>
          <w:sz w:val="20"/>
        </w:rPr>
        <w:t>3.Business acquisition</w:t>
      </w:r>
    </w:p>
    <w:p>
      <w:pPr>
        <w:pStyle w:val="TextBody"/>
        <w:spacing w:lineRule="auto" w:line="288" w:before="0" w:after="24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accounted for its acquisition in accordance with ASC 805, “Business Combination” (“ASC 805”). The result of the acquiree’s operation has been included in the consolidated financial statements since the acquisition date. The excess of the fair value of the acquired entity over the fair value of net tangible and intangible assets acquired was recorded as goodwill, which is not deductible for corporate income taxation purposes. </w:t>
      </w:r>
    </w:p>
    <w:p>
      <w:pPr>
        <w:pStyle w:val="TextBody"/>
        <w:spacing w:lineRule="auto" w:line="319" w:before="0" w:after="240"/>
        <w:jc w:val="both"/>
        <w:rPr>
          <w:rFonts w:ascii="Times New Roman;sans-serif" w:hAnsi="Times New Roman;sans-serif"/>
          <w:b w:val="false"/>
          <w:i/>
          <w:color w:val="000000"/>
          <w:sz w:val="20"/>
        </w:rPr>
      </w:pPr>
      <w:r>
        <w:rPr>
          <w:rFonts w:ascii="Times New Roman;sans-serif" w:hAnsi="Times New Roman;sans-serif"/>
          <w:b w:val="false"/>
          <w:i/>
          <w:color w:val="000000"/>
          <w:sz w:val="20"/>
        </w:rPr>
        <w:t>Acquisition of Netless</w:t>
      </w:r>
    </w:p>
    <w:p>
      <w:pPr>
        <w:pStyle w:val="TextBody"/>
        <w:spacing w:lineRule="auto" w:line="288" w:before="0" w:after="24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November 27, 2020 (the “acquisition close date”), the Company acquired 100% equity interests of Netless, a real-time interactive whiteboard solution provider, from its shareholders for a cash and share consideration totaling to $4 million. The Company acquired Netless to enhance its ability to provide a more diverse product portfolio to developers around the world. After the acquisition close date, there were cash and share-based awards granted to Netless employees that joined the Company. Refer to Note 13 – Share-based compensation for additional details on the post-combination share arrangement. </w:t>
      </w:r>
    </w:p>
    <w:p>
      <w:pPr>
        <w:pStyle w:val="TextBody"/>
        <w:spacing w:lineRule="auto" w:line="288" w:before="0" w:after="24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acquisition was recorded as a business combination. The following table summarizes the estimated fair values of the assets acquired and liabilities assumed at the date of acquisition, as well as the fair value of the consideration transferred (amounts in US$, except share data): </w:t>
      </w:r>
    </w:p>
    <w:p>
      <w:pPr>
        <w:pStyle w:val="HorizontalLine"/>
        <w:rPr/>
      </w:pPr>
      <w:r>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6480175" cy="175260"/>
                <wp:effectExtent l="0" t="0" r="0" b="0"/>
                <wp:wrapNone/>
                <wp:docPr id="184" name="Frame18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F-24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F-24</w:t>
                      </w:r>
                    </w:p>
                  </w:txbxContent>
                </v:textbox>
              </v:rect>
            </w:pict>
          </mc:Fallback>
        </mc:AlternateConten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AGORA,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 xml:space="preserve">(All amounts in US$, except share data, unless otherwise stated) </w:t>
      </w:r>
    </w:p>
    <w:tbl>
      <w:tblPr>
        <w:tblW w:w="8609" w:type="dxa"/>
        <w:jc w:val="left"/>
        <w:tblInd w:w="0" w:type="dxa"/>
        <w:tblCellMar>
          <w:top w:w="28" w:type="dxa"/>
          <w:left w:w="28" w:type="dxa"/>
          <w:bottom w:w="28" w:type="dxa"/>
          <w:right w:w="28" w:type="dxa"/>
        </w:tblCellMar>
      </w:tblPr>
      <w:tblGrid>
        <w:gridCol w:w="2244"/>
        <w:gridCol w:w="1972"/>
        <w:gridCol w:w="1978"/>
        <w:gridCol w:w="380"/>
        <w:gridCol w:w="1758"/>
        <w:gridCol w:w="277"/>
      </w:tblGrid>
      <w:tr>
        <w:trPr/>
        <w:tc>
          <w:tcPr>
            <w:tcW w:w="2244" w:type="dxa"/>
            <w:tcBorders/>
            <w:shd w:fill="auto" w:val="clear"/>
            <w:vAlign w:val="center"/>
          </w:tcPr>
          <w:p>
            <w:pPr>
              <w:pStyle w:val="TableContents"/>
              <w:spacing w:before="0" w:after="283"/>
              <w:rPr>
                <w:sz w:val="4"/>
                <w:szCs w:val="4"/>
              </w:rPr>
            </w:pPr>
            <w:r>
              <w:rPr>
                <w:sz w:val="4"/>
                <w:szCs w:val="4"/>
              </w:rPr>
            </w:r>
          </w:p>
        </w:tc>
        <w:tc>
          <w:tcPr>
            <w:tcW w:w="1972" w:type="dxa"/>
            <w:tcBorders/>
            <w:shd w:fill="auto" w:val="clear"/>
            <w:vAlign w:val="center"/>
          </w:tcPr>
          <w:p>
            <w:pPr>
              <w:pStyle w:val="TableContents"/>
              <w:spacing w:before="0" w:after="283"/>
              <w:rPr>
                <w:sz w:val="4"/>
                <w:szCs w:val="4"/>
              </w:rPr>
            </w:pPr>
            <w:r>
              <w:rPr>
                <w:sz w:val="4"/>
                <w:szCs w:val="4"/>
              </w:rPr>
            </w:r>
          </w:p>
        </w:tc>
        <w:tc>
          <w:tcPr>
            <w:tcW w:w="1978" w:type="dxa"/>
            <w:tcBorders/>
            <w:shd w:fill="auto" w:val="clear"/>
            <w:vAlign w:val="center"/>
          </w:tcPr>
          <w:p>
            <w:pPr>
              <w:pStyle w:val="TableContents"/>
              <w:spacing w:before="0" w:after="283"/>
              <w:rPr>
                <w:sz w:val="4"/>
                <w:szCs w:val="4"/>
              </w:rPr>
            </w:pPr>
            <w:r>
              <w:rPr>
                <w:sz w:val="4"/>
                <w:szCs w:val="4"/>
              </w:rPr>
            </w:r>
          </w:p>
        </w:tc>
        <w:tc>
          <w:tcPr>
            <w:tcW w:w="380" w:type="dxa"/>
            <w:tcBorders/>
            <w:shd w:fill="auto" w:val="clear"/>
            <w:vAlign w:val="center"/>
          </w:tcPr>
          <w:p>
            <w:pPr>
              <w:pStyle w:val="TableContents"/>
              <w:spacing w:before="0" w:after="283"/>
              <w:rPr>
                <w:sz w:val="4"/>
                <w:szCs w:val="4"/>
              </w:rPr>
            </w:pPr>
            <w:r>
              <w:rPr>
                <w:sz w:val="4"/>
                <w:szCs w:val="4"/>
              </w:rPr>
            </w:r>
          </w:p>
        </w:tc>
        <w:tc>
          <w:tcPr>
            <w:tcW w:w="1758"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r>
      <w:tr>
        <w:trPr/>
        <w:tc>
          <w:tcPr>
            <w:tcW w:w="61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of acquisition close date</w:t>
            </w:r>
          </w:p>
        </w:tc>
      </w:tr>
      <w:tr>
        <w:trPr/>
        <w:tc>
          <w:tcPr>
            <w:tcW w:w="61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2020</w:t>
            </w:r>
          </w:p>
        </w:tc>
      </w:tr>
      <w:tr>
        <w:trPr/>
        <w:tc>
          <w:tcPr>
            <w:tcW w:w="61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(US$)</w:t>
            </w:r>
          </w:p>
        </w:tc>
      </w:tr>
      <w:tr>
        <w:trPr/>
        <w:tc>
          <w:tcPr>
            <w:tcW w:w="61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of consideration transferred</w:t>
            </w:r>
          </w:p>
        </w:tc>
        <w:tc>
          <w:tcPr>
            <w:tcW w:w="241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9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Cash</w:t>
            </w:r>
            <w:r>
              <w:rPr>
                <w:rFonts w:ascii="Times New Roman;sans-serif" w:hAnsi="Times New Roman;sans-serif"/>
                <w:b w:val="false"/>
                <w:color w:val="000000"/>
                <w:sz w:val="13"/>
                <w:highlight w:val="white"/>
              </w:rPr>
              <w:t>(1)</w:t>
            </w:r>
          </w:p>
        </w:tc>
        <w:tc>
          <w:tcPr>
            <w:tcW w:w="38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5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3,150,001 </w:t>
            </w:r>
          </w:p>
        </w:tc>
        <w:tc>
          <w:tcPr>
            <w:tcW w:w="2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Ordinary shares</w:t>
            </w:r>
          </w:p>
        </w:tc>
        <w:tc>
          <w:tcPr>
            <w:tcW w:w="21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850,000 </w:t>
            </w:r>
          </w:p>
        </w:tc>
        <w:tc>
          <w:tcPr>
            <w:tcW w:w="27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Number of ordinary shares issued</w:t>
            </w:r>
          </w:p>
        </w:tc>
        <w:tc>
          <w:tcPr>
            <w:tcW w:w="21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84,634 </w:t>
            </w:r>
          </w:p>
        </w:tc>
        <w:tc>
          <w:tcPr>
            <w:tcW w:w="2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9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Recognized amounts of identifiable assets acquired and liabilities assumed</w:t>
            </w:r>
          </w:p>
        </w:tc>
        <w:tc>
          <w:tcPr>
            <w:tcW w:w="241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cash-equivalents</w:t>
            </w:r>
          </w:p>
        </w:tc>
        <w:tc>
          <w:tcPr>
            <w:tcW w:w="38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5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556,361 </w:t>
            </w:r>
          </w:p>
        </w:tc>
        <w:tc>
          <w:tcPr>
            <w:tcW w:w="27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21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203,115 </w:t>
            </w:r>
          </w:p>
        </w:tc>
        <w:tc>
          <w:tcPr>
            <w:tcW w:w="2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Prepayments and other current assets</w:t>
            </w:r>
          </w:p>
        </w:tc>
        <w:tc>
          <w:tcPr>
            <w:tcW w:w="21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22,991 </w:t>
            </w:r>
          </w:p>
        </w:tc>
        <w:tc>
          <w:tcPr>
            <w:tcW w:w="27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21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15,190 </w:t>
            </w:r>
          </w:p>
        </w:tc>
        <w:tc>
          <w:tcPr>
            <w:tcW w:w="2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w:t>
            </w:r>
          </w:p>
        </w:tc>
        <w:tc>
          <w:tcPr>
            <w:tcW w:w="21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212,824 </w:t>
            </w:r>
          </w:p>
        </w:tc>
        <w:tc>
          <w:tcPr>
            <w:tcW w:w="27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Salary and welfare payable</w:t>
            </w:r>
          </w:p>
        </w:tc>
        <w:tc>
          <w:tcPr>
            <w:tcW w:w="21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(30,520)</w:t>
            </w:r>
          </w:p>
        </w:tc>
        <w:tc>
          <w:tcPr>
            <w:tcW w:w="2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Taxes payable and other accrued liabilities</w:t>
            </w:r>
          </w:p>
        </w:tc>
        <w:tc>
          <w:tcPr>
            <w:tcW w:w="21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(16,186)</w:t>
            </w:r>
          </w:p>
        </w:tc>
        <w:tc>
          <w:tcPr>
            <w:tcW w:w="27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94" w:type="dxa"/>
            <w:gridSpan w:val="3"/>
            <w:tcBorders/>
            <w:shd w:fill="FFFFFF" w:val="clear"/>
            <w:tcMar>
              <w:top w:w="0" w:type="dxa"/>
              <w:left w:w="0" w:type="dxa"/>
              <w:bottom w:w="0" w:type="dxa"/>
              <w:right w:w="0" w:type="dxa"/>
            </w:tcMar>
            <w:vAlign w:val="center"/>
          </w:tcPr>
          <w:p>
            <w:pPr>
              <w:pStyle w:val="TableContents"/>
              <w:spacing w:lineRule="auto" w:line="276" w:before="0" w:after="0"/>
              <w:jc w:val="left"/>
              <w:rPr/>
            </w:pPr>
            <w:r>
              <w:rPr>
                <w:rFonts w:ascii="Times New Roman;sans-serif" w:hAnsi="Times New Roman;sans-serif"/>
                <w:b w:val="false"/>
                <w:color w:val="000000"/>
                <w:sz w:val="20"/>
              </w:rPr>
              <w:t>Deferred tax liabilities</w:t>
            </w:r>
            <w:r>
              <w:rPr>
                <w:rFonts w:ascii="Times New Roman;sans-serif" w:hAnsi="Times New Roman;sans-serif"/>
                <w:b w:val="false"/>
                <w:color w:val="000000"/>
                <w:sz w:val="13"/>
                <w:highlight w:val="white"/>
              </w:rPr>
              <w:t>(2)</w:t>
            </w:r>
          </w:p>
        </w:tc>
        <w:tc>
          <w:tcPr>
            <w:tcW w:w="21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(53,206)</w:t>
            </w:r>
          </w:p>
        </w:tc>
        <w:tc>
          <w:tcPr>
            <w:tcW w:w="2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identifiable net assets acquired</w:t>
            </w:r>
          </w:p>
        </w:tc>
        <w:tc>
          <w:tcPr>
            <w:tcW w:w="213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910,569 </w:t>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213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3,089,432 </w:t>
            </w:r>
          </w:p>
        </w:tc>
        <w:tc>
          <w:tcPr>
            <w:tcW w:w="27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purchase consideration</w:t>
            </w:r>
          </w:p>
        </w:tc>
        <w:tc>
          <w:tcPr>
            <w:tcW w:w="3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4,000,001 </w:t>
            </w:r>
          </w:p>
        </w:tc>
        <w:tc>
          <w:tcPr>
            <w:tcW w:w="2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76" w:before="0" w:after="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(1)The cash payment for Netless was made subsequent to the fiscal year end. As of December 31, 2020, the amount was recorded as a payable in accrued expenses and other current liabilities (Note 10). </w:t>
      </w:r>
    </w:p>
    <w:p>
      <w:pPr>
        <w:pStyle w:val="TextBody"/>
        <w:spacing w:lineRule="auto" w:line="276" w:before="0" w:after="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(2)As part of the business combination, the Company acquired developed technology at a gross amount of US$212,824, with an estimated useful life of 5 years that will be amortized on a straight-line basis; amortization expense of US$3,547 recorded in general and administrative expense for the year ended December 31, 2020. </w:t>
      </w:r>
    </w:p>
    <w:p>
      <w:pPr>
        <w:pStyle w:val="TextBody"/>
        <w:spacing w:lineRule="auto" w:line="276"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A deferred tax liability of US$53,206 arising from the difference between the accounting basis and tax basis of the identifiable intangible asset is recognized and will be realized over 5 years which is in line with the developed technology’s amortization period. The recognition of the deferred tax liability related to the intangible asset in turn increases the book basis of the asset. </w:t>
      </w:r>
    </w:p>
    <w:p>
      <w:pPr>
        <w:pStyle w:val="TextBody"/>
        <w:spacing w:before="0" w:after="0"/>
        <w:jc w:val="both"/>
        <w:rPr/>
      </w:pPr>
      <w:r>
        <w:rPr/>
      </w:r>
    </w:p>
    <w:p>
      <w:pPr>
        <w:pStyle w:val="TextBody"/>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The excess of purchase price over tangible assets and identifiable intangible assets acquired and liabilities assumed was recorded as goodwill. Goodwill associated with acquisition of Netless was attributed to expected synergies arising from the acquisition. The acquired goodwill is not deductible for tax purposes. Acquisition-related costs were immaterial and were included in general and administrative expenses for the year ended December 31, 2020.</w:t>
      </w:r>
    </w:p>
    <w:p>
      <w:pPr>
        <w:pStyle w:val="TextBody"/>
        <w:spacing w:lineRule="auto" w:line="319"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not presented pro forma combined results for this acquisition because the impact to the consolidated statements of operations and comprehensive loss would not have been material individually or in the aggregate.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6480175" cy="175260"/>
                <wp:effectExtent l="0" t="0" r="0" b="0"/>
                <wp:wrapNone/>
                <wp:docPr id="185" name="Frame18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F-25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F-25</w:t>
                      </w:r>
                    </w:p>
                  </w:txbxContent>
                </v:textbox>
              </v:rect>
            </w:pict>
          </mc:Fallback>
        </mc:AlternateConten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AGORA,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 xml:space="preserve">(All amounts in US$, except share data, unless otherwise stated) </w:t>
      </w:r>
    </w:p>
    <w:p>
      <w:pPr>
        <w:pStyle w:val="TextBody"/>
        <w:spacing w:lineRule="auto" w:line="319" w:before="0" w:after="240"/>
        <w:ind w:left="0" w:right="0" w:hanging="567"/>
        <w:jc w:val="both"/>
        <w:rPr>
          <w:rFonts w:ascii="Times New Roman;sans-serif" w:hAnsi="Times New Roman;sans-serif"/>
          <w:b/>
          <w:color w:val="000000"/>
          <w:sz w:val="20"/>
        </w:rPr>
      </w:pPr>
      <w:r>
        <w:rPr>
          <w:rFonts w:ascii="Times New Roman;sans-serif" w:hAnsi="Times New Roman;sans-serif"/>
          <w:b/>
          <w:color w:val="000000"/>
          <w:sz w:val="20"/>
        </w:rPr>
        <w:t>4.Accounts Receivable, Net</w:t>
      </w:r>
    </w:p>
    <w:tbl>
      <w:tblPr>
        <w:tblW w:w="6369" w:type="dxa"/>
        <w:jc w:val="left"/>
        <w:tblInd w:w="0" w:type="dxa"/>
        <w:tblCellMar>
          <w:top w:w="28" w:type="dxa"/>
          <w:left w:w="28" w:type="dxa"/>
          <w:bottom w:w="28" w:type="dxa"/>
          <w:right w:w="28" w:type="dxa"/>
        </w:tblCellMar>
      </w:tblPr>
      <w:tblGrid>
        <w:gridCol w:w="1158"/>
        <w:gridCol w:w="1017"/>
        <w:gridCol w:w="1020"/>
        <w:gridCol w:w="211"/>
        <w:gridCol w:w="1081"/>
        <w:gridCol w:w="109"/>
        <w:gridCol w:w="109"/>
        <w:gridCol w:w="109"/>
        <w:gridCol w:w="109"/>
        <w:gridCol w:w="211"/>
        <w:gridCol w:w="1081"/>
        <w:gridCol w:w="154"/>
      </w:tblGrid>
      <w:tr>
        <w:trPr/>
        <w:tc>
          <w:tcPr>
            <w:tcW w:w="1158" w:type="dxa"/>
            <w:tcBorders/>
            <w:shd w:fill="auto" w:val="clear"/>
            <w:vAlign w:val="center"/>
          </w:tcPr>
          <w:p>
            <w:pPr>
              <w:pStyle w:val="TableContents"/>
              <w:spacing w:before="0" w:after="283"/>
              <w:rPr>
                <w:sz w:val="4"/>
                <w:szCs w:val="4"/>
              </w:rPr>
            </w:pPr>
            <w:r>
              <w:rPr>
                <w:sz w:val="4"/>
                <w:szCs w:val="4"/>
              </w:rPr>
            </w:r>
          </w:p>
        </w:tc>
        <w:tc>
          <w:tcPr>
            <w:tcW w:w="1017" w:type="dxa"/>
            <w:tcBorders/>
            <w:shd w:fill="auto" w:val="clear"/>
            <w:vAlign w:val="center"/>
          </w:tcPr>
          <w:p>
            <w:pPr>
              <w:pStyle w:val="TableContents"/>
              <w:spacing w:before="0" w:after="283"/>
              <w:rPr>
                <w:sz w:val="4"/>
                <w:szCs w:val="4"/>
              </w:rPr>
            </w:pPr>
            <w:r>
              <w:rPr>
                <w:sz w:val="4"/>
                <w:szCs w:val="4"/>
              </w:rPr>
            </w:r>
          </w:p>
        </w:tc>
        <w:tc>
          <w:tcPr>
            <w:tcW w:w="102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8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74" w:type="dxa"/>
            <w:gridSpan w:val="9"/>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As of December 31,</w:t>
            </w:r>
          </w:p>
        </w:tc>
      </w:tr>
      <w:tr>
        <w:trPr/>
        <w:tc>
          <w:tcPr>
            <w:tcW w:w="31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2019</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4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2020</w:t>
            </w:r>
          </w:p>
        </w:tc>
      </w:tr>
      <w:tr>
        <w:trPr/>
        <w:tc>
          <w:tcPr>
            <w:tcW w:w="31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74"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(US$)</w:t>
            </w:r>
          </w:p>
        </w:tc>
      </w:tr>
      <w:tr>
        <w:trPr/>
        <w:tc>
          <w:tcPr>
            <w:tcW w:w="31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17,283,107 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29,374,687 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allowance for doubtful accounts</w:t>
            </w:r>
          </w:p>
        </w:tc>
        <w:tc>
          <w:tcPr>
            <w:tcW w:w="12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(1,035,542)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(1,534,538)</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16,247,565 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27,840,149 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319" w:before="0" w:after="240"/>
        <w:ind w:left="0" w:right="0" w:firstLine="567"/>
        <w:jc w:val="both"/>
        <w:rPr>
          <w:rFonts w:ascii="Times New Roman;sans-serif" w:hAnsi="Times New Roman;sans-serif"/>
          <w:b w:val="false"/>
          <w:color w:val="000000"/>
          <w:sz w:val="20"/>
        </w:rPr>
      </w:pPr>
      <w:r>
        <w:rPr>
          <w:rFonts w:ascii="Times New Roman;sans-serif" w:hAnsi="Times New Roman;sans-serif"/>
          <w:b w:val="false"/>
          <w:color w:val="000000"/>
          <w:sz w:val="20"/>
        </w:rPr>
        <w:t>Movement of allowance of doubtful accounts was as follows:</w:t>
      </w:r>
    </w:p>
    <w:tbl>
      <w:tblPr>
        <w:tblW w:w="6129" w:type="dxa"/>
        <w:jc w:val="left"/>
        <w:tblInd w:w="0" w:type="dxa"/>
        <w:tblCellMar>
          <w:top w:w="28" w:type="dxa"/>
          <w:left w:w="28" w:type="dxa"/>
          <w:bottom w:w="28" w:type="dxa"/>
          <w:right w:w="28" w:type="dxa"/>
        </w:tblCellMar>
      </w:tblPr>
      <w:tblGrid>
        <w:gridCol w:w="1092"/>
        <w:gridCol w:w="960"/>
        <w:gridCol w:w="963"/>
        <w:gridCol w:w="211"/>
        <w:gridCol w:w="1051"/>
        <w:gridCol w:w="109"/>
        <w:gridCol w:w="109"/>
        <w:gridCol w:w="109"/>
        <w:gridCol w:w="109"/>
        <w:gridCol w:w="211"/>
        <w:gridCol w:w="1051"/>
        <w:gridCol w:w="154"/>
      </w:tblGrid>
      <w:tr>
        <w:trPr/>
        <w:tc>
          <w:tcPr>
            <w:tcW w:w="1092" w:type="dxa"/>
            <w:tcBorders/>
            <w:shd w:fill="auto" w:val="clear"/>
            <w:vAlign w:val="center"/>
          </w:tcPr>
          <w:p>
            <w:pPr>
              <w:pStyle w:val="TableContents"/>
              <w:spacing w:before="0" w:after="283"/>
              <w:rPr>
                <w:sz w:val="4"/>
                <w:szCs w:val="4"/>
              </w:rPr>
            </w:pPr>
            <w:r>
              <w:rPr>
                <w:sz w:val="4"/>
                <w:szCs w:val="4"/>
              </w:rPr>
            </w:r>
          </w:p>
        </w:tc>
        <w:tc>
          <w:tcPr>
            <w:tcW w:w="960" w:type="dxa"/>
            <w:tcBorders/>
            <w:shd w:fill="auto" w:val="clear"/>
            <w:vAlign w:val="center"/>
          </w:tcPr>
          <w:p>
            <w:pPr>
              <w:pStyle w:val="TableContents"/>
              <w:spacing w:before="0" w:after="283"/>
              <w:rPr>
                <w:sz w:val="4"/>
                <w:szCs w:val="4"/>
              </w:rPr>
            </w:pPr>
            <w:r>
              <w:rPr>
                <w:sz w:val="4"/>
                <w:szCs w:val="4"/>
              </w:rPr>
            </w:r>
          </w:p>
        </w:tc>
        <w:tc>
          <w:tcPr>
            <w:tcW w:w="96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14" w:type="dxa"/>
            <w:gridSpan w:val="9"/>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As of December 31,</w:t>
            </w:r>
          </w:p>
        </w:tc>
      </w:tr>
      <w:tr>
        <w:trPr/>
        <w:tc>
          <w:tcPr>
            <w:tcW w:w="30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2019</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1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2020</w:t>
            </w:r>
          </w:p>
        </w:tc>
      </w:tr>
      <w:tr>
        <w:trPr/>
        <w:tc>
          <w:tcPr>
            <w:tcW w:w="30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14"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(US$)</w:t>
            </w:r>
          </w:p>
        </w:tc>
      </w:tr>
      <w:tr>
        <w:trPr/>
        <w:tc>
          <w:tcPr>
            <w:tcW w:w="30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At beginning of the period</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(367,044)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(1,035,542)</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w:t>
            </w:r>
          </w:p>
        </w:tc>
        <w:tc>
          <w:tcPr>
            <w:tcW w:w="12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(779,671)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(1,365,327)</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Write-off</w:t>
            </w:r>
          </w:p>
        </w:tc>
        <w:tc>
          <w:tcPr>
            <w:tcW w:w="12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100,276 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921,061 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impact</w:t>
            </w:r>
          </w:p>
        </w:tc>
        <w:tc>
          <w:tcPr>
            <w:tcW w:w="12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10,897 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(54,730)</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At end of the period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(1,035,542)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(1,534,538)</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hanging="567"/>
        <w:jc w:val="both"/>
        <w:rPr>
          <w:rFonts w:ascii="Times New Roman;sans-serif" w:hAnsi="Times New Roman;sans-serif"/>
          <w:b/>
          <w:color w:val="000000"/>
          <w:sz w:val="20"/>
        </w:rPr>
      </w:pPr>
      <w:r>
        <w:rPr>
          <w:rFonts w:ascii="Times New Roman;sans-serif" w:hAnsi="Times New Roman;sans-serif"/>
          <w:b/>
          <w:color w:val="000000"/>
          <w:sz w:val="20"/>
        </w:rPr>
        <w:t>5.Prepayments and Other Current Assets</w:t>
      </w:r>
    </w:p>
    <w:p>
      <w:pPr>
        <w:pStyle w:val="TextBody"/>
        <w:spacing w:before="0" w:after="0"/>
        <w:jc w:val="both"/>
        <w:rPr/>
      </w:pPr>
      <w:r>
        <w:rPr/>
      </w:r>
    </w:p>
    <w:p>
      <w:pPr>
        <w:pStyle w:val="TextBody"/>
        <w:spacing w:lineRule="auto" w:line="288" w:before="0" w:after="0"/>
        <w:ind w:left="0" w:right="0" w:firstLine="567"/>
        <w:jc w:val="both"/>
        <w:rPr>
          <w:rFonts w:ascii="Times New Roman;sans-serif" w:hAnsi="Times New Roman;sans-serif"/>
          <w:b w:val="false"/>
          <w:color w:val="000000"/>
          <w:sz w:val="20"/>
        </w:rPr>
      </w:pPr>
      <w:r>
        <w:rPr>
          <w:rFonts w:ascii="Times New Roman;sans-serif" w:hAnsi="Times New Roman;sans-serif"/>
          <w:b w:val="false"/>
          <w:color w:val="000000"/>
          <w:sz w:val="20"/>
        </w:rPr>
        <w:t>The prepayments and other current assets consisted of the following:</w:t>
      </w:r>
    </w:p>
    <w:p>
      <w:pPr>
        <w:pStyle w:val="TextBody"/>
        <w:spacing w:before="0" w:after="0"/>
        <w:jc w:val="both"/>
        <w:rPr/>
      </w:pPr>
      <w:r>
        <w:rPr/>
      </w:r>
    </w:p>
    <w:tbl>
      <w:tblPr>
        <w:tblW w:w="7629" w:type="dxa"/>
        <w:jc w:val="left"/>
        <w:tblInd w:w="0" w:type="dxa"/>
        <w:tblCellMar>
          <w:top w:w="28" w:type="dxa"/>
          <w:left w:w="28" w:type="dxa"/>
          <w:bottom w:w="28" w:type="dxa"/>
          <w:right w:w="28" w:type="dxa"/>
        </w:tblCellMar>
      </w:tblPr>
      <w:tblGrid>
        <w:gridCol w:w="1687"/>
        <w:gridCol w:w="1484"/>
        <w:gridCol w:w="1494"/>
        <w:gridCol w:w="211"/>
        <w:gridCol w:w="976"/>
        <w:gridCol w:w="109"/>
        <w:gridCol w:w="109"/>
        <w:gridCol w:w="109"/>
        <w:gridCol w:w="109"/>
        <w:gridCol w:w="211"/>
        <w:gridCol w:w="976"/>
        <w:gridCol w:w="154"/>
      </w:tblGrid>
      <w:tr>
        <w:trPr/>
        <w:tc>
          <w:tcPr>
            <w:tcW w:w="1687" w:type="dxa"/>
            <w:tcBorders/>
            <w:shd w:fill="auto" w:val="clear"/>
            <w:vAlign w:val="center"/>
          </w:tcPr>
          <w:p>
            <w:pPr>
              <w:pStyle w:val="TableContents"/>
              <w:spacing w:before="0" w:after="283"/>
              <w:rPr>
                <w:sz w:val="4"/>
                <w:szCs w:val="4"/>
              </w:rPr>
            </w:pPr>
            <w:r>
              <w:rPr>
                <w:sz w:val="4"/>
                <w:szCs w:val="4"/>
              </w:rPr>
            </w:r>
          </w:p>
        </w:tc>
        <w:tc>
          <w:tcPr>
            <w:tcW w:w="1484" w:type="dxa"/>
            <w:tcBorders/>
            <w:shd w:fill="auto" w:val="clear"/>
            <w:vAlign w:val="center"/>
          </w:tcPr>
          <w:p>
            <w:pPr>
              <w:pStyle w:val="TableContents"/>
              <w:spacing w:before="0" w:after="283"/>
              <w:rPr>
                <w:sz w:val="4"/>
                <w:szCs w:val="4"/>
              </w:rPr>
            </w:pPr>
            <w:r>
              <w:rPr>
                <w:sz w:val="4"/>
                <w:szCs w:val="4"/>
              </w:rPr>
            </w:r>
          </w:p>
        </w:tc>
        <w:tc>
          <w:tcPr>
            <w:tcW w:w="149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64" w:type="dxa"/>
            <w:gridSpan w:val="9"/>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As of December 31,</w:t>
            </w:r>
          </w:p>
        </w:tc>
      </w:tr>
      <w:tr>
        <w:trPr/>
        <w:tc>
          <w:tcPr>
            <w:tcW w:w="46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2019</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2020</w:t>
            </w:r>
          </w:p>
        </w:tc>
      </w:tr>
      <w:tr>
        <w:trPr/>
        <w:tc>
          <w:tcPr>
            <w:tcW w:w="46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64"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(US$)</w:t>
            </w:r>
          </w:p>
        </w:tc>
      </w:tr>
      <w:tr>
        <w:trPr/>
        <w:tc>
          <w:tcPr>
            <w:tcW w:w="466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Employee advances</w:t>
            </w:r>
            <w:r>
              <w:rPr>
                <w:rFonts w:ascii="Times New Roman;sans-serif" w:hAnsi="Times New Roman;sans-serif"/>
                <w:b w:val="false"/>
                <w:color w:val="000000"/>
                <w:sz w:val="16"/>
              </w:rPr>
              <w:t>(1)</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15,885 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2,186,438 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6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Interest receivables</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1,446,414 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65"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color w:val="000000"/>
                <w:sz w:val="20"/>
              </w:rPr>
              <w:t>VAT recoverable</w:t>
            </w:r>
            <w:r>
              <w:rPr>
                <w:rFonts w:ascii="Times New Roman;sans-serif" w:hAnsi="Times New Roman;sans-serif"/>
                <w:b w:val="false"/>
                <w:color w:val="000000"/>
                <w:sz w:val="13"/>
              </w:rPr>
              <w:t>(2)</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776,141 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1,352,594 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65"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color w:val="000000"/>
                <w:sz w:val="20"/>
              </w:rPr>
              <w:t>Prepayments</w:t>
            </w:r>
            <w:r>
              <w:rPr>
                <w:rFonts w:ascii="Times New Roman;sans-serif" w:hAnsi="Times New Roman;sans-serif"/>
                <w:b w:val="false"/>
                <w:color w:val="000000"/>
                <w:sz w:val="13"/>
              </w:rPr>
              <w:t>(3)</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419,376 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1,218,771 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receivable for employee share option exercises</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611,745 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80,000 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Others</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89,635 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562,870 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1,381,037 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7,458,832 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54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(1)Employee advances are primarily loans to employees that are business related or taxes paid on behalf of employees related to their options. The interest associated with these loans are based on the one year risk-free interest rate stipulated by the People’s Bank of China, and the loan plus interest will be repaid by the employee within one year. </w:t>
      </w:r>
    </w:p>
    <w:p>
      <w:pPr>
        <w:pStyle w:val="TextBody"/>
        <w:spacing w:lineRule="auto" w:line="288" w:before="0" w:after="0"/>
        <w:ind w:left="0" w:right="0" w:hanging="540"/>
        <w:jc w:val="both"/>
        <w:rPr>
          <w:rFonts w:ascii="Times New Roman;sans-serif" w:hAnsi="Times New Roman;sans-serif"/>
          <w:b w:val="false"/>
          <w:color w:val="000000"/>
          <w:sz w:val="18"/>
        </w:rPr>
      </w:pPr>
      <w:r>
        <w:rPr>
          <w:rFonts w:ascii="Times New Roman;sans-serif" w:hAnsi="Times New Roman;sans-serif"/>
          <w:b w:val="false"/>
          <w:color w:val="000000"/>
          <w:sz w:val="18"/>
        </w:rPr>
        <w:t>(2)VAT recoverable represented the balances that the Group can utilize to deduct its VAT liabilities within the next 12 months.</w:t>
      </w:r>
    </w:p>
    <w:p>
      <w:pPr>
        <w:pStyle w:val="TextBody"/>
        <w:spacing w:lineRule="auto" w:line="288" w:before="0" w:after="0"/>
        <w:ind w:left="0" w:right="0" w:hanging="540"/>
        <w:jc w:val="both"/>
        <w:rPr>
          <w:rFonts w:ascii="Times New Roman;sans-serif" w:hAnsi="Times New Roman;sans-serif"/>
          <w:b w:val="false"/>
          <w:color w:val="000000"/>
          <w:sz w:val="18"/>
        </w:rPr>
      </w:pPr>
      <w:r>
        <w:rPr>
          <w:rFonts w:ascii="Times New Roman;sans-serif" w:hAnsi="Times New Roman;sans-serif"/>
          <w:b w:val="false"/>
          <w:color w:val="000000"/>
          <w:sz w:val="18"/>
        </w:rPr>
        <w:t>(3)Prepayments are primarily related to prepayments for company events, prepaid rental expenses and other deposits.</w:t>
      </w:r>
    </w:p>
    <w:p>
      <w:pPr>
        <w:pStyle w:val="TextBody"/>
        <w:spacing w:before="0" w:after="0"/>
        <w:ind w:left="0" w:right="0" w:firstLine="567"/>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6480175" cy="175260"/>
                <wp:effectExtent l="0" t="0" r="0" b="0"/>
                <wp:wrapNone/>
                <wp:docPr id="186" name="Frame18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F-26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F-26</w:t>
                      </w:r>
                    </w:p>
                  </w:txbxContent>
                </v:textbox>
              </v:rect>
            </w:pict>
          </mc:Fallback>
        </mc:AlternateConten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AGORA,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 xml:space="preserve">(All amounts in US$, except share data, unless otherwise stated) </w:t>
      </w:r>
    </w:p>
    <w:p>
      <w:pPr>
        <w:pStyle w:val="TextBody"/>
        <w:spacing w:lineRule="auto" w:line="319" w:before="0" w:after="240"/>
        <w:ind w:left="0" w:right="0" w:hanging="567"/>
        <w:jc w:val="both"/>
        <w:rPr>
          <w:rFonts w:ascii="Times New Roman;sans-serif" w:hAnsi="Times New Roman;sans-serif"/>
          <w:b/>
          <w:color w:val="000000"/>
          <w:sz w:val="20"/>
        </w:rPr>
      </w:pPr>
      <w:r>
        <w:rPr>
          <w:rFonts w:ascii="Times New Roman;sans-serif" w:hAnsi="Times New Roman;sans-serif"/>
          <w:b/>
          <w:color w:val="000000"/>
          <w:sz w:val="20"/>
        </w:rPr>
        <w:t>6.Property and Equipment, Net</w:t>
      </w:r>
    </w:p>
    <w:p>
      <w:pPr>
        <w:pStyle w:val="TextBody"/>
        <w:spacing w:lineRule="auto" w:line="319" w:before="0" w:after="240"/>
        <w:ind w:left="0" w:right="0" w:firstLine="567"/>
        <w:jc w:val="both"/>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 consisted of the following:</w:t>
      </w:r>
    </w:p>
    <w:tbl>
      <w:tblPr>
        <w:tblW w:w="6638" w:type="dxa"/>
        <w:jc w:val="left"/>
        <w:tblInd w:w="0" w:type="dxa"/>
        <w:tblCellMar>
          <w:top w:w="28" w:type="dxa"/>
          <w:left w:w="28" w:type="dxa"/>
          <w:bottom w:w="28" w:type="dxa"/>
          <w:right w:w="28" w:type="dxa"/>
        </w:tblCellMar>
      </w:tblPr>
      <w:tblGrid>
        <w:gridCol w:w="1286"/>
        <w:gridCol w:w="1134"/>
        <w:gridCol w:w="1149"/>
        <w:gridCol w:w="211"/>
        <w:gridCol w:w="976"/>
        <w:gridCol w:w="109"/>
        <w:gridCol w:w="109"/>
        <w:gridCol w:w="109"/>
        <w:gridCol w:w="109"/>
        <w:gridCol w:w="211"/>
        <w:gridCol w:w="1081"/>
        <w:gridCol w:w="154"/>
      </w:tblGrid>
      <w:tr>
        <w:trPr/>
        <w:tc>
          <w:tcPr>
            <w:tcW w:w="1286" w:type="dxa"/>
            <w:tcBorders/>
            <w:shd w:fill="auto" w:val="clear"/>
            <w:vAlign w:val="center"/>
          </w:tcPr>
          <w:p>
            <w:pPr>
              <w:pStyle w:val="TableContents"/>
              <w:spacing w:before="0" w:after="283"/>
              <w:rPr>
                <w:sz w:val="4"/>
                <w:szCs w:val="4"/>
              </w:rPr>
            </w:pPr>
            <w:r>
              <w:rPr>
                <w:sz w:val="4"/>
                <w:szCs w:val="4"/>
              </w:rPr>
            </w:r>
          </w:p>
        </w:tc>
        <w:tc>
          <w:tcPr>
            <w:tcW w:w="1134" w:type="dxa"/>
            <w:tcBorders/>
            <w:shd w:fill="auto" w:val="clear"/>
            <w:vAlign w:val="center"/>
          </w:tcPr>
          <w:p>
            <w:pPr>
              <w:pStyle w:val="TableContents"/>
              <w:spacing w:before="0" w:after="283"/>
              <w:rPr>
                <w:sz w:val="4"/>
                <w:szCs w:val="4"/>
              </w:rPr>
            </w:pPr>
            <w:r>
              <w:rPr>
                <w:sz w:val="4"/>
                <w:szCs w:val="4"/>
              </w:rPr>
            </w:r>
          </w:p>
        </w:tc>
        <w:tc>
          <w:tcPr>
            <w:tcW w:w="114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8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69" w:type="dxa"/>
            <w:gridSpan w:val="9"/>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As of December 31,</w:t>
            </w:r>
          </w:p>
        </w:tc>
      </w:tr>
      <w:tr>
        <w:trPr/>
        <w:tc>
          <w:tcPr>
            <w:tcW w:w="35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2019</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4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2020</w:t>
            </w:r>
          </w:p>
        </w:tc>
      </w:tr>
      <w:tr>
        <w:trPr/>
        <w:tc>
          <w:tcPr>
            <w:tcW w:w="35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69"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(US$)</w:t>
            </w:r>
          </w:p>
        </w:tc>
      </w:tr>
      <w:tr>
        <w:trPr/>
        <w:tc>
          <w:tcPr>
            <w:tcW w:w="35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w:t>
            </w:r>
          </w:p>
        </w:tc>
        <w:tc>
          <w:tcPr>
            <w:tcW w:w="12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Network equipment</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6,976,107 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19,900,918 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1,089,970 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1,950,310 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Electronic equipment</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1,170,866 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2,232,004 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Furniture, computers and office equipment</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443,453 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873,626 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9,680,396 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24,956,858 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(3,398,406)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(8,203,008)</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6,281,990 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16,753,850 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319" w:before="0" w:after="240"/>
        <w:ind w:left="0" w:right="0" w:firstLine="567"/>
        <w:jc w:val="both"/>
        <w:rPr>
          <w:rFonts w:ascii="Times New Roman;sans-serif" w:hAnsi="Times New Roman;sans-serif"/>
          <w:b w:val="false"/>
          <w:color w:val="000000"/>
          <w:sz w:val="20"/>
        </w:rPr>
      </w:pPr>
      <w:r>
        <w:rPr>
          <w:rFonts w:ascii="Times New Roman;sans-serif" w:hAnsi="Times New Roman;sans-serif"/>
          <w:b w:val="false"/>
          <w:color w:val="000000"/>
          <w:sz w:val="20"/>
        </w:rPr>
        <w:t>Depreciation expense recognized for the years ended December 31, 2018, 2019 and 2020 were US$922,351, US$1,867,734 and US$4,457,981, respectively.</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19" w:before="0" w:after="240"/>
        <w:ind w:left="0" w:right="0" w:hanging="567"/>
        <w:jc w:val="both"/>
        <w:rPr>
          <w:rFonts w:ascii="Times New Roman;sans-serif" w:hAnsi="Times New Roman;sans-serif"/>
          <w:b/>
          <w:color w:val="000000"/>
          <w:sz w:val="20"/>
        </w:rPr>
      </w:pPr>
      <w:r>
        <w:rPr>
          <w:rFonts w:ascii="Times New Roman;sans-serif" w:hAnsi="Times New Roman;sans-serif"/>
          <w:b/>
          <w:color w:val="000000"/>
          <w:sz w:val="20"/>
        </w:rPr>
        <w:t>7.Other Non-current Assets</w:t>
      </w:r>
    </w:p>
    <w:p>
      <w:pPr>
        <w:pStyle w:val="TextBody"/>
        <w:spacing w:lineRule="auto" w:line="319" w:before="0" w:after="240"/>
        <w:ind w:left="0" w:right="0" w:firstLine="567"/>
        <w:jc w:val="both"/>
        <w:rPr>
          <w:rFonts w:ascii="Times New Roman;sans-serif" w:hAnsi="Times New Roman;sans-serif"/>
          <w:b w:val="false"/>
          <w:color w:val="000000"/>
          <w:sz w:val="20"/>
        </w:rPr>
      </w:pPr>
      <w:r>
        <w:rPr>
          <w:rFonts w:ascii="Times New Roman;sans-serif" w:hAnsi="Times New Roman;sans-serif"/>
          <w:b w:val="false"/>
          <w:color w:val="000000"/>
          <w:sz w:val="20"/>
        </w:rPr>
        <w:t>Other non-current assets consisted of the following:</w:t>
      </w:r>
    </w:p>
    <w:tbl>
      <w:tblPr>
        <w:tblW w:w="6038" w:type="dxa"/>
        <w:jc w:val="left"/>
        <w:tblInd w:w="0" w:type="dxa"/>
        <w:tblCellMar>
          <w:top w:w="28" w:type="dxa"/>
          <w:left w:w="28" w:type="dxa"/>
          <w:bottom w:w="28" w:type="dxa"/>
          <w:right w:w="28" w:type="dxa"/>
        </w:tblCellMar>
      </w:tblPr>
      <w:tblGrid>
        <w:gridCol w:w="1166"/>
        <w:gridCol w:w="1027"/>
        <w:gridCol w:w="1031"/>
        <w:gridCol w:w="211"/>
        <w:gridCol w:w="826"/>
        <w:gridCol w:w="109"/>
        <w:gridCol w:w="109"/>
        <w:gridCol w:w="109"/>
        <w:gridCol w:w="109"/>
        <w:gridCol w:w="211"/>
        <w:gridCol w:w="976"/>
        <w:gridCol w:w="154"/>
      </w:tblGrid>
      <w:tr>
        <w:trPr/>
        <w:tc>
          <w:tcPr>
            <w:tcW w:w="1166" w:type="dxa"/>
            <w:tcBorders/>
            <w:shd w:fill="auto" w:val="clear"/>
            <w:vAlign w:val="center"/>
          </w:tcPr>
          <w:p>
            <w:pPr>
              <w:pStyle w:val="TableContents"/>
              <w:spacing w:before="0" w:after="283"/>
              <w:rPr>
                <w:sz w:val="4"/>
                <w:szCs w:val="4"/>
              </w:rPr>
            </w:pPr>
            <w:r>
              <w:rPr>
                <w:sz w:val="4"/>
                <w:szCs w:val="4"/>
              </w:rPr>
            </w:r>
          </w:p>
        </w:tc>
        <w:tc>
          <w:tcPr>
            <w:tcW w:w="1027"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14" w:type="dxa"/>
            <w:gridSpan w:val="9"/>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As of December 31,</w:t>
            </w:r>
          </w:p>
        </w:tc>
      </w:tr>
      <w:tr>
        <w:trPr/>
        <w:tc>
          <w:tcPr>
            <w:tcW w:w="32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2019</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2020</w:t>
            </w:r>
          </w:p>
        </w:tc>
      </w:tr>
      <w:tr>
        <w:trPr/>
        <w:tc>
          <w:tcPr>
            <w:tcW w:w="32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14"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(US$)</w:t>
            </w:r>
          </w:p>
        </w:tc>
      </w:tr>
      <w:tr>
        <w:trPr/>
        <w:tc>
          <w:tcPr>
            <w:tcW w:w="32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deposits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470,086 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1,023,755 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Deferral of initial public offering costs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287,331 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51,445 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580,182 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808,862 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1,603,937 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19" w:before="0" w:after="0"/>
        <w:ind w:left="0" w:right="0" w:hanging="567"/>
        <w:jc w:val="both"/>
        <w:rPr>
          <w:rFonts w:ascii="Times New Roman;sans-serif" w:hAnsi="Times New Roman;sans-serif"/>
          <w:b/>
          <w:color w:val="000000"/>
          <w:sz w:val="20"/>
        </w:rPr>
      </w:pPr>
      <w:r>
        <w:rPr>
          <w:rFonts w:ascii="Times New Roman;sans-serif" w:hAnsi="Times New Roman;sans-serif"/>
          <w:b/>
          <w:color w:val="000000"/>
          <w:sz w:val="20"/>
        </w:rPr>
        <w:t>8.Intangible Assets, Net</w:t>
      </w:r>
    </w:p>
    <w:p>
      <w:pPr>
        <w:pStyle w:val="TextBody"/>
        <w:spacing w:before="0" w:after="0"/>
        <w:ind w:left="0" w:right="0" w:hanging="207"/>
        <w:jc w:val="both"/>
        <w:rPr/>
      </w:pPr>
      <w:r>
        <w:rPr/>
      </w:r>
    </w:p>
    <w:p>
      <w:pPr>
        <w:pStyle w:val="TextBody"/>
        <w:spacing w:lineRule="auto" w:line="319" w:before="0" w:after="240"/>
        <w:ind w:left="0" w:right="0" w:firstLine="567"/>
        <w:jc w:val="both"/>
        <w:rPr>
          <w:rFonts w:ascii="Times New Roman;sans-serif" w:hAnsi="Times New Roman;sans-serif"/>
          <w:b w:val="false"/>
          <w:color w:val="000000"/>
          <w:sz w:val="20"/>
        </w:rPr>
      </w:pPr>
      <w:r>
        <w:rPr>
          <w:rFonts w:ascii="Times New Roman;sans-serif" w:hAnsi="Times New Roman;sans-serif"/>
          <w:b w:val="false"/>
          <w:color w:val="000000"/>
          <w:sz w:val="20"/>
        </w:rPr>
        <w:t>Intangible asset is comprised of following:</w:t>
      </w:r>
    </w:p>
    <w:tbl>
      <w:tblPr>
        <w:tblW w:w="5409" w:type="dxa"/>
        <w:jc w:val="left"/>
        <w:tblInd w:w="0" w:type="dxa"/>
        <w:tblCellMar>
          <w:top w:w="28" w:type="dxa"/>
          <w:left w:w="28" w:type="dxa"/>
          <w:bottom w:w="28" w:type="dxa"/>
          <w:right w:w="28" w:type="dxa"/>
        </w:tblCellMar>
      </w:tblPr>
      <w:tblGrid>
        <w:gridCol w:w="1147"/>
        <w:gridCol w:w="1006"/>
        <w:gridCol w:w="1012"/>
        <w:gridCol w:w="211"/>
        <w:gridCol w:w="406"/>
        <w:gridCol w:w="109"/>
        <w:gridCol w:w="109"/>
        <w:gridCol w:w="109"/>
        <w:gridCol w:w="109"/>
        <w:gridCol w:w="211"/>
        <w:gridCol w:w="826"/>
        <w:gridCol w:w="154"/>
      </w:tblGrid>
      <w:tr>
        <w:trPr/>
        <w:tc>
          <w:tcPr>
            <w:tcW w:w="1147" w:type="dxa"/>
            <w:tcBorders/>
            <w:shd w:fill="auto" w:val="clear"/>
            <w:vAlign w:val="center"/>
          </w:tcPr>
          <w:p>
            <w:pPr>
              <w:pStyle w:val="TableContents"/>
              <w:spacing w:before="0" w:after="283"/>
              <w:rPr>
                <w:sz w:val="4"/>
                <w:szCs w:val="4"/>
              </w:rPr>
            </w:pPr>
            <w:r>
              <w:rPr>
                <w:sz w:val="4"/>
                <w:szCs w:val="4"/>
              </w:rPr>
            </w:r>
          </w:p>
        </w:tc>
        <w:tc>
          <w:tcPr>
            <w:tcW w:w="1006" w:type="dxa"/>
            <w:tcBorders/>
            <w:shd w:fill="auto" w:val="clear"/>
            <w:vAlign w:val="center"/>
          </w:tcPr>
          <w:p>
            <w:pPr>
              <w:pStyle w:val="TableContents"/>
              <w:spacing w:before="0" w:after="283"/>
              <w:rPr>
                <w:sz w:val="4"/>
                <w:szCs w:val="4"/>
              </w:rPr>
            </w:pPr>
            <w:r>
              <w:rPr>
                <w:sz w:val="4"/>
                <w:szCs w:val="4"/>
              </w:rPr>
            </w:r>
          </w:p>
        </w:tc>
        <w:tc>
          <w:tcPr>
            <w:tcW w:w="1012"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4" w:type="dxa"/>
            <w:gridSpan w:val="9"/>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As of December 31,</w:t>
            </w:r>
          </w:p>
        </w:tc>
      </w:tr>
      <w:tr>
        <w:trPr/>
        <w:tc>
          <w:tcPr>
            <w:tcW w:w="31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2019</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2020</w:t>
            </w:r>
          </w:p>
        </w:tc>
      </w:tr>
      <w:tr>
        <w:trPr/>
        <w:tc>
          <w:tcPr>
            <w:tcW w:w="31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4"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(US$)</w:t>
            </w:r>
          </w:p>
        </w:tc>
      </w:tr>
      <w:tr>
        <w:trPr/>
        <w:tc>
          <w:tcPr>
            <w:tcW w:w="3165" w:type="dxa"/>
            <w:gridSpan w:val="3"/>
            <w:tcBorders/>
            <w:shd w:fill="CCEEFF" w:val="clear"/>
            <w:tcMar>
              <w:top w:w="0" w:type="dxa"/>
              <w:left w:w="0" w:type="dxa"/>
              <w:bottom w:w="0" w:type="dxa"/>
              <w:right w:w="0" w:type="dxa"/>
            </w:tcMar>
            <w:vAlign w:val="center"/>
          </w:tcPr>
          <w:p>
            <w:pPr>
              <w:pStyle w:val="TableContents"/>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Cost: Developed technology (Note 3)</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212,824 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amortization</w:t>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(3,547)</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209,277 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319" w:before="0" w:after="0"/>
        <w:ind w:left="0" w:right="0" w:firstLine="567"/>
        <w:jc w:val="both"/>
        <w:rPr>
          <w:rFonts w:ascii="Times New Roman;sans-serif" w:hAnsi="Times New Roman;sans-serif"/>
          <w:b w:val="false"/>
          <w:color w:val="000000"/>
          <w:sz w:val="20"/>
        </w:rPr>
      </w:pPr>
      <w:r>
        <w:rPr>
          <w:rFonts w:ascii="Times New Roman;sans-serif" w:hAnsi="Times New Roman;sans-serif"/>
          <w:b w:val="false"/>
          <w:color w:val="000000"/>
          <w:sz w:val="20"/>
        </w:rPr>
        <w:t>Amortization expense recognized for the year ended December 31, 2020 is recorded in general and administrative expenses. The Company will record estimated amortization expenses of US$42,565, US$42,565, US$42,565, US$42,565 and US$39,018 for the years ending December 31, 2021, 2022, 2023, 2024 and 2025, respectively.</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6480175" cy="175260"/>
                <wp:effectExtent l="0" t="0" r="0" b="0"/>
                <wp:wrapNone/>
                <wp:docPr id="187" name="Frame18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F-27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F-27</w:t>
                      </w:r>
                    </w:p>
                  </w:txbxContent>
                </v:textbox>
              </v:rect>
            </w:pict>
          </mc:Fallback>
        </mc:AlternateConten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AGORA,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 xml:space="preserve">(All amounts in US$, except share data, unless otherwise stated) </w:t>
      </w:r>
    </w:p>
    <w:p>
      <w:pPr>
        <w:pStyle w:val="TextBody"/>
        <w:spacing w:lineRule="auto" w:line="319" w:before="0" w:after="240"/>
        <w:ind w:left="0" w:right="0" w:hanging="567"/>
        <w:jc w:val="both"/>
        <w:rPr>
          <w:rFonts w:ascii="Times New Roman;sans-serif" w:hAnsi="Times New Roman;sans-serif"/>
          <w:b/>
          <w:color w:val="000000"/>
          <w:sz w:val="20"/>
        </w:rPr>
      </w:pPr>
      <w:r>
        <w:rPr>
          <w:rFonts w:ascii="Times New Roman;sans-serif" w:hAnsi="Times New Roman;sans-serif"/>
          <w:b/>
          <w:color w:val="000000"/>
          <w:sz w:val="20"/>
        </w:rPr>
        <w:t>9.Taxes Payable</w:t>
      </w:r>
    </w:p>
    <w:p>
      <w:pPr>
        <w:pStyle w:val="TextBody"/>
        <w:spacing w:lineRule="auto" w:line="319" w:before="0" w:after="240"/>
        <w:ind w:left="0" w:right="0" w:firstLine="567"/>
        <w:jc w:val="both"/>
        <w:rPr>
          <w:rFonts w:ascii="Times New Roman;sans-serif" w:hAnsi="Times New Roman;sans-serif"/>
          <w:b w:val="false"/>
          <w:color w:val="000000"/>
          <w:sz w:val="20"/>
        </w:rPr>
      </w:pPr>
      <w:r>
        <w:rPr>
          <w:rFonts w:ascii="Times New Roman;sans-serif" w:hAnsi="Times New Roman;sans-serif"/>
          <w:b w:val="false"/>
          <w:color w:val="000000"/>
          <w:sz w:val="20"/>
        </w:rPr>
        <w:t>Taxes payable consisted of the following:</w:t>
      </w:r>
    </w:p>
    <w:tbl>
      <w:tblPr>
        <w:tblW w:w="5693" w:type="dxa"/>
        <w:jc w:val="left"/>
        <w:tblInd w:w="0" w:type="dxa"/>
        <w:tblCellMar>
          <w:top w:w="28" w:type="dxa"/>
          <w:left w:w="28" w:type="dxa"/>
          <w:bottom w:w="28" w:type="dxa"/>
          <w:right w:w="28" w:type="dxa"/>
        </w:tblCellMar>
      </w:tblPr>
      <w:tblGrid>
        <w:gridCol w:w="987"/>
        <w:gridCol w:w="869"/>
        <w:gridCol w:w="873"/>
        <w:gridCol w:w="211"/>
        <w:gridCol w:w="976"/>
        <w:gridCol w:w="109"/>
        <w:gridCol w:w="109"/>
        <w:gridCol w:w="109"/>
        <w:gridCol w:w="109"/>
        <w:gridCol w:w="211"/>
        <w:gridCol w:w="976"/>
        <w:gridCol w:w="154"/>
      </w:tblGrid>
      <w:tr>
        <w:trPr/>
        <w:tc>
          <w:tcPr>
            <w:tcW w:w="987" w:type="dxa"/>
            <w:tcBorders/>
            <w:shd w:fill="auto" w:val="clear"/>
            <w:vAlign w:val="center"/>
          </w:tcPr>
          <w:p>
            <w:pPr>
              <w:pStyle w:val="TableContents"/>
              <w:spacing w:before="0" w:after="283"/>
              <w:rPr>
                <w:sz w:val="4"/>
                <w:szCs w:val="4"/>
              </w:rPr>
            </w:pPr>
            <w:r>
              <w:rPr>
                <w:sz w:val="4"/>
                <w:szCs w:val="4"/>
              </w:rPr>
            </w:r>
          </w:p>
        </w:tc>
        <w:tc>
          <w:tcPr>
            <w:tcW w:w="869" w:type="dxa"/>
            <w:tcBorders/>
            <w:shd w:fill="auto" w:val="clear"/>
            <w:vAlign w:val="center"/>
          </w:tcPr>
          <w:p>
            <w:pPr>
              <w:pStyle w:val="TableContents"/>
              <w:spacing w:before="0" w:after="283"/>
              <w:rPr>
                <w:sz w:val="4"/>
                <w:szCs w:val="4"/>
              </w:rPr>
            </w:pPr>
            <w:r>
              <w:rPr>
                <w:sz w:val="4"/>
                <w:szCs w:val="4"/>
              </w:rPr>
            </w:r>
          </w:p>
        </w:tc>
        <w:tc>
          <w:tcPr>
            <w:tcW w:w="87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64" w:type="dxa"/>
            <w:gridSpan w:val="9"/>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As of December 31,</w:t>
            </w:r>
          </w:p>
        </w:tc>
      </w:tr>
      <w:tr>
        <w:trPr/>
        <w:tc>
          <w:tcPr>
            <w:tcW w:w="27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2019</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2020</w:t>
            </w:r>
          </w:p>
        </w:tc>
      </w:tr>
      <w:tr>
        <w:trPr/>
        <w:tc>
          <w:tcPr>
            <w:tcW w:w="27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64"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(US$)</w:t>
            </w:r>
          </w:p>
        </w:tc>
      </w:tr>
      <w:tr>
        <w:trPr/>
        <w:tc>
          <w:tcPr>
            <w:tcW w:w="27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VAT payable</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868,270 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1,182,311 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income taxes payable</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1,165,660 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626,454 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taxes payable</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459,207 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362,515 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2,493,137 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2,171,280 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19" w:before="0" w:after="240"/>
        <w:ind w:left="0" w:right="0" w:hanging="567"/>
        <w:jc w:val="both"/>
        <w:rPr>
          <w:rFonts w:ascii="Times New Roman;sans-serif" w:hAnsi="Times New Roman;sans-serif"/>
          <w:b/>
          <w:color w:val="000000"/>
          <w:sz w:val="20"/>
        </w:rPr>
      </w:pPr>
      <w:r>
        <w:rPr>
          <w:rFonts w:ascii="Times New Roman;sans-serif" w:hAnsi="Times New Roman;sans-serif"/>
          <w:b/>
          <w:color w:val="000000"/>
          <w:sz w:val="20"/>
        </w:rPr>
        <w:t>10.Accrued Expenses and Other Current Liabilities</w:t>
      </w:r>
    </w:p>
    <w:p>
      <w:pPr>
        <w:pStyle w:val="TextBody"/>
        <w:spacing w:lineRule="auto" w:line="319" w:before="0" w:after="240"/>
        <w:ind w:left="0" w:right="0" w:firstLine="567"/>
        <w:jc w:val="both"/>
        <w:rPr>
          <w:rFonts w:ascii="Times New Roman;sans-serif" w:hAnsi="Times New Roman;sans-serif"/>
          <w:b w:val="false"/>
          <w:color w:val="000000"/>
          <w:sz w:val="20"/>
        </w:rPr>
      </w:pPr>
      <w:r>
        <w:rPr>
          <w:rFonts w:ascii="Times New Roman;sans-serif" w:hAnsi="Times New Roman;sans-serif"/>
          <w:b w:val="false"/>
          <w:color w:val="000000"/>
          <w:sz w:val="20"/>
        </w:rPr>
        <w:t>Accrued expenses and other current liabilities consisted of the following:</w:t>
      </w:r>
    </w:p>
    <w:tbl>
      <w:tblPr>
        <w:tblW w:w="8678" w:type="dxa"/>
        <w:jc w:val="left"/>
        <w:tblInd w:w="0" w:type="dxa"/>
        <w:tblCellMar>
          <w:top w:w="28" w:type="dxa"/>
          <w:left w:w="28" w:type="dxa"/>
          <w:bottom w:w="28" w:type="dxa"/>
          <w:right w:w="28" w:type="dxa"/>
        </w:tblCellMar>
      </w:tblPr>
      <w:tblGrid>
        <w:gridCol w:w="1992"/>
        <w:gridCol w:w="1749"/>
        <w:gridCol w:w="1763"/>
        <w:gridCol w:w="211"/>
        <w:gridCol w:w="1081"/>
        <w:gridCol w:w="109"/>
        <w:gridCol w:w="109"/>
        <w:gridCol w:w="109"/>
        <w:gridCol w:w="109"/>
        <w:gridCol w:w="211"/>
        <w:gridCol w:w="1081"/>
        <w:gridCol w:w="154"/>
      </w:tblGrid>
      <w:tr>
        <w:trPr/>
        <w:tc>
          <w:tcPr>
            <w:tcW w:w="1992" w:type="dxa"/>
            <w:tcBorders/>
            <w:shd w:fill="auto" w:val="clear"/>
            <w:vAlign w:val="center"/>
          </w:tcPr>
          <w:p>
            <w:pPr>
              <w:pStyle w:val="TableContents"/>
              <w:spacing w:before="0" w:after="283"/>
              <w:rPr>
                <w:sz w:val="4"/>
                <w:szCs w:val="4"/>
              </w:rPr>
            </w:pPr>
            <w:r>
              <w:rPr>
                <w:sz w:val="4"/>
                <w:szCs w:val="4"/>
              </w:rPr>
            </w:r>
          </w:p>
        </w:tc>
        <w:tc>
          <w:tcPr>
            <w:tcW w:w="1749" w:type="dxa"/>
            <w:tcBorders/>
            <w:shd w:fill="auto" w:val="clear"/>
            <w:vAlign w:val="center"/>
          </w:tcPr>
          <w:p>
            <w:pPr>
              <w:pStyle w:val="TableContents"/>
              <w:spacing w:before="0" w:after="283"/>
              <w:rPr>
                <w:sz w:val="4"/>
                <w:szCs w:val="4"/>
              </w:rPr>
            </w:pPr>
            <w:r>
              <w:rPr>
                <w:sz w:val="4"/>
                <w:szCs w:val="4"/>
              </w:rPr>
            </w:r>
          </w:p>
        </w:tc>
        <w:tc>
          <w:tcPr>
            <w:tcW w:w="176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8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5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74" w:type="dxa"/>
            <w:gridSpan w:val="9"/>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As of December 31,</w:t>
            </w:r>
          </w:p>
        </w:tc>
      </w:tr>
      <w:tr>
        <w:trPr/>
        <w:tc>
          <w:tcPr>
            <w:tcW w:w="55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2019</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4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2020</w:t>
            </w:r>
          </w:p>
        </w:tc>
      </w:tr>
      <w:tr>
        <w:trPr/>
        <w:tc>
          <w:tcPr>
            <w:tcW w:w="55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74"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(US$)</w:t>
            </w:r>
          </w:p>
        </w:tc>
      </w:tr>
      <w:tr>
        <w:trPr/>
        <w:tc>
          <w:tcPr>
            <w:tcW w:w="55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salary and social welfare costs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8,388,819 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14,007,700 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Liability classified awards for share-based compensation (Note 13)</w:t>
            </w:r>
          </w:p>
        </w:tc>
        <w:tc>
          <w:tcPr>
            <w:tcW w:w="12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3,950,457 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04" w:type="dxa"/>
            <w:gridSpan w:val="3"/>
            <w:tcBorders/>
            <w:shd w:fill="CCEEFF" w:val="clear"/>
            <w:tcMar>
              <w:top w:w="0" w:type="dxa"/>
              <w:left w:w="0" w:type="dxa"/>
              <w:bottom w:w="0" w:type="dxa"/>
              <w:right w:w="0" w:type="dxa"/>
            </w:tcMar>
            <w:vAlign w:val="center"/>
          </w:tcPr>
          <w:p>
            <w:pPr>
              <w:pStyle w:val="TableContents"/>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Payables for acquisition (Note 3)</w:t>
            </w:r>
          </w:p>
        </w:tc>
        <w:tc>
          <w:tcPr>
            <w:tcW w:w="12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2,000,001 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professional service fees</w:t>
            </w:r>
          </w:p>
        </w:tc>
        <w:tc>
          <w:tcPr>
            <w:tcW w:w="12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788,313 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987,969 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04" w:type="dxa"/>
            <w:gridSpan w:val="3"/>
            <w:tcBorders/>
            <w:shd w:fill="CCEEFF" w:val="clear"/>
            <w:tcMar>
              <w:top w:w="0" w:type="dxa"/>
              <w:left w:w="0" w:type="dxa"/>
              <w:bottom w:w="0" w:type="dxa"/>
              <w:right w:w="0" w:type="dxa"/>
            </w:tcMar>
            <w:vAlign w:val="center"/>
          </w:tcPr>
          <w:p>
            <w:pPr>
              <w:pStyle w:val="TableContents"/>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Accrued advertising and marketing fees</w:t>
            </w:r>
          </w:p>
        </w:tc>
        <w:tc>
          <w:tcPr>
            <w:tcW w:w="1292" w:type="dxa"/>
            <w:gridSpan w:val="2"/>
            <w:tcBorders/>
            <w:shd w:fill="CCEEFF" w:val="clear"/>
            <w:tcMar>
              <w:top w:w="0" w:type="dxa"/>
              <w:left w:w="0" w:type="dxa"/>
              <w:bottom w:w="0" w:type="dxa"/>
              <w:right w:w="0" w:type="dxa"/>
            </w:tcMar>
            <w:vAlign w:val="center"/>
          </w:tcPr>
          <w:p>
            <w:pPr>
              <w:pStyle w:val="TableContents"/>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286,218 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566,738 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04" w:type="dxa"/>
            <w:gridSpan w:val="3"/>
            <w:tcBorders/>
            <w:shd w:fill="FFFFFF" w:val="clear"/>
            <w:tcMar>
              <w:top w:w="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staff reimbursements</w:t>
            </w:r>
          </w:p>
        </w:tc>
        <w:tc>
          <w:tcPr>
            <w:tcW w:w="12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332,578 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508,438 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04" w:type="dxa"/>
            <w:gridSpan w:val="3"/>
            <w:tcBorders/>
            <w:shd w:fill="CCEEFF" w:val="clear"/>
            <w:tcMar>
              <w:top w:w="0" w:type="dxa"/>
              <w:left w:w="0" w:type="dxa"/>
              <w:bottom w:w="0" w:type="dxa"/>
              <w:right w:w="0" w:type="dxa"/>
            </w:tcMar>
            <w:vAlign w:val="center"/>
          </w:tcPr>
          <w:p>
            <w:pPr>
              <w:pStyle w:val="TableContents"/>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Accrued office expense</w:t>
            </w:r>
          </w:p>
        </w:tc>
        <w:tc>
          <w:tcPr>
            <w:tcW w:w="1292" w:type="dxa"/>
            <w:gridSpan w:val="2"/>
            <w:tcBorders/>
            <w:shd w:fill="CCEEFF" w:val="clear"/>
            <w:tcMar>
              <w:top w:w="0" w:type="dxa"/>
              <w:left w:w="0" w:type="dxa"/>
              <w:bottom w:w="0" w:type="dxa"/>
              <w:right w:w="0" w:type="dxa"/>
            </w:tcMar>
            <w:vAlign w:val="center"/>
          </w:tcPr>
          <w:p>
            <w:pPr>
              <w:pStyle w:val="TableContents"/>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159,668 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428,203 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04" w:type="dxa"/>
            <w:gridSpan w:val="3"/>
            <w:tcBorders/>
            <w:shd w:fill="FFFFFF" w:val="clear"/>
            <w:tcMar>
              <w:top w:w="0" w:type="dxa"/>
              <w:left w:w="0" w:type="dxa"/>
              <w:bottom w:w="0" w:type="dxa"/>
              <w:right w:w="0" w:type="dxa"/>
            </w:tcMar>
            <w:vAlign w:val="center"/>
          </w:tcPr>
          <w:p>
            <w:pPr>
              <w:pStyle w:val="TableContents"/>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Accrued recruitment service fee</w:t>
            </w:r>
          </w:p>
        </w:tc>
        <w:tc>
          <w:tcPr>
            <w:tcW w:w="1292" w:type="dxa"/>
            <w:gridSpan w:val="2"/>
            <w:tcBorders/>
            <w:shd w:fill="FFFFFF" w:val="clear"/>
            <w:tcMar>
              <w:top w:w="0" w:type="dxa"/>
              <w:left w:w="0" w:type="dxa"/>
              <w:bottom w:w="0" w:type="dxa"/>
              <w:right w:w="0" w:type="dxa"/>
            </w:tcMar>
            <w:vAlign w:val="center"/>
          </w:tcPr>
          <w:p>
            <w:pPr>
              <w:pStyle w:val="TableContents"/>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15,976 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298,580 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04" w:type="dxa"/>
            <w:gridSpan w:val="3"/>
            <w:tcBorders/>
            <w:shd w:fill="CCEEFF" w:val="clear"/>
            <w:tcMar>
              <w:top w:w="0" w:type="dxa"/>
              <w:left w:w="0" w:type="dxa"/>
              <w:bottom w:w="0" w:type="dxa"/>
              <w:right w:w="0" w:type="dxa"/>
            </w:tcMar>
            <w:vAlign w:val="center"/>
          </w:tcPr>
          <w:p>
            <w:pPr>
              <w:pStyle w:val="TableContents"/>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Share option deposit held on behalf of employees</w:t>
            </w:r>
          </w:p>
        </w:tc>
        <w:tc>
          <w:tcPr>
            <w:tcW w:w="12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400,680 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262,181 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04" w:type="dxa"/>
            <w:gridSpan w:val="3"/>
            <w:tcBorders/>
            <w:shd w:fill="FFFFFF" w:val="clear"/>
            <w:tcMar>
              <w:top w:w="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rental fee</w:t>
            </w:r>
          </w:p>
        </w:tc>
        <w:tc>
          <w:tcPr>
            <w:tcW w:w="12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204,669 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236,888 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Others</w:t>
            </w:r>
          </w:p>
        </w:tc>
        <w:tc>
          <w:tcPr>
            <w:tcW w:w="12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402,011 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678,368 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0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10,978,932 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23,925,523 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19" w:before="0" w:after="240"/>
        <w:ind w:left="0" w:right="0" w:hanging="567"/>
        <w:jc w:val="both"/>
        <w:rPr>
          <w:rFonts w:ascii="Times New Roman;sans-serif" w:hAnsi="Times New Roman;sans-serif"/>
          <w:b/>
          <w:color w:val="000000"/>
          <w:sz w:val="20"/>
        </w:rPr>
      </w:pPr>
      <w:r>
        <w:rPr>
          <w:rFonts w:ascii="Times New Roman;sans-serif" w:hAnsi="Times New Roman;sans-serif"/>
          <w:b/>
          <w:color w:val="000000"/>
          <w:sz w:val="20"/>
        </w:rPr>
        <w:t xml:space="preserve">11.Convertible Redeemable Preferred Shares </w:t>
      </w:r>
    </w:p>
    <w:p>
      <w:pPr>
        <w:pStyle w:val="TextBody"/>
        <w:spacing w:lineRule="auto" w:line="319" w:before="0" w:after="240"/>
        <w:ind w:left="0" w:right="0" w:firstLine="567"/>
        <w:jc w:val="both"/>
        <w:rPr>
          <w:rFonts w:ascii="Times New Roman;sans-serif" w:hAnsi="Times New Roman;sans-serif"/>
          <w:b w:val="false"/>
          <w:color w:val="000000"/>
          <w:sz w:val="20"/>
        </w:rPr>
      </w:pPr>
      <w:r>
        <w:rPr>
          <w:rFonts w:ascii="Times New Roman;sans-serif" w:hAnsi="Times New Roman;sans-serif"/>
          <w:b w:val="false"/>
          <w:color w:val="000000"/>
          <w:sz w:val="20"/>
        </w:rPr>
        <w:t>On December 16, 2013, Agora, Inc. issued 57,200,000 Series A Convertible Redeemable Preferred Shares (“Former Series A Preferred Shares”) for a total cash consideration of US$5,720,000. As part of the Historical Reorganization in December 2014, the Former Series A Preferred Shares were exchanged for Series A Convertible Redeemable Preferred Shares of Agora IO, Inc. (“Series A Preferred Shares”).</w:t>
      </w:r>
    </w:p>
    <w:p>
      <w:pPr>
        <w:pStyle w:val="TextBody"/>
        <w:spacing w:lineRule="auto" w:line="319" w:before="0" w:after="240"/>
        <w:ind w:left="0" w:right="0" w:firstLine="567"/>
        <w:jc w:val="both"/>
        <w:rPr>
          <w:rFonts w:ascii="Times New Roman;sans-serif" w:hAnsi="Times New Roman;sans-serif"/>
          <w:b w:val="false"/>
          <w:color w:val="000000"/>
          <w:sz w:val="20"/>
        </w:rPr>
      </w:pPr>
      <w:r>
        <w:rPr>
          <w:rFonts w:ascii="Times New Roman;sans-serif" w:hAnsi="Times New Roman;sans-serif"/>
          <w:b w:val="false"/>
          <w:color w:val="000000"/>
          <w:sz w:val="20"/>
        </w:rPr>
        <w:t>On December 20, 2014, Agora IO, Inc. issued 50,783,698 Series B Convertible Redeemable Preferred Shares (“Series B Preferred Shares”) for cash consideration of US$20,250,000.</w:t>
      </w:r>
    </w:p>
    <w:p>
      <w:pPr>
        <w:pStyle w:val="TextBody"/>
        <w:spacing w:lineRule="auto" w:line="319" w:before="0" w:after="240"/>
        <w:ind w:left="0" w:right="0" w:firstLine="567"/>
        <w:jc w:val="both"/>
        <w:rPr>
          <w:rFonts w:ascii="Times New Roman;sans-serif" w:hAnsi="Times New Roman;sans-serif"/>
          <w:b w:val="false"/>
          <w:color w:val="000000"/>
          <w:sz w:val="20"/>
        </w:rPr>
      </w:pPr>
      <w:r>
        <w:rPr>
          <w:rFonts w:ascii="Times New Roman;sans-serif" w:hAnsi="Times New Roman;sans-serif"/>
          <w:b w:val="false"/>
          <w:color w:val="000000"/>
          <w:sz w:val="20"/>
        </w:rPr>
        <w:t>On May 18, 2017, Agora IO, Inc. issued 26,651,410 Series B+ Convertible Redeemable Preferred Shares (“Series B+ Preferred Shares”) for a total cash consideration of US$31,881,749.</w:t>
      </w:r>
    </w:p>
    <w:p>
      <w:pPr>
        <w:pStyle w:val="TextBody"/>
        <w:spacing w:lineRule="auto" w:line="319" w:before="0" w:after="240"/>
        <w:ind w:left="0" w:right="0" w:firstLine="567"/>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May 18, 2017, 1,573,040 Series A Preferred Shares were repurchased and retired by Agora IO, Inc. for a total cash consideration of US$1,599,487. On the same date, Agora IO, Inc. repurchased 2,777,778 Series A </w:t>
      </w:r>
    </w:p>
    <w:p>
      <w:pPr>
        <w:pStyle w:val="HorizontalLine"/>
        <w:rPr/>
      </w:pPr>
      <w:r>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6480175" cy="175260"/>
                <wp:effectExtent l="0" t="0" r="0" b="0"/>
                <wp:wrapNone/>
                <wp:docPr id="188" name="Frame18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F-28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F-28</w:t>
                      </w:r>
                    </w:p>
                  </w:txbxContent>
                </v:textbox>
              </v:rect>
            </w:pict>
          </mc:Fallback>
        </mc:AlternateConten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AGORA,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 xml:space="preserve">(All amounts in US$, except share data, unless otherwise stated) </w:t>
      </w:r>
    </w:p>
    <w:p>
      <w:pPr>
        <w:pStyle w:val="TextBody"/>
        <w:spacing w:lineRule="auto" w:line="319"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Preferred Shares for a total cash consideration of US$278 from the Founder and reissued the shares to a third party entity at the same nominal cash consideration. As the third party entity assisted the Group in finding a new investor to participate in the Series B+ Preferred Shares financing, the 2,777,778 Series A Preferred Shares were considered a commission to the third party entity, and were considered a Series B+ issuance cost that was net off the proceeds received during that round of financing.</w:t>
      </w:r>
    </w:p>
    <w:p>
      <w:pPr>
        <w:pStyle w:val="TextBody"/>
        <w:spacing w:lineRule="auto" w:line="319" w:before="0" w:after="240"/>
        <w:ind w:left="0" w:right="0" w:firstLine="567"/>
        <w:jc w:val="both"/>
        <w:rPr>
          <w:rFonts w:ascii="Times New Roman;sans-serif" w:hAnsi="Times New Roman;sans-serif"/>
          <w:b w:val="false"/>
          <w:color w:val="000000"/>
          <w:sz w:val="20"/>
        </w:rPr>
      </w:pPr>
      <w:r>
        <w:rPr>
          <w:rFonts w:ascii="Times New Roman;sans-serif" w:hAnsi="Times New Roman;sans-serif"/>
          <w:b w:val="false"/>
          <w:color w:val="000000"/>
          <w:sz w:val="20"/>
        </w:rPr>
        <w:t>On October 1, 2018 and October 23, 2018, Agora IO, Inc. issued an aggregate of 34,793,413 Series C Convertible Redeemable Preferred Shares (“Series C Preferred Shares”) for a total cash consideration of US$66,666,667.</w:t>
      </w:r>
    </w:p>
    <w:p>
      <w:pPr>
        <w:pStyle w:val="TextBody"/>
        <w:spacing w:lineRule="auto" w:line="319" w:before="0" w:after="240"/>
        <w:ind w:left="0" w:right="0" w:firstLine="567"/>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12, 2020, Agora, Inc. issued an aggregate of 15,062,510 Series C+ Convertible Redeemable Preferred Shares (“Series C+ Preferred Shares”) for a total cash consideration of US$50,000,002.</w:t>
      </w:r>
    </w:p>
    <w:p>
      <w:pPr>
        <w:pStyle w:val="TextBody"/>
        <w:spacing w:lineRule="auto" w:line="319" w:before="0" w:after="240"/>
        <w:ind w:left="0" w:right="0" w:firstLine="567"/>
        <w:jc w:val="both"/>
        <w:rPr>
          <w:rFonts w:ascii="Times New Roman;sans-serif" w:hAnsi="Times New Roman;sans-serif"/>
          <w:b w:val="false"/>
          <w:color w:val="000000"/>
          <w:sz w:val="20"/>
        </w:rPr>
      </w:pPr>
      <w:r>
        <w:rPr>
          <w:rFonts w:ascii="Times New Roman;sans-serif" w:hAnsi="Times New Roman;sans-serif"/>
          <w:b w:val="false"/>
          <w:color w:val="000000"/>
          <w:sz w:val="20"/>
        </w:rPr>
        <w:t>The above mentioned Series A, Series B, Series B+, Series C and Series C+ Preferred Shares are collectively referred as the “Preferred Shares.”</w:t>
      </w:r>
    </w:p>
    <w:p>
      <w:pPr>
        <w:pStyle w:val="TextBody"/>
        <w:spacing w:lineRule="auto" w:line="319" w:before="0" w:after="240"/>
        <w:ind w:left="0" w:right="0" w:firstLine="567"/>
        <w:jc w:val="both"/>
        <w:rPr>
          <w:rFonts w:ascii="Times New Roman;sans-serif" w:hAnsi="Times New Roman;sans-serif"/>
          <w:b w:val="false"/>
          <w:color w:val="000000"/>
          <w:sz w:val="20"/>
        </w:rPr>
      </w:pPr>
      <w:r>
        <w:rPr>
          <w:rFonts w:ascii="Times New Roman;sans-serif" w:hAnsi="Times New Roman;sans-serif"/>
          <w:b w:val="false"/>
          <w:color w:val="000000"/>
          <w:sz w:val="20"/>
        </w:rPr>
        <w:t>As disclosed in Note 1(b), the Group had undergone two reorganizations and each reorganization changed the issuer of the Preferred Shares to be the reporting entity through share swaps. The major terms and number of shares of the Preferred Shares have remained the same. Thus, there is no accounting impact on the Preferred Shares as a result of the Historical Reorganization or the Corporate Reorganization at the consolidated level. As further discussed in Note 1(b), the Historical Reorganization and the Corporate Reorganization were transactions by Group entities under common control. The equity section of the Company after the Corporate Reorganization is assumed to have existed from the earliest period presented in the consolidated financial statements.</w:t>
      </w:r>
    </w:p>
    <w:p>
      <w:pPr>
        <w:pStyle w:val="TextBody"/>
        <w:spacing w:lineRule="auto" w:line="319" w:before="0" w:after="240"/>
        <w:ind w:left="0" w:right="0" w:firstLine="567"/>
        <w:jc w:val="both"/>
        <w:rPr>
          <w:rFonts w:ascii="Times New Roman;sans-serif" w:hAnsi="Times New Roman;sans-serif"/>
          <w:b w:val="false"/>
          <w:color w:val="000000"/>
          <w:sz w:val="20"/>
        </w:rPr>
      </w:pPr>
      <w:r>
        <w:rPr>
          <w:rFonts w:ascii="Times New Roman;sans-serif" w:hAnsi="Times New Roman;sans-serif"/>
          <w:b w:val="false"/>
          <w:color w:val="000000"/>
          <w:sz w:val="20"/>
        </w:rPr>
        <w:t>The key terms of the Preferred Shares issued by the Company are as follows:</w:t>
      </w:r>
    </w:p>
    <w:p>
      <w:pPr>
        <w:pStyle w:val="TextBody"/>
        <w:spacing w:lineRule="auto" w:line="319" w:before="0" w:after="240"/>
        <w:ind w:left="0" w:right="0" w:firstLine="567"/>
        <w:jc w:val="both"/>
        <w:rPr>
          <w:rFonts w:ascii="Times New Roman;sans-serif" w:hAnsi="Times New Roman;sans-serif"/>
          <w:b/>
          <w:i/>
          <w:color w:val="000000"/>
          <w:sz w:val="20"/>
        </w:rPr>
      </w:pPr>
      <w:r>
        <w:rPr>
          <w:rFonts w:ascii="Times New Roman;sans-serif" w:hAnsi="Times New Roman;sans-serif"/>
          <w:b/>
          <w:i/>
          <w:color w:val="000000"/>
          <w:sz w:val="20"/>
        </w:rPr>
        <w:t>Conversion Rights</w:t>
      </w:r>
    </w:p>
    <w:p>
      <w:pPr>
        <w:pStyle w:val="TextBody"/>
        <w:spacing w:lineRule="auto" w:line="319" w:before="0" w:after="240"/>
        <w:ind w:left="0" w:right="0" w:firstLine="567"/>
        <w:jc w:val="both"/>
        <w:rPr>
          <w:rFonts w:ascii="Times New Roman;sans-serif" w:hAnsi="Times New Roman;sans-serif"/>
          <w:b w:val="false"/>
          <w:i/>
          <w:color w:val="000000"/>
          <w:sz w:val="20"/>
        </w:rPr>
      </w:pPr>
      <w:r>
        <w:rPr>
          <w:rFonts w:ascii="Times New Roman;sans-serif" w:hAnsi="Times New Roman;sans-serif"/>
          <w:b w:val="false"/>
          <w:i/>
          <w:color w:val="000000"/>
          <w:sz w:val="20"/>
        </w:rPr>
        <w:t>Optional Conversion</w:t>
      </w:r>
    </w:p>
    <w:p>
      <w:pPr>
        <w:pStyle w:val="TextBody"/>
        <w:spacing w:lineRule="auto" w:line="319" w:before="0" w:after="240"/>
        <w:ind w:left="0" w:right="0" w:firstLine="567"/>
        <w:jc w:val="both"/>
        <w:rPr>
          <w:rFonts w:ascii="Times New Roman;sans-serif" w:hAnsi="Times New Roman;sans-serif"/>
          <w:b w:val="false"/>
          <w:color w:val="000000"/>
          <w:sz w:val="20"/>
        </w:rPr>
      </w:pPr>
      <w:r>
        <w:rPr>
          <w:rFonts w:ascii="Times New Roman;sans-serif" w:hAnsi="Times New Roman;sans-serif"/>
          <w:b w:val="false"/>
          <w:color w:val="000000"/>
          <w:sz w:val="20"/>
        </w:rPr>
        <w:t>Each Series A, B, B+, C or C+ Preferred Share shall be convertible, at the option of the holder thereof, at any time and without the payment of additional consideration by the holder thereof, into such number of Ordinary Shares as is determined by the quotient of the applicable issue price divided by the then effective applicable conversion price with respect to such particular series of Preferred Shares, which shall initially be the applicable issue price for the Series A Preferred Shares, Series B Preferred Shares, Series B+ Preferred Shares, Series C Preferred Shares or Series C+ Preferred Shares as the case may be, resulting in an initial conversion ratio for the Preferred Shares of 1:1, and shall be subject to adjustment and readjustment from time to time, including but not limited to additional equity securities issuances, share dividends, distributions, subdivisions, redemptions, combinations, or reorganizations, mergers, consolidations, reclassifications, exchanges or substitutions.</w:t>
      </w:r>
    </w:p>
    <w:p>
      <w:pPr>
        <w:pStyle w:val="TextBody"/>
        <w:spacing w:lineRule="auto" w:line="319" w:before="0" w:after="240"/>
        <w:ind w:left="0" w:right="0" w:firstLine="567"/>
        <w:jc w:val="both"/>
        <w:rPr>
          <w:rFonts w:ascii="Times New Roman;sans-serif" w:hAnsi="Times New Roman;sans-serif"/>
          <w:b w:val="false"/>
          <w:i/>
          <w:color w:val="000000"/>
          <w:sz w:val="20"/>
        </w:rPr>
      </w:pPr>
      <w:r>
        <w:rPr>
          <w:rFonts w:ascii="Times New Roman;sans-serif" w:hAnsi="Times New Roman;sans-serif"/>
          <w:b w:val="false"/>
          <w:i/>
          <w:color w:val="000000"/>
          <w:sz w:val="20"/>
        </w:rPr>
        <w:t>Automatic Conversion</w:t>
      </w:r>
    </w:p>
    <w:p>
      <w:pPr>
        <w:pStyle w:val="TextBody"/>
        <w:spacing w:lineRule="auto" w:line="319" w:before="0" w:after="240"/>
        <w:ind w:left="0" w:right="0" w:firstLine="567"/>
        <w:jc w:val="both"/>
        <w:rPr>
          <w:rFonts w:ascii="Times New Roman;sans-serif" w:hAnsi="Times New Roman;sans-serif"/>
          <w:b w:val="false"/>
          <w:color w:val="000000"/>
          <w:sz w:val="20"/>
        </w:rPr>
      </w:pPr>
      <w:r>
        <w:rPr>
          <w:rFonts w:ascii="Times New Roman;sans-serif" w:hAnsi="Times New Roman;sans-serif"/>
          <w:b w:val="false"/>
          <w:color w:val="000000"/>
          <w:sz w:val="20"/>
        </w:rPr>
        <w:t>Upon the closing of a Qualified IPO (as defined in the Company’s memorandum and articles of association), all outstanding Preferred Shares shall automatically be converted into Ordinary Shares, at the then effective conversion price.</w:t>
      </w:r>
    </w:p>
    <w:p>
      <w:pPr>
        <w:pStyle w:val="TextBody"/>
        <w:spacing w:lineRule="auto" w:line="319" w:before="0" w:after="240"/>
        <w:ind w:left="0" w:right="0" w:firstLine="567"/>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determined that there were no beneficial conversion features identified for any of the Preferred Shares during any of the periods. In making this determination, the Company compared the fair value of the Ordinary Shares into which the Preferred Shares are convertible with the respective effective conversion price at the issuance date. In all instances, the effective conversion price was greater than the fair value of the Ordinary Shares. </w:t>
      </w:r>
    </w:p>
    <w:p>
      <w:pPr>
        <w:pStyle w:val="HorizontalLine"/>
        <w:rPr/>
      </w:pPr>
      <w:r>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6480175" cy="175260"/>
                <wp:effectExtent l="0" t="0" r="0" b="0"/>
                <wp:wrapNone/>
                <wp:docPr id="189" name="Frame18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F-29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F-29</w:t>
                      </w:r>
                    </w:p>
                  </w:txbxContent>
                </v:textbox>
              </v:rect>
            </w:pict>
          </mc:Fallback>
        </mc:AlternateConten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AGORA,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 xml:space="preserve">(All amounts in US$, except share data, unless otherwise stated) </w:t>
      </w:r>
    </w:p>
    <w:p>
      <w:pPr>
        <w:pStyle w:val="TextBody"/>
        <w:spacing w:lineRule="auto" w:line="319"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To the extent a conversion price adjustment occurs, as described above, the Company will re-evaluate whether or not a beneficial conversion feature should be recognized.</w:t>
      </w:r>
    </w:p>
    <w:p>
      <w:pPr>
        <w:pStyle w:val="TextBody"/>
        <w:spacing w:lineRule="auto" w:line="319" w:before="0" w:after="240"/>
        <w:ind w:left="0" w:right="0" w:firstLine="567"/>
        <w:jc w:val="both"/>
        <w:rPr>
          <w:rFonts w:ascii="Times New Roman;sans-serif" w:hAnsi="Times New Roman;sans-serif"/>
          <w:b w:val="false"/>
          <w:i/>
          <w:color w:val="000000"/>
          <w:sz w:val="20"/>
        </w:rPr>
      </w:pPr>
      <w:r>
        <w:rPr>
          <w:rFonts w:ascii="Times New Roman;sans-serif" w:hAnsi="Times New Roman;sans-serif"/>
          <w:b w:val="false"/>
          <w:i/>
          <w:color w:val="000000"/>
          <w:sz w:val="20"/>
        </w:rPr>
        <w:t>Voting Rights</w:t>
      </w:r>
    </w:p>
    <w:p>
      <w:pPr>
        <w:pStyle w:val="TextBody"/>
        <w:spacing w:lineRule="auto" w:line="319" w:before="0" w:after="240"/>
        <w:ind w:left="0" w:right="0" w:firstLine="567"/>
        <w:jc w:val="both"/>
        <w:rPr>
          <w:rFonts w:ascii="Times New Roman;sans-serif" w:hAnsi="Times New Roman;sans-serif"/>
          <w:b w:val="false"/>
          <w:color w:val="000000"/>
          <w:sz w:val="20"/>
        </w:rPr>
      </w:pPr>
      <w:r>
        <w:rPr>
          <w:rFonts w:ascii="Times New Roman;sans-serif" w:hAnsi="Times New Roman;sans-serif"/>
          <w:b w:val="false"/>
          <w:color w:val="000000"/>
          <w:sz w:val="20"/>
        </w:rPr>
        <w:t>Each holder of Series A, Series B, Series B+, Series C and Series C+ Preferred Shares is entitled to cast the number of votes equal to the number of Ordinary Shares such Preferred Shares would be entitled to convert into at the then effective conversion price. There was a modification to the voting rights of the shares controlled by the Founder when the Series B and Series B+ Preferred Shares were issued as follows:</w:t>
      </w:r>
    </w:p>
    <w:p>
      <w:pPr>
        <w:pStyle w:val="TextBody"/>
        <w:spacing w:lineRule="auto" w:line="319" w:before="0" w:after="240"/>
        <w:ind w:left="0" w:right="0" w:hanging="567"/>
        <w:jc w:val="both"/>
        <w:rPr/>
      </w:pPr>
      <w:r>
        <w:rPr>
          <w:color w:val="000000"/>
        </w:rPr>
        <w:t>•</w:t>
      </w:r>
      <w:r>
        <w:rPr>
          <w:rFonts w:ascii="Times New Roman;sans-serif" w:hAnsi="Times New Roman;sans-serif"/>
          <w:b w:val="false"/>
          <w:color w:val="000000"/>
          <w:sz w:val="20"/>
        </w:rPr>
        <w:t>the voting rights of shares controlled by the Founder was modified to carry 2 votes in connection with the Series B Preferred Shares financing; and</w:t>
      </w:r>
    </w:p>
    <w:p>
      <w:pPr>
        <w:pStyle w:val="TextBody"/>
        <w:spacing w:lineRule="auto" w:line="319" w:before="0" w:after="240"/>
        <w:ind w:left="0" w:right="0" w:hanging="567"/>
        <w:jc w:val="both"/>
        <w:rPr/>
      </w:pPr>
      <w:r>
        <w:rPr>
          <w:color w:val="000000"/>
        </w:rPr>
        <w:t>•</w:t>
      </w:r>
      <w:r>
        <w:rPr>
          <w:rFonts w:ascii="Times New Roman;sans-serif" w:hAnsi="Times New Roman;sans-serif"/>
          <w:b w:val="false"/>
          <w:color w:val="000000"/>
          <w:sz w:val="20"/>
        </w:rPr>
        <w:t>the voting rights of shares controlled by the Founder was modified to carry 3 votes in connection with the Series B+ Preferred Shares financing</w:t>
      </w:r>
    </w:p>
    <w:p>
      <w:pPr>
        <w:pStyle w:val="TextBody"/>
        <w:spacing w:lineRule="auto" w:line="319" w:before="0" w:after="240"/>
        <w:ind w:left="0" w:right="0" w:firstLine="567"/>
        <w:jc w:val="both"/>
        <w:rPr>
          <w:rFonts w:ascii="Times New Roman;sans-serif" w:hAnsi="Times New Roman;sans-serif"/>
          <w:b w:val="false"/>
          <w:i/>
          <w:color w:val="000000"/>
          <w:sz w:val="20"/>
        </w:rPr>
      </w:pPr>
      <w:r>
        <w:rPr>
          <w:rFonts w:ascii="Times New Roman;sans-serif" w:hAnsi="Times New Roman;sans-serif"/>
          <w:b w:val="false"/>
          <w:i/>
          <w:color w:val="000000"/>
          <w:sz w:val="20"/>
        </w:rPr>
        <w:t>Dividend Rights</w:t>
      </w:r>
    </w:p>
    <w:p>
      <w:pPr>
        <w:pStyle w:val="TextBody"/>
        <w:spacing w:lineRule="auto" w:line="319" w:before="0" w:after="240"/>
        <w:ind w:left="0" w:right="0" w:firstLine="567"/>
        <w:jc w:val="both"/>
        <w:rPr>
          <w:rFonts w:ascii="Times New Roman;sans-serif" w:hAnsi="Times New Roman;sans-serif"/>
          <w:b w:val="false"/>
          <w:color w:val="000000"/>
          <w:sz w:val="20"/>
        </w:rPr>
      </w:pPr>
      <w:r>
        <w:rPr>
          <w:rFonts w:ascii="Times New Roman;sans-serif" w:hAnsi="Times New Roman;sans-serif"/>
          <w:b w:val="false"/>
          <w:color w:val="000000"/>
          <w:sz w:val="20"/>
        </w:rPr>
        <w:t>First, each holder of Series C+ Preferred Shares is entitled to receive cumulative dividends out of any funds legally available of the Company, at the simple rate per annum of 8% of the Series C+ issue price, payable if and when declared by the board of directors.</w:t>
      </w:r>
    </w:p>
    <w:p>
      <w:pPr>
        <w:pStyle w:val="TextBody"/>
        <w:spacing w:lineRule="auto" w:line="319" w:before="0" w:after="240"/>
        <w:ind w:left="0" w:right="0" w:firstLine="567"/>
        <w:jc w:val="both"/>
        <w:rPr>
          <w:rFonts w:ascii="Times New Roman;sans-serif" w:hAnsi="Times New Roman;sans-serif"/>
          <w:b w:val="false"/>
          <w:color w:val="000000"/>
          <w:sz w:val="20"/>
        </w:rPr>
      </w:pPr>
      <w:r>
        <w:rPr>
          <w:rFonts w:ascii="Times New Roman;sans-serif" w:hAnsi="Times New Roman;sans-serif"/>
          <w:b w:val="false"/>
          <w:color w:val="000000"/>
          <w:sz w:val="20"/>
        </w:rPr>
        <w:t>Second, after full payment of dividends to the holders of the Series C+ Preferred Shares, each holder of the Series C Preferred Shares is entitled to receive cumulative dividends out of any funds legally available of the Company, at the simple rate per annum of 8% of the Series C issue price, payable if and when declared by the board of directors.</w:t>
      </w:r>
    </w:p>
    <w:p>
      <w:pPr>
        <w:pStyle w:val="TextBody"/>
        <w:spacing w:lineRule="auto" w:line="319" w:before="0" w:after="240"/>
        <w:ind w:left="0" w:right="0" w:firstLine="567"/>
        <w:jc w:val="both"/>
        <w:rPr>
          <w:rFonts w:ascii="Times New Roman;sans-serif" w:hAnsi="Times New Roman;sans-serif"/>
          <w:b w:val="false"/>
          <w:color w:val="000000"/>
          <w:sz w:val="20"/>
        </w:rPr>
      </w:pPr>
      <w:r>
        <w:rPr>
          <w:rFonts w:ascii="Times New Roman;sans-serif" w:hAnsi="Times New Roman;sans-serif"/>
          <w:b w:val="false"/>
          <w:color w:val="000000"/>
          <w:sz w:val="20"/>
        </w:rPr>
        <w:t>Third, after full payment of dividends to the holders of the Series C Preferred Shares, each holder of the Series B+ Preferred Shares is entitled to receive cumulative dividends out of any funds legally available of the Company, at the simple rate per annum of 8% of the Series B+ issue price, payable if and when declared by the board of directors.</w:t>
      </w:r>
    </w:p>
    <w:p>
      <w:pPr>
        <w:pStyle w:val="TextBody"/>
        <w:spacing w:lineRule="auto" w:line="319" w:before="0" w:after="240"/>
        <w:ind w:left="0" w:right="0" w:firstLine="567"/>
        <w:jc w:val="both"/>
        <w:rPr>
          <w:rFonts w:ascii="Times New Roman;sans-serif" w:hAnsi="Times New Roman;sans-serif"/>
          <w:b w:val="false"/>
          <w:color w:val="000000"/>
          <w:sz w:val="20"/>
        </w:rPr>
      </w:pPr>
      <w:r>
        <w:rPr>
          <w:rFonts w:ascii="Times New Roman;sans-serif" w:hAnsi="Times New Roman;sans-serif"/>
          <w:b w:val="false"/>
          <w:color w:val="000000"/>
          <w:sz w:val="20"/>
        </w:rPr>
        <w:t>Fourth, after full payment of dividends to the holders of the Series B+ Preferred Shares, each holder of the Series B Preferred Shares is entitled to receive cumulative dividends out of any funds legally available of the Company, at the simple rate per annum of 8% of the Series B issue price, payable if and when declared by the board of directors.</w:t>
      </w:r>
    </w:p>
    <w:p>
      <w:pPr>
        <w:pStyle w:val="TextBody"/>
        <w:spacing w:lineRule="auto" w:line="319" w:before="0" w:after="240"/>
        <w:ind w:left="0" w:right="0" w:firstLine="567"/>
        <w:jc w:val="both"/>
        <w:rPr>
          <w:rFonts w:ascii="Times New Roman;sans-serif" w:hAnsi="Times New Roman;sans-serif"/>
          <w:b w:val="false"/>
          <w:color w:val="000000"/>
          <w:sz w:val="20"/>
        </w:rPr>
      </w:pPr>
      <w:r>
        <w:rPr>
          <w:rFonts w:ascii="Times New Roman;sans-serif" w:hAnsi="Times New Roman;sans-serif"/>
          <w:b w:val="false"/>
          <w:color w:val="000000"/>
          <w:sz w:val="20"/>
        </w:rPr>
        <w:t>Fifth, after full payment of dividends to the holders of the Series B Preferred Shares, each holder of the Series A Preferred Shares is entitled to receive cumulative dividends out of any funds legally available of the Company, at the simple rate per annum of 8% of the Series B issue price, payable if and when declared by the board of directors.</w:t>
      </w:r>
    </w:p>
    <w:p>
      <w:pPr>
        <w:pStyle w:val="TextBody"/>
        <w:spacing w:lineRule="auto" w:line="319" w:before="0" w:after="240"/>
        <w:ind w:left="0" w:right="0" w:firstLine="567"/>
        <w:jc w:val="both"/>
        <w:rPr>
          <w:rFonts w:ascii="Times New Roman;sans-serif" w:hAnsi="Times New Roman;sans-serif"/>
          <w:b w:val="false"/>
          <w:color w:val="000000"/>
          <w:sz w:val="20"/>
        </w:rPr>
      </w:pPr>
      <w:r>
        <w:rPr>
          <w:rFonts w:ascii="Times New Roman;sans-serif" w:hAnsi="Times New Roman;sans-serif"/>
          <w:b w:val="false"/>
          <w:color w:val="000000"/>
          <w:sz w:val="20"/>
        </w:rPr>
        <w:t>Lastly, if after the preferential dividends relating to the Preferred Shares as described above have been paid in full or declared and set apart for payment in any fiscal year of the Company, the board of directors shall decide to declare a dividend or similar distribution to the holders of Ordinary Shares, then, in each such case, the holders of Preferred Shares shall be entitled to a proportionate share of any such dividend or distribution as though the holders of Preferred Shares were holders of the number of Ordinary Shares into which their Preferred Shares are convertible as of the record date fixed for the determination of the holders of Ordinary Shares entitled to receive such distribution.</w:t>
      </w:r>
    </w:p>
    <w:p>
      <w:pPr>
        <w:pStyle w:val="HorizontalLine"/>
        <w:rPr/>
      </w:pPr>
      <w:r>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6480175" cy="175260"/>
                <wp:effectExtent l="0" t="0" r="0" b="0"/>
                <wp:wrapNone/>
                <wp:docPr id="190" name="Frame18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F-30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F-30</w:t>
                      </w:r>
                    </w:p>
                  </w:txbxContent>
                </v:textbox>
              </v:rect>
            </w:pict>
          </mc:Fallback>
        </mc:AlternateConten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AGORA,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 xml:space="preserve">(All amounts in US$, except share data, unless otherwise stated) </w:t>
      </w:r>
    </w:p>
    <w:p>
      <w:pPr>
        <w:pStyle w:val="TextBody"/>
        <w:spacing w:lineRule="auto" w:line="319" w:before="0" w:after="240"/>
        <w:ind w:left="0" w:right="0" w:firstLine="567"/>
        <w:jc w:val="both"/>
        <w:rPr>
          <w:rFonts w:ascii="Times New Roman;sans-serif" w:hAnsi="Times New Roman;sans-serif"/>
          <w:b w:val="false"/>
          <w:i/>
          <w:color w:val="000000"/>
          <w:sz w:val="20"/>
        </w:rPr>
      </w:pPr>
      <w:r>
        <w:rPr>
          <w:rFonts w:ascii="Times New Roman;sans-serif" w:hAnsi="Times New Roman;sans-serif"/>
          <w:b w:val="false"/>
          <w:i/>
          <w:color w:val="000000"/>
          <w:sz w:val="20"/>
        </w:rPr>
        <w:t>Liquidation Preference</w:t>
      </w:r>
    </w:p>
    <w:p>
      <w:pPr>
        <w:pStyle w:val="TextBody"/>
        <w:spacing w:lineRule="auto" w:line="319" w:before="0" w:after="240"/>
        <w:ind w:left="0" w:right="0" w:firstLine="567"/>
        <w:jc w:val="both"/>
        <w:rPr>
          <w:rFonts w:ascii="Times New Roman;sans-serif" w:hAnsi="Times New Roman;sans-serif"/>
          <w:b w:val="false"/>
          <w:color w:val="000000"/>
          <w:sz w:val="20"/>
        </w:rPr>
      </w:pPr>
      <w:r>
        <w:rPr>
          <w:rFonts w:ascii="Times New Roman;sans-serif" w:hAnsi="Times New Roman;sans-serif"/>
          <w:b w:val="false"/>
          <w:color w:val="000000"/>
          <w:sz w:val="20"/>
        </w:rPr>
        <w:t>In the event of any voluntary or involuntary liquidation, dissolution or winding up of the Company, or in the event of a Trade Sale (as defined in the Company’s memorandum and articles of association to include, among other things, a merger, share exchange, amalgamation or consolidation of any Group company resulting in a change of control of such Group company), collectively defined as “Deemed Liquidation Events”, the consideration payable to shareholders in such liquidation shall be distributed among the holders of the outstanding shares in the following order and manner:</w:t>
      </w:r>
    </w:p>
    <w:p>
      <w:pPr>
        <w:pStyle w:val="TextBody"/>
        <w:spacing w:lineRule="auto" w:line="319" w:before="0" w:after="240"/>
        <w:ind w:left="0" w:right="0" w:firstLine="567"/>
        <w:jc w:val="both"/>
        <w:rPr>
          <w:rFonts w:ascii="Times New Roman;sans-serif" w:hAnsi="Times New Roman;sans-serif"/>
          <w:b w:val="false"/>
          <w:color w:val="000000"/>
          <w:sz w:val="20"/>
        </w:rPr>
      </w:pPr>
      <w:r>
        <w:rPr>
          <w:rFonts w:ascii="Times New Roman;sans-serif" w:hAnsi="Times New Roman;sans-serif"/>
          <w:b w:val="false"/>
          <w:color w:val="000000"/>
          <w:sz w:val="20"/>
        </w:rPr>
        <w:t>First, the holders of Series C+ Preferred Shares then outstanding shall be entitled to be paid an amount per share equal to 150% of the Series C+ issue price, plus all accrued or declared but unpaid dividends (if applicable) on such Series C+ Preferred Share, out of funds legally available of the Company (the “Series C+ Preference Amount”). If the legally available funds are insufficient to permit the payment to all holders of Series C+ Preferred Shares the full Series C+ Preference Amount, then the entire assets and funds of the Company legally available for distribution shall be distributed pro rata among the holders of the Series C+ Preferred Shares.</w:t>
      </w:r>
    </w:p>
    <w:p>
      <w:pPr>
        <w:pStyle w:val="TextBody"/>
        <w:spacing w:lineRule="auto" w:line="319" w:before="0" w:after="240"/>
        <w:ind w:left="0" w:right="0" w:firstLine="567"/>
        <w:jc w:val="both"/>
        <w:rPr>
          <w:rFonts w:ascii="Times New Roman;sans-serif" w:hAnsi="Times New Roman;sans-serif"/>
          <w:b w:val="false"/>
          <w:color w:val="000000"/>
          <w:sz w:val="20"/>
        </w:rPr>
      </w:pPr>
      <w:r>
        <w:rPr>
          <w:rFonts w:ascii="Times New Roman;sans-serif" w:hAnsi="Times New Roman;sans-serif"/>
          <w:b w:val="false"/>
          <w:color w:val="000000"/>
          <w:sz w:val="20"/>
        </w:rPr>
        <w:t>Second, the holders of Series C Preferred Shares then outstanding shall be entitled to be paid an amount per share equal to 150% of the Series C issue price, plus all accrued or declared but unpaid dividends (if applicable) on such Series C Preferred Share, out of funds legally available of the Company (the “Series C Preference Amount”). If the legally available funds are insufficient to permit the payment to all holders of Series C Preferred Shares the full Series C Preference Amount, then the entire assets and funds of the Company legally available for distribution shall be distributed pro rata among the holders of the Series C Preferred Shares.</w:t>
      </w:r>
    </w:p>
    <w:p>
      <w:pPr>
        <w:pStyle w:val="TextBody"/>
        <w:spacing w:lineRule="auto" w:line="319" w:before="0" w:after="240"/>
        <w:ind w:left="0" w:right="0" w:firstLine="567"/>
        <w:jc w:val="both"/>
        <w:rPr>
          <w:rFonts w:ascii="Times New Roman;sans-serif" w:hAnsi="Times New Roman;sans-serif"/>
          <w:b w:val="false"/>
          <w:color w:val="000000"/>
          <w:sz w:val="20"/>
        </w:rPr>
      </w:pPr>
      <w:r>
        <w:rPr>
          <w:rFonts w:ascii="Times New Roman;sans-serif" w:hAnsi="Times New Roman;sans-serif"/>
          <w:b w:val="false"/>
          <w:color w:val="000000"/>
          <w:sz w:val="20"/>
        </w:rPr>
        <w:t>Third, the holders of Series B+ Preferred Shares then outstanding shall be entitled to be paid an amount per share equal to 150% of the Series B+ issue price, plus all accrued or declared but unpaid dividends (if applicable) on such Series B+ Preferred Shares, out of funds legally available of the Company (the “Series B+ Preference Amount”). If the legally available funds are insufficient to permit the payment to all holders of Series B+ Preferred Shares the full Series B+ Preference Amount, then the entire assets and funds of the Company legally available for distribution shall be distributed pro rata among the holders of the Series B+ Preferred Shares.</w:t>
      </w:r>
    </w:p>
    <w:p>
      <w:pPr>
        <w:pStyle w:val="TextBody"/>
        <w:spacing w:lineRule="auto" w:line="319" w:before="0" w:after="240"/>
        <w:ind w:left="0" w:right="0" w:firstLine="567"/>
        <w:jc w:val="both"/>
        <w:rPr>
          <w:rFonts w:ascii="Times New Roman;sans-serif" w:hAnsi="Times New Roman;sans-serif"/>
          <w:b w:val="false"/>
          <w:color w:val="000000"/>
          <w:sz w:val="20"/>
        </w:rPr>
      </w:pPr>
      <w:r>
        <w:rPr>
          <w:rFonts w:ascii="Times New Roman;sans-serif" w:hAnsi="Times New Roman;sans-serif"/>
          <w:b w:val="false"/>
          <w:color w:val="000000"/>
          <w:sz w:val="20"/>
        </w:rPr>
        <w:t>Fourth, the holders of Series B Preferred Shares then outstanding shall be entitled to be paid an amount per share equal to 150% of the Series B issue price, plus all accrued or declared but unpaid dividends (if applicable) on such Series B Preferred Shares, out of funds legally available of the Company (the “Series B Preference Amount”). If the legally available funds are insufficient to permit the payment to all holders of Series B Preferred Shares the full Series B Preference Amount, then the entire assets and funds of the Company legally available for distribution shall be distributed pro rata among the holders of the Series B Preferred Shares.</w:t>
      </w:r>
    </w:p>
    <w:p>
      <w:pPr>
        <w:pStyle w:val="TextBody"/>
        <w:spacing w:lineRule="auto" w:line="319" w:before="0" w:after="240"/>
        <w:ind w:left="0" w:right="0" w:firstLine="567"/>
        <w:jc w:val="both"/>
        <w:rPr>
          <w:rFonts w:ascii="Times New Roman;sans-serif" w:hAnsi="Times New Roman;sans-serif"/>
          <w:b w:val="false"/>
          <w:color w:val="000000"/>
          <w:sz w:val="20"/>
        </w:rPr>
      </w:pPr>
      <w:r>
        <w:rPr>
          <w:rFonts w:ascii="Times New Roman;sans-serif" w:hAnsi="Times New Roman;sans-serif"/>
          <w:b w:val="false"/>
          <w:color w:val="000000"/>
          <w:sz w:val="20"/>
        </w:rPr>
        <w:t>Fifth, the holders of Series A Preferred Shares then outstanding shall be entitled to be paid an amount per share equal to 150% of the Series A issue price, plus all accrued or declared but unpaid dividends (if applicable) on such Series A Preferred Shares, out of funds legally available of the Company (the “Series A Preference Amount”). If the legally available funds are insufficient to permit the payment to all holders of Series A Preferred Shares the full Series A Preference Amount, then the entire assets and funds of the Company legally available for distribution shall be distributed pro rata among the holders of the Series A Preferred Shares.</w:t>
      </w:r>
    </w:p>
    <w:p>
      <w:pPr>
        <w:pStyle w:val="TextBody"/>
        <w:spacing w:lineRule="auto" w:line="319" w:before="0" w:after="240"/>
        <w:ind w:left="0" w:right="0" w:firstLine="567"/>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Lastly, if there are any assets or funds remaining after the aggregate of the Series C+ Preference Amount, Series C Preference Amount, Series B+ Preference Amount, Series B Preference Amount and Series A Preference Amount has been distributed or paid in full to the applicable holders of Series C+ Preferred Shares, Series C Preferred Shares, Series B+ Preferred Shares, Series B Preferred Shares and Series A Preferred Shares, respectively, the remaining assets and funds of the Company available for distribution to the members shall be distributed pro rata </w:t>
      </w:r>
    </w:p>
    <w:p>
      <w:pPr>
        <w:pStyle w:val="HorizontalLine"/>
        <w:rPr/>
      </w:pPr>
      <w:r>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6480175" cy="175260"/>
                <wp:effectExtent l="0" t="0" r="0" b="0"/>
                <wp:wrapNone/>
                <wp:docPr id="191" name="Frame190"/>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F-31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F-31</w:t>
                      </w:r>
                    </w:p>
                  </w:txbxContent>
                </v:textbox>
              </v:rect>
            </w:pict>
          </mc:Fallback>
        </mc:AlternateConten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AGORA,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 xml:space="preserve">(All amounts in US$, except share data, unless otherwise stated) </w:t>
      </w:r>
    </w:p>
    <w:p>
      <w:pPr>
        <w:pStyle w:val="TextBody"/>
        <w:spacing w:lineRule="auto" w:line="319"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among all members based on the number of Ordinary Shares held by such member (including Preferred Shares on as-converted basis).</w:t>
      </w:r>
    </w:p>
    <w:p>
      <w:pPr>
        <w:pStyle w:val="TextBody"/>
        <w:spacing w:lineRule="auto" w:line="319" w:before="0" w:after="240"/>
        <w:ind w:left="0" w:right="0" w:firstLine="567"/>
        <w:jc w:val="both"/>
        <w:rPr>
          <w:rFonts w:ascii="Times New Roman;sans-serif" w:hAnsi="Times New Roman;sans-serif"/>
          <w:b w:val="false"/>
          <w:i/>
          <w:color w:val="000000"/>
          <w:sz w:val="20"/>
        </w:rPr>
      </w:pPr>
      <w:r>
        <w:rPr>
          <w:rFonts w:ascii="Times New Roman;sans-serif" w:hAnsi="Times New Roman;sans-serif"/>
          <w:b w:val="false"/>
          <w:i/>
          <w:color w:val="000000"/>
          <w:sz w:val="20"/>
        </w:rPr>
        <w:t>Redemption Right</w:t>
      </w:r>
    </w:p>
    <w:p>
      <w:pPr>
        <w:pStyle w:val="TextBody"/>
        <w:spacing w:lineRule="auto" w:line="319" w:before="0" w:after="240"/>
        <w:ind w:left="0" w:right="0" w:firstLine="567"/>
        <w:jc w:val="both"/>
        <w:rPr>
          <w:rFonts w:ascii="Times New Roman;sans-serif" w:hAnsi="Times New Roman;sans-serif"/>
          <w:b w:val="false"/>
          <w:color w:val="000000"/>
          <w:sz w:val="20"/>
        </w:rPr>
      </w:pPr>
      <w:r>
        <w:rPr>
          <w:rFonts w:ascii="Times New Roman;sans-serif" w:hAnsi="Times New Roman;sans-serif"/>
          <w:b w:val="false"/>
          <w:color w:val="000000"/>
          <w:sz w:val="20"/>
        </w:rPr>
        <w:t>The Series C+, Series C, Series B+, and Series B Preferred Shares can be redeemed (1) at any time and from time to time commencing on the fifth anniversary of October 1, 2018 (the “Maturity Date”) or on such earlier date as another series of Preferred Shares is redeemable, or (2) upon the occurrence of a material breach of any of the warranties, undertakings or covenants specified under the Series C+ Convertible Redeemable Share Purchase Agreement (the “Series C+ Share Purchase Agreement”) or certain other agreements entered into in connection with the Series C+ Preferred Shares financing, or where the Company fails to deliver the annual financial statements as set forth in the Shareholders Agreement entered into in connection with the Series C+ Preferred Shares financing, or where any arrangement contemplated under certain other agreements identified in the Series C+ Share Purchase Agreement become void as a result of material adverse change of applicable laws or regulations. Upon the occurrence of an event described in (1) or (2) above, each holder of the then outstanding Series C+, Series C, Series B+, and Series B Preferred Shares is entitled to, by written request to the Company, request the Company to redeem all or part of the Series C+, Series C, Series B+, and Series B Preferred Shares then outstanding held by such holder. The redemption request shall be given by hand or by mail to the registered office of the Company at least 60 days prior to the date set forth therein on which the Series C+, Series C, Series B+, or Series B Preferred Shares are to be redeemed.</w:t>
      </w:r>
    </w:p>
    <w:p>
      <w:pPr>
        <w:pStyle w:val="TextBody"/>
        <w:spacing w:lineRule="auto" w:line="319" w:before="0" w:after="240"/>
        <w:ind w:left="0" w:right="0" w:firstLine="567"/>
        <w:jc w:val="both"/>
        <w:rPr>
          <w:rFonts w:ascii="Times New Roman;sans-serif" w:hAnsi="Times New Roman;sans-serif"/>
          <w:b w:val="false"/>
          <w:color w:val="000000"/>
          <w:sz w:val="20"/>
        </w:rPr>
      </w:pPr>
      <w:r>
        <w:rPr>
          <w:rFonts w:ascii="Times New Roman;sans-serif" w:hAnsi="Times New Roman;sans-serif"/>
          <w:b w:val="false"/>
          <w:color w:val="000000"/>
          <w:sz w:val="20"/>
        </w:rPr>
        <w:t>The Series A Preferred Shares can be redeemed (1) at any time and from time to time commencing on the Maturity Date, if there has not occurred any Qualified IPO, or (2) on such earlier date as another series of Preferred Shares is redeemable. Upon the occurrence of an event described in (1) or (2)above, each holder of the then outstanding Series A Preferred Shares is entitled to, by written request to the Company, request the Company to redeem all or part of the Series A Preferred Shares then outstanding held by such holder. The redemption request shall be given by hand or by mail to the registered office of the Company at least 60 days prior to the date set forth therein on which the Series A Preferred Shares are to be redeemed.</w:t>
      </w:r>
    </w:p>
    <w:p>
      <w:pPr>
        <w:pStyle w:val="TextBody"/>
        <w:spacing w:lineRule="auto" w:line="319" w:before="0" w:after="240"/>
        <w:ind w:left="0" w:right="0" w:firstLine="567"/>
        <w:jc w:val="both"/>
        <w:rPr>
          <w:rFonts w:ascii="Times New Roman;sans-serif" w:hAnsi="Times New Roman;sans-serif"/>
          <w:b w:val="false"/>
          <w:color w:val="000000"/>
          <w:sz w:val="20"/>
        </w:rPr>
      </w:pPr>
      <w:r>
        <w:rPr>
          <w:rFonts w:ascii="Times New Roman;sans-serif" w:hAnsi="Times New Roman;sans-serif"/>
          <w:b w:val="false"/>
          <w:color w:val="000000"/>
          <w:sz w:val="20"/>
        </w:rPr>
        <w:t>The Maturity Date definition has been modified upon the issuance of Series C Preferred Shares. Previously, the applicable Maturity Date for Series B+, Series B and Series A Preferred Shares was the fifth anniversary of their respective issuance dates.</w:t>
      </w:r>
    </w:p>
    <w:p>
      <w:pPr>
        <w:pStyle w:val="TextBody"/>
        <w:spacing w:lineRule="auto" w:line="319" w:before="0" w:after="240"/>
        <w:ind w:left="0" w:right="0" w:firstLine="567"/>
        <w:jc w:val="both"/>
        <w:rPr>
          <w:rFonts w:ascii="Times New Roman;sans-serif" w:hAnsi="Times New Roman;sans-serif"/>
          <w:b w:val="false"/>
          <w:color w:val="000000"/>
          <w:sz w:val="20"/>
        </w:rPr>
      </w:pPr>
      <w:r>
        <w:rPr>
          <w:rFonts w:ascii="Times New Roman;sans-serif" w:hAnsi="Times New Roman;sans-serif"/>
          <w:b w:val="false"/>
          <w:color w:val="000000"/>
          <w:sz w:val="20"/>
        </w:rPr>
        <w:t>The redemption price for each Series C+ Preferred Share that is redeemed (the “Series C+ Redemption Price”) shall be (1) in the event of a redemption requested at any time and from time to time commencing on the Maturity Date or on such earlier date as another series of shares is redeemable, an amount equal to 150% of the Series C+ issue price plus all accrued or declared but unpaid dividends on such Series C+ Preferred Share, and (2) in the event of a redemption requested upon the occurrence of a material breach, the greater of (a) an amount equal to 160% of the Series C+ issue price plus all accrued or declared but unpaid dividend on such Series C+ Preferred Share, and (b) the fair market value of the Series C+ Preferred Share determined by an independent third party appraising firm jointly selected by the board of directors and the Series C+ requesting holder.</w:t>
      </w:r>
    </w:p>
    <w:p>
      <w:pPr>
        <w:pStyle w:val="TextBody"/>
        <w:spacing w:lineRule="auto" w:line="319" w:before="0" w:after="240"/>
        <w:ind w:left="0" w:right="0" w:firstLine="567"/>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redemption price for each Series C Preferred Share that is redeemed (the “Series C Redemption Price”) shall be (1) in the event of a redemption requested at any time and from time to time commencing on the Maturity Date or on such earlier date as another series of shares is redeemable, an amount equal to 150% of the Series C issue price plus all accrued or declared but unpaid dividends on such Series C Preferred Share, and (2) in the event of a redemption requested upon the occurrence of a material breach, the greater of (a) an amount equal to 160% of the Series C issue price plus all accrued or declared but unpaid dividend on such Series C Preferred Share, and (b) the </w:t>
      </w:r>
    </w:p>
    <w:p>
      <w:pPr>
        <w:pStyle w:val="HorizontalLine"/>
        <w:rPr/>
      </w:pPr>
      <w:r>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6480175" cy="175260"/>
                <wp:effectExtent l="0" t="0" r="0" b="0"/>
                <wp:wrapNone/>
                <wp:docPr id="192" name="Frame19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F-32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F-32</w:t>
                      </w:r>
                    </w:p>
                  </w:txbxContent>
                </v:textbox>
              </v:rect>
            </w:pict>
          </mc:Fallback>
        </mc:AlternateConten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AGORA,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 xml:space="preserve">(All amounts in US$, except share data, unless otherwise stated) </w:t>
      </w:r>
    </w:p>
    <w:p>
      <w:pPr>
        <w:pStyle w:val="TextBody"/>
        <w:spacing w:lineRule="auto" w:line="319"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fair market value of the Series C Preferred Share determined by an independent third party appraising firm jointly selected by the board of directors and the Series C requesting holder.</w:t>
      </w:r>
    </w:p>
    <w:p>
      <w:pPr>
        <w:pStyle w:val="TextBody"/>
        <w:spacing w:lineRule="auto" w:line="319" w:before="0" w:after="24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redemption price for each Series B+ Preferred Share that is redeemed (the “Series B+ Redemption Price”) shall be (1) in the event of a redemption requested at any time and from time to time commencing on the Maturity Date or on such earlier date as another series of shares is redeemable, an amount equal to 150% of the Series B+ issue price plus all accrued or declared but unpaid dividends on such Series B+ Preferred Share, and (2) in the event of a redemption requested upon the occurrence of a material breach, the greater of (a) an amount equal to 160% of the Series B+ issue price plus all accrued or declared but unpaid dividends on such Series B+ Preferred Share, and (b) the fair market value of the Series B+ Preferred Share determined by an independent third party appraising firm jointly selected by the board of directors and the Series B+ requesting holder</w:t>
      </w:r>
    </w:p>
    <w:p>
      <w:pPr>
        <w:pStyle w:val="TextBody"/>
        <w:spacing w:lineRule="auto" w:line="319" w:before="0" w:after="240"/>
        <w:ind w:left="0" w:right="0" w:firstLine="567"/>
        <w:jc w:val="both"/>
        <w:rPr>
          <w:rFonts w:ascii="Times New Roman;sans-serif" w:hAnsi="Times New Roman;sans-serif"/>
          <w:b w:val="false"/>
          <w:color w:val="000000"/>
          <w:sz w:val="20"/>
        </w:rPr>
      </w:pPr>
      <w:r>
        <w:rPr>
          <w:rFonts w:ascii="Times New Roman;sans-serif" w:hAnsi="Times New Roman;sans-serif"/>
          <w:b w:val="false"/>
          <w:color w:val="000000"/>
          <w:sz w:val="20"/>
        </w:rPr>
        <w:t>The redemption price for each Series B Preferred Share that is redeemed (the “Series B Redemption Price”) shall be (1) in the event of a redemption requested at any time and from time to time commencing on the Maturity Date or on such earlier date as another series of shares is redeemable, an amount equal to 150% of the Series B issue price plus all accrued or declared but unpaid dividends on such Series B Preferred Share, and (2) in the event of a redemption requested upon the occurrence of a material breach, the greater of (a) an amount equal to 160% of the Series B issue price plus all accrued or declared but unpaid dividends on such Series B Preferred Share, and (b) the fair market value of the Series B Preferred Share determined by an independent third party appraising firm jointly selected by the board of directors and the Series B requesting holder.</w:t>
      </w:r>
    </w:p>
    <w:p>
      <w:pPr>
        <w:pStyle w:val="TextBody"/>
        <w:spacing w:lineRule="auto" w:line="319" w:before="0" w:after="240"/>
        <w:ind w:left="0" w:right="0" w:firstLine="567"/>
        <w:jc w:val="both"/>
        <w:rPr>
          <w:rFonts w:ascii="Times New Roman;sans-serif" w:hAnsi="Times New Roman;sans-serif"/>
          <w:b w:val="false"/>
          <w:color w:val="000000"/>
          <w:sz w:val="20"/>
        </w:rPr>
      </w:pPr>
      <w:r>
        <w:rPr>
          <w:rFonts w:ascii="Times New Roman;sans-serif" w:hAnsi="Times New Roman;sans-serif"/>
          <w:b w:val="false"/>
          <w:color w:val="000000"/>
          <w:sz w:val="20"/>
        </w:rPr>
        <w:t>The redemption price for each Series A Preferred Share redeemed (the “Series A Redemption Price”) shall be the greater of:</w:t>
      </w:r>
    </w:p>
    <w:p>
      <w:pPr>
        <w:pStyle w:val="TextBody"/>
        <w:spacing w:lineRule="auto" w:line="319" w:before="0" w:after="24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(a)an amount equal to the Series A issue price, plus all accrued or declared but unpaid dividends on such Series A Preferred Share (for a partial year, the dividends shall be calculated proportionally), plus an amount that would accrue on the Series A issue price at a rate of 15% per annum, compounding annually, during the period commencing from December 16, 2013 and ending on the date of the Series A redemption notice, and</w:t>
      </w:r>
    </w:p>
    <w:p>
      <w:pPr>
        <w:pStyle w:val="TextBody"/>
        <w:spacing w:lineRule="auto" w:line="319" w:before="0" w:after="24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(b)the fair market value of the Series A Preferred Share determined by an independent third party appraising firm selected jointly by the board of directors and the requesting holder, provided however, that any redemption of all or any part of Series A Preferred Shares held by a holder of Series A Preferred Shares at a price determined by an independent third party appraising firm shall not cause any material adverse effect to the Group companies taken as a whole.</w:t>
      </w:r>
    </w:p>
    <w:p>
      <w:pPr>
        <w:pStyle w:val="TextBody"/>
        <w:spacing w:lineRule="auto" w:line="319" w:before="0" w:after="240"/>
        <w:ind w:left="0" w:right="0" w:firstLine="567"/>
        <w:jc w:val="both"/>
        <w:rPr>
          <w:rFonts w:ascii="Times New Roman;sans-serif" w:hAnsi="Times New Roman;sans-serif"/>
          <w:b w:val="false"/>
          <w:i/>
          <w:color w:val="000000"/>
          <w:sz w:val="20"/>
        </w:rPr>
      </w:pPr>
      <w:r>
        <w:rPr>
          <w:rFonts w:ascii="Times New Roman;sans-serif" w:hAnsi="Times New Roman;sans-serif"/>
          <w:b w:val="false"/>
          <w:i/>
          <w:color w:val="000000"/>
          <w:sz w:val="20"/>
        </w:rPr>
        <w:t>Accounting for Preferred Shares</w:t>
      </w:r>
    </w:p>
    <w:p>
      <w:pPr>
        <w:pStyle w:val="TextBody"/>
        <w:spacing w:lineRule="auto" w:line="319" w:before="0" w:after="240"/>
        <w:ind w:left="0" w:right="0" w:firstLine="567"/>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classifies the Preferred Shares as mezzanine equity in the consolidated balance sheets because they are redeemable at the holders’ option any time after a certain date or are contingently redeemable upon the occurrence of certain Deemed Liquidation Events outside of the Company’s control. The Preferred Shares are recorded initially at fair value, net of issuance costs. For the years ended December 31, 2019 and 2020, the issuance costs incurred were nil and nil, respectively. The aggregate amount of cumulative undeclared dividends in arrears on convertible redeemable preferred shares was US$31,241,486 and nil as of December 31, 2019 and 2020, respectively. The cumulative undeclared dividends are not recorded in the consolidated balance sheet as the Company does not have the obligation to pay the cumulative dividend before it is declared by the board of directors.</w:t>
      </w:r>
    </w:p>
    <w:p>
      <w:pPr>
        <w:pStyle w:val="TextBody"/>
        <w:spacing w:lineRule="auto" w:line="319" w:before="0" w:after="240"/>
        <w:ind w:left="0" w:right="0" w:firstLine="567"/>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each reporting period, the Company recorded accretions on the Series C+, C, B+ and B Preferred Shares to the respective redemption value by using the effective interest rate method from the issuance dates to the earliest </w:t>
      </w:r>
    </w:p>
    <w:p>
      <w:pPr>
        <w:pStyle w:val="HorizontalLine"/>
        <w:rPr/>
      </w:pPr>
      <w:r>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6480175" cy="175260"/>
                <wp:effectExtent l="0" t="0" r="0" b="0"/>
                <wp:wrapNone/>
                <wp:docPr id="193" name="Frame19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F-33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F-33</w:t>
                      </w:r>
                    </w:p>
                  </w:txbxContent>
                </v:textbox>
              </v:rect>
            </w:pict>
          </mc:Fallback>
        </mc:AlternateConten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AGORA,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 xml:space="preserve">(All amounts in US$, except share data, unless otherwise stated) </w:t>
      </w:r>
    </w:p>
    <w:p>
      <w:pPr>
        <w:pStyle w:val="TextBody"/>
        <w:spacing w:lineRule="auto" w:line="319"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redemption dates as set forth in the original issuance. For the Series A Preferred Shares, the redemption price is recorded at higher of (1) issuance price with 15% compounding annually and (2) fair value of Series A Preferred Shares on each reporting date.</w:t>
      </w:r>
    </w:p>
    <w:p>
      <w:pPr>
        <w:pStyle w:val="TextBody"/>
        <w:spacing w:lineRule="auto" w:line="319" w:before="0" w:after="240"/>
        <w:ind w:left="0" w:right="0" w:firstLine="567"/>
        <w:jc w:val="both"/>
        <w:rPr>
          <w:rFonts w:ascii="Times New Roman;sans-serif" w:hAnsi="Times New Roman;sans-serif"/>
          <w:b w:val="false"/>
          <w:color w:val="000000"/>
          <w:sz w:val="20"/>
        </w:rPr>
      </w:pPr>
      <w:r>
        <w:rPr>
          <w:rFonts w:ascii="Times New Roman;sans-serif" w:hAnsi="Times New Roman;sans-serif"/>
          <w:b w:val="false"/>
          <w:color w:val="000000"/>
          <w:sz w:val="20"/>
        </w:rPr>
        <w:t>The accretion is recorded against retained earnings, or in the absence of retained earnings, by charges against additional paid-in-capital, or in the absence of additional paid-in-capital, by charges to accumulated deficit. The accretion of the Preferred Shares was US$50,714,953 and US$193,465,743 for the years ended December 31, 2019 and 2020.</w:t>
      </w:r>
    </w:p>
    <w:p>
      <w:pPr>
        <w:pStyle w:val="TextBody"/>
        <w:spacing w:lineRule="auto" w:line="319" w:before="0" w:after="240"/>
        <w:ind w:left="0" w:right="0" w:firstLine="567"/>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All classes of Preferred Shares of the Company were converted to ordinary shares upon completion of the IPO and CPP (See Note 12 – Ordinary Shares). </w:t>
      </w:r>
    </w:p>
    <w:p>
      <w:pPr>
        <w:pStyle w:val="TextBody"/>
        <w:spacing w:lineRule="auto" w:line="319" w:before="0" w:after="240"/>
        <w:ind w:left="0" w:right="0" w:firstLine="567"/>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Preferred Shares activities for the years ended December 31, 2019 and 2020 are summarized in the following table:</w:t>
      </w:r>
    </w:p>
    <w:tbl>
      <w:tblPr>
        <w:tblW w:w="14026" w:type="dxa"/>
        <w:jc w:val="left"/>
        <w:tblInd w:w="0" w:type="dxa"/>
        <w:tblCellMar>
          <w:top w:w="28" w:type="dxa"/>
          <w:left w:w="28" w:type="dxa"/>
          <w:bottom w:w="28" w:type="dxa"/>
          <w:right w:w="28" w:type="dxa"/>
        </w:tblCellMar>
      </w:tblPr>
      <w:tblGrid>
        <w:gridCol w:w="372"/>
        <w:gridCol w:w="181"/>
        <w:gridCol w:w="183"/>
        <w:gridCol w:w="351"/>
        <w:gridCol w:w="340"/>
        <w:gridCol w:w="181"/>
        <w:gridCol w:w="109"/>
        <w:gridCol w:w="109"/>
        <w:gridCol w:w="109"/>
        <w:gridCol w:w="166"/>
        <w:gridCol w:w="676"/>
        <w:gridCol w:w="109"/>
        <w:gridCol w:w="109"/>
        <w:gridCol w:w="109"/>
        <w:gridCol w:w="109"/>
        <w:gridCol w:w="351"/>
        <w:gridCol w:w="340"/>
        <w:gridCol w:w="181"/>
        <w:gridCol w:w="109"/>
        <w:gridCol w:w="109"/>
        <w:gridCol w:w="109"/>
        <w:gridCol w:w="166"/>
        <w:gridCol w:w="676"/>
        <w:gridCol w:w="109"/>
        <w:gridCol w:w="109"/>
        <w:gridCol w:w="109"/>
        <w:gridCol w:w="109"/>
        <w:gridCol w:w="351"/>
        <w:gridCol w:w="340"/>
        <w:gridCol w:w="181"/>
        <w:gridCol w:w="109"/>
        <w:gridCol w:w="109"/>
        <w:gridCol w:w="109"/>
        <w:gridCol w:w="166"/>
        <w:gridCol w:w="676"/>
        <w:gridCol w:w="109"/>
        <w:gridCol w:w="109"/>
        <w:gridCol w:w="109"/>
        <w:gridCol w:w="109"/>
        <w:gridCol w:w="351"/>
        <w:gridCol w:w="340"/>
        <w:gridCol w:w="181"/>
        <w:gridCol w:w="109"/>
        <w:gridCol w:w="109"/>
        <w:gridCol w:w="109"/>
        <w:gridCol w:w="166"/>
        <w:gridCol w:w="676"/>
        <w:gridCol w:w="109"/>
        <w:gridCol w:w="109"/>
        <w:gridCol w:w="109"/>
        <w:gridCol w:w="109"/>
        <w:gridCol w:w="351"/>
        <w:gridCol w:w="340"/>
        <w:gridCol w:w="181"/>
        <w:gridCol w:w="109"/>
        <w:gridCol w:w="109"/>
        <w:gridCol w:w="109"/>
        <w:gridCol w:w="200"/>
        <w:gridCol w:w="491"/>
        <w:gridCol w:w="109"/>
        <w:gridCol w:w="109"/>
        <w:gridCol w:w="109"/>
        <w:gridCol w:w="109"/>
        <w:gridCol w:w="166"/>
        <w:gridCol w:w="736"/>
        <w:gridCol w:w="154"/>
      </w:tblGrid>
      <w:tr>
        <w:trPr/>
        <w:tc>
          <w:tcPr>
            <w:tcW w:w="372"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center"/>
          </w:tcPr>
          <w:p>
            <w:pPr>
              <w:pStyle w:val="TableContents"/>
              <w:spacing w:before="0" w:after="283"/>
              <w:rPr>
                <w:sz w:val="4"/>
                <w:szCs w:val="4"/>
              </w:rPr>
            </w:pPr>
            <w:r>
              <w:rPr>
                <w:sz w:val="4"/>
                <w:szCs w:val="4"/>
              </w:rPr>
            </w:r>
          </w:p>
        </w:tc>
        <w:tc>
          <w:tcPr>
            <w:tcW w:w="351" w:type="dxa"/>
            <w:tcBorders/>
            <w:shd w:fill="auto" w:val="clear"/>
            <w:vAlign w:val="center"/>
          </w:tcPr>
          <w:p>
            <w:pPr>
              <w:pStyle w:val="TableContents"/>
              <w:spacing w:before="0" w:after="283"/>
              <w:rPr>
                <w:sz w:val="4"/>
                <w:szCs w:val="4"/>
              </w:rPr>
            </w:pPr>
            <w:r>
              <w:rPr>
                <w:sz w:val="4"/>
                <w:szCs w:val="4"/>
              </w:rPr>
            </w:r>
          </w:p>
        </w:tc>
        <w:tc>
          <w:tcPr>
            <w:tcW w:w="340"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1" w:type="dxa"/>
            <w:tcBorders/>
            <w:shd w:fill="auto" w:val="clear"/>
            <w:vAlign w:val="center"/>
          </w:tcPr>
          <w:p>
            <w:pPr>
              <w:pStyle w:val="TableContents"/>
              <w:spacing w:before="0" w:after="283"/>
              <w:rPr>
                <w:sz w:val="4"/>
                <w:szCs w:val="4"/>
              </w:rPr>
            </w:pPr>
            <w:r>
              <w:rPr>
                <w:sz w:val="4"/>
                <w:szCs w:val="4"/>
              </w:rPr>
            </w:r>
          </w:p>
        </w:tc>
        <w:tc>
          <w:tcPr>
            <w:tcW w:w="340"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1" w:type="dxa"/>
            <w:tcBorders/>
            <w:shd w:fill="auto" w:val="clear"/>
            <w:vAlign w:val="center"/>
          </w:tcPr>
          <w:p>
            <w:pPr>
              <w:pStyle w:val="TableContents"/>
              <w:spacing w:before="0" w:after="283"/>
              <w:rPr>
                <w:sz w:val="4"/>
                <w:szCs w:val="4"/>
              </w:rPr>
            </w:pPr>
            <w:r>
              <w:rPr>
                <w:sz w:val="4"/>
                <w:szCs w:val="4"/>
              </w:rPr>
            </w:r>
          </w:p>
        </w:tc>
        <w:tc>
          <w:tcPr>
            <w:tcW w:w="340"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1" w:type="dxa"/>
            <w:tcBorders/>
            <w:shd w:fill="auto" w:val="clear"/>
            <w:vAlign w:val="center"/>
          </w:tcPr>
          <w:p>
            <w:pPr>
              <w:pStyle w:val="TableContents"/>
              <w:spacing w:before="0" w:after="283"/>
              <w:rPr>
                <w:sz w:val="4"/>
                <w:szCs w:val="4"/>
              </w:rPr>
            </w:pPr>
            <w:r>
              <w:rPr>
                <w:sz w:val="4"/>
                <w:szCs w:val="4"/>
              </w:rPr>
            </w:r>
          </w:p>
        </w:tc>
        <w:tc>
          <w:tcPr>
            <w:tcW w:w="340"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1" w:type="dxa"/>
            <w:tcBorders/>
            <w:shd w:fill="auto" w:val="clear"/>
            <w:vAlign w:val="center"/>
          </w:tcPr>
          <w:p>
            <w:pPr>
              <w:pStyle w:val="TableContents"/>
              <w:spacing w:before="0" w:after="283"/>
              <w:rPr>
                <w:sz w:val="4"/>
                <w:szCs w:val="4"/>
              </w:rPr>
            </w:pPr>
            <w:r>
              <w:rPr>
                <w:sz w:val="4"/>
                <w:szCs w:val="4"/>
              </w:rPr>
            </w:r>
          </w:p>
        </w:tc>
        <w:tc>
          <w:tcPr>
            <w:tcW w:w="340"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4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tc>
      </w:tr>
      <w:tr>
        <w:trPr/>
        <w:tc>
          <w:tcPr>
            <w:tcW w:w="7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Series A Preferred Shares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Series B Preferred Shares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Series B+ Preferred Shares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Series C Preferred Shares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9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Series C+ Preferred Shares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Total</w:t>
            </w:r>
          </w:p>
        </w:tc>
      </w:tr>
      <w:tr>
        <w:trPr/>
        <w:tc>
          <w:tcPr>
            <w:tcW w:w="7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Number of 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Amount</w:t>
              <w:br/>
              <w:t>(US$)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Number of 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Amount</w:t>
              <w:br/>
              <w:t>(US$)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Number of 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Amount</w:t>
              <w:br/>
              <w:t>(US$)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Number of 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Amount</w:t>
              <w:br/>
              <w:t>(US$)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Number of 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0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Amount</w:t>
              <w:br/>
              <w:t>(US$)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ind w:left="0" w:right="0" w:hanging="90"/>
              <w:jc w:val="center"/>
              <w:rPr>
                <w:rFonts w:ascii="Times New Roman;sans-serif" w:hAnsi="Times New Roman;sans-serif"/>
                <w:b/>
                <w:color w:val="000000"/>
                <w:sz w:val="12"/>
              </w:rPr>
            </w:pPr>
            <w:r>
              <w:rPr>
                <w:rFonts w:ascii="Times New Roman;sans-serif" w:hAnsi="Times New Roman;sans-serif"/>
                <w:b/>
                <w:color w:val="000000"/>
                <w:sz w:val="12"/>
              </w:rPr>
              <w:t>Amount</w:t>
              <w:br/>
              <w:t>(US$)</w:t>
            </w:r>
          </w:p>
        </w:tc>
      </w:tr>
      <w:tr>
        <w:trPr/>
        <w:tc>
          <w:tcPr>
            <w:tcW w:w="73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Balances as of January 1, 2019</w:t>
            </w:r>
          </w:p>
        </w:tc>
        <w:tc>
          <w:tcPr>
            <w:tcW w:w="69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55,626,960 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45,578,868 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50,783,698 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29,955,293 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26,651,410 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45,876,440 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34,793,413 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67,844,843 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4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189,255,444 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90"/>
              <w:rPr>
                <w:sz w:val="4"/>
                <w:szCs w:val="4"/>
              </w:rPr>
            </w:pPr>
            <w:r>
              <w:rPr>
                <w:sz w:val="4"/>
                <w:szCs w:val="4"/>
              </w:rPr>
            </w:r>
          </w:p>
        </w:tc>
      </w:tr>
      <w:tr>
        <w:trPr/>
        <w:tc>
          <w:tcPr>
            <w:tcW w:w="73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Accretion on convertible redeemable preferred shares to redemption value</w:t>
            </w:r>
          </w:p>
        </w:tc>
        <w:tc>
          <w:tcPr>
            <w:tcW w:w="69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44,470,906 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90,636 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398,120 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5,755,291 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50,714,953 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6"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90"/>
              <w:jc w:val="left"/>
              <w:rPr>
                <w:rFonts w:ascii="Times New Roman;sans-serif" w:hAnsi="Times New Roman;sans-serif"/>
                <w:b w:val="false"/>
                <w:color w:val="000000"/>
                <w:sz w:val="12"/>
              </w:rPr>
            </w:pPr>
            <w:r>
              <w:rPr>
                <w:rFonts w:ascii="Times New Roman;sans-serif" w:hAnsi="Times New Roman;sans-serif"/>
                <w:b w:val="false"/>
                <w:color w:val="000000"/>
                <w:sz w:val="12"/>
              </w:rPr>
              <w:t>Balances as of December 31, 2019</w:t>
            </w:r>
          </w:p>
        </w:tc>
        <w:tc>
          <w:tcPr>
            <w:tcW w:w="69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55,626,960 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90,049,774 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50,783,698 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30,045,929 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26,651,410 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46,274,560 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34,793,413 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73,600,134 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4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239,970,397 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6"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90"/>
              <w:jc w:val="left"/>
              <w:rPr>
                <w:rFonts w:ascii="Times New Roman;sans-serif" w:hAnsi="Times New Roman;sans-serif"/>
                <w:b w:val="false"/>
                <w:color w:val="000000"/>
                <w:sz w:val="12"/>
              </w:rPr>
            </w:pPr>
            <w:r>
              <w:rPr>
                <w:rFonts w:ascii="Times New Roman;sans-serif" w:hAnsi="Times New Roman;sans-serif"/>
                <w:b w:val="false"/>
                <w:color w:val="000000"/>
                <w:sz w:val="12"/>
              </w:rPr>
              <w:t>Issuance of convertible redeemable preferred shares, net of issuance costs</w:t>
            </w:r>
          </w:p>
        </w:tc>
        <w:tc>
          <w:tcPr>
            <w:tcW w:w="69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15,062,510 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50,000,002 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50,000,002 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ind w:left="0" w:right="0" w:hanging="90"/>
              <w:rPr>
                <w:sz w:val="4"/>
                <w:szCs w:val="4"/>
              </w:rPr>
            </w:pPr>
            <w:r>
              <w:rPr>
                <w:sz w:val="4"/>
                <w:szCs w:val="4"/>
              </w:rPr>
            </w:r>
          </w:p>
        </w:tc>
      </w:tr>
      <w:tr>
        <w:trPr/>
        <w:tc>
          <w:tcPr>
            <w:tcW w:w="73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Accretion on convertible redeemable preferred shares to redemption value</w:t>
            </w:r>
          </w:p>
        </w:tc>
        <w:tc>
          <w:tcPr>
            <w:tcW w:w="69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188,085,026 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44,664 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197,006 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3,006,220 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2,132,827 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193,465,743 </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90"/>
              <w:rPr>
                <w:sz w:val="4"/>
                <w:szCs w:val="4"/>
              </w:rPr>
            </w:pPr>
            <w:r>
              <w:rPr>
                <w:sz w:val="4"/>
                <w:szCs w:val="4"/>
              </w:rPr>
            </w:r>
          </w:p>
        </w:tc>
      </w:tr>
      <w:tr>
        <w:trPr/>
        <w:tc>
          <w:tcPr>
            <w:tcW w:w="73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Conversion of convertible redeemable preferred shares upon completion of the IPO</w:t>
            </w:r>
          </w:p>
        </w:tc>
        <w:tc>
          <w:tcPr>
            <w:tcW w:w="69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(55,626,960)</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(278,134,800)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(50,783,698)</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(30,090,593)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(26,651,410)</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(46,471,566)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(34,793,413)</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(76,606,354)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(15,062,510)</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(52,132,829)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(483,436,142)</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6"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90"/>
              <w:jc w:val="left"/>
              <w:rPr>
                <w:rFonts w:ascii="Times New Roman;sans-serif" w:hAnsi="Times New Roman;sans-serif"/>
                <w:b w:val="false"/>
                <w:color w:val="000000"/>
                <w:sz w:val="12"/>
              </w:rPr>
            </w:pPr>
            <w:r>
              <w:rPr>
                <w:rFonts w:ascii="Times New Roman;sans-serif" w:hAnsi="Times New Roman;sans-serif"/>
                <w:b w:val="false"/>
                <w:color w:val="000000"/>
                <w:sz w:val="12"/>
              </w:rPr>
              <w:t>Balances as of December 31, 2020</w:t>
            </w:r>
          </w:p>
        </w:tc>
        <w:tc>
          <w:tcPr>
            <w:tcW w:w="69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4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19" w:before="0" w:after="240"/>
        <w:ind w:left="0" w:right="0" w:hanging="567"/>
        <w:jc w:val="both"/>
        <w:rPr>
          <w:rFonts w:ascii="Times New Roman;sans-serif" w:hAnsi="Times New Roman;sans-serif"/>
          <w:b/>
          <w:color w:val="000000"/>
          <w:sz w:val="20"/>
        </w:rPr>
      </w:pPr>
      <w:r>
        <w:rPr>
          <w:rFonts w:ascii="Times New Roman;sans-serif" w:hAnsi="Times New Roman;sans-serif"/>
          <w:b/>
          <w:color w:val="000000"/>
          <w:sz w:val="20"/>
        </w:rPr>
        <w:t>12.Ordinary Shares</w:t>
      </w:r>
    </w:p>
    <w:p>
      <w:pPr>
        <w:pStyle w:val="TextBody"/>
        <w:spacing w:lineRule="auto" w:line="319" w:before="0" w:after="240"/>
        <w:ind w:left="0" w:right="0" w:firstLine="567"/>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2019 and 2020 the Company had in aggregate of 119,074,382 and 415,014,994 ordinary shares issued and outstanding, respectively.</w:t>
      </w:r>
    </w:p>
    <w:p>
      <w:pPr>
        <w:pStyle w:val="TextBody"/>
        <w:spacing w:lineRule="auto" w:line="319" w:before="0" w:after="240"/>
        <w:rPr>
          <w:rFonts w:ascii="Times New Roman;sans-serif" w:hAnsi="Times New Roman;sans-serif"/>
          <w:b/>
          <w:i/>
          <w:color w:val="000000"/>
          <w:sz w:val="20"/>
        </w:rPr>
      </w:pPr>
      <w:r>
        <w:rPr>
          <w:rFonts w:ascii="Times New Roman;sans-serif" w:hAnsi="Times New Roman;sans-serif"/>
          <w:b/>
          <w:i/>
          <w:color w:val="000000"/>
          <w:sz w:val="20"/>
        </w:rPr>
        <w:t>Initial public offering and concurrent private placement</w:t>
      </w:r>
    </w:p>
    <w:p>
      <w:pPr>
        <w:pStyle w:val="TextBody"/>
        <w:spacing w:lineRule="auto" w:line="319" w:before="0" w:after="240"/>
        <w:ind w:left="0" w:right="0" w:firstLine="323"/>
        <w:jc w:val="both"/>
        <w:rPr/>
      </w:pPr>
      <w:r>
        <w:rPr>
          <w:rFonts w:ascii="Times New Roman;sans-serif" w:hAnsi="Times New Roman;sans-serif"/>
          <w:b w:val="false"/>
          <w:color w:val="000000"/>
          <w:sz w:val="20"/>
        </w:rPr>
        <w:t>In June 2020, the Company completed its initial public offering (“IPO”) on the Nasdaq Global Select Market of 20,125,000 American Depositary Shares (“ADS”) (including 2,625,000 ADSs sold upon the full exercise of the underwriters’ over-allotment option) (every four Class A ordinary shares represents one ADS), and completed the concurrent private placement (“CPP”) of 22,000,000 ordinary shares, for a total ordinary shares offering of 102,500,000</w:t>
      </w:r>
      <w:r>
        <w:rPr>
          <w:color w:val="000000"/>
          <w:highlight w:val="white"/>
        </w:rPr>
        <w:t xml:space="preserve"> </w:t>
      </w:r>
      <w:r>
        <w:rPr>
          <w:rFonts w:ascii="Times New Roman;sans-serif" w:hAnsi="Times New Roman;sans-serif"/>
          <w:b w:val="false"/>
          <w:color w:val="000000"/>
          <w:sz w:val="20"/>
          <w:highlight w:val="white"/>
        </w:rPr>
        <w:t>shares at a price of US$20.00 per ADS. The net proceeds raised from the IPO amounted to approximately US$484 million after deducting underwriting discounts and commissions and other offering expenses.</w:t>
      </w:r>
    </w:p>
    <w:p>
      <w:pPr>
        <w:pStyle w:val="HorizontalLine"/>
        <w:rPr/>
      </w:pPr>
      <w:r>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6480175" cy="175260"/>
                <wp:effectExtent l="0" t="0" r="0" b="0"/>
                <wp:wrapNone/>
                <wp:docPr id="194" name="Frame19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F-34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F-34</w:t>
                      </w:r>
                    </w:p>
                  </w:txbxContent>
                </v:textbox>
              </v:rect>
            </w:pict>
          </mc:Fallback>
        </mc:AlternateConten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AGORA,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 xml:space="preserve">(All amounts in US$, except share data, unless otherwise stated) </w:t>
      </w:r>
    </w:p>
    <w:p>
      <w:pPr>
        <w:pStyle w:val="TextBody"/>
        <w:spacing w:lineRule="auto" w:line="319" w:before="0" w:after="240"/>
        <w:ind w:left="0" w:right="0" w:firstLine="323"/>
        <w:jc w:val="both"/>
        <w:rPr/>
      </w:pPr>
      <w:r>
        <w:rPr>
          <w:rFonts w:ascii="Times New Roman;sans-serif" w:hAnsi="Times New Roman;sans-serif"/>
          <w:b w:val="false"/>
          <w:color w:val="000000"/>
          <w:sz w:val="20"/>
          <w:highlight w:val="white"/>
        </w:rPr>
        <w:t>Upon the completion of the IPO and CPP, all classes of preferred shares of the</w:t>
      </w:r>
      <w:r>
        <w:rPr>
          <w:color w:val="000000"/>
        </w:rPr>
        <w:t xml:space="preserve"> </w:t>
      </w:r>
      <w:r>
        <w:rPr>
          <w:rFonts w:ascii="Times New Roman;sans-serif" w:hAnsi="Times New Roman;sans-serif"/>
          <w:b w:val="false"/>
          <w:color w:val="000000"/>
          <w:sz w:val="20"/>
        </w:rPr>
        <w:t>Company were converted and designated as Class A ordinary shares on a one-for-one basis. 76,179,938 ordinary shares were designated as Class B ordinary share on a one-for-one basis. The remaining ordinary shares were designated as Class A ordinary shares on a one-for-one basis.</w:t>
      </w:r>
    </w:p>
    <w:p>
      <w:pPr>
        <w:pStyle w:val="TextBody"/>
        <w:spacing w:lineRule="auto" w:line="319" w:before="0" w:after="240"/>
        <w:ind w:left="0" w:right="0" w:firstLine="323"/>
        <w:jc w:val="both"/>
        <w:rPr>
          <w:rFonts w:ascii="Times New Roman;sans-serif" w:hAnsi="Times New Roman;sans-serif"/>
          <w:b w:val="false"/>
          <w:color w:val="000000"/>
          <w:sz w:val="20"/>
        </w:rPr>
      </w:pPr>
      <w:r>
        <w:rPr>
          <w:rFonts w:ascii="Times New Roman;sans-serif" w:hAnsi="Times New Roman;sans-serif"/>
          <w:b w:val="false"/>
          <w:color w:val="000000"/>
          <w:sz w:val="20"/>
        </w:rPr>
        <w:t>In respect of all matters subject to shareholders’ vote, each holder of Class A ordinary share is entitled to one and each holder of Class B ordinary share is entitled to twenty votes.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19" w:before="0" w:after="240"/>
        <w:ind w:left="0" w:right="0" w:hanging="567"/>
        <w:jc w:val="both"/>
        <w:rPr>
          <w:rFonts w:ascii="Times New Roman;sans-serif" w:hAnsi="Times New Roman;sans-serif"/>
          <w:b/>
          <w:color w:val="000000"/>
          <w:sz w:val="20"/>
        </w:rPr>
      </w:pPr>
      <w:r>
        <w:rPr>
          <w:rFonts w:ascii="Times New Roman;sans-serif" w:hAnsi="Times New Roman;sans-serif"/>
          <w:b/>
          <w:color w:val="000000"/>
          <w:sz w:val="20"/>
        </w:rPr>
        <w:t>13.Share-based Compensation</w:t>
      </w:r>
    </w:p>
    <w:p>
      <w:pPr>
        <w:pStyle w:val="TextBody"/>
        <w:spacing w:lineRule="auto" w:line="319" w:before="0" w:after="240"/>
        <w:ind w:left="0" w:right="0" w:firstLine="567"/>
        <w:jc w:val="both"/>
        <w:rPr>
          <w:rFonts w:ascii="Times New Roman;sans-serif" w:hAnsi="Times New Roman;sans-serif"/>
          <w:b w:val="false"/>
          <w:color w:val="000000"/>
          <w:sz w:val="20"/>
        </w:rPr>
      </w:pPr>
      <w:r>
        <w:rPr>
          <w:rFonts w:ascii="Times New Roman;sans-serif" w:hAnsi="Times New Roman;sans-serif"/>
          <w:b w:val="false"/>
          <w:color w:val="000000"/>
          <w:sz w:val="20"/>
        </w:rPr>
        <w:t>Compensation expenses recognized for share-based awards of the Company were as follows:</w:t>
      </w:r>
    </w:p>
    <w:tbl>
      <w:tblPr>
        <w:tblW w:w="7781" w:type="dxa"/>
        <w:jc w:val="left"/>
        <w:tblInd w:w="0" w:type="dxa"/>
        <w:tblCellMar>
          <w:top w:w="28" w:type="dxa"/>
          <w:left w:w="28" w:type="dxa"/>
          <w:bottom w:w="28" w:type="dxa"/>
          <w:right w:w="28" w:type="dxa"/>
        </w:tblCellMar>
      </w:tblPr>
      <w:tblGrid>
        <w:gridCol w:w="1117"/>
        <w:gridCol w:w="984"/>
        <w:gridCol w:w="988"/>
        <w:gridCol w:w="211"/>
        <w:gridCol w:w="976"/>
        <w:gridCol w:w="109"/>
        <w:gridCol w:w="109"/>
        <w:gridCol w:w="109"/>
        <w:gridCol w:w="109"/>
        <w:gridCol w:w="211"/>
        <w:gridCol w:w="976"/>
        <w:gridCol w:w="109"/>
        <w:gridCol w:w="109"/>
        <w:gridCol w:w="109"/>
        <w:gridCol w:w="109"/>
        <w:gridCol w:w="211"/>
        <w:gridCol w:w="1081"/>
        <w:gridCol w:w="154"/>
      </w:tblGrid>
      <w:tr>
        <w:trPr/>
        <w:tc>
          <w:tcPr>
            <w:tcW w:w="1117" w:type="dxa"/>
            <w:tcBorders/>
            <w:shd w:fill="auto" w:val="clear"/>
            <w:vAlign w:val="center"/>
          </w:tcPr>
          <w:p>
            <w:pPr>
              <w:pStyle w:val="TableContents"/>
              <w:spacing w:before="0" w:after="283"/>
              <w:rPr>
                <w:sz w:val="4"/>
                <w:szCs w:val="4"/>
              </w:rPr>
            </w:pPr>
            <w:r>
              <w:rPr>
                <w:sz w:val="4"/>
                <w:szCs w:val="4"/>
              </w:rPr>
            </w:r>
          </w:p>
        </w:tc>
        <w:tc>
          <w:tcPr>
            <w:tcW w:w="984" w:type="dxa"/>
            <w:tcBorders/>
            <w:shd w:fill="auto" w:val="clear"/>
            <w:vAlign w:val="center"/>
          </w:tcPr>
          <w:p>
            <w:pPr>
              <w:pStyle w:val="TableContents"/>
              <w:spacing w:before="0" w:after="283"/>
              <w:rPr>
                <w:sz w:val="4"/>
                <w:szCs w:val="4"/>
              </w:rPr>
            </w:pPr>
            <w:r>
              <w:rPr>
                <w:sz w:val="4"/>
                <w:szCs w:val="4"/>
              </w:rPr>
            </w:r>
          </w:p>
        </w:tc>
        <w:tc>
          <w:tcPr>
            <w:tcW w:w="98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8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92" w:type="dxa"/>
            <w:gridSpan w:val="15"/>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30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2018</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2019</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4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2020</w:t>
            </w:r>
          </w:p>
        </w:tc>
      </w:tr>
      <w:tr>
        <w:trPr/>
        <w:tc>
          <w:tcPr>
            <w:tcW w:w="30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92"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(US$)</w:t>
            </w:r>
          </w:p>
        </w:tc>
      </w:tr>
      <w:tr>
        <w:trPr/>
        <w:tc>
          <w:tcPr>
            <w:tcW w:w="30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49,893 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79,552 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357,053 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expenses</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919,773 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1,472,528 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5,312,704 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 expenses</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975,297 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1,653,717 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2,060,523 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905,389 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1,046,372 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4,244,879 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2,850,352 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4,252,169 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11,975,159 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319" w:before="0" w:after="240"/>
        <w:ind w:left="0" w:right="0" w:firstLine="567"/>
        <w:jc w:val="both"/>
        <w:rPr>
          <w:rFonts w:ascii="Times New Roman;sans-serif" w:hAnsi="Times New Roman;sans-serif"/>
          <w:b w:val="false"/>
          <w:color w:val="000000"/>
          <w:sz w:val="20"/>
        </w:rPr>
      </w:pPr>
      <w:r>
        <w:rPr>
          <w:rFonts w:ascii="Times New Roman;sans-serif" w:hAnsi="Times New Roman;sans-serif"/>
          <w:b w:val="false"/>
          <w:color w:val="000000"/>
          <w:sz w:val="20"/>
        </w:rPr>
        <w:t>Compensation expenses recognized for different awards were summarized as below:</w:t>
      </w:r>
    </w:p>
    <w:tbl>
      <w:tblPr>
        <w:tblW w:w="7991" w:type="dxa"/>
        <w:jc w:val="left"/>
        <w:tblInd w:w="0" w:type="dxa"/>
        <w:tblCellMar>
          <w:top w:w="28" w:type="dxa"/>
          <w:left w:w="28" w:type="dxa"/>
          <w:bottom w:w="28" w:type="dxa"/>
          <w:right w:w="28" w:type="dxa"/>
        </w:tblCellMar>
      </w:tblPr>
      <w:tblGrid>
        <w:gridCol w:w="1192"/>
        <w:gridCol w:w="1049"/>
        <w:gridCol w:w="1058"/>
        <w:gridCol w:w="211"/>
        <w:gridCol w:w="976"/>
        <w:gridCol w:w="109"/>
        <w:gridCol w:w="109"/>
        <w:gridCol w:w="109"/>
        <w:gridCol w:w="109"/>
        <w:gridCol w:w="211"/>
        <w:gridCol w:w="976"/>
        <w:gridCol w:w="109"/>
        <w:gridCol w:w="109"/>
        <w:gridCol w:w="109"/>
        <w:gridCol w:w="109"/>
        <w:gridCol w:w="211"/>
        <w:gridCol w:w="1081"/>
        <w:gridCol w:w="154"/>
      </w:tblGrid>
      <w:tr>
        <w:trPr/>
        <w:tc>
          <w:tcPr>
            <w:tcW w:w="1192" w:type="dxa"/>
            <w:tcBorders/>
            <w:shd w:fill="auto" w:val="clear"/>
            <w:vAlign w:val="center"/>
          </w:tcPr>
          <w:p>
            <w:pPr>
              <w:pStyle w:val="TableContents"/>
              <w:spacing w:before="0" w:after="283"/>
              <w:rPr>
                <w:sz w:val="4"/>
                <w:szCs w:val="4"/>
              </w:rPr>
            </w:pPr>
            <w:r>
              <w:rPr>
                <w:sz w:val="4"/>
                <w:szCs w:val="4"/>
              </w:rPr>
            </w:r>
          </w:p>
        </w:tc>
        <w:tc>
          <w:tcPr>
            <w:tcW w:w="1049" w:type="dxa"/>
            <w:tcBorders/>
            <w:shd w:fill="auto" w:val="clear"/>
            <w:vAlign w:val="center"/>
          </w:tcPr>
          <w:p>
            <w:pPr>
              <w:pStyle w:val="TableContents"/>
              <w:spacing w:before="0" w:after="283"/>
              <w:rPr>
                <w:sz w:val="4"/>
                <w:szCs w:val="4"/>
              </w:rPr>
            </w:pPr>
            <w:r>
              <w:rPr>
                <w:sz w:val="4"/>
                <w:szCs w:val="4"/>
              </w:rPr>
            </w:r>
          </w:p>
        </w:tc>
        <w:tc>
          <w:tcPr>
            <w:tcW w:w="105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8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92" w:type="dxa"/>
            <w:gridSpan w:val="15"/>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32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2018</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2019</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4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2020</w:t>
            </w:r>
          </w:p>
        </w:tc>
      </w:tr>
      <w:tr>
        <w:trPr/>
        <w:tc>
          <w:tcPr>
            <w:tcW w:w="32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92"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(US$)</w:t>
            </w:r>
          </w:p>
        </w:tc>
      </w:tr>
      <w:tr>
        <w:trPr/>
        <w:tc>
          <w:tcPr>
            <w:tcW w:w="32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award – share options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1,250,676 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2,177,975 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7,193,332 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color w:val="000000"/>
                <w:sz w:val="20"/>
              </w:rPr>
              <w:t>Equity award – restricted shares</w:t>
            </w:r>
            <w:r>
              <w:rPr>
                <w:rFonts w:ascii="Times New Roman;sans-serif" w:hAnsi="Times New Roman;sans-serif"/>
                <w:b w:val="false"/>
                <w:color w:val="000000"/>
                <w:sz w:val="13"/>
              </w:rPr>
              <w:t>(1)(2)</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1,002,674 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980,911 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1,192,946 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award – restricted share units</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136,175 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Liability award – share options</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428,855 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960,177 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Liability award – restricted shares</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168,147 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133,106 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Liability award – Venture Partners Plan</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3,452,706 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2,850,352 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4,252,169 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11,975,159 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319" w:before="0" w:after="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(1)Including restricted shares granted by the Founder for equity classified award of US$843,139, US$790,643 and US$851,665 for the years ended December 31, 2018, 2019 and 2020, respectively.</w:t>
      </w:r>
    </w:p>
    <w:p>
      <w:pPr>
        <w:pStyle w:val="TextBody"/>
        <w:spacing w:lineRule="auto" w:line="288" w:before="0" w:after="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(2)Including restricted shares granted to employees as part of post-combination compensation of nil, nil, and US$264,406 for the years ended December 31, 2018, 2019 and 2020, respectively.</w:t>
      </w:r>
    </w:p>
    <w:p>
      <w:pPr>
        <w:pStyle w:val="TextBody"/>
        <w:spacing w:before="0" w:after="0"/>
        <w:jc w:val="both"/>
        <w:rPr/>
      </w:pPr>
      <w:r>
        <w:rPr/>
      </w:r>
    </w:p>
    <w:p>
      <w:pPr>
        <w:pStyle w:val="TextBody"/>
        <w:spacing w:lineRule="auto" w:line="319" w:before="0" w:after="240"/>
        <w:ind w:left="0" w:right="0" w:firstLine="567"/>
        <w:jc w:val="both"/>
        <w:rPr>
          <w:rFonts w:ascii="Times New Roman;sans-serif" w:hAnsi="Times New Roman;sans-serif"/>
          <w:b w:val="false"/>
          <w:color w:val="000000"/>
          <w:sz w:val="20"/>
        </w:rPr>
      </w:pPr>
      <w:r>
        <w:rPr>
          <w:rFonts w:ascii="Times New Roman;sans-serif" w:hAnsi="Times New Roman;sans-serif"/>
          <w:b w:val="false"/>
          <w:color w:val="000000"/>
          <w:sz w:val="20"/>
        </w:rPr>
        <w:t>The income tax benefit recognized in the consolidated statements of comprehensive loss for share-based compensation expenses is immaterial and the Company did not capitalize any of the share-based compensation expenses as part of the cost of any assets for the years ended December 31, 2018, 2019 and 2020, respectively.</w:t>
      </w:r>
    </w:p>
    <w:p>
      <w:pPr>
        <w:pStyle w:val="TextBody"/>
        <w:spacing w:lineRule="auto" w:line="319" w:before="100" w:after="24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Equity Incentive Plans</w:t>
      </w:r>
    </w:p>
    <w:p>
      <w:pPr>
        <w:pStyle w:val="TextBody"/>
        <w:spacing w:lineRule="auto" w:line="319" w:before="0" w:after="240"/>
        <w:ind w:left="0" w:right="0" w:firstLine="567"/>
        <w:jc w:val="both"/>
        <w:rPr>
          <w:rFonts w:ascii="Times New Roman;sans-serif" w:hAnsi="Times New Roman;sans-serif"/>
          <w:b w:val="false"/>
          <w:color w:val="000000"/>
          <w:sz w:val="20"/>
        </w:rPr>
      </w:pPr>
      <w:r>
        <w:rPr>
          <w:rFonts w:ascii="Times New Roman;sans-serif" w:hAnsi="Times New Roman;sans-serif"/>
          <w:b w:val="false"/>
          <w:color w:val="000000"/>
          <w:sz w:val="20"/>
        </w:rPr>
        <w:t>On August 8, 2014, the board of directors of the Company adopted the Company’s 2014 Equity Incentive Plan (“2014 Plan”) and reserved 20,000,000 ordinary shares for issuance under share options to be granted to employees, directors and consultants of the Group in its U.S. and PRC operations.</w:t>
      </w:r>
    </w:p>
    <w:p>
      <w:pPr>
        <w:pStyle w:val="HorizontalLine"/>
        <w:rPr/>
      </w:pPr>
      <w:r>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6480175" cy="175260"/>
                <wp:effectExtent l="0" t="0" r="0" b="0"/>
                <wp:wrapNone/>
                <wp:docPr id="195" name="Frame19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F-35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F-35</w:t>
                      </w:r>
                    </w:p>
                  </w:txbxContent>
                </v:textbox>
              </v:rect>
            </w:pict>
          </mc:Fallback>
        </mc:AlternateConten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AGORA,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 xml:space="preserve">(All amounts in US$, except share data, unless otherwise stated) </w:t>
      </w:r>
    </w:p>
    <w:p>
      <w:pPr>
        <w:pStyle w:val="TextBody"/>
        <w:spacing w:lineRule="auto" w:line="319" w:before="0" w:after="240"/>
        <w:ind w:left="0" w:right="0" w:firstLine="567"/>
        <w:jc w:val="both"/>
        <w:rPr>
          <w:rFonts w:ascii="Times New Roman;sans-serif" w:hAnsi="Times New Roman;sans-serif"/>
          <w:b w:val="false"/>
          <w:color w:val="000000"/>
          <w:sz w:val="20"/>
        </w:rPr>
      </w:pPr>
      <w:r>
        <w:rPr>
          <w:rFonts w:ascii="Times New Roman;sans-serif" w:hAnsi="Times New Roman;sans-serif"/>
          <w:b w:val="false"/>
          <w:color w:val="000000"/>
          <w:sz w:val="20"/>
        </w:rPr>
        <w:t>Before the Corporate Reorganization plan was formed and implemented, the Group intended to use Agora IO, Inc. as the issuer in connection with the Group’s initial public offering. As such, in January 2019, the board of directors of Agora IO, Inc. approved and adopted the 2018 Equity Incentive Plan (“2018 Plan”) to provide incentives to employees, directors and consultants of the Group and reserved 25,740,835 ordinary shares for issuance under share options to be granted under the 2018 Plan. The terms of the 2018 Plan adopted by Agora IO, Inc. are substantively the same as the terms of the 2014 Plan adopted by the Company and the 2014 Plan was not terminated. However, in December 2019, management decided to instead use the Company as the issuer in connection with the Group’s initial public offering and in January 2020, as part of the Corporate Reorganization, the Company assumed from Agora IO, Inc., each option granted under the 2018 Plan. As a result, the options to purchase shares of Agora IO, Inc. granted under the 2018 Plan became options to purchase shares of the Company, and the Company otherwise assumed the same obligations and duties in respect of such options while maintaining their respective terms and vesting schedules. This replacement of awards did not have any accounting consequence. The Company’s board of directors also resolved to amend the 2014 Plan to provide that the maximum number of shares of the Company which may be subject to awards granted under the 2014 Plan would be 34,613,165 ordinary shares minus the aggregate of (x) any shares issued pursuant to awards granted under the 2018 Plan prior to shareholder approval of the amendment and (y) any shares subject to share options or similar awards granted under the 2018 Plan outstanding as of the date of shareholder approval of the amendment</w:t>
      </w:r>
    </w:p>
    <w:p>
      <w:pPr>
        <w:pStyle w:val="TextBody"/>
        <w:spacing w:lineRule="auto" w:line="319" w:before="0" w:after="240"/>
        <w:ind w:left="0" w:right="0" w:firstLine="567"/>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At the end of June 2020, the board of directors approved and the Company adopted the Global Equity Incentive Plan (“Global Plan”). The terms of the Global Plan adopted by the Company are substantively the same as the terms of the 2018 Plan and 2014 Plan, which allows for the grant of nonstatutory share options, share appreciation rights, restricted shares, restricted share units, and performance awards to employees, directors and consultants and parent and subsidiary corporations’ employees and consultants. The 2014 Plan and 2018 Plan will continue to govern the outstanding awards thereunder, while new award grants will be subject to the terms of the Global Plan. </w:t>
      </w:r>
    </w:p>
    <w:p>
      <w:pPr>
        <w:pStyle w:val="TextBody"/>
        <w:spacing w:lineRule="auto" w:line="319" w:before="0" w:after="240"/>
        <w:ind w:left="0" w:right="0" w:firstLine="567"/>
        <w:jc w:val="both"/>
        <w:rPr>
          <w:rFonts w:ascii="Times New Roman;sans-serif" w:hAnsi="Times New Roman;sans-serif"/>
          <w:b w:val="false"/>
          <w:color w:val="000000"/>
          <w:sz w:val="20"/>
        </w:rPr>
      </w:pPr>
      <w:r>
        <w:rPr>
          <w:rFonts w:ascii="Times New Roman;sans-serif" w:hAnsi="Times New Roman;sans-serif"/>
          <w:b w:val="false"/>
          <w:color w:val="000000"/>
          <w:sz w:val="20"/>
        </w:rPr>
        <w:t>An option granted under the 2014 Plan, 2018 Plan and Global Plan has a contractual term of ten years from the grant date, and will generally vest over a period of four years of continuous service, 25% of which vest upon the first anniversary of the stated vesting commencement date and the remaining vest ratably over the following 36 months.</w:t>
      </w:r>
    </w:p>
    <w:p>
      <w:pPr>
        <w:pStyle w:val="TextBody"/>
        <w:spacing w:lineRule="auto" w:line="319" w:before="0" w:after="240"/>
        <w:ind w:left="0" w:right="0" w:firstLine="567"/>
        <w:jc w:val="both"/>
        <w:rPr/>
      </w:pPr>
      <w:r>
        <w:rPr>
          <w:rFonts w:ascii="Times New Roman;sans-serif" w:hAnsi="Times New Roman;sans-serif"/>
          <w:b w:val="false"/>
          <w:color w:val="000000"/>
          <w:sz w:val="20"/>
        </w:rPr>
        <w:t>As at the end of December 31, 2018, 2019 and 2020, the Company’s total outsta</w:t>
      </w:r>
      <w:r>
        <w:rPr>
          <w:rFonts w:ascii="Times New Roman;sans-serif" w:hAnsi="Times New Roman;sans-serif"/>
          <w:b w:val="false"/>
          <w:color w:val="000000"/>
          <w:sz w:val="20"/>
          <w:highlight w:val="white"/>
        </w:rPr>
        <w:t>nding granted options to the employees, directors and consultants are to purchase 34,811,741, 38,011,964 and 39,614,883 of ordinary shares, respectively. Among all the options granted, a portion of the awards to three key employees (a defined percentage of their respective grants) were with repurchase obligation by the Company that these holders can request the Company to purchase back their share option</w:t>
      </w:r>
      <w:r>
        <w:rPr>
          <w:rFonts w:ascii="Times New Roman;sans-serif" w:hAnsi="Times New Roman;sans-serif"/>
          <w:b w:val="false"/>
          <w:color w:val="000000"/>
          <w:sz w:val="20"/>
        </w:rPr>
        <w:t>s upon unsuccessful IPO or acquisition by another company by December 31, 2018 at the fair market value on the request date. This repurchase clause is provided only within the option grant agreements to these three employees with specified amounts to incentivize them with special contributions to the business. Therefore, the portion of the awards subject to the repurchase obligation are liability-classified awards.</w:t>
      </w:r>
    </w:p>
    <w:p>
      <w:pPr>
        <w:pStyle w:val="TextBody"/>
        <w:spacing w:lineRule="auto" w:line="319" w:before="0" w:after="240"/>
        <w:ind w:left="0" w:right="0" w:firstLine="567"/>
        <w:jc w:val="both"/>
        <w:rPr>
          <w:rFonts w:ascii="Times New Roman;sans-serif" w:hAnsi="Times New Roman;sans-serif"/>
          <w:b w:val="false"/>
          <w:color w:val="000000"/>
          <w:sz w:val="20"/>
        </w:rPr>
      </w:pPr>
      <w:r>
        <w:rPr>
          <w:rFonts w:ascii="Times New Roman;sans-serif" w:hAnsi="Times New Roman;sans-serif"/>
          <w:b w:val="false"/>
          <w:color w:val="000000"/>
          <w:sz w:val="20"/>
        </w:rPr>
        <w:t>In April 2019, the Company repurchased a portion of share options subject to repurchase obligation from the three key employees with a total consideration of US$1,576,168. The repurchase right was also waived and terminated by the grantees for the remaining portion, if any, of the awards originally subject to repurchase. Accordingly, the classification of the liability-classified awards for the unexercised portion changed back to be equity- classified, and the related share-based award liability was reclassified to additional paid-in capital on the modification date. There was no other accounting impact as a result of the repurchase and termination of repurchase right on remaining portion. The Company recognized an additional compensation expense of US$788,236 for the excess amount of repurchase price over fair value of liability-classified awards on the repurchase date for the year ended December 31, 2019.</w:t>
      </w:r>
    </w:p>
    <w:p>
      <w:pPr>
        <w:pStyle w:val="HorizontalLine"/>
        <w:rPr/>
      </w:pPr>
      <w:r>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6480175" cy="175260"/>
                <wp:effectExtent l="0" t="0" r="0" b="0"/>
                <wp:wrapNone/>
                <wp:docPr id="196" name="Frame19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F-36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F-36</w:t>
                      </w:r>
                    </w:p>
                  </w:txbxContent>
                </v:textbox>
              </v:rect>
            </w:pict>
          </mc:Fallback>
        </mc:AlternateConten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AGORA,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 xml:space="preserve">(All amounts in US$, except share data, unless otherwise stated) </w:t>
      </w:r>
    </w:p>
    <w:p>
      <w:pPr>
        <w:pStyle w:val="TextBody"/>
        <w:spacing w:lineRule="auto" w:line="319" w:before="0" w:after="240"/>
        <w:ind w:left="0" w:right="0" w:firstLine="567"/>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activities of the Company’s share options activity for the years ended December 31, 2018, 2019 and 2020:</w:t>
      </w:r>
    </w:p>
    <w:p>
      <w:pPr>
        <w:pStyle w:val="TextBody"/>
        <w:spacing w:lineRule="auto" w:line="319" w:before="0" w:after="240"/>
        <w:jc w:val="both"/>
        <w:rPr>
          <w:rFonts w:ascii="Times New Roman;sans-serif" w:hAnsi="Times New Roman;sans-serif"/>
          <w:b w:val="false"/>
          <w:i/>
          <w:color w:val="000000"/>
          <w:sz w:val="20"/>
        </w:rPr>
      </w:pPr>
      <w:r>
        <w:rPr>
          <w:rFonts w:ascii="Times New Roman;sans-serif" w:hAnsi="Times New Roman;sans-serif"/>
          <w:b w:val="false"/>
          <w:i/>
          <w:color w:val="000000"/>
          <w:sz w:val="20"/>
        </w:rPr>
        <w:t>Equity Classified Share Options</w:t>
      </w:r>
    </w:p>
    <w:tbl>
      <w:tblPr>
        <w:tblW w:w="10205" w:type="dxa"/>
        <w:jc w:val="left"/>
        <w:tblInd w:w="0" w:type="dxa"/>
        <w:tblCellMar>
          <w:top w:w="28" w:type="dxa"/>
          <w:left w:w="28" w:type="dxa"/>
          <w:bottom w:w="28" w:type="dxa"/>
          <w:right w:w="28" w:type="dxa"/>
        </w:tblCellMar>
      </w:tblPr>
      <w:tblGrid>
        <w:gridCol w:w="637"/>
        <w:gridCol w:w="559"/>
        <w:gridCol w:w="562"/>
        <w:gridCol w:w="344"/>
        <w:gridCol w:w="344"/>
        <w:gridCol w:w="349"/>
        <w:gridCol w:w="109"/>
        <w:gridCol w:w="109"/>
        <w:gridCol w:w="109"/>
        <w:gridCol w:w="338"/>
        <w:gridCol w:w="821"/>
        <w:gridCol w:w="176"/>
        <w:gridCol w:w="109"/>
        <w:gridCol w:w="109"/>
        <w:gridCol w:w="109"/>
        <w:gridCol w:w="579"/>
        <w:gridCol w:w="579"/>
        <w:gridCol w:w="581"/>
        <w:gridCol w:w="109"/>
        <w:gridCol w:w="109"/>
        <w:gridCol w:w="109"/>
        <w:gridCol w:w="244"/>
        <w:gridCol w:w="1131"/>
        <w:gridCol w:w="126"/>
        <w:gridCol w:w="109"/>
        <w:gridCol w:w="109"/>
        <w:gridCol w:w="109"/>
        <w:gridCol w:w="365"/>
        <w:gridCol w:w="885"/>
        <w:gridCol w:w="277"/>
      </w:tblGrid>
      <w:tr>
        <w:trPr/>
        <w:tc>
          <w:tcPr>
            <w:tcW w:w="637" w:type="dxa"/>
            <w:tcBorders/>
            <w:shd w:fill="auto" w:val="clear"/>
            <w:vAlign w:val="center"/>
          </w:tcPr>
          <w:p>
            <w:pPr>
              <w:pStyle w:val="TableContents"/>
              <w:spacing w:before="0" w:after="283"/>
              <w:rPr>
                <w:sz w:val="4"/>
                <w:szCs w:val="4"/>
              </w:rPr>
            </w:pPr>
            <w:r>
              <w:rPr>
                <w:sz w:val="4"/>
                <w:szCs w:val="4"/>
              </w:rPr>
            </w:r>
          </w:p>
        </w:tc>
        <w:tc>
          <w:tcPr>
            <w:tcW w:w="559" w:type="dxa"/>
            <w:tcBorders/>
            <w:shd w:fill="auto" w:val="clear"/>
            <w:vAlign w:val="center"/>
          </w:tcPr>
          <w:p>
            <w:pPr>
              <w:pStyle w:val="TableContents"/>
              <w:spacing w:before="0" w:after="283"/>
              <w:rPr>
                <w:sz w:val="4"/>
                <w:szCs w:val="4"/>
              </w:rPr>
            </w:pPr>
            <w:r>
              <w:rPr>
                <w:sz w:val="4"/>
                <w:szCs w:val="4"/>
              </w:rPr>
            </w:r>
          </w:p>
        </w:tc>
        <w:tc>
          <w:tcPr>
            <w:tcW w:w="562"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c>
          <w:tcPr>
            <w:tcW w:w="34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8" w:type="dxa"/>
            <w:tcBorders/>
            <w:shd w:fill="auto" w:val="clear"/>
            <w:vAlign w:val="center"/>
          </w:tcPr>
          <w:p>
            <w:pPr>
              <w:pStyle w:val="TableContents"/>
              <w:spacing w:before="0" w:after="283"/>
              <w:rPr>
                <w:sz w:val="4"/>
                <w:szCs w:val="4"/>
              </w:rPr>
            </w:pPr>
            <w:r>
              <w:rPr>
                <w:sz w:val="4"/>
                <w:szCs w:val="4"/>
              </w:rPr>
            </w:r>
          </w:p>
        </w:tc>
        <w:tc>
          <w:tcPr>
            <w:tcW w:w="821"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79" w:type="dxa"/>
            <w:tcBorders/>
            <w:shd w:fill="auto" w:val="clear"/>
            <w:vAlign w:val="center"/>
          </w:tcPr>
          <w:p>
            <w:pPr>
              <w:pStyle w:val="TableContents"/>
              <w:spacing w:before="0" w:after="283"/>
              <w:rPr>
                <w:sz w:val="4"/>
                <w:szCs w:val="4"/>
              </w:rPr>
            </w:pPr>
            <w:r>
              <w:rPr>
                <w:sz w:val="4"/>
                <w:szCs w:val="4"/>
              </w:rPr>
            </w:r>
          </w:p>
        </w:tc>
        <w:tc>
          <w:tcPr>
            <w:tcW w:w="579" w:type="dxa"/>
            <w:tcBorders/>
            <w:shd w:fill="auto" w:val="clear"/>
            <w:vAlign w:val="center"/>
          </w:tcPr>
          <w:p>
            <w:pPr>
              <w:pStyle w:val="TableContents"/>
              <w:spacing w:before="0" w:after="283"/>
              <w:rPr>
                <w:sz w:val="4"/>
                <w:szCs w:val="4"/>
              </w:rPr>
            </w:pPr>
            <w:r>
              <w:rPr>
                <w:sz w:val="4"/>
                <w:szCs w:val="4"/>
              </w:rPr>
            </w:r>
          </w:p>
        </w:tc>
        <w:tc>
          <w:tcPr>
            <w:tcW w:w="5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1131"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5" w:type="dxa"/>
            <w:tcBorders/>
            <w:shd w:fill="auto" w:val="clear"/>
            <w:vAlign w:val="center"/>
          </w:tcPr>
          <w:p>
            <w:pPr>
              <w:pStyle w:val="TableContents"/>
              <w:spacing w:before="0" w:after="283"/>
              <w:rPr>
                <w:sz w:val="4"/>
                <w:szCs w:val="4"/>
              </w:rPr>
            </w:pPr>
            <w:r>
              <w:rPr>
                <w:sz w:val="4"/>
                <w:szCs w:val="4"/>
              </w:rPr>
            </w:r>
          </w:p>
        </w:tc>
        <w:tc>
          <w:tcPr>
            <w:tcW w:w="885"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r>
      <w:tr>
        <w:trPr/>
        <w:tc>
          <w:tcPr>
            <w:tcW w:w="175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Number </w:t>
              <w:br/>
              <w:t>of Options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Weighted Average Exercise Price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3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Weighted Average Remaining Contractual Life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Aggregate Intrinsic Value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Weighted Average Grant Date Fair Value</w:t>
            </w:r>
          </w:p>
        </w:tc>
      </w:tr>
      <w:tr>
        <w:trPr/>
        <w:tc>
          <w:tcPr>
            <w:tcW w:w="175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3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Years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(US$)</w:t>
            </w:r>
          </w:p>
        </w:tc>
      </w:tr>
      <w:tr>
        <w:trPr/>
        <w:tc>
          <w:tcPr>
            <w:tcW w:w="175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January 1, 2018</w:t>
            </w:r>
          </w:p>
        </w:tc>
        <w:tc>
          <w:tcPr>
            <w:tcW w:w="1037"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20,412,350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0.10 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3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5,087,933 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0.12 </w:t>
            </w:r>
          </w:p>
        </w:tc>
        <w:tc>
          <w:tcPr>
            <w:tcW w:w="27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5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1037"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14,689,473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0.12 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0.37 </w:t>
            </w:r>
          </w:p>
        </w:tc>
        <w:tc>
          <w:tcPr>
            <w:tcW w:w="2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5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1037"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(1,440,866)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0.10 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5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December 31, 2018</w:t>
            </w:r>
          </w:p>
        </w:tc>
        <w:tc>
          <w:tcPr>
            <w:tcW w:w="1037"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33,660,957</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0.11 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3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19,994,575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0.23 </w:t>
            </w:r>
          </w:p>
        </w:tc>
        <w:tc>
          <w:tcPr>
            <w:tcW w:w="2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5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103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5,087,648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0.24 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0.86 </w:t>
            </w:r>
          </w:p>
        </w:tc>
        <w:tc>
          <w:tcPr>
            <w:tcW w:w="27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5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1037"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(787,425)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0.13 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5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Reclassified from liability award</w:t>
            </w:r>
          </w:p>
        </w:tc>
        <w:tc>
          <w:tcPr>
            <w:tcW w:w="1037"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50,784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0.10 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5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December 31, 2019</w:t>
            </w:r>
          </w:p>
        </w:tc>
        <w:tc>
          <w:tcPr>
            <w:tcW w:w="1037"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38,011,964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0.12 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3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51,303,638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0.31 </w:t>
            </w:r>
          </w:p>
        </w:tc>
        <w:tc>
          <w:tcPr>
            <w:tcW w:w="2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5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103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9,941,500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0.19 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3.16 </w:t>
            </w:r>
          </w:p>
        </w:tc>
        <w:tc>
          <w:tcPr>
            <w:tcW w:w="27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58" w:type="dxa"/>
            <w:gridSpan w:val="3"/>
            <w:tcBorders/>
            <w:shd w:fill="FFFFFF" w:val="clear"/>
            <w:tcMar>
              <w:top w:w="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1037"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(7,632,431)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5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1037" w:type="dxa"/>
            <w:gridSpan w:val="3"/>
            <w:tcBorders/>
            <w:shd w:fill="CCEEFF" w:val="clear"/>
            <w:tcMar>
              <w:top w:w="0" w:type="dxa"/>
              <w:left w:w="0" w:type="dxa"/>
              <w:bottom w:w="0" w:type="dxa"/>
              <w:right w:w="0" w:type="dxa"/>
            </w:tcMar>
            <w:vAlign w:val="center"/>
          </w:tcPr>
          <w:p>
            <w:pPr>
              <w:pStyle w:val="TableContents"/>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(706,150)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0.16 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5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December 31, 2020</w:t>
            </w:r>
          </w:p>
        </w:tc>
        <w:tc>
          <w:tcPr>
            <w:tcW w:w="1037"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39,614,883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0.17 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3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466,460,320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277"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75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 and expected to vest at December 31, 2020</w:t>
            </w:r>
          </w:p>
        </w:tc>
        <w:tc>
          <w:tcPr>
            <w:tcW w:w="1037" w:type="dxa"/>
            <w:gridSpan w:val="3"/>
            <w:tcBorders>
              <w:top w:val="double" w:sz="8" w:space="0" w:color="000000"/>
            </w:tcBorders>
            <w:shd w:fill="CCEEFF" w:val="clear"/>
            <w:tcMar>
              <w:top w:w="30" w:type="dxa"/>
              <w:left w:w="0" w:type="dxa"/>
              <w:bottom w:w="0" w:type="dxa"/>
              <w:right w:w="0" w:type="dxa"/>
            </w:tcMar>
            <w:vAlign w:val="center"/>
          </w:tcPr>
          <w:p>
            <w:pPr>
              <w:pStyle w:val="TableContents"/>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34,982,436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0.11 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3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339,504,760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1.20 </w:t>
            </w:r>
          </w:p>
        </w:tc>
        <w:tc>
          <w:tcPr>
            <w:tcW w:w="27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5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Exercisable at December 31, 2020</w:t>
            </w:r>
          </w:p>
        </w:tc>
        <w:tc>
          <w:tcPr>
            <w:tcW w:w="1037"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34,982,436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0.11 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3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339,504,760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1.20 </w:t>
            </w:r>
          </w:p>
        </w:tc>
        <w:tc>
          <w:tcPr>
            <w:tcW w:w="2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319" w:before="0" w:after="240"/>
        <w:rPr>
          <w:rFonts w:ascii="Times New Roman;sans-serif" w:hAnsi="Times New Roman;sans-serif"/>
          <w:b w:val="false"/>
          <w:i/>
          <w:color w:val="000000"/>
          <w:sz w:val="20"/>
        </w:rPr>
      </w:pPr>
      <w:r>
        <w:rPr>
          <w:rFonts w:ascii="Times New Roman;sans-serif" w:hAnsi="Times New Roman;sans-serif"/>
          <w:b w:val="false"/>
          <w:i/>
          <w:color w:val="000000"/>
          <w:sz w:val="20"/>
        </w:rPr>
        <w:t>Liability Classified Share Options</w:t>
      </w:r>
    </w:p>
    <w:tbl>
      <w:tblPr>
        <w:tblW w:w="10205" w:type="dxa"/>
        <w:jc w:val="left"/>
        <w:tblInd w:w="0" w:type="dxa"/>
        <w:tblCellMar>
          <w:top w:w="28" w:type="dxa"/>
          <w:left w:w="28" w:type="dxa"/>
          <w:bottom w:w="28" w:type="dxa"/>
          <w:right w:w="28" w:type="dxa"/>
        </w:tblCellMar>
      </w:tblPr>
      <w:tblGrid>
        <w:gridCol w:w="793"/>
        <w:gridCol w:w="620"/>
        <w:gridCol w:w="623"/>
        <w:gridCol w:w="479"/>
        <w:gridCol w:w="319"/>
        <w:gridCol w:w="320"/>
        <w:gridCol w:w="109"/>
        <w:gridCol w:w="109"/>
        <w:gridCol w:w="109"/>
        <w:gridCol w:w="324"/>
        <w:gridCol w:w="787"/>
        <w:gridCol w:w="169"/>
        <w:gridCol w:w="109"/>
        <w:gridCol w:w="109"/>
        <w:gridCol w:w="109"/>
        <w:gridCol w:w="553"/>
        <w:gridCol w:w="553"/>
        <w:gridCol w:w="554"/>
        <w:gridCol w:w="109"/>
        <w:gridCol w:w="109"/>
        <w:gridCol w:w="109"/>
        <w:gridCol w:w="248"/>
        <w:gridCol w:w="974"/>
        <w:gridCol w:w="128"/>
        <w:gridCol w:w="109"/>
        <w:gridCol w:w="109"/>
        <w:gridCol w:w="109"/>
        <w:gridCol w:w="347"/>
        <w:gridCol w:w="843"/>
        <w:gridCol w:w="263"/>
      </w:tblGrid>
      <w:tr>
        <w:trPr/>
        <w:tc>
          <w:tcPr>
            <w:tcW w:w="793" w:type="dxa"/>
            <w:tcBorders/>
            <w:shd w:fill="auto" w:val="clear"/>
            <w:vAlign w:val="center"/>
          </w:tcPr>
          <w:p>
            <w:pPr>
              <w:pStyle w:val="TableContents"/>
              <w:spacing w:before="0" w:after="283"/>
              <w:rPr>
                <w:sz w:val="4"/>
                <w:szCs w:val="4"/>
              </w:rPr>
            </w:pPr>
            <w:r>
              <w:rPr>
                <w:sz w:val="4"/>
                <w:szCs w:val="4"/>
              </w:rPr>
            </w:r>
          </w:p>
        </w:tc>
        <w:tc>
          <w:tcPr>
            <w:tcW w:w="620" w:type="dxa"/>
            <w:tcBorders/>
            <w:shd w:fill="auto" w:val="clear"/>
            <w:vAlign w:val="center"/>
          </w:tcPr>
          <w:p>
            <w:pPr>
              <w:pStyle w:val="TableContents"/>
              <w:spacing w:before="0" w:after="283"/>
              <w:rPr>
                <w:sz w:val="4"/>
                <w:szCs w:val="4"/>
              </w:rPr>
            </w:pPr>
            <w:r>
              <w:rPr>
                <w:sz w:val="4"/>
                <w:szCs w:val="4"/>
              </w:rPr>
            </w:r>
          </w:p>
        </w:tc>
        <w:tc>
          <w:tcPr>
            <w:tcW w:w="623" w:type="dxa"/>
            <w:tcBorders/>
            <w:shd w:fill="auto" w:val="clear"/>
            <w:vAlign w:val="center"/>
          </w:tcPr>
          <w:p>
            <w:pPr>
              <w:pStyle w:val="TableContents"/>
              <w:spacing w:before="0" w:after="283"/>
              <w:rPr>
                <w:sz w:val="4"/>
                <w:szCs w:val="4"/>
              </w:rPr>
            </w:pPr>
            <w:r>
              <w:rPr>
                <w:sz w:val="4"/>
                <w:szCs w:val="4"/>
              </w:rPr>
            </w:r>
          </w:p>
        </w:tc>
        <w:tc>
          <w:tcPr>
            <w:tcW w:w="479" w:type="dxa"/>
            <w:tcBorders/>
            <w:shd w:fill="auto" w:val="clear"/>
            <w:vAlign w:val="center"/>
          </w:tcPr>
          <w:p>
            <w:pPr>
              <w:pStyle w:val="TableContents"/>
              <w:spacing w:before="0" w:after="283"/>
              <w:rPr>
                <w:sz w:val="4"/>
                <w:szCs w:val="4"/>
              </w:rPr>
            </w:pPr>
            <w:r>
              <w:rPr>
                <w:sz w:val="4"/>
                <w:szCs w:val="4"/>
              </w:rPr>
            </w:r>
          </w:p>
        </w:tc>
        <w:tc>
          <w:tcPr>
            <w:tcW w:w="319"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4" w:type="dxa"/>
            <w:tcBorders/>
            <w:shd w:fill="auto" w:val="clear"/>
            <w:vAlign w:val="center"/>
          </w:tcPr>
          <w:p>
            <w:pPr>
              <w:pStyle w:val="TableContents"/>
              <w:spacing w:before="0" w:after="283"/>
              <w:rPr>
                <w:sz w:val="4"/>
                <w:szCs w:val="4"/>
              </w:rPr>
            </w:pPr>
            <w:r>
              <w:rPr>
                <w:sz w:val="4"/>
                <w:szCs w:val="4"/>
              </w:rPr>
            </w:r>
          </w:p>
        </w:tc>
        <w:tc>
          <w:tcPr>
            <w:tcW w:w="787"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53" w:type="dxa"/>
            <w:tcBorders/>
            <w:shd w:fill="auto" w:val="clear"/>
            <w:vAlign w:val="center"/>
          </w:tcPr>
          <w:p>
            <w:pPr>
              <w:pStyle w:val="TableContents"/>
              <w:spacing w:before="0" w:after="283"/>
              <w:rPr>
                <w:sz w:val="4"/>
                <w:szCs w:val="4"/>
              </w:rPr>
            </w:pPr>
            <w:r>
              <w:rPr>
                <w:sz w:val="4"/>
                <w:szCs w:val="4"/>
              </w:rPr>
            </w:r>
          </w:p>
        </w:tc>
        <w:tc>
          <w:tcPr>
            <w:tcW w:w="553" w:type="dxa"/>
            <w:tcBorders/>
            <w:shd w:fill="auto" w:val="clear"/>
            <w:vAlign w:val="center"/>
          </w:tcPr>
          <w:p>
            <w:pPr>
              <w:pStyle w:val="TableContents"/>
              <w:spacing w:before="0" w:after="283"/>
              <w:rPr>
                <w:sz w:val="4"/>
                <w:szCs w:val="4"/>
              </w:rPr>
            </w:pPr>
            <w:r>
              <w:rPr>
                <w:sz w:val="4"/>
                <w:szCs w:val="4"/>
              </w:rPr>
            </w:r>
          </w:p>
        </w:tc>
        <w:tc>
          <w:tcPr>
            <w:tcW w:w="55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974"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843"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r>
      <w:tr>
        <w:trPr/>
        <w:tc>
          <w:tcPr>
            <w:tcW w:w="20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Number of Options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Weighted Average Exercise Price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Weighted Average Remaining Contractual Life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Aggregate Intrinsic Value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Weighted Average Grant Date Fair Value</w:t>
            </w:r>
          </w:p>
        </w:tc>
      </w:tr>
      <w:tr>
        <w:trPr/>
        <w:tc>
          <w:tcPr>
            <w:tcW w:w="20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Years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(US$)</w:t>
            </w:r>
          </w:p>
        </w:tc>
      </w:tr>
      <w:tr>
        <w:trPr/>
        <w:tc>
          <w:tcPr>
            <w:tcW w:w="203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January 1, 2018</w:t>
            </w:r>
          </w:p>
        </w:tc>
        <w:tc>
          <w:tcPr>
            <w:tcW w:w="1118"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1,150,784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0.10 </w:t>
            </w:r>
          </w:p>
        </w:tc>
        <w:tc>
          <w:tcPr>
            <w:tcW w:w="16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0"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286,842 </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0.07 </w:t>
            </w:r>
          </w:p>
        </w:tc>
        <w:tc>
          <w:tcPr>
            <w:tcW w:w="2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3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1118"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3"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r>
      <w:tr>
        <w:trPr/>
        <w:tc>
          <w:tcPr>
            <w:tcW w:w="203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1118"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0"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0"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0"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3"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r>
      <w:tr>
        <w:trPr/>
        <w:tc>
          <w:tcPr>
            <w:tcW w:w="2036"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December 31, 2018</w:t>
            </w:r>
          </w:p>
        </w:tc>
        <w:tc>
          <w:tcPr>
            <w:tcW w:w="1118"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1,150,784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0.10 </w:t>
            </w:r>
          </w:p>
        </w:tc>
        <w:tc>
          <w:tcPr>
            <w:tcW w:w="16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689,258 </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0.07 </w:t>
            </w:r>
          </w:p>
        </w:tc>
        <w:tc>
          <w:tcPr>
            <w:tcW w:w="2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3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1118"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0"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3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Repurchased</w:t>
            </w:r>
          </w:p>
        </w:tc>
        <w:tc>
          <w:tcPr>
            <w:tcW w:w="1118"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(1,100,000)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818,845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3"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0.07</w:t>
            </w:r>
          </w:p>
        </w:tc>
      </w:tr>
      <w:tr>
        <w:trPr/>
        <w:tc>
          <w:tcPr>
            <w:tcW w:w="203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1118"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0"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3" w:type="dxa"/>
            <w:gridSpan w:val="3"/>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03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 and expected to vest at Reclassified to equity classified award</w:t>
            </w:r>
          </w:p>
        </w:tc>
        <w:tc>
          <w:tcPr>
            <w:tcW w:w="1118"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(50,784)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37,804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3"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0.10</w:t>
            </w:r>
          </w:p>
        </w:tc>
      </w:tr>
      <w:tr>
        <w:trPr/>
        <w:tc>
          <w:tcPr>
            <w:tcW w:w="2036"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December 31, 2019 and 2020</w:t>
            </w:r>
          </w:p>
        </w:tc>
        <w:tc>
          <w:tcPr>
            <w:tcW w:w="1118"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0"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319" w:before="0" w:after="240"/>
        <w:ind w:left="0" w:right="0" w:firstLine="567"/>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The aggregate intrinsic value is calculated as the difference between the exercise price of the options and the estimated fair value of the underlying shares of US$20,683,833, US$51,303,638 and US$466,460,320 at December 31, 2018, 2019 and 2020, respectively.</w:t>
      </w:r>
    </w:p>
    <w:p>
      <w:pPr>
        <w:pStyle w:val="HorizontalLine"/>
        <w:rPr/>
      </w:pPr>
      <w:r>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6480175" cy="175260"/>
                <wp:effectExtent l="0" t="0" r="0" b="0"/>
                <wp:wrapNone/>
                <wp:docPr id="197" name="Frame19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F-37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F-37</w:t>
                      </w:r>
                    </w:p>
                  </w:txbxContent>
                </v:textbox>
              </v:rect>
            </w:pict>
          </mc:Fallback>
        </mc:AlternateConten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AGORA,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 xml:space="preserve">(All amounts in US$, except share data, unless otherwise stated) </w:t>
      </w:r>
    </w:p>
    <w:p>
      <w:pPr>
        <w:pStyle w:val="TextBody"/>
        <w:spacing w:lineRule="auto" w:line="319" w:before="0" w:after="240"/>
        <w:ind w:left="0" w:right="0" w:firstLine="567"/>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The total fair value of share options vested during the years ended December 31, 2018 2019 and 2020 was US$607,735, US$2,275,531 and US$4,894,328, respectively. The share-based compensation expenses in relation to the share option recognized for the years ended December 31, 2018, 2019 and 2020 were US$1,679,531, US$3,138,152 and US$7,193,332, respectively.</w:t>
      </w:r>
    </w:p>
    <w:p>
      <w:pPr>
        <w:pStyle w:val="TextBody"/>
        <w:spacing w:lineRule="auto" w:line="319" w:before="0" w:after="240"/>
        <w:ind w:left="0" w:right="0" w:firstLine="567"/>
        <w:jc w:val="both"/>
        <w:rPr/>
      </w:pPr>
      <w:r>
        <w:rPr>
          <w:rFonts w:ascii="Times New Roman;sans-serif" w:hAnsi="Times New Roman;sans-serif"/>
          <w:b w:val="false"/>
          <w:color w:val="000000"/>
          <w:sz w:val="20"/>
          <w:highlight w:val="white"/>
        </w:rPr>
        <w:t>As of December 31, 2019 and 2020, there were US$7,157,467 and US$31,040,576 of unrecognized share-based compensation expenses related to share options granted by the Company, which were expected to be recognized over a weighted-average vesting period of 1.4 and 1.5 years</w:t>
      </w:r>
      <w:r>
        <w:rPr>
          <w:rFonts w:ascii="Times New Roman;sans-serif" w:hAnsi="Times New Roman;sans-serif"/>
          <w:b w:val="false"/>
          <w:color w:val="000000"/>
          <w:sz w:val="20"/>
        </w:rPr>
        <w:t>, respectively.</w:t>
      </w:r>
    </w:p>
    <w:p>
      <w:pPr>
        <w:pStyle w:val="TextBody"/>
        <w:spacing w:lineRule="auto" w:line="319" w:before="0" w:after="240"/>
        <w:ind w:left="0" w:right="0" w:firstLine="567"/>
        <w:jc w:val="both"/>
        <w:rPr/>
      </w:pPr>
      <w:r>
        <w:rPr>
          <w:rFonts w:ascii="Times New Roman;sans-serif" w:hAnsi="Times New Roman;sans-serif"/>
          <w:b w:val="false"/>
          <w:color w:val="000000"/>
          <w:sz w:val="20"/>
        </w:rPr>
        <w:t>The fair value of options granted under the Company’s P</w:t>
      </w:r>
      <w:r>
        <w:rPr>
          <w:rFonts w:ascii="Times New Roman;sans-serif" w:hAnsi="Times New Roman;sans-serif"/>
          <w:b w:val="false"/>
          <w:color w:val="000000"/>
          <w:sz w:val="20"/>
          <w:highlight w:val="white"/>
        </w:rPr>
        <w:t xml:space="preserve">lans for </w:t>
      </w:r>
      <w:r>
        <w:rPr>
          <w:rFonts w:ascii="Times New Roman;sans-serif" w:hAnsi="Times New Roman;sans-serif"/>
          <w:b w:val="false"/>
          <w:color w:val="000000"/>
          <w:sz w:val="20"/>
        </w:rPr>
        <w:t xml:space="preserve">the years ended </w:t>
      </w:r>
      <w:r>
        <w:rPr>
          <w:rFonts w:ascii="Times New Roman;sans-serif" w:hAnsi="Times New Roman;sans-serif"/>
          <w:b w:val="false"/>
          <w:color w:val="000000"/>
          <w:sz w:val="20"/>
          <w:highlight w:val="white"/>
        </w:rPr>
        <w:t>December 31, 2018, 2019 and 2020</w:t>
      </w:r>
      <w:r>
        <w:rPr>
          <w:color w:val="000000"/>
        </w:rPr>
        <w:t xml:space="preserve"> </w:t>
      </w:r>
      <w:r>
        <w:rPr>
          <w:rFonts w:ascii="Times New Roman;sans-serif" w:hAnsi="Times New Roman;sans-serif"/>
          <w:b w:val="false"/>
          <w:color w:val="000000"/>
          <w:sz w:val="20"/>
        </w:rPr>
        <w:t>used the binomial option pricing model, with the assumptions (or ranges thereof) in the following table:</w:t>
      </w:r>
    </w:p>
    <w:tbl>
      <w:tblPr>
        <w:tblW w:w="10205" w:type="dxa"/>
        <w:jc w:val="left"/>
        <w:tblInd w:w="0" w:type="dxa"/>
        <w:tblCellMar>
          <w:top w:w="28" w:type="dxa"/>
          <w:left w:w="28" w:type="dxa"/>
          <w:bottom w:w="28" w:type="dxa"/>
          <w:right w:w="28" w:type="dxa"/>
        </w:tblCellMar>
      </w:tblPr>
      <w:tblGrid>
        <w:gridCol w:w="1309"/>
        <w:gridCol w:w="1091"/>
        <w:gridCol w:w="1094"/>
        <w:gridCol w:w="284"/>
        <w:gridCol w:w="280"/>
        <w:gridCol w:w="263"/>
        <w:gridCol w:w="109"/>
        <w:gridCol w:w="109"/>
        <w:gridCol w:w="109"/>
        <w:gridCol w:w="233"/>
        <w:gridCol w:w="233"/>
        <w:gridCol w:w="421"/>
        <w:gridCol w:w="109"/>
        <w:gridCol w:w="109"/>
        <w:gridCol w:w="109"/>
        <w:gridCol w:w="284"/>
        <w:gridCol w:w="280"/>
        <w:gridCol w:w="263"/>
        <w:gridCol w:w="109"/>
        <w:gridCol w:w="109"/>
        <w:gridCol w:w="109"/>
        <w:gridCol w:w="284"/>
        <w:gridCol w:w="280"/>
        <w:gridCol w:w="263"/>
        <w:gridCol w:w="109"/>
        <w:gridCol w:w="109"/>
        <w:gridCol w:w="109"/>
        <w:gridCol w:w="284"/>
        <w:gridCol w:w="280"/>
        <w:gridCol w:w="263"/>
        <w:gridCol w:w="109"/>
        <w:gridCol w:w="109"/>
        <w:gridCol w:w="109"/>
        <w:gridCol w:w="263"/>
        <w:gridCol w:w="263"/>
        <w:gridCol w:w="355"/>
      </w:tblGrid>
      <w:tr>
        <w:trPr/>
        <w:tc>
          <w:tcPr>
            <w:tcW w:w="1309" w:type="dxa"/>
            <w:tcBorders/>
            <w:shd w:fill="auto" w:val="clear"/>
            <w:vAlign w:val="center"/>
          </w:tcPr>
          <w:p>
            <w:pPr>
              <w:pStyle w:val="TableContents"/>
              <w:spacing w:before="0" w:after="283"/>
              <w:rPr>
                <w:sz w:val="4"/>
                <w:szCs w:val="4"/>
              </w:rPr>
            </w:pPr>
            <w:r>
              <w:rPr>
                <w:sz w:val="4"/>
                <w:szCs w:val="4"/>
              </w:rPr>
            </w:r>
          </w:p>
        </w:tc>
        <w:tc>
          <w:tcPr>
            <w:tcW w:w="1091" w:type="dxa"/>
            <w:tcBorders/>
            <w:shd w:fill="auto" w:val="clear"/>
            <w:vAlign w:val="center"/>
          </w:tcPr>
          <w:p>
            <w:pPr>
              <w:pStyle w:val="TableContents"/>
              <w:spacing w:before="0" w:after="283"/>
              <w:rPr>
                <w:sz w:val="4"/>
                <w:szCs w:val="4"/>
              </w:rPr>
            </w:pPr>
            <w:r>
              <w:rPr>
                <w:sz w:val="4"/>
                <w:szCs w:val="4"/>
              </w:rPr>
            </w:r>
          </w:p>
        </w:tc>
        <w:tc>
          <w:tcPr>
            <w:tcW w:w="1094"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280"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280"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280"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280"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355" w:type="dxa"/>
            <w:tcBorders/>
            <w:shd w:fill="auto" w:val="clear"/>
            <w:vAlign w:val="center"/>
          </w:tcPr>
          <w:p>
            <w:pPr>
              <w:pStyle w:val="TableContents"/>
              <w:spacing w:before="0" w:after="283"/>
              <w:rPr>
                <w:sz w:val="4"/>
                <w:szCs w:val="4"/>
              </w:rPr>
            </w:pPr>
            <w:r>
              <w:rPr>
                <w:sz w:val="4"/>
                <w:szCs w:val="4"/>
              </w:rPr>
            </w:r>
          </w:p>
        </w:tc>
      </w:tr>
      <w:tr>
        <w:trPr/>
        <w:tc>
          <w:tcPr>
            <w:tcW w:w="34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11" w:type="dxa"/>
            <w:gridSpan w:val="3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34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41"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2018</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981"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035"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r>
      <w:tr>
        <w:trPr/>
        <w:tc>
          <w:tcPr>
            <w:tcW w:w="34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Exercise price</w:t>
            </w:r>
          </w:p>
        </w:tc>
        <w:tc>
          <w:tcPr>
            <w:tcW w:w="82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US$0.10</w:t>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US$1.00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US$0.10</w:t>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2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US$0.50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US$0.10</w:t>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US$1.74</w:t>
            </w:r>
          </w:p>
        </w:tc>
      </w:tr>
      <w:tr>
        <w:trPr/>
        <w:tc>
          <w:tcPr>
            <w:tcW w:w="34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Fair value of the ordinary shares on the date of option grant</w:t>
            </w:r>
          </w:p>
        </w:tc>
        <w:tc>
          <w:tcPr>
            <w:tcW w:w="827"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US$0.3493</w:t>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7"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US$0.6989</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US$0.6989</w:t>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27"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US$1.4751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US$0.8415</w:t>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US$8.9816</w:t>
            </w:r>
          </w:p>
        </w:tc>
      </w:tr>
      <w:tr>
        <w:trPr/>
        <w:tc>
          <w:tcPr>
            <w:tcW w:w="3494" w:type="dxa"/>
            <w:gridSpan w:val="3"/>
            <w:tcBorders/>
            <w:shd w:fill="CCEEFF" w:val="clear"/>
            <w:tcMar>
              <w:top w:w="0" w:type="dxa"/>
              <w:left w:w="0" w:type="dxa"/>
              <w:bottom w:w="0" w:type="dxa"/>
              <w:right w:w="0" w:type="dxa"/>
            </w:tcMar>
            <w:vAlign w:val="center"/>
          </w:tcPr>
          <w:p>
            <w:pPr>
              <w:pStyle w:val="TableContents"/>
              <w:spacing w:lineRule="auto" w:line="288" w:before="0" w:after="0"/>
              <w:ind w:left="0" w:right="0" w:firstLine="112"/>
              <w:jc w:val="left"/>
              <w:rPr/>
            </w:pPr>
            <w:r>
              <w:rPr>
                <w:rFonts w:ascii="Times New Roman;sans-serif" w:hAnsi="Times New Roman;sans-serif"/>
                <w:b w:val="false"/>
                <w:color w:val="000000"/>
                <w:sz w:val="16"/>
              </w:rPr>
              <w:t>Risk-free interest rate</w:t>
            </w:r>
            <w:r>
              <w:rPr>
                <w:rFonts w:ascii="Times New Roman;sans-serif" w:hAnsi="Times New Roman;sans-serif"/>
                <w:b w:val="false"/>
                <w:color w:val="000000"/>
                <w:sz w:val="10"/>
              </w:rPr>
              <w:t>(1)</w:t>
            </w:r>
          </w:p>
        </w:tc>
        <w:tc>
          <w:tcPr>
            <w:tcW w:w="827"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2.54%</w:t>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3.18 </w:t>
            </w:r>
          </w:p>
        </w:tc>
        <w:tc>
          <w:tcPr>
            <w:tcW w:w="4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1.80%</w:t>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27"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0.28%</w:t>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1.46%</w:t>
            </w:r>
          </w:p>
        </w:tc>
      </w:tr>
      <w:tr>
        <w:trPr/>
        <w:tc>
          <w:tcPr>
            <w:tcW w:w="34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Expected term (in years)</w:t>
            </w:r>
          </w:p>
        </w:tc>
        <w:tc>
          <w:tcPr>
            <w:tcW w:w="2041" w:type="dxa"/>
            <w:gridSpan w:val="9"/>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81" w:type="dxa"/>
            <w:gridSpan w:val="9"/>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35" w:type="dxa"/>
            <w:gridSpan w:val="9"/>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w:t>
            </w:r>
          </w:p>
        </w:tc>
      </w:tr>
      <w:tr>
        <w:trPr/>
        <w:tc>
          <w:tcPr>
            <w:tcW w:w="3494" w:type="dxa"/>
            <w:gridSpan w:val="3"/>
            <w:tcBorders/>
            <w:shd w:fill="CCEEFF" w:val="clear"/>
            <w:tcMar>
              <w:top w:w="0" w:type="dxa"/>
              <w:left w:w="0" w:type="dxa"/>
              <w:bottom w:w="0" w:type="dxa"/>
              <w:right w:w="0" w:type="dxa"/>
            </w:tcMar>
            <w:vAlign w:val="center"/>
          </w:tcPr>
          <w:p>
            <w:pPr>
              <w:pStyle w:val="TableContents"/>
              <w:spacing w:lineRule="auto" w:line="288" w:before="0" w:after="0"/>
              <w:ind w:left="0" w:right="0" w:firstLine="112"/>
              <w:jc w:val="left"/>
              <w:rPr/>
            </w:pPr>
            <w:r>
              <w:rPr>
                <w:rFonts w:ascii="Times New Roman;sans-serif" w:hAnsi="Times New Roman;sans-serif"/>
                <w:b w:val="false"/>
                <w:color w:val="000000"/>
                <w:sz w:val="16"/>
              </w:rPr>
              <w:t>Expected dividend yield</w:t>
            </w:r>
            <w:r>
              <w:rPr>
                <w:rFonts w:ascii="Times New Roman;sans-serif" w:hAnsi="Times New Roman;sans-serif"/>
                <w:b w:val="false"/>
                <w:color w:val="000000"/>
                <w:sz w:val="10"/>
              </w:rPr>
              <w:t>(2)</w:t>
            </w:r>
          </w:p>
        </w:tc>
        <w:tc>
          <w:tcPr>
            <w:tcW w:w="2041" w:type="dxa"/>
            <w:gridSpan w:val="9"/>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81" w:type="dxa"/>
            <w:gridSpan w:val="9"/>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35" w:type="dxa"/>
            <w:gridSpan w:val="9"/>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w:t>
            </w:r>
          </w:p>
        </w:tc>
      </w:tr>
      <w:tr>
        <w:trPr/>
        <w:tc>
          <w:tcPr>
            <w:tcW w:w="3494" w:type="dxa"/>
            <w:gridSpan w:val="3"/>
            <w:tcBorders/>
            <w:shd w:fill="FFFFFF" w:val="clear"/>
            <w:tcMar>
              <w:top w:w="0" w:type="dxa"/>
              <w:left w:w="0" w:type="dxa"/>
              <w:bottom w:w="0" w:type="dxa"/>
              <w:right w:w="0" w:type="dxa"/>
            </w:tcMar>
            <w:vAlign w:val="center"/>
          </w:tcPr>
          <w:p>
            <w:pPr>
              <w:pStyle w:val="TableContents"/>
              <w:spacing w:lineRule="auto" w:line="288" w:before="0" w:after="0"/>
              <w:ind w:left="0" w:right="0" w:firstLine="112"/>
              <w:jc w:val="left"/>
              <w:rPr/>
            </w:pPr>
            <w:r>
              <w:rPr>
                <w:rFonts w:ascii="Times New Roman;sans-serif" w:hAnsi="Times New Roman;sans-serif"/>
                <w:b w:val="false"/>
                <w:color w:val="000000"/>
                <w:sz w:val="16"/>
              </w:rPr>
              <w:t>Expected volatility</w:t>
            </w:r>
            <w:r>
              <w:rPr>
                <w:rFonts w:ascii="Times New Roman;sans-serif" w:hAnsi="Times New Roman;sans-serif"/>
                <w:b w:val="false"/>
                <w:color w:val="000000"/>
                <w:sz w:val="10"/>
              </w:rPr>
              <w:t>(3)</w:t>
            </w:r>
          </w:p>
        </w:tc>
        <w:tc>
          <w:tcPr>
            <w:tcW w:w="827"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49.18%</w:t>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7"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50.36%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47.54%</w:t>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27"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50.01%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42.39%</w:t>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59.65%</w:t>
            </w:r>
          </w:p>
        </w:tc>
      </w:tr>
      <w:tr>
        <w:trPr/>
        <w:tc>
          <w:tcPr>
            <w:tcW w:w="34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Expected forfeiture rate (post-vesting)</w:t>
            </w:r>
          </w:p>
        </w:tc>
        <w:tc>
          <w:tcPr>
            <w:tcW w:w="2041" w:type="dxa"/>
            <w:gridSpan w:val="9"/>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81" w:type="dxa"/>
            <w:gridSpan w:val="9"/>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35" w:type="dxa"/>
            <w:gridSpan w:val="9"/>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w:t>
            </w:r>
          </w:p>
        </w:tc>
      </w:tr>
    </w:tbl>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319" w:before="0" w:after="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(1)The risk-free interest rate of periods within the contractual life of the share option is based on the market yield of the U.S. treasury bonds with a maturity life equal to the expected life to expiration.</w:t>
      </w:r>
    </w:p>
    <w:p>
      <w:pPr>
        <w:pStyle w:val="TextBody"/>
        <w:spacing w:lineRule="auto" w:line="288" w:before="0" w:after="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(2)The Company has no history or expectation of paying dividends on its ordinary shares.</w:t>
      </w:r>
    </w:p>
    <w:p>
      <w:pPr>
        <w:pStyle w:val="TextBody"/>
        <w:spacing w:lineRule="auto" w:line="319" w:before="0" w:after="24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(3)Expected volatility is estimated based on the average of historical volatilities of the comparable companies in the same industry as at the valuation dates.</w:t>
      </w:r>
    </w:p>
    <w:p>
      <w:pPr>
        <w:pStyle w:val="TextBody"/>
        <w:spacing w:lineRule="auto" w:line="319" w:before="0" w:after="240"/>
        <w:ind w:left="0" w:right="0" w:firstLine="567"/>
        <w:jc w:val="both"/>
        <w:rPr>
          <w:rFonts w:ascii="Times New Roman;sans-serif" w:hAnsi="Times New Roman;sans-serif"/>
          <w:b/>
          <w:i/>
          <w:color w:val="000000"/>
          <w:sz w:val="20"/>
        </w:rPr>
      </w:pPr>
      <w:r>
        <w:rPr>
          <w:rFonts w:ascii="Times New Roman;sans-serif" w:hAnsi="Times New Roman;sans-serif"/>
          <w:b/>
          <w:i/>
          <w:color w:val="000000"/>
          <w:sz w:val="20"/>
        </w:rPr>
        <w:t>Restricted Shares</w:t>
      </w:r>
    </w:p>
    <w:p>
      <w:pPr>
        <w:pStyle w:val="TextBody"/>
        <w:spacing w:lineRule="auto" w:line="319" w:before="0" w:after="240"/>
        <w:ind w:left="0" w:right="0" w:firstLine="567"/>
        <w:jc w:val="both"/>
        <w:rPr>
          <w:rFonts w:ascii="Times New Roman;sans-serif" w:hAnsi="Times New Roman;sans-serif"/>
          <w:b w:val="false"/>
          <w:i/>
          <w:color w:val="000000"/>
          <w:sz w:val="20"/>
        </w:rPr>
      </w:pPr>
      <w:r>
        <w:rPr>
          <w:rFonts w:ascii="Times New Roman;sans-serif" w:hAnsi="Times New Roman;sans-serif"/>
          <w:b w:val="false"/>
          <w:i/>
          <w:color w:val="000000"/>
          <w:sz w:val="20"/>
        </w:rPr>
        <w:t>Granted by the Company</w:t>
      </w:r>
    </w:p>
    <w:p>
      <w:pPr>
        <w:pStyle w:val="TextBody"/>
        <w:spacing w:lineRule="auto" w:line="319" w:before="0" w:after="240"/>
        <w:ind w:left="0" w:right="0" w:firstLine="567"/>
        <w:jc w:val="both"/>
        <w:rPr>
          <w:rFonts w:ascii="Times New Roman;sans-serif" w:hAnsi="Times New Roman;sans-serif"/>
          <w:b w:val="false"/>
          <w:color w:val="000000"/>
          <w:sz w:val="20"/>
        </w:rPr>
      </w:pPr>
      <w:r>
        <w:rPr>
          <w:rFonts w:ascii="Times New Roman;sans-serif" w:hAnsi="Times New Roman;sans-serif"/>
          <w:b w:val="false"/>
          <w:color w:val="000000"/>
          <w:sz w:val="20"/>
        </w:rPr>
        <w:t>On December 16, 2013, the Company’s board of directors issued 30,800,000, 15,000,000 and 77,000,000 ordinary shares subject to certain restrictions to VoiceCrew Holdings Limited, management personnel and Sounds of Nature Limited, respectively. The 15,000,000 ordinary shares were held by VoiceCrew Holdings Limited on behalf of the management personnel. VoiceCrew Holdings Limited and Sounds of Nature Limited are both entities controlled by the Founder.</w:t>
      </w:r>
    </w:p>
    <w:p>
      <w:pPr>
        <w:pStyle w:val="TextBody"/>
        <w:spacing w:lineRule="auto" w:line="319" w:before="0" w:after="240"/>
        <w:ind w:left="0" w:right="0" w:firstLine="567"/>
        <w:jc w:val="both"/>
        <w:rPr>
          <w:rFonts w:ascii="Times New Roman;sans-serif" w:hAnsi="Times New Roman;sans-serif"/>
          <w:b w:val="false"/>
          <w:color w:val="000000"/>
          <w:sz w:val="20"/>
        </w:rPr>
      </w:pPr>
      <w:r>
        <w:rPr>
          <w:rFonts w:ascii="Times New Roman;sans-serif" w:hAnsi="Times New Roman;sans-serif"/>
          <w:b w:val="false"/>
          <w:color w:val="000000"/>
          <w:sz w:val="20"/>
        </w:rPr>
        <w:t>The restricted shares to the Founder-controlled entities and 5,000,000 of the restricted shares to the management personnel were released in accordance with the following schedule: (1) 25% of such restricted shares to the Founder shall be released from the restriction on the first anniversary of December 16, 2013; and (2) the remaining restricted shares shall be released in 36 equal monthly installments commencing from the first anniversary of the December 16, 2013, provided that in each case that the holder remains as an employee on a continuing full time basis of any Group entity as of the date of such respective release.</w:t>
      </w:r>
    </w:p>
    <w:p>
      <w:pPr>
        <w:pStyle w:val="TextBody"/>
        <w:spacing w:lineRule="auto" w:line="319"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10 million of the restricted shares to the management personnel shall be released in accordance with the following schedule: (1) 25% of such restricted shares shall be released from the restriction on the first anniversary from November 7, 2014; and (2) the remaining restricted shares shall be released in 36 equal monthly installments commencing on November 7, 2015, as long as each holder remained a continuing full-time employee of any Group entity as of the date of such respective release</w:t>
      </w:r>
    </w:p>
    <w:p>
      <w:pPr>
        <w:pStyle w:val="HorizontalLine"/>
        <w:rPr/>
      </w:pPr>
      <w:r>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6480175" cy="175260"/>
                <wp:effectExtent l="0" t="0" r="0" b="0"/>
                <wp:wrapNone/>
                <wp:docPr id="198" name="Frame19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F-38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F-38</w:t>
                      </w:r>
                    </w:p>
                  </w:txbxContent>
                </v:textbox>
              </v:rect>
            </w:pict>
          </mc:Fallback>
        </mc:AlternateConten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AGORA,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 xml:space="preserve">(All amounts in US$, except share data, unless otherwise stated) </w:t>
      </w:r>
    </w:p>
    <w:p>
      <w:pPr>
        <w:pStyle w:val="TextBody"/>
        <w:spacing w:lineRule="auto" w:line="319" w:before="0" w:after="240"/>
        <w:ind w:left="0" w:right="0" w:firstLine="567"/>
        <w:jc w:val="both"/>
        <w:rPr>
          <w:rFonts w:ascii="Times New Roman;sans-serif" w:hAnsi="Times New Roman;sans-serif"/>
          <w:b w:val="false"/>
          <w:color w:val="000000"/>
          <w:sz w:val="20"/>
        </w:rPr>
      </w:pPr>
      <w:r>
        <w:rPr>
          <w:rFonts w:ascii="Times New Roman;sans-serif" w:hAnsi="Times New Roman;sans-serif"/>
          <w:b w:val="false"/>
          <w:color w:val="000000"/>
          <w:sz w:val="20"/>
        </w:rPr>
        <w:t>On May 18, 2017, the Company entered into an amended restricted shares agreement with VoiceCrew Limited, Soundscape Limited and the management personnel to extend the releasing period for unvested shares to be released monthly over another three years from May 18, 2017, provided that in each case the holder remains as an employee on a continuing full time basis of any Group entity as of the date of such respective release.</w:t>
      </w:r>
    </w:p>
    <w:p>
      <w:pPr>
        <w:pStyle w:val="TextBody"/>
        <w:spacing w:lineRule="auto" w:line="319" w:before="0" w:after="240"/>
        <w:ind w:left="0" w:right="0" w:firstLine="567"/>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Historical Reorganization and the Corporate Reorganization, the above mentioned restricted shares were swapped to Agora IO, Inc. in December 2014, and swapped back to the Company in January 2020. There were no changes to the terms and conditions of the restricted shares arrangement and hence there was no accounting impact.</w:t>
      </w:r>
    </w:p>
    <w:p>
      <w:pPr>
        <w:pStyle w:val="TextBody"/>
        <w:spacing w:lineRule="auto" w:line="319" w:before="0" w:after="240"/>
        <w:ind w:left="0" w:right="0" w:firstLine="567"/>
        <w:jc w:val="both"/>
        <w:rPr>
          <w:rFonts w:ascii="Times New Roman;sans-serif" w:hAnsi="Times New Roman;sans-serif"/>
          <w:b w:val="false"/>
          <w:color w:val="000000"/>
          <w:sz w:val="20"/>
        </w:rPr>
      </w:pPr>
      <w:r>
        <w:rPr>
          <w:rFonts w:ascii="Times New Roman;sans-serif" w:hAnsi="Times New Roman;sans-serif"/>
          <w:b w:val="false"/>
          <w:color w:val="000000"/>
          <w:sz w:val="20"/>
        </w:rPr>
        <w:t>Among all the shares granted to the management personnel, a portion of the awards totaling 500,000 shares contained repurchase obligations by the Company such that a holder could request the Company to repurchase their share options upon an unsuccessful IPO or acquisition by another company by December 31, 2018 at the fair market value on the request date. This repurchase clause was provided within the restricted shares agreement to this group of management personnel to incentivize special contributions to the business and therefore the portion of the awards subject to the repurchase obligation were liability-classified awards.</w:t>
      </w:r>
    </w:p>
    <w:p>
      <w:pPr>
        <w:pStyle w:val="TextBody"/>
        <w:spacing w:lineRule="auto" w:line="319" w:before="0" w:after="240"/>
        <w:ind w:left="0" w:right="0" w:firstLine="567"/>
        <w:jc w:val="both"/>
        <w:rPr/>
      </w:pPr>
      <w:r>
        <w:rPr>
          <w:rFonts w:ascii="Times New Roman;sans-serif" w:hAnsi="Times New Roman;sans-serif"/>
          <w:b w:val="false"/>
          <w:color w:val="000000"/>
          <w:sz w:val="20"/>
        </w:rPr>
        <w:t xml:space="preserve">In April 2019, the Company repurchased 100,000 restricted shares subject to repurchase obligation but already vested by then from the management personnel for a total consideration of US$143,288. The repurchase right was also waived and terminated by the grantee for the remaining 400,000 shares originally subject to repurchase. Accordingly, the classification of the liability-classified awards for the un-repurchased portion changed back to be equity-classified, and the share-based award liability related to unvested restricted shares were reclassified to additional paid-in capital on the modification date. There was no other accounting impact as a result of the repurchase and termination of repurchase right on remaining portion. The Company recognized an additional compensation expense </w:t>
      </w:r>
      <w:r>
        <w:rPr>
          <w:rFonts w:ascii="Times New Roman;sans-serif" w:hAnsi="Times New Roman;sans-serif"/>
          <w:b w:val="false"/>
          <w:color w:val="000000"/>
          <w:sz w:val="20"/>
          <w:highlight w:val="white"/>
        </w:rPr>
        <w:t>of US$58,849 for the</w:t>
      </w:r>
      <w:r>
        <w:rPr>
          <w:color w:val="000000"/>
        </w:rPr>
        <w:t xml:space="preserve"> </w:t>
      </w:r>
      <w:r>
        <w:rPr>
          <w:rFonts w:ascii="Times New Roman;sans-serif" w:hAnsi="Times New Roman;sans-serif"/>
          <w:b w:val="false"/>
          <w:color w:val="000000"/>
          <w:sz w:val="20"/>
        </w:rPr>
        <w:t>excess amount of repurchase price over fair value of liability-classified awards on the repurchase date for the year ended December 31, 2019.</w:t>
      </w:r>
    </w:p>
    <w:p>
      <w:pPr>
        <w:pStyle w:val="TextBody"/>
        <w:spacing w:lineRule="auto" w:line="319" w:before="0" w:after="240"/>
        <w:ind w:left="0" w:right="0" w:firstLine="567"/>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restricted shares activities:</w:t>
      </w:r>
    </w:p>
    <w:p>
      <w:pPr>
        <w:pStyle w:val="TextBody"/>
        <w:spacing w:lineRule="auto" w:line="288" w:before="0" w:after="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Equity Classified Restricted Shares</w:t>
      </w:r>
    </w:p>
    <w:tbl>
      <w:tblPr>
        <w:tblW w:w="9491" w:type="dxa"/>
        <w:jc w:val="left"/>
        <w:tblInd w:w="0" w:type="dxa"/>
        <w:tblCellMar>
          <w:top w:w="28" w:type="dxa"/>
          <w:left w:w="28" w:type="dxa"/>
          <w:bottom w:w="28" w:type="dxa"/>
          <w:right w:w="28" w:type="dxa"/>
        </w:tblCellMar>
      </w:tblPr>
      <w:tblGrid>
        <w:gridCol w:w="1587"/>
        <w:gridCol w:w="1392"/>
        <w:gridCol w:w="1401"/>
        <w:gridCol w:w="374"/>
        <w:gridCol w:w="374"/>
        <w:gridCol w:w="376"/>
        <w:gridCol w:w="109"/>
        <w:gridCol w:w="109"/>
        <w:gridCol w:w="109"/>
        <w:gridCol w:w="881"/>
        <w:gridCol w:w="2135"/>
        <w:gridCol w:w="644"/>
      </w:tblGrid>
      <w:tr>
        <w:trPr/>
        <w:tc>
          <w:tcPr>
            <w:tcW w:w="1587" w:type="dxa"/>
            <w:tcBorders/>
            <w:shd w:fill="auto" w:val="clear"/>
            <w:vAlign w:val="center"/>
          </w:tcPr>
          <w:p>
            <w:pPr>
              <w:pStyle w:val="TableContents"/>
              <w:spacing w:before="0" w:after="283"/>
              <w:rPr>
                <w:sz w:val="4"/>
                <w:szCs w:val="4"/>
              </w:rPr>
            </w:pPr>
            <w:r>
              <w:rPr>
                <w:sz w:val="4"/>
                <w:szCs w:val="4"/>
              </w:rPr>
            </w:r>
          </w:p>
        </w:tc>
        <w:tc>
          <w:tcPr>
            <w:tcW w:w="1392" w:type="dxa"/>
            <w:tcBorders/>
            <w:shd w:fill="auto" w:val="clear"/>
            <w:vAlign w:val="center"/>
          </w:tcPr>
          <w:p>
            <w:pPr>
              <w:pStyle w:val="TableContents"/>
              <w:spacing w:before="0" w:after="283"/>
              <w:rPr>
                <w:sz w:val="4"/>
                <w:szCs w:val="4"/>
              </w:rPr>
            </w:pPr>
            <w:r>
              <w:rPr>
                <w:sz w:val="4"/>
                <w:szCs w:val="4"/>
              </w:rPr>
            </w:r>
          </w:p>
        </w:tc>
        <w:tc>
          <w:tcPr>
            <w:tcW w:w="1401" w:type="dxa"/>
            <w:tcBorders/>
            <w:shd w:fill="auto" w:val="clear"/>
            <w:vAlign w:val="center"/>
          </w:tcPr>
          <w:p>
            <w:pPr>
              <w:pStyle w:val="TableContents"/>
              <w:spacing w:before="0" w:after="283"/>
              <w:rPr>
                <w:sz w:val="4"/>
                <w:szCs w:val="4"/>
              </w:rPr>
            </w:pPr>
            <w:r>
              <w:rPr>
                <w:sz w:val="4"/>
                <w:szCs w:val="4"/>
              </w:rPr>
            </w:r>
          </w:p>
        </w:tc>
        <w:tc>
          <w:tcPr>
            <w:tcW w:w="374" w:type="dxa"/>
            <w:tcBorders/>
            <w:shd w:fill="auto" w:val="clear"/>
            <w:vAlign w:val="center"/>
          </w:tcPr>
          <w:p>
            <w:pPr>
              <w:pStyle w:val="TableContents"/>
              <w:spacing w:before="0" w:after="283"/>
              <w:rPr>
                <w:sz w:val="4"/>
                <w:szCs w:val="4"/>
              </w:rPr>
            </w:pPr>
            <w:r>
              <w:rPr>
                <w:sz w:val="4"/>
                <w:szCs w:val="4"/>
              </w:rPr>
            </w:r>
          </w:p>
        </w:tc>
        <w:tc>
          <w:tcPr>
            <w:tcW w:w="374"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81" w:type="dxa"/>
            <w:tcBorders/>
            <w:shd w:fill="auto" w:val="clear"/>
            <w:vAlign w:val="center"/>
          </w:tcPr>
          <w:p>
            <w:pPr>
              <w:pStyle w:val="TableContents"/>
              <w:spacing w:before="0" w:after="283"/>
              <w:rPr>
                <w:sz w:val="4"/>
                <w:szCs w:val="4"/>
              </w:rPr>
            </w:pPr>
            <w:r>
              <w:rPr>
                <w:sz w:val="4"/>
                <w:szCs w:val="4"/>
              </w:rPr>
            </w:r>
          </w:p>
        </w:tc>
        <w:tc>
          <w:tcPr>
            <w:tcW w:w="2135" w:type="dxa"/>
            <w:tcBorders/>
            <w:shd w:fill="auto" w:val="clear"/>
            <w:vAlign w:val="center"/>
          </w:tcPr>
          <w:p>
            <w:pPr>
              <w:pStyle w:val="TableContents"/>
              <w:spacing w:before="0" w:after="283"/>
              <w:rPr>
                <w:sz w:val="4"/>
                <w:szCs w:val="4"/>
              </w:rPr>
            </w:pPr>
            <w:r>
              <w:rPr>
                <w:sz w:val="4"/>
                <w:szCs w:val="4"/>
              </w:rPr>
            </w:r>
          </w:p>
        </w:tc>
        <w:tc>
          <w:tcPr>
            <w:tcW w:w="644" w:type="dxa"/>
            <w:tcBorders/>
            <w:shd w:fill="auto" w:val="clear"/>
            <w:vAlign w:val="center"/>
          </w:tcPr>
          <w:p>
            <w:pPr>
              <w:pStyle w:val="TableContents"/>
              <w:spacing w:before="0" w:after="283"/>
              <w:rPr>
                <w:sz w:val="4"/>
                <w:szCs w:val="4"/>
              </w:rPr>
            </w:pPr>
            <w:r>
              <w:rPr>
                <w:sz w:val="4"/>
                <w:szCs w:val="4"/>
              </w:rPr>
            </w:r>
          </w:p>
        </w:tc>
      </w:tr>
      <w:tr>
        <w:trPr/>
        <w:tc>
          <w:tcPr>
            <w:tcW w:w="43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4"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Numbers of </w:t>
            </w:r>
          </w:p>
          <w:p>
            <w:pPr>
              <w:pStyle w:val="TableContents"/>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Shares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Weighted-average Grant Date Fair Value</w:t>
            </w:r>
          </w:p>
        </w:tc>
      </w:tr>
      <w:tr>
        <w:trPr/>
        <w:tc>
          <w:tcPr>
            <w:tcW w:w="43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(US$)</w:t>
            </w:r>
          </w:p>
        </w:tc>
      </w:tr>
      <w:tr>
        <w:trPr/>
        <w:tc>
          <w:tcPr>
            <w:tcW w:w="43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January 1, 2018</w:t>
            </w:r>
          </w:p>
        </w:tc>
        <w:tc>
          <w:tcPr>
            <w:tcW w:w="112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16,121,181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13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0.02 </w:t>
            </w:r>
          </w:p>
        </w:tc>
        <w:tc>
          <w:tcPr>
            <w:tcW w:w="64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112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6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112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(6,670,833)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0.02 </w:t>
            </w:r>
          </w:p>
        </w:tc>
        <w:tc>
          <w:tcPr>
            <w:tcW w:w="64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December 31, 2018</w:t>
            </w:r>
          </w:p>
        </w:tc>
        <w:tc>
          <w:tcPr>
            <w:tcW w:w="1124"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9,450,348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0.02 </w:t>
            </w:r>
          </w:p>
        </w:tc>
        <w:tc>
          <w:tcPr>
            <w:tcW w:w="6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112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64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Reclassified from liability classified restricted shares</w:t>
            </w:r>
          </w:p>
        </w:tc>
        <w:tc>
          <w:tcPr>
            <w:tcW w:w="112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26,042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0.02 </w:t>
            </w:r>
          </w:p>
        </w:tc>
        <w:tc>
          <w:tcPr>
            <w:tcW w:w="6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112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(6,670,833)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0.02 </w:t>
            </w:r>
          </w:p>
        </w:tc>
        <w:tc>
          <w:tcPr>
            <w:tcW w:w="64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December 31, 2019</w:t>
            </w:r>
          </w:p>
        </w:tc>
        <w:tc>
          <w:tcPr>
            <w:tcW w:w="1124"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2,805,557</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0.02 </w:t>
            </w:r>
          </w:p>
        </w:tc>
        <w:tc>
          <w:tcPr>
            <w:tcW w:w="6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color w:val="000000"/>
                <w:sz w:val="20"/>
              </w:rPr>
              <w:t>Granted</w:t>
            </w:r>
            <w:r>
              <w:rPr>
                <w:rFonts w:ascii="Times New Roman;sans-serif" w:hAnsi="Times New Roman;sans-serif"/>
                <w:b w:val="false"/>
                <w:color w:val="000000"/>
                <w:sz w:val="13"/>
              </w:rPr>
              <w:t>(1)</w:t>
            </w:r>
          </w:p>
        </w:tc>
        <w:tc>
          <w:tcPr>
            <w:tcW w:w="1124" w:type="dxa"/>
            <w:gridSpan w:val="3"/>
            <w:tcBorders/>
            <w:shd w:fill="CCEEFF" w:val="clear"/>
            <w:tcMar>
              <w:top w:w="0" w:type="dxa"/>
              <w:left w:w="0" w:type="dxa"/>
              <w:bottom w:w="0" w:type="dxa"/>
              <w:right w:w="0" w:type="dxa"/>
            </w:tcMar>
            <w:vAlign w:val="center"/>
          </w:tcPr>
          <w:p>
            <w:pPr>
              <w:pStyle w:val="TableContents"/>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512,782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10.16 </w:t>
            </w:r>
          </w:p>
        </w:tc>
        <w:tc>
          <w:tcPr>
            <w:tcW w:w="64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112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(2,805,557)</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0.02 </w:t>
            </w:r>
          </w:p>
        </w:tc>
        <w:tc>
          <w:tcPr>
            <w:tcW w:w="6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December 31, 2020</w:t>
            </w:r>
          </w:p>
        </w:tc>
        <w:tc>
          <w:tcPr>
            <w:tcW w:w="112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512,782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10.16 </w:t>
            </w:r>
          </w:p>
        </w:tc>
        <w:tc>
          <w:tcPr>
            <w:tcW w:w="64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6480175" cy="175260"/>
                <wp:effectExtent l="0" t="0" r="0" b="0"/>
                <wp:wrapNone/>
                <wp:docPr id="199" name="Frame19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F-39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F-39</w:t>
                      </w:r>
                    </w:p>
                  </w:txbxContent>
                </v:textbox>
              </v:rect>
            </w:pict>
          </mc:Fallback>
        </mc:AlternateConten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AGORA,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 xml:space="preserve">(All amounts in US$, except share data, unless otherwise stated) </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319" w:before="0" w:after="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(1)During 2020, the Company granted shares to employees that joined the Company following the business combination (Note 3) as well as a related party who was a previous shareholder in Netless (Note 18). Share agreements were signed with the employees contingent on their continuing employment with the Group as well as their ability to meet certain established performance targets. Of the restricted shares to the management employees, 70% of the awards will be released over a period of three years of continuous service, in equal installments starting from the stated vesting commencement date. The remaining 30% portion of the restricted shares are also subject to performance metrics based on an initial target number, and performance is measured over predefined performance periods which is one to three years; depending on the probability of achieving the performance targets, the number of restricted shares could range from 0 to 30% of the target amount. </w:t>
      </w:r>
    </w:p>
    <w:p>
      <w:pPr>
        <w:pStyle w:val="TextBody"/>
        <w:spacing w:before="0" w:after="0"/>
        <w:jc w:val="both"/>
        <w:rPr/>
      </w:pPr>
      <w:r>
        <w:rPr/>
      </w:r>
    </w:p>
    <w:p>
      <w:pPr>
        <w:pStyle w:val="TextBody"/>
        <w:spacing w:lineRule="auto" w:line="288" w:before="0" w:after="0"/>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Liability Classified Restricted Shares</w:t>
      </w:r>
    </w:p>
    <w:tbl>
      <w:tblPr>
        <w:tblW w:w="9145" w:type="dxa"/>
        <w:jc w:val="left"/>
        <w:tblInd w:w="0" w:type="dxa"/>
        <w:tblCellMar>
          <w:top w:w="28" w:type="dxa"/>
          <w:left w:w="28" w:type="dxa"/>
          <w:bottom w:w="28" w:type="dxa"/>
          <w:right w:w="28" w:type="dxa"/>
        </w:tblCellMar>
      </w:tblPr>
      <w:tblGrid>
        <w:gridCol w:w="1462"/>
        <w:gridCol w:w="1282"/>
        <w:gridCol w:w="1290"/>
        <w:gridCol w:w="374"/>
        <w:gridCol w:w="374"/>
        <w:gridCol w:w="376"/>
        <w:gridCol w:w="109"/>
        <w:gridCol w:w="109"/>
        <w:gridCol w:w="109"/>
        <w:gridCol w:w="881"/>
        <w:gridCol w:w="2135"/>
        <w:gridCol w:w="644"/>
      </w:tblGrid>
      <w:tr>
        <w:trPr/>
        <w:tc>
          <w:tcPr>
            <w:tcW w:w="1462" w:type="dxa"/>
            <w:tcBorders/>
            <w:shd w:fill="auto" w:val="clear"/>
            <w:vAlign w:val="center"/>
          </w:tcPr>
          <w:p>
            <w:pPr>
              <w:pStyle w:val="TableContents"/>
              <w:spacing w:before="0" w:after="283"/>
              <w:rPr>
                <w:sz w:val="4"/>
                <w:szCs w:val="4"/>
              </w:rPr>
            </w:pPr>
            <w:r>
              <w:rPr>
                <w:sz w:val="4"/>
                <w:szCs w:val="4"/>
              </w:rPr>
            </w:r>
          </w:p>
        </w:tc>
        <w:tc>
          <w:tcPr>
            <w:tcW w:w="1282" w:type="dxa"/>
            <w:tcBorders/>
            <w:shd w:fill="auto" w:val="clear"/>
            <w:vAlign w:val="center"/>
          </w:tcPr>
          <w:p>
            <w:pPr>
              <w:pStyle w:val="TableContents"/>
              <w:spacing w:before="0" w:after="283"/>
              <w:rPr>
                <w:sz w:val="4"/>
                <w:szCs w:val="4"/>
              </w:rPr>
            </w:pPr>
            <w:r>
              <w:rPr>
                <w:sz w:val="4"/>
                <w:szCs w:val="4"/>
              </w:rPr>
            </w:r>
          </w:p>
        </w:tc>
        <w:tc>
          <w:tcPr>
            <w:tcW w:w="1290" w:type="dxa"/>
            <w:tcBorders/>
            <w:shd w:fill="auto" w:val="clear"/>
            <w:vAlign w:val="center"/>
          </w:tcPr>
          <w:p>
            <w:pPr>
              <w:pStyle w:val="TableContents"/>
              <w:spacing w:before="0" w:after="283"/>
              <w:rPr>
                <w:sz w:val="4"/>
                <w:szCs w:val="4"/>
              </w:rPr>
            </w:pPr>
            <w:r>
              <w:rPr>
                <w:sz w:val="4"/>
                <w:szCs w:val="4"/>
              </w:rPr>
            </w:r>
          </w:p>
        </w:tc>
        <w:tc>
          <w:tcPr>
            <w:tcW w:w="374" w:type="dxa"/>
            <w:tcBorders/>
            <w:shd w:fill="auto" w:val="clear"/>
            <w:vAlign w:val="center"/>
          </w:tcPr>
          <w:p>
            <w:pPr>
              <w:pStyle w:val="TableContents"/>
              <w:spacing w:before="0" w:after="283"/>
              <w:rPr>
                <w:sz w:val="4"/>
                <w:szCs w:val="4"/>
              </w:rPr>
            </w:pPr>
            <w:r>
              <w:rPr>
                <w:sz w:val="4"/>
                <w:szCs w:val="4"/>
              </w:rPr>
            </w:r>
          </w:p>
        </w:tc>
        <w:tc>
          <w:tcPr>
            <w:tcW w:w="374"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81" w:type="dxa"/>
            <w:tcBorders/>
            <w:shd w:fill="auto" w:val="clear"/>
            <w:vAlign w:val="center"/>
          </w:tcPr>
          <w:p>
            <w:pPr>
              <w:pStyle w:val="TableContents"/>
              <w:spacing w:before="0" w:after="283"/>
              <w:rPr>
                <w:sz w:val="4"/>
                <w:szCs w:val="4"/>
              </w:rPr>
            </w:pPr>
            <w:r>
              <w:rPr>
                <w:sz w:val="4"/>
                <w:szCs w:val="4"/>
              </w:rPr>
            </w:r>
          </w:p>
        </w:tc>
        <w:tc>
          <w:tcPr>
            <w:tcW w:w="2135" w:type="dxa"/>
            <w:tcBorders/>
            <w:shd w:fill="auto" w:val="clear"/>
            <w:vAlign w:val="center"/>
          </w:tcPr>
          <w:p>
            <w:pPr>
              <w:pStyle w:val="TableContents"/>
              <w:spacing w:before="0" w:after="283"/>
              <w:rPr>
                <w:sz w:val="4"/>
                <w:szCs w:val="4"/>
              </w:rPr>
            </w:pPr>
            <w:r>
              <w:rPr>
                <w:sz w:val="4"/>
                <w:szCs w:val="4"/>
              </w:rPr>
            </w:r>
          </w:p>
        </w:tc>
        <w:tc>
          <w:tcPr>
            <w:tcW w:w="644" w:type="dxa"/>
            <w:tcBorders/>
            <w:shd w:fill="auto" w:val="clear"/>
            <w:vAlign w:val="center"/>
          </w:tcPr>
          <w:p>
            <w:pPr>
              <w:pStyle w:val="TableContents"/>
              <w:spacing w:before="0" w:after="283"/>
              <w:rPr>
                <w:sz w:val="4"/>
                <w:szCs w:val="4"/>
              </w:rPr>
            </w:pPr>
            <w:r>
              <w:rPr>
                <w:sz w:val="4"/>
                <w:szCs w:val="4"/>
              </w:rPr>
            </w:r>
          </w:p>
        </w:tc>
      </w:tr>
      <w:tr>
        <w:trPr/>
        <w:tc>
          <w:tcPr>
            <w:tcW w:w="40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4"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Numbers of </w:t>
            </w:r>
          </w:p>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Shares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Weighted-average Grant Date Fair Value</w:t>
            </w:r>
          </w:p>
        </w:tc>
      </w:tr>
      <w:tr>
        <w:trPr/>
        <w:tc>
          <w:tcPr>
            <w:tcW w:w="40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(US$)</w:t>
            </w:r>
          </w:p>
        </w:tc>
      </w:tr>
      <w:tr>
        <w:trPr/>
        <w:tc>
          <w:tcPr>
            <w:tcW w:w="40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January 1, 2018</w:t>
            </w:r>
          </w:p>
        </w:tc>
        <w:tc>
          <w:tcPr>
            <w:tcW w:w="112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151,042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13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0.02 </w:t>
            </w:r>
          </w:p>
        </w:tc>
        <w:tc>
          <w:tcPr>
            <w:tcW w:w="64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112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6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112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(62,500)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0.02 </w:t>
            </w:r>
          </w:p>
        </w:tc>
        <w:tc>
          <w:tcPr>
            <w:tcW w:w="64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December 31, 2018</w:t>
            </w:r>
          </w:p>
        </w:tc>
        <w:tc>
          <w:tcPr>
            <w:tcW w:w="1124"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88,542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0.02 </w:t>
            </w:r>
          </w:p>
        </w:tc>
        <w:tc>
          <w:tcPr>
            <w:tcW w:w="6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112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64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112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(62,500)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0.02 </w:t>
            </w:r>
          </w:p>
        </w:tc>
        <w:tc>
          <w:tcPr>
            <w:tcW w:w="6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Reclassified to equity classified restricted shares</w:t>
            </w:r>
          </w:p>
        </w:tc>
        <w:tc>
          <w:tcPr>
            <w:tcW w:w="112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(26,042)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0.02 </w:t>
            </w:r>
          </w:p>
        </w:tc>
        <w:tc>
          <w:tcPr>
            <w:tcW w:w="64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December 31, 2019 and 2020</w:t>
            </w:r>
          </w:p>
        </w:tc>
        <w:tc>
          <w:tcPr>
            <w:tcW w:w="1124"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319" w:before="0" w:after="240"/>
        <w:ind w:left="0" w:right="0" w:firstLine="567"/>
        <w:jc w:val="both"/>
        <w:rPr>
          <w:rFonts w:ascii="Times New Roman;sans-serif" w:hAnsi="Times New Roman;sans-serif"/>
          <w:b w:val="false"/>
          <w:color w:val="000000"/>
          <w:sz w:val="20"/>
        </w:rPr>
      </w:pPr>
      <w:r>
        <w:rPr>
          <w:rFonts w:ascii="Times New Roman;sans-serif" w:hAnsi="Times New Roman;sans-serif"/>
          <w:b w:val="false"/>
          <w:color w:val="000000"/>
          <w:sz w:val="20"/>
        </w:rPr>
        <w:t>The share-based compensation expenses in relation to the restricted shares granted by the Company recognized for the years ended December 31, 2018, 2019 and 2020 were US$327,682, US$323,374 and US$341,281, respectively.</w:t>
      </w:r>
    </w:p>
    <w:p>
      <w:pPr>
        <w:pStyle w:val="TextBody"/>
        <w:spacing w:lineRule="auto" w:line="319" w:before="0" w:after="240"/>
        <w:ind w:left="0" w:right="0" w:firstLine="567"/>
        <w:jc w:val="both"/>
        <w:rPr/>
      </w:pPr>
      <w:r>
        <w:rPr>
          <w:rFonts w:ascii="Times New Roman;sans-serif" w:hAnsi="Times New Roman;sans-serif"/>
          <w:b w:val="false"/>
          <w:color w:val="000000"/>
          <w:sz w:val="20"/>
        </w:rPr>
        <w:t xml:space="preserve">As of December 31, 2019 and 2020, there were US$76,874 and </w:t>
      </w:r>
      <w:r>
        <w:rPr>
          <w:rFonts w:ascii="Times New Roman;sans-serif" w:hAnsi="Times New Roman;sans-serif"/>
          <w:b w:val="false"/>
          <w:color w:val="000000"/>
          <w:sz w:val="20"/>
          <w:highlight w:val="white"/>
        </w:rPr>
        <w:t>US$4,946,744 of unrecognized share-based compensation expenses related to restricted shares, which is expected to be recognized over a weighted-average period of 0.4 and 2.0 years, respectively.</w:t>
      </w:r>
    </w:p>
    <w:p>
      <w:pPr>
        <w:pStyle w:val="TextBody"/>
        <w:spacing w:lineRule="auto" w:line="319" w:before="0" w:after="240"/>
        <w:ind w:left="0" w:right="0" w:firstLine="567"/>
        <w:jc w:val="both"/>
        <w:rPr>
          <w:rFonts w:ascii="Times New Roman;sans-serif" w:hAnsi="Times New Roman;sans-serif"/>
          <w:b w:val="false"/>
          <w:i/>
          <w:color w:val="000000"/>
          <w:sz w:val="20"/>
        </w:rPr>
      </w:pPr>
      <w:r>
        <w:rPr>
          <w:rFonts w:ascii="Times New Roman;sans-serif" w:hAnsi="Times New Roman;sans-serif"/>
          <w:b w:val="false"/>
          <w:i/>
          <w:color w:val="000000"/>
          <w:sz w:val="20"/>
        </w:rPr>
        <w:t>Granted by the Founder</w:t>
      </w:r>
    </w:p>
    <w:p>
      <w:pPr>
        <w:pStyle w:val="TextBody"/>
        <w:spacing w:lineRule="auto" w:line="319" w:before="0" w:after="240"/>
        <w:ind w:left="0" w:right="0" w:firstLine="567"/>
        <w:jc w:val="both"/>
        <w:rPr>
          <w:rFonts w:ascii="Times New Roman;sans-serif" w:hAnsi="Times New Roman;sans-serif"/>
          <w:b w:val="false"/>
          <w:color w:val="000000"/>
          <w:sz w:val="20"/>
        </w:rPr>
      </w:pPr>
      <w:r>
        <w:rPr>
          <w:rFonts w:ascii="Times New Roman;sans-serif" w:hAnsi="Times New Roman;sans-serif"/>
          <w:b w:val="false"/>
          <w:color w:val="000000"/>
          <w:sz w:val="20"/>
        </w:rPr>
        <w:t>From the years of 2015 to 2019, the Founder further granted his restricted shares that were vested from VoiceCrew Limited to select management employees of the Group. Restricted shares agreements were signed with the management employees in consideration of their continuing employment with the Group.</w:t>
      </w:r>
    </w:p>
    <w:p>
      <w:pPr>
        <w:pStyle w:val="TextBody"/>
        <w:spacing w:lineRule="auto" w:line="319" w:before="0" w:after="240"/>
        <w:ind w:left="0" w:right="0" w:firstLine="567"/>
        <w:jc w:val="both"/>
        <w:rPr>
          <w:rFonts w:ascii="Times New Roman;sans-serif" w:hAnsi="Times New Roman;sans-serif"/>
          <w:b w:val="false"/>
          <w:color w:val="000000"/>
          <w:sz w:val="20"/>
        </w:rPr>
      </w:pPr>
      <w:r>
        <w:rPr>
          <w:rFonts w:ascii="Times New Roman;sans-serif" w:hAnsi="Times New Roman;sans-serif"/>
          <w:b w:val="false"/>
          <w:color w:val="000000"/>
          <w:sz w:val="20"/>
        </w:rPr>
        <w:t>The restricted shares to the management employees will be further released over a period of four years of continuous service, 25% of which vest upon the first anniversary of the stated vesting commencement date and the remaining vest ratably over the following 36 months.</w:t>
      </w:r>
    </w:p>
    <w:p>
      <w:pPr>
        <w:pStyle w:val="TextBody"/>
        <w:spacing w:lineRule="auto" w:line="319" w:before="0" w:after="240"/>
        <w:ind w:left="0" w:right="0" w:firstLine="567"/>
        <w:jc w:val="both"/>
        <w:rPr/>
      </w:pPr>
      <w:r>
        <w:rPr>
          <w:rFonts w:ascii="Times New Roman;sans-serif" w:hAnsi="Times New Roman;sans-serif"/>
          <w:b w:val="false"/>
          <w:color w:val="000000"/>
          <w:sz w:val="20"/>
        </w:rPr>
        <w:t>The share-based compensation expenses in relation to the restricted shares granted by the Founder reco</w:t>
      </w:r>
      <w:r>
        <w:rPr>
          <w:rFonts w:ascii="Times New Roman;sans-serif" w:hAnsi="Times New Roman;sans-serif"/>
          <w:b w:val="false"/>
          <w:color w:val="000000"/>
          <w:sz w:val="20"/>
          <w:highlight w:val="white"/>
        </w:rPr>
        <w:t>gnized for the years ended December 31, 2018, 2019 and 2020 were US$843,139, US$790,643 and US$851,665, respectively.</w:t>
      </w:r>
    </w:p>
    <w:p>
      <w:pPr>
        <w:pStyle w:val="TextBody"/>
        <w:spacing w:lineRule="auto" w:line="319" w:before="0" w:after="240"/>
        <w:ind w:left="0" w:right="0" w:firstLine="567"/>
        <w:jc w:val="both"/>
        <w:rPr>
          <w:rFonts w:ascii="Times New Roman;sans-serif" w:hAnsi="Times New Roman;sans-serif"/>
          <w:b/>
          <w:i/>
          <w:color w:val="000000"/>
          <w:sz w:val="20"/>
        </w:rPr>
      </w:pPr>
      <w:r>
        <w:rPr>
          <w:rFonts w:ascii="Times New Roman;sans-serif" w:hAnsi="Times New Roman;sans-serif"/>
          <w:b/>
          <w:i/>
          <w:color w:val="000000"/>
          <w:sz w:val="20"/>
        </w:rPr>
        <w:t>Restricted Share Units</w:t>
      </w:r>
    </w:p>
    <w:p>
      <w:pPr>
        <w:pStyle w:val="TextBody"/>
        <w:spacing w:lineRule="auto" w:line="319" w:before="0" w:after="240"/>
        <w:ind w:left="0" w:right="0" w:firstLine="567"/>
        <w:jc w:val="both"/>
        <w:rPr>
          <w:rFonts w:ascii="Times New Roman;sans-serif" w:hAnsi="Times New Roman;sans-serif"/>
          <w:b w:val="false"/>
          <w:i/>
          <w:color w:val="000000"/>
          <w:sz w:val="20"/>
        </w:rPr>
      </w:pPr>
      <w:r>
        <w:rPr>
          <w:rFonts w:ascii="Times New Roman;sans-serif" w:hAnsi="Times New Roman;sans-serif"/>
          <w:b w:val="false"/>
          <w:i/>
          <w:color w:val="000000"/>
          <w:sz w:val="20"/>
        </w:rPr>
        <w:t>Granted by the Company</w:t>
      </w:r>
    </w:p>
    <w:p>
      <w:pPr>
        <w:pStyle w:val="HorizontalLine"/>
        <w:rPr/>
      </w:pPr>
      <w:r>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6480175" cy="175260"/>
                <wp:effectExtent l="0" t="0" r="0" b="0"/>
                <wp:wrapNone/>
                <wp:docPr id="200" name="Frame19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F-40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F-40</w:t>
                      </w:r>
                    </w:p>
                  </w:txbxContent>
                </v:textbox>
              </v:rect>
            </w:pict>
          </mc:Fallback>
        </mc:AlternateConten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AGORA,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 xml:space="preserve">(All amounts in US$, except share data, unless otherwise stated) </w:t>
      </w:r>
    </w:p>
    <w:p>
      <w:pPr>
        <w:pStyle w:val="TextBody"/>
        <w:spacing w:lineRule="auto" w:line="319" w:before="0" w:after="240"/>
        <w:ind w:left="0" w:right="0" w:firstLine="567"/>
        <w:jc w:val="both"/>
        <w:rPr>
          <w:rFonts w:ascii="Times New Roman;sans-serif" w:hAnsi="Times New Roman;sans-serif"/>
          <w:b w:val="false"/>
          <w:color w:val="000000"/>
          <w:sz w:val="20"/>
        </w:rPr>
      </w:pPr>
      <w:r>
        <w:rPr>
          <w:rFonts w:ascii="Times New Roman;sans-serif" w:hAnsi="Times New Roman;sans-serif"/>
          <w:b w:val="false"/>
          <w:color w:val="000000"/>
          <w:sz w:val="20"/>
        </w:rPr>
        <w:t>A restricted share unit (“RSU”) granted under the Global Plan will generally vest over a period of two years of continuous service, 50% of which vest upon the first anniversary of the stated vesting commencement date and the remaining vest ratably over the following 12 months. The following table summarizes the RSU activities:</w:t>
      </w:r>
    </w:p>
    <w:tbl>
      <w:tblPr>
        <w:tblW w:w="8050" w:type="dxa"/>
        <w:jc w:val="left"/>
        <w:tblInd w:w="0" w:type="dxa"/>
        <w:tblCellMar>
          <w:top w:w="28" w:type="dxa"/>
          <w:left w:w="28" w:type="dxa"/>
          <w:bottom w:w="28" w:type="dxa"/>
          <w:right w:w="28" w:type="dxa"/>
        </w:tblCellMar>
      </w:tblPr>
      <w:tblGrid>
        <w:gridCol w:w="1065"/>
        <w:gridCol w:w="935"/>
        <w:gridCol w:w="940"/>
        <w:gridCol w:w="374"/>
        <w:gridCol w:w="374"/>
        <w:gridCol w:w="376"/>
        <w:gridCol w:w="109"/>
        <w:gridCol w:w="109"/>
        <w:gridCol w:w="109"/>
        <w:gridCol w:w="1001"/>
        <w:gridCol w:w="1925"/>
        <w:gridCol w:w="733"/>
      </w:tblGrid>
      <w:tr>
        <w:trPr/>
        <w:tc>
          <w:tcPr>
            <w:tcW w:w="1065" w:type="dxa"/>
            <w:tcBorders/>
            <w:shd w:fill="auto" w:val="clear"/>
            <w:vAlign w:val="center"/>
          </w:tcPr>
          <w:p>
            <w:pPr>
              <w:pStyle w:val="TableContents"/>
              <w:spacing w:before="0" w:after="283"/>
              <w:rPr>
                <w:sz w:val="4"/>
                <w:szCs w:val="4"/>
              </w:rPr>
            </w:pPr>
            <w:r>
              <w:rPr>
                <w:sz w:val="4"/>
                <w:szCs w:val="4"/>
              </w:rPr>
            </w:r>
          </w:p>
        </w:tc>
        <w:tc>
          <w:tcPr>
            <w:tcW w:w="935" w:type="dxa"/>
            <w:tcBorders/>
            <w:shd w:fill="auto" w:val="clear"/>
            <w:vAlign w:val="center"/>
          </w:tcPr>
          <w:p>
            <w:pPr>
              <w:pStyle w:val="TableContents"/>
              <w:spacing w:before="0" w:after="283"/>
              <w:rPr>
                <w:sz w:val="4"/>
                <w:szCs w:val="4"/>
              </w:rPr>
            </w:pPr>
            <w:r>
              <w:rPr>
                <w:sz w:val="4"/>
                <w:szCs w:val="4"/>
              </w:rPr>
            </w:r>
          </w:p>
        </w:tc>
        <w:tc>
          <w:tcPr>
            <w:tcW w:w="940" w:type="dxa"/>
            <w:tcBorders/>
            <w:shd w:fill="auto" w:val="clear"/>
            <w:vAlign w:val="center"/>
          </w:tcPr>
          <w:p>
            <w:pPr>
              <w:pStyle w:val="TableContents"/>
              <w:spacing w:before="0" w:after="283"/>
              <w:rPr>
                <w:sz w:val="4"/>
                <w:szCs w:val="4"/>
              </w:rPr>
            </w:pPr>
            <w:r>
              <w:rPr>
                <w:sz w:val="4"/>
                <w:szCs w:val="4"/>
              </w:rPr>
            </w:r>
          </w:p>
        </w:tc>
        <w:tc>
          <w:tcPr>
            <w:tcW w:w="374" w:type="dxa"/>
            <w:tcBorders/>
            <w:shd w:fill="auto" w:val="clear"/>
            <w:vAlign w:val="center"/>
          </w:tcPr>
          <w:p>
            <w:pPr>
              <w:pStyle w:val="TableContents"/>
              <w:spacing w:before="0" w:after="283"/>
              <w:rPr>
                <w:sz w:val="4"/>
                <w:szCs w:val="4"/>
              </w:rPr>
            </w:pPr>
            <w:r>
              <w:rPr>
                <w:sz w:val="4"/>
                <w:szCs w:val="4"/>
              </w:rPr>
            </w:r>
          </w:p>
        </w:tc>
        <w:tc>
          <w:tcPr>
            <w:tcW w:w="374"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01" w:type="dxa"/>
            <w:tcBorders/>
            <w:shd w:fill="auto" w:val="clear"/>
            <w:vAlign w:val="center"/>
          </w:tcPr>
          <w:p>
            <w:pPr>
              <w:pStyle w:val="TableContents"/>
              <w:spacing w:before="0" w:after="283"/>
              <w:rPr>
                <w:sz w:val="4"/>
                <w:szCs w:val="4"/>
              </w:rPr>
            </w:pPr>
            <w:r>
              <w:rPr>
                <w:sz w:val="4"/>
                <w:szCs w:val="4"/>
              </w:rPr>
            </w:r>
          </w:p>
        </w:tc>
        <w:tc>
          <w:tcPr>
            <w:tcW w:w="1925" w:type="dxa"/>
            <w:tcBorders/>
            <w:shd w:fill="auto" w:val="clear"/>
            <w:vAlign w:val="center"/>
          </w:tcPr>
          <w:p>
            <w:pPr>
              <w:pStyle w:val="TableContents"/>
              <w:spacing w:before="0" w:after="283"/>
              <w:rPr>
                <w:sz w:val="4"/>
                <w:szCs w:val="4"/>
              </w:rPr>
            </w:pPr>
            <w:r>
              <w:rPr>
                <w:sz w:val="4"/>
                <w:szCs w:val="4"/>
              </w:rPr>
            </w:r>
          </w:p>
        </w:tc>
        <w:tc>
          <w:tcPr>
            <w:tcW w:w="733" w:type="dxa"/>
            <w:tcBorders/>
            <w:shd w:fill="auto" w:val="clear"/>
            <w:vAlign w:val="center"/>
          </w:tcPr>
          <w:p>
            <w:pPr>
              <w:pStyle w:val="TableContents"/>
              <w:spacing w:before="0" w:after="283"/>
              <w:rPr>
                <w:sz w:val="4"/>
                <w:szCs w:val="4"/>
              </w:rPr>
            </w:pPr>
            <w:r>
              <w:rPr>
                <w:sz w:val="4"/>
                <w:szCs w:val="4"/>
              </w:rPr>
            </w:r>
          </w:p>
        </w:tc>
      </w:tr>
      <w:tr>
        <w:trPr/>
        <w:tc>
          <w:tcPr>
            <w:tcW w:w="29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4"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Numbers of </w:t>
            </w:r>
          </w:p>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Shares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5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Weighted-average Grant Date Fair Value</w:t>
            </w:r>
          </w:p>
        </w:tc>
      </w:tr>
      <w:tr>
        <w:trPr/>
        <w:tc>
          <w:tcPr>
            <w:tcW w:w="29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5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(US$)</w:t>
            </w:r>
          </w:p>
        </w:tc>
      </w:tr>
      <w:tr>
        <w:trPr/>
        <w:tc>
          <w:tcPr>
            <w:tcW w:w="29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December 31, 2019</w:t>
            </w:r>
          </w:p>
        </w:tc>
        <w:tc>
          <w:tcPr>
            <w:tcW w:w="112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25"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73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112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263,621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5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10.30</w:t>
            </w:r>
          </w:p>
        </w:tc>
      </w:tr>
      <w:tr>
        <w:trPr/>
        <w:tc>
          <w:tcPr>
            <w:tcW w:w="29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112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5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r>
      <w:tr>
        <w:trPr/>
        <w:tc>
          <w:tcPr>
            <w:tcW w:w="29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December 31, 2020</w:t>
            </w:r>
          </w:p>
        </w:tc>
        <w:tc>
          <w:tcPr>
            <w:tcW w:w="1124"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263,621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5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10.30</w:t>
            </w:r>
          </w:p>
        </w:tc>
      </w:tr>
    </w:tbl>
    <w:p>
      <w:pPr>
        <w:pStyle w:val="TextBody"/>
        <w:spacing w:before="0" w:after="0"/>
        <w:jc w:val="both"/>
        <w:rPr/>
      </w:pPr>
      <w:r>
        <w:rPr/>
      </w:r>
    </w:p>
    <w:p>
      <w:pPr>
        <w:pStyle w:val="TextBody"/>
        <w:spacing w:lineRule="auto" w:line="319" w:before="0" w:after="240"/>
        <w:ind w:left="0" w:right="0" w:firstLine="567"/>
        <w:jc w:val="both"/>
        <w:rPr>
          <w:rFonts w:ascii="Times New Roman;sans-serif" w:hAnsi="Times New Roman;sans-serif"/>
          <w:b w:val="false"/>
          <w:color w:val="000000"/>
          <w:sz w:val="20"/>
        </w:rPr>
      </w:pPr>
      <w:r>
        <w:rPr>
          <w:rFonts w:ascii="Times New Roman;sans-serif" w:hAnsi="Times New Roman;sans-serif"/>
          <w:b w:val="false"/>
          <w:color w:val="000000"/>
          <w:sz w:val="20"/>
        </w:rPr>
        <w:t>The share-based compensation expenses in relation to the restricted share units granted by the Company recognized for the year ended December 2020 was US$136,175.</w:t>
      </w:r>
    </w:p>
    <w:p>
      <w:pPr>
        <w:pStyle w:val="TextBody"/>
        <w:spacing w:lineRule="auto" w:line="319" w:before="0" w:after="240"/>
        <w:ind w:left="0" w:right="0" w:firstLine="567"/>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2020, there were US$2,580,143 unrecognized share-based compensation expenses related to restricted shares, which is expected to be recognized over a weighted-average period of 1.8 years.</w:t>
      </w:r>
    </w:p>
    <w:p>
      <w:pPr>
        <w:pStyle w:val="TextBody"/>
        <w:spacing w:lineRule="auto" w:line="319" w:before="0" w:after="240"/>
        <w:ind w:left="0" w:right="0" w:firstLine="567"/>
        <w:jc w:val="both"/>
        <w:rPr>
          <w:rFonts w:ascii="Times New Roman;sans-serif" w:hAnsi="Times New Roman;sans-serif"/>
          <w:b/>
          <w:i/>
          <w:color w:val="000000"/>
          <w:sz w:val="20"/>
        </w:rPr>
      </w:pPr>
      <w:r>
        <w:rPr>
          <w:rFonts w:ascii="Times New Roman;sans-serif" w:hAnsi="Times New Roman;sans-serif"/>
          <w:b/>
          <w:i/>
          <w:color w:val="000000"/>
          <w:sz w:val="20"/>
        </w:rPr>
        <w:t>Venture Partners Plan</w:t>
      </w:r>
    </w:p>
    <w:p>
      <w:pPr>
        <w:pStyle w:val="TextBody"/>
        <w:spacing w:lineRule="auto" w:line="319" w:before="0" w:after="240"/>
        <w:ind w:left="0" w:right="0" w:firstLine="567"/>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November 2020, the Company adopted and board of directors approved the Venture Partners Plan (“VPP Program”) as a complement to the current bonus and equity incentive plans. </w:t>
      </w:r>
    </w:p>
    <w:p>
      <w:pPr>
        <w:pStyle w:val="TextBody"/>
        <w:spacing w:lineRule="auto" w:line="319" w:before="0" w:after="240"/>
        <w:ind w:left="0" w:right="0" w:firstLine="567"/>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Under the VPP Program, the Company grants VPPs to employees, consultants and directors to participate in the program; the VPPs will be converted to and paid out in cash or settled in shares at the discretion of the Company. The VPP Program is administered by the compensation committee of the board of directors or any personnel appointed by the compensation committee (“administrator”). The administrator has the authority and discretion necessary or appropriate to administer the VPP Program and to control its operation, including determining the adjusted profits for each performance year which will be allocated as the annual shared profit and the accumulated retained profit (if any), determining the method and timing of settlement. The compensation committee of the board of directors may, at any time, amend, alter, suspend or terminate the VPP Program. </w:t>
      </w:r>
    </w:p>
    <w:p>
      <w:pPr>
        <w:pStyle w:val="TextBody"/>
        <w:spacing w:lineRule="auto" w:line="319" w:before="0" w:after="240"/>
        <w:ind w:left="0" w:right="0" w:firstLine="567"/>
        <w:jc w:val="both"/>
        <w:rPr>
          <w:rFonts w:ascii="Times New Roman;sans-serif" w:hAnsi="Times New Roman;sans-serif"/>
          <w:b w:val="false"/>
          <w:color w:val="000000"/>
          <w:sz w:val="20"/>
        </w:rPr>
      </w:pPr>
      <w:r>
        <w:rPr>
          <w:rFonts w:ascii="Times New Roman;sans-serif" w:hAnsi="Times New Roman;sans-serif"/>
          <w:b w:val="false"/>
          <w:color w:val="000000"/>
          <w:sz w:val="20"/>
        </w:rPr>
        <w:t>The VPP Program stipulates that a participant is entitled to the annual shared profit contingent on their service through the annual performance period, while their receipt of the accumulated retained profit (if any) is contingent on their employment through the date of payment. While the annual shared profit is typically settled in the year following the performance year, the accumulated retained profit will be settled at a future period that is determined by the administrator.</w:t>
      </w:r>
    </w:p>
    <w:p>
      <w:pPr>
        <w:pStyle w:val="TextBody"/>
        <w:spacing w:lineRule="auto" w:line="319" w:before="0" w:after="240"/>
        <w:ind w:left="0" w:right="0" w:firstLine="567"/>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2020, no cash or shares have been settled under the VPP Program, and no accumulated retained profit was allocated to the payout associated with the 2020 performance year. For the year ended in December 31, 2020, share-based compensation expenses in relation to the program for the 2020 performance year was US$3,452,706, which represents the estimated liability that is expected to be settled. As of December 31, 2020, there was no unrecognized share-based compensation expenses related to the program as the performance period has ended.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19" w:before="0" w:after="240"/>
        <w:ind w:left="0" w:right="0" w:hanging="567"/>
        <w:jc w:val="both"/>
        <w:rPr>
          <w:rFonts w:ascii="Times New Roman;sans-serif" w:hAnsi="Times New Roman;sans-serif"/>
          <w:b/>
          <w:color w:val="000000"/>
          <w:sz w:val="20"/>
        </w:rPr>
      </w:pPr>
      <w:r>
        <w:rPr>
          <w:rFonts w:ascii="Times New Roman;sans-serif" w:hAnsi="Times New Roman;sans-serif"/>
          <w:b/>
          <w:color w:val="000000"/>
          <w:sz w:val="20"/>
        </w:rPr>
        <w:t>14.Employee Benefits</w:t>
      </w:r>
    </w:p>
    <w:p>
      <w:pPr>
        <w:pStyle w:val="TextBody"/>
        <w:spacing w:lineRule="auto" w:line="319" w:before="0" w:after="240"/>
        <w:ind w:left="0" w:right="0" w:firstLine="567"/>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full-time employees of the Company’s subsidiaries and the VIE that are incorporated in the PRC are entitled to staff welfare benefits including medical insurance, basic pensions, unemployment insurance, work injury </w:t>
      </w:r>
    </w:p>
    <w:p>
      <w:pPr>
        <w:pStyle w:val="HorizontalLine"/>
        <w:rPr/>
      </w:pPr>
      <w:r>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6480175" cy="175260"/>
                <wp:effectExtent l="0" t="0" r="0" b="0"/>
                <wp:wrapNone/>
                <wp:docPr id="201" name="Frame200"/>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F-41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F-41</w:t>
                      </w:r>
                    </w:p>
                  </w:txbxContent>
                </v:textbox>
              </v:rect>
            </w:pict>
          </mc:Fallback>
        </mc:AlternateConten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AGORA,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 xml:space="preserve">(All amounts in US$, except share data, unless otherwise stated) </w:t>
      </w:r>
    </w:p>
    <w:p>
      <w:pPr>
        <w:pStyle w:val="TextBody"/>
        <w:spacing w:lineRule="auto" w:line="319" w:before="0" w:after="240"/>
        <w:jc w:val="both"/>
        <w:rPr/>
      </w:pPr>
      <w:r>
        <w:rPr>
          <w:rFonts w:ascii="Times New Roman;sans-serif" w:hAnsi="Times New Roman;sans-serif"/>
          <w:b w:val="false"/>
          <w:color w:val="000000"/>
          <w:sz w:val="20"/>
        </w:rPr>
        <w:t>insurance, maternity insurance and housing funds. These companies are required to contribute to these benefits based on certain percentages of the employees’ salaries in accordance with the relevant regulations and charge the amount contributed to these benefits to the consolidated statements of comprehensive loss. The total amounts charged to the consolidated statements of comprehensive loss for such employee benefits amounted to US$3,003,978, US$4,603,077 and U</w:t>
      </w:r>
      <w:r>
        <w:rPr>
          <w:rFonts w:ascii="Times New Roman;sans-serif" w:hAnsi="Times New Roman;sans-serif"/>
          <w:b w:val="false"/>
          <w:color w:val="000000"/>
          <w:sz w:val="20"/>
          <w:highlight w:val="white"/>
        </w:rPr>
        <w:t>S$4,714,418 for the years ended December 31, 2018, 2019 and 2020, respectively. The PRC government is responsible for the welfare and medical benefits and ultimate pension liability to these employees.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19" w:before="0" w:after="240"/>
        <w:ind w:left="0" w:right="0" w:hanging="567"/>
        <w:jc w:val="both"/>
        <w:rPr>
          <w:rFonts w:ascii="Times New Roman;sans-serif" w:hAnsi="Times New Roman;sans-serif"/>
          <w:b/>
          <w:color w:val="000000"/>
          <w:sz w:val="20"/>
        </w:rPr>
      </w:pPr>
      <w:r>
        <w:rPr>
          <w:rFonts w:ascii="Times New Roman;sans-serif" w:hAnsi="Times New Roman;sans-serif"/>
          <w:b/>
          <w:color w:val="000000"/>
          <w:sz w:val="20"/>
        </w:rPr>
        <w:t>15.Income Taxes</w:t>
      </w:r>
    </w:p>
    <w:p>
      <w:pPr>
        <w:pStyle w:val="TextBody"/>
        <w:spacing w:lineRule="auto" w:line="319" w:before="0" w:after="240"/>
        <w:ind w:left="0" w:right="0" w:firstLine="567"/>
        <w:jc w:val="both"/>
        <w:rPr>
          <w:rFonts w:ascii="Times New Roman;sans-serif" w:hAnsi="Times New Roman;sans-serif"/>
          <w:b/>
          <w:i/>
          <w:color w:val="000000"/>
          <w:sz w:val="20"/>
        </w:rPr>
      </w:pPr>
      <w:r>
        <w:rPr>
          <w:rFonts w:ascii="Times New Roman;sans-serif" w:hAnsi="Times New Roman;sans-serif"/>
          <w:b/>
          <w:i/>
          <w:color w:val="000000"/>
          <w:sz w:val="20"/>
        </w:rPr>
        <w:t>Cayman Islands</w:t>
      </w:r>
    </w:p>
    <w:p>
      <w:pPr>
        <w:pStyle w:val="TextBody"/>
        <w:spacing w:lineRule="auto" w:line="319" w:before="0" w:after="240"/>
        <w:ind w:left="0" w:right="0" w:firstLine="567"/>
        <w:jc w:val="both"/>
        <w:rPr>
          <w:rFonts w:ascii="Times New Roman;sans-serif" w:hAnsi="Times New Roman;sans-serif"/>
          <w:b w:val="false"/>
          <w:color w:val="000000"/>
          <w:sz w:val="20"/>
        </w:rPr>
      </w:pPr>
      <w:r>
        <w:rPr>
          <w:rFonts w:ascii="Times New Roman;sans-serif" w:hAnsi="Times New Roman;sans-serif"/>
          <w:b w:val="false"/>
          <w:color w:val="000000"/>
          <w:sz w:val="20"/>
        </w:rPr>
        <w:t>Under the current laws of the Cayman Islands, the Company is not subject to tax on income or capital gain. Additionally, the Cayman Islands does not impose a withholding tax on payments of dividends to shareholders.</w:t>
      </w:r>
    </w:p>
    <w:p>
      <w:pPr>
        <w:pStyle w:val="TextBody"/>
        <w:spacing w:lineRule="auto" w:line="319" w:before="0" w:after="240"/>
        <w:ind w:left="0" w:right="0" w:firstLine="567"/>
        <w:jc w:val="both"/>
        <w:rPr>
          <w:rFonts w:ascii="Times New Roman;sans-serif" w:hAnsi="Times New Roman;sans-serif"/>
          <w:b/>
          <w:i/>
          <w:color w:val="000000"/>
          <w:sz w:val="20"/>
        </w:rPr>
      </w:pPr>
      <w:r>
        <w:rPr>
          <w:rFonts w:ascii="Times New Roman;sans-serif" w:hAnsi="Times New Roman;sans-serif"/>
          <w:b/>
          <w:i/>
          <w:color w:val="000000"/>
          <w:sz w:val="20"/>
        </w:rPr>
        <w:t>Hong Kong</w:t>
      </w:r>
    </w:p>
    <w:p>
      <w:pPr>
        <w:pStyle w:val="TextBody"/>
        <w:spacing w:lineRule="auto" w:line="319" w:before="0" w:after="240"/>
        <w:ind w:left="0" w:right="0" w:firstLine="567"/>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subsidiary in Hong Kong is subject to Hong Kong Profits Tax on the taxable income as reported in the statutory financial statements adjusted in accordance with relevant Hong Kong tax laws. The applicable tax rate is 16.5% in Hong Kong. Additionally, payments of dividends by the subsidiaries incorporated in Hong Kong to the Company are not subject to any Hong Kong withholding tax.</w:t>
      </w:r>
    </w:p>
    <w:p>
      <w:pPr>
        <w:pStyle w:val="TextBody"/>
        <w:spacing w:lineRule="auto" w:line="319" w:before="0" w:after="240"/>
        <w:ind w:left="0" w:right="0" w:firstLine="567"/>
        <w:jc w:val="both"/>
        <w:rPr>
          <w:rFonts w:ascii="Times New Roman;sans-serif" w:hAnsi="Times New Roman;sans-serif"/>
          <w:b/>
          <w:i/>
          <w:color w:val="000000"/>
          <w:sz w:val="20"/>
        </w:rPr>
      </w:pPr>
      <w:r>
        <w:rPr>
          <w:rFonts w:ascii="Times New Roman;sans-serif" w:hAnsi="Times New Roman;sans-serif"/>
          <w:b/>
          <w:i/>
          <w:color w:val="000000"/>
          <w:sz w:val="20"/>
        </w:rPr>
        <w:t>PRC</w:t>
      </w:r>
    </w:p>
    <w:p>
      <w:pPr>
        <w:pStyle w:val="TextBody"/>
        <w:spacing w:lineRule="auto" w:line="319" w:before="0" w:after="240"/>
        <w:ind w:left="0" w:right="0" w:firstLine="567"/>
        <w:jc w:val="both"/>
        <w:rPr>
          <w:rFonts w:ascii="Times New Roman;sans-serif" w:hAnsi="Times New Roman;sans-serif"/>
          <w:b w:val="false"/>
          <w:color w:val="000000"/>
          <w:sz w:val="20"/>
        </w:rPr>
      </w:pPr>
      <w:r>
        <w:rPr>
          <w:rFonts w:ascii="Times New Roman;sans-serif" w:hAnsi="Times New Roman;sans-serif"/>
          <w:b w:val="false"/>
          <w:color w:val="000000"/>
          <w:sz w:val="20"/>
        </w:rPr>
        <w:t>On March 16, 2007, the National People’s Congress of PRC enacted the Enterprise Income Tax Law (the “EIT Law”), under which foreign invested enterprises (“FIEs”) and domestic companies would be subject to enterprise income tax (“EIT”) at a uniform rate of 25%.</w:t>
      </w:r>
    </w:p>
    <w:p>
      <w:pPr>
        <w:pStyle w:val="TextBody"/>
        <w:spacing w:lineRule="auto" w:line="319" w:before="0" w:after="240"/>
        <w:ind w:left="0" w:right="0" w:firstLine="567"/>
        <w:jc w:val="both"/>
        <w:rPr>
          <w:rFonts w:ascii="Times New Roman;sans-serif" w:hAnsi="Times New Roman;sans-serif"/>
          <w:b w:val="false"/>
          <w:color w:val="000000"/>
          <w:sz w:val="20"/>
        </w:rPr>
      </w:pPr>
      <w:r>
        <w:rPr>
          <w:rFonts w:ascii="Times New Roman;sans-serif" w:hAnsi="Times New Roman;sans-serif"/>
          <w:b w:val="false"/>
          <w:color w:val="000000"/>
          <w:sz w:val="20"/>
        </w:rPr>
        <w:t>The EIT Law also provides that an enterprise established under the laws of a foreign country or region but whose “de facto management body” is located in the PRC be treated as a resident enterprise for PRC tax purposes and consequently be subject to the PRC income tax at the rate of 25% for its global income. The implementing rules of the EIT Law merely define the location of the “de facto management body” as “the place where the exercising, in substance, of the overall management and control of the production and business operation, personnel, accounting, properties, etc., of a non-PRC company is located.”</w:t>
      </w:r>
    </w:p>
    <w:p>
      <w:pPr>
        <w:pStyle w:val="TextBody"/>
        <w:spacing w:lineRule="auto" w:line="319" w:before="0" w:after="240"/>
        <w:ind w:left="0" w:right="0" w:firstLine="567"/>
        <w:jc w:val="both"/>
        <w:rPr>
          <w:rFonts w:ascii="Times New Roman;sans-serif" w:hAnsi="Times New Roman;sans-serif"/>
          <w:b w:val="false"/>
          <w:color w:val="000000"/>
          <w:sz w:val="20"/>
        </w:rPr>
      </w:pPr>
      <w:r>
        <w:rPr>
          <w:rFonts w:ascii="Times New Roman;sans-serif" w:hAnsi="Times New Roman;sans-serif"/>
          <w:b w:val="false"/>
          <w:color w:val="000000"/>
          <w:sz w:val="20"/>
        </w:rPr>
        <w:t>The EIT Law also imposes a withholding income tax of 10% on dividends distributed by a FIE to its immediate holding company outside of China, if such immediate holding company is considered as a non-resident enterprise without any establishment or place within China or if the received dividends have no connection with the establishment or place of such immediate holding company within China, unless such immediate holding company’s jurisdiction of incorporation has a tax treaty with China that provides for a different withholding arrangement. The Cayman Islands, where the Company is incorporated, does not have such a tax treaty with China. According to the Arrangement between the Mainland of China and the Hong Kong Special Administrative Region for the Avoidance of Double Taxation and the Prevention of Fiscal Evasion with respect to Taxes on Income, which was promulgated in August 2006, dividends paid by a FIE in China to its immediate holding company in Hong Kong will be subject to withholding tax at a rate of no more than 5% if the immediate holding company in Hong Kong owns directly at least 25% of the shares of the FIE and could be recognized as a beneficial owner of the dividend from a PRC tax perspective.</w:t>
      </w:r>
    </w:p>
    <w:p>
      <w:pPr>
        <w:pStyle w:val="TextBody"/>
        <w:spacing w:lineRule="auto" w:line="319" w:before="0" w:after="240"/>
        <w:ind w:left="0" w:right="0" w:firstLine="567"/>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Dayin obtained a software company certificate in 2018. Pursuant to such certificate, Dayin qualifies for a tax holiday during which it is entitled to an exemption from EIT for two years commencing from its first profit-making </w:t>
      </w:r>
    </w:p>
    <w:p>
      <w:pPr>
        <w:pStyle w:val="HorizontalLine"/>
        <w:rPr/>
      </w:pPr>
      <w:r>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6480175" cy="526415"/>
                <wp:effectExtent l="0" t="0" r="0" b="0"/>
                <wp:wrapNone/>
                <wp:docPr id="202" name="Frame201"/>
                <a:graphic xmlns:a="http://schemas.openxmlformats.org/drawingml/2006/main">
                  <a:graphicData uri="http://schemas.microsoft.com/office/word/2010/wordprocessingShape">
                    <wps:wsp>
                      <wps:cNvSpPr txBox="1"/>
                      <wps:spPr>
                        <a:xfrm>
                          <a:off x="0" y="0"/>
                          <a:ext cx="6480175" cy="52641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F-42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F-42</w:t>
                      </w:r>
                    </w:p>
                  </w:txbxContent>
                </v:textbox>
              </v:rect>
            </w:pict>
          </mc:Fallback>
        </mc:AlternateConten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AGORA,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 xml:space="preserve">(All amounts in US$, except share data, unless otherwise stated) </w:t>
      </w:r>
    </w:p>
    <w:p>
      <w:pPr>
        <w:pStyle w:val="TextBody"/>
        <w:spacing w:lineRule="auto" w:line="319"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year of operation and a 50% reduction of EIT for the following three years. Dayin qualifies for a 50% EIT reduction in 2019 and a 50% EIT reduction in 2020.</w:t>
      </w:r>
    </w:p>
    <w:p>
      <w:pPr>
        <w:pStyle w:val="TextBody"/>
        <w:spacing w:lineRule="auto" w:line="319" w:before="0" w:after="240"/>
        <w:ind w:left="0" w:right="0" w:firstLine="567"/>
        <w:jc w:val="both"/>
        <w:rPr>
          <w:rFonts w:ascii="Times New Roman;sans-serif" w:hAnsi="Times New Roman;sans-serif"/>
          <w:b/>
          <w:i/>
          <w:color w:val="000000"/>
          <w:sz w:val="20"/>
        </w:rPr>
      </w:pPr>
      <w:r>
        <w:rPr>
          <w:rFonts w:ascii="Times New Roman;sans-serif" w:hAnsi="Times New Roman;sans-serif"/>
          <w:b/>
          <w:i/>
          <w:color w:val="000000"/>
          <w:sz w:val="20"/>
        </w:rPr>
        <w:t>United States</w:t>
      </w:r>
    </w:p>
    <w:p>
      <w:pPr>
        <w:pStyle w:val="TextBody"/>
        <w:spacing w:lineRule="auto" w:line="319" w:before="0" w:after="240"/>
        <w:ind w:left="0" w:right="0" w:firstLine="567"/>
        <w:jc w:val="both"/>
        <w:rPr/>
      </w:pPr>
      <w:r>
        <w:rPr>
          <w:rFonts w:ascii="Times New Roman;sans-serif" w:hAnsi="Times New Roman;sans-serif"/>
          <w:b w:val="false"/>
          <w:color w:val="000000"/>
          <w:sz w:val="20"/>
        </w:rPr>
        <w:t>The Company’s subsidiary in California, United States is subject to U.S. federal corporate tax and California corporate franchise tax on its ta</w:t>
      </w:r>
      <w:r>
        <w:rPr>
          <w:rFonts w:ascii="Times New Roman;sans-serif" w:hAnsi="Times New Roman;sans-serif"/>
          <w:b w:val="false"/>
          <w:color w:val="000000"/>
          <w:sz w:val="20"/>
          <w:highlight w:val="white"/>
        </w:rPr>
        <w:t>xable income as reported in its statutory financial statements adjusted in accordance with relevant U.S. tax laws. The applicable U.S. federal corporate tax rate is 21% and the California corporate franchise tax rate is 8.84% in 2018, 2019 and 2020.</w:t>
      </w:r>
    </w:p>
    <w:p>
      <w:pPr>
        <w:pStyle w:val="TextBody"/>
        <w:spacing w:lineRule="auto" w:line="319" w:before="0" w:after="240"/>
        <w:ind w:left="0" w:right="0" w:firstLine="567"/>
        <w:jc w:val="both"/>
        <w:rPr>
          <w:rFonts w:ascii="Times New Roman;sans-serif" w:hAnsi="Times New Roman;sans-serif"/>
          <w:b w:val="false"/>
          <w:color w:val="000000"/>
          <w:sz w:val="20"/>
        </w:rPr>
      </w:pPr>
      <w:r>
        <w:rPr>
          <w:rFonts w:ascii="Times New Roman;sans-serif" w:hAnsi="Times New Roman;sans-serif"/>
          <w:b w:val="false"/>
          <w:color w:val="000000"/>
          <w:sz w:val="20"/>
        </w:rPr>
        <w:t>On December 22, 2017, the U.S. government enacted comprehensive tax legislation commonly referred to as the Tax Cuts and Jobs Act (the “Tax Act”). The Tax Act makes broad and complex changes to the U.S. tax code including, but not limited to: (1) reducing the U.S. federal corporate tax rate from 35% to 21%; (2) requiring companies to pay a one-time transition tax on certain unrepatriated earnings of foreign subsidiaries; (3) generally eliminating U.S. federal income taxes on dividends from foreign subsidiaries; (4) requiring a current inclusion in U.S. federal taxable income of certain earnings of controlled foreign corporations; (5) eliminating the corporate alternative minimum tax (“AMT”) and changing how existing AMT credits can be realized; (6) creating the base erosion anti-abuse tax (“BEAT”), a new minimum tax; (7) creating a new limitation on deductible interest expense; and (8) changing rules related to uses and limitations of net operating loss carry-forwards created in tax years beginning after December 31, 2017. See the tax loss carry-forwards disclosure below for the impact of the Tax Act on the Group. In addition, the California corporate franchise tax remained the same after the enactment of the Tax Act.</w:t>
      </w:r>
    </w:p>
    <w:p>
      <w:pPr>
        <w:pStyle w:val="TextBody"/>
        <w:spacing w:lineRule="auto" w:line="319" w:before="0" w:after="240"/>
        <w:ind w:left="0" w:right="0" w:firstLine="567"/>
        <w:jc w:val="both"/>
        <w:rPr>
          <w:rFonts w:ascii="Times New Roman;sans-serif" w:hAnsi="Times New Roman;sans-serif"/>
          <w:b/>
          <w:i/>
          <w:color w:val="000000"/>
          <w:sz w:val="20"/>
        </w:rPr>
      </w:pPr>
      <w:r>
        <w:rPr>
          <w:rFonts w:ascii="Times New Roman;sans-serif" w:hAnsi="Times New Roman;sans-serif"/>
          <w:b/>
          <w:i/>
          <w:color w:val="000000"/>
          <w:sz w:val="20"/>
        </w:rPr>
        <w:t>United Kingdom</w:t>
      </w:r>
    </w:p>
    <w:p>
      <w:pPr>
        <w:pStyle w:val="TextBody"/>
        <w:spacing w:lineRule="auto" w:line="319" w:before="0" w:after="240"/>
        <w:ind w:left="0" w:right="0" w:firstLine="567"/>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subsidiary in the United Kingdom is subject to the UK corporate income tax rate of 17%. </w:t>
      </w:r>
    </w:p>
    <w:p>
      <w:pPr>
        <w:pStyle w:val="TextBody"/>
        <w:spacing w:lineRule="auto" w:line="319" w:before="0" w:after="240"/>
        <w:ind w:left="0" w:right="0" w:firstLine="567"/>
        <w:jc w:val="both"/>
        <w:rPr>
          <w:rFonts w:ascii="Times New Roman;sans-serif" w:hAnsi="Times New Roman;sans-serif"/>
          <w:b/>
          <w:i/>
          <w:color w:val="000000"/>
          <w:sz w:val="20"/>
        </w:rPr>
      </w:pPr>
      <w:r>
        <w:rPr>
          <w:rFonts w:ascii="Times New Roman;sans-serif" w:hAnsi="Times New Roman;sans-serif"/>
          <w:b/>
          <w:i/>
          <w:color w:val="000000"/>
          <w:sz w:val="20"/>
        </w:rPr>
        <w:t>Singapore</w:t>
      </w:r>
    </w:p>
    <w:p>
      <w:pPr>
        <w:pStyle w:val="TextBody"/>
        <w:spacing w:lineRule="auto" w:line="319" w:before="0" w:after="240"/>
        <w:ind w:left="0" w:right="0" w:firstLine="567"/>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subsidiary in Singapore is subject to the corporate income tax rate of 17% for the year ended December 31, 2020.</w:t>
      </w:r>
    </w:p>
    <w:p>
      <w:pPr>
        <w:pStyle w:val="TextBody"/>
        <w:spacing w:lineRule="auto" w:line="319" w:before="0" w:after="240"/>
        <w:ind w:left="0" w:right="0" w:firstLine="567"/>
        <w:jc w:val="both"/>
        <w:rPr>
          <w:rFonts w:ascii="Times New Roman;sans-serif" w:hAnsi="Times New Roman;sans-serif"/>
          <w:b w:val="false"/>
          <w:color w:val="000000"/>
          <w:sz w:val="20"/>
        </w:rPr>
      </w:pPr>
      <w:r>
        <w:rPr>
          <w:rFonts w:ascii="Times New Roman;sans-serif" w:hAnsi="Times New Roman;sans-serif"/>
          <w:b w:val="false"/>
          <w:color w:val="000000"/>
          <w:sz w:val="20"/>
        </w:rPr>
        <w:t>As the Group incurred income tax expense mainly from PRC tax jurisdictions, the following information is based mainly on PRC income taxes.</w:t>
      </w:r>
    </w:p>
    <w:p>
      <w:pPr>
        <w:pStyle w:val="TextBody"/>
        <w:spacing w:lineRule="auto" w:line="319" w:before="0" w:after="240"/>
        <w:ind w:left="0" w:right="0" w:firstLine="567"/>
        <w:jc w:val="both"/>
        <w:rPr>
          <w:rFonts w:ascii="Times New Roman;sans-serif" w:hAnsi="Times New Roman;sans-serif"/>
          <w:b/>
          <w:i/>
          <w:color w:val="000000"/>
          <w:sz w:val="20"/>
        </w:rPr>
      </w:pPr>
      <w:r>
        <w:rPr>
          <w:rFonts w:ascii="Times New Roman;sans-serif" w:hAnsi="Times New Roman;sans-serif"/>
          <w:b/>
          <w:i/>
          <w:color w:val="000000"/>
          <w:sz w:val="20"/>
        </w:rPr>
        <w:t>Pre-tax Income (Loss)</w:t>
      </w:r>
    </w:p>
    <w:p>
      <w:pPr>
        <w:pStyle w:val="TextBody"/>
        <w:spacing w:lineRule="auto" w:line="319" w:before="0" w:after="240"/>
        <w:ind w:left="0" w:right="0" w:firstLine="567"/>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composition of pre-tax income (loss) for the years ended December 31, 2018, 2019 and 2020:</w:t>
      </w:r>
    </w:p>
    <w:tbl>
      <w:tblPr>
        <w:tblW w:w="7647" w:type="dxa"/>
        <w:jc w:val="left"/>
        <w:tblInd w:w="0" w:type="dxa"/>
        <w:tblCellMar>
          <w:top w:w="28" w:type="dxa"/>
          <w:left w:w="28" w:type="dxa"/>
          <w:bottom w:w="28" w:type="dxa"/>
          <w:right w:w="28" w:type="dxa"/>
        </w:tblCellMar>
      </w:tblPr>
      <w:tblGrid>
        <w:gridCol w:w="1054"/>
        <w:gridCol w:w="924"/>
        <w:gridCol w:w="932"/>
        <w:gridCol w:w="211"/>
        <w:gridCol w:w="976"/>
        <w:gridCol w:w="109"/>
        <w:gridCol w:w="109"/>
        <w:gridCol w:w="109"/>
        <w:gridCol w:w="109"/>
        <w:gridCol w:w="211"/>
        <w:gridCol w:w="1051"/>
        <w:gridCol w:w="109"/>
        <w:gridCol w:w="109"/>
        <w:gridCol w:w="109"/>
        <w:gridCol w:w="109"/>
        <w:gridCol w:w="211"/>
        <w:gridCol w:w="1051"/>
        <w:gridCol w:w="154"/>
      </w:tblGrid>
      <w:tr>
        <w:trPr/>
        <w:tc>
          <w:tcPr>
            <w:tcW w:w="1054" w:type="dxa"/>
            <w:tcBorders/>
            <w:shd w:fill="auto" w:val="clear"/>
            <w:vAlign w:val="center"/>
          </w:tcPr>
          <w:p>
            <w:pPr>
              <w:pStyle w:val="TableContents"/>
              <w:spacing w:before="0" w:after="283"/>
              <w:rPr>
                <w:sz w:val="4"/>
                <w:szCs w:val="4"/>
              </w:rPr>
            </w:pPr>
            <w:r>
              <w:rPr>
                <w:sz w:val="4"/>
                <w:szCs w:val="4"/>
              </w:rPr>
            </w:r>
          </w:p>
        </w:tc>
        <w:tc>
          <w:tcPr>
            <w:tcW w:w="924" w:type="dxa"/>
            <w:tcBorders/>
            <w:shd w:fill="auto" w:val="clear"/>
            <w:vAlign w:val="center"/>
          </w:tcPr>
          <w:p>
            <w:pPr>
              <w:pStyle w:val="TableContents"/>
              <w:spacing w:before="0" w:after="283"/>
              <w:rPr>
                <w:sz w:val="4"/>
                <w:szCs w:val="4"/>
              </w:rPr>
            </w:pPr>
            <w:r>
              <w:rPr>
                <w:sz w:val="4"/>
                <w:szCs w:val="4"/>
              </w:rPr>
            </w:r>
          </w:p>
        </w:tc>
        <w:tc>
          <w:tcPr>
            <w:tcW w:w="932"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37" w:type="dxa"/>
            <w:gridSpan w:val="15"/>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29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2018</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7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2019</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1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2020</w:t>
            </w:r>
          </w:p>
        </w:tc>
      </w:tr>
      <w:tr>
        <w:trPr/>
        <w:tc>
          <w:tcPr>
            <w:tcW w:w="29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37"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(US$)</w:t>
            </w:r>
          </w:p>
        </w:tc>
      </w:tr>
      <w:tr>
        <w:trPr/>
        <w:tc>
          <w:tcPr>
            <w:tcW w:w="29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Pre-tax income from PRC entities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4,813,122 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6,790,182 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8,034,879 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Pre-tax loss from non-PRC entities</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(4,331,928)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(12,166,283)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(10,587,945)</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pre-tax loss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481,194 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(5,376,101)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(2,553,066)</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319" w:before="0" w:after="240"/>
        <w:ind w:left="0" w:right="0" w:firstLine="567"/>
        <w:jc w:val="both"/>
        <w:rPr>
          <w:rFonts w:ascii="Times New Roman;sans-serif" w:hAnsi="Times New Roman;sans-serif"/>
          <w:b w:val="false"/>
          <w:i/>
          <w:color w:val="000000"/>
          <w:sz w:val="20"/>
        </w:rPr>
      </w:pPr>
      <w:r>
        <w:rPr>
          <w:rFonts w:ascii="Times New Roman;sans-serif" w:hAnsi="Times New Roman;sans-serif"/>
          <w:b w:val="false"/>
          <w:i/>
          <w:color w:val="000000"/>
          <w:sz w:val="20"/>
        </w:rPr>
        <w:t>Reconciliation of the Differences between Statutory Tax Rate and the Effective Tax Rate</w:t>
      </w:r>
    </w:p>
    <w:p>
      <w:pPr>
        <w:pStyle w:val="HorizontalLine"/>
        <w:rPr/>
      </w:pPr>
      <w:r>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6480175" cy="175260"/>
                <wp:effectExtent l="0" t="0" r="0" b="0"/>
                <wp:wrapNone/>
                <wp:docPr id="203" name="Frame20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F-43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F-43</w:t>
                      </w:r>
                    </w:p>
                  </w:txbxContent>
                </v:textbox>
              </v:rect>
            </w:pict>
          </mc:Fallback>
        </mc:AlternateConten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AGORA,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 xml:space="preserve">(All amounts in US$, except share data, unless otherwise stated) </w:t>
      </w:r>
    </w:p>
    <w:p>
      <w:pPr>
        <w:pStyle w:val="TextBody"/>
        <w:spacing w:lineRule="auto" w:line="319" w:before="0" w:after="240"/>
        <w:ind w:left="0" w:right="0" w:firstLine="567"/>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a reconciliation between the statutory PRC EIT rate of 25% and the effective tax rate:</w:t>
      </w:r>
    </w:p>
    <w:tbl>
      <w:tblPr>
        <w:tblW w:w="8989" w:type="dxa"/>
        <w:jc w:val="left"/>
        <w:tblInd w:w="0" w:type="dxa"/>
        <w:tblCellMar>
          <w:top w:w="28" w:type="dxa"/>
          <w:left w:w="28" w:type="dxa"/>
          <w:bottom w:w="28" w:type="dxa"/>
          <w:right w:w="28" w:type="dxa"/>
        </w:tblCellMar>
      </w:tblPr>
      <w:tblGrid>
        <w:gridCol w:w="1833"/>
        <w:gridCol w:w="1612"/>
        <w:gridCol w:w="1624"/>
        <w:gridCol w:w="398"/>
        <w:gridCol w:w="398"/>
        <w:gridCol w:w="294"/>
        <w:gridCol w:w="118"/>
        <w:gridCol w:w="118"/>
        <w:gridCol w:w="118"/>
        <w:gridCol w:w="344"/>
        <w:gridCol w:w="346"/>
        <w:gridCol w:w="294"/>
        <w:gridCol w:w="118"/>
        <w:gridCol w:w="118"/>
        <w:gridCol w:w="118"/>
        <w:gridCol w:w="396"/>
        <w:gridCol w:w="399"/>
        <w:gridCol w:w="343"/>
      </w:tblGrid>
      <w:tr>
        <w:trPr/>
        <w:tc>
          <w:tcPr>
            <w:tcW w:w="1833" w:type="dxa"/>
            <w:tcBorders/>
            <w:shd w:fill="auto" w:val="clear"/>
            <w:vAlign w:val="center"/>
          </w:tcPr>
          <w:p>
            <w:pPr>
              <w:pStyle w:val="TableContents"/>
              <w:spacing w:before="0" w:after="283"/>
              <w:rPr>
                <w:sz w:val="4"/>
                <w:szCs w:val="4"/>
              </w:rPr>
            </w:pPr>
            <w:r>
              <w:rPr>
                <w:sz w:val="4"/>
                <w:szCs w:val="4"/>
              </w:rPr>
            </w:r>
          </w:p>
        </w:tc>
        <w:tc>
          <w:tcPr>
            <w:tcW w:w="1612" w:type="dxa"/>
            <w:tcBorders/>
            <w:shd w:fill="auto" w:val="clear"/>
            <w:vAlign w:val="center"/>
          </w:tcPr>
          <w:p>
            <w:pPr>
              <w:pStyle w:val="TableContents"/>
              <w:spacing w:before="0" w:after="283"/>
              <w:rPr>
                <w:sz w:val="4"/>
                <w:szCs w:val="4"/>
              </w:rPr>
            </w:pPr>
            <w:r>
              <w:rPr>
                <w:sz w:val="4"/>
                <w:szCs w:val="4"/>
              </w:rPr>
            </w:r>
          </w:p>
        </w:tc>
        <w:tc>
          <w:tcPr>
            <w:tcW w:w="1624" w:type="dxa"/>
            <w:tcBorders/>
            <w:shd w:fill="auto" w:val="clear"/>
            <w:vAlign w:val="center"/>
          </w:tcPr>
          <w:p>
            <w:pPr>
              <w:pStyle w:val="TableContents"/>
              <w:spacing w:before="0" w:after="283"/>
              <w:rPr>
                <w:sz w:val="4"/>
                <w:szCs w:val="4"/>
              </w:rPr>
            </w:pPr>
            <w:r>
              <w:rPr>
                <w:sz w:val="4"/>
                <w:szCs w:val="4"/>
              </w:rPr>
            </w:r>
          </w:p>
        </w:tc>
        <w:tc>
          <w:tcPr>
            <w:tcW w:w="398" w:type="dxa"/>
            <w:tcBorders/>
            <w:shd w:fill="auto" w:val="clear"/>
            <w:vAlign w:val="center"/>
          </w:tcPr>
          <w:p>
            <w:pPr>
              <w:pStyle w:val="TableContents"/>
              <w:spacing w:before="0" w:after="283"/>
              <w:rPr>
                <w:sz w:val="4"/>
                <w:szCs w:val="4"/>
              </w:rPr>
            </w:pPr>
            <w:r>
              <w:rPr>
                <w:sz w:val="4"/>
                <w:szCs w:val="4"/>
              </w:rPr>
            </w:r>
          </w:p>
        </w:tc>
        <w:tc>
          <w:tcPr>
            <w:tcW w:w="398" w:type="dxa"/>
            <w:tcBorders/>
            <w:shd w:fill="auto" w:val="clear"/>
            <w:vAlign w:val="center"/>
          </w:tcPr>
          <w:p>
            <w:pPr>
              <w:pStyle w:val="TableContents"/>
              <w:spacing w:before="0" w:after="283"/>
              <w:rPr>
                <w:sz w:val="4"/>
                <w:szCs w:val="4"/>
              </w:rPr>
            </w:pPr>
            <w:r>
              <w:rPr>
                <w:sz w:val="4"/>
                <w:szCs w:val="4"/>
              </w:rPr>
            </w:r>
          </w:p>
        </w:tc>
        <w:tc>
          <w:tcPr>
            <w:tcW w:w="294"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294"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396" w:type="dxa"/>
            <w:tcBorders/>
            <w:shd w:fill="auto" w:val="clear"/>
            <w:vAlign w:val="center"/>
          </w:tcPr>
          <w:p>
            <w:pPr>
              <w:pStyle w:val="TableContents"/>
              <w:spacing w:before="0" w:after="283"/>
              <w:rPr>
                <w:sz w:val="4"/>
                <w:szCs w:val="4"/>
              </w:rPr>
            </w:pPr>
            <w:r>
              <w:rPr>
                <w:sz w:val="4"/>
                <w:szCs w:val="4"/>
              </w:rPr>
            </w:r>
          </w:p>
        </w:tc>
        <w:tc>
          <w:tcPr>
            <w:tcW w:w="399" w:type="dxa"/>
            <w:tcBorders/>
            <w:shd w:fill="auto" w:val="clear"/>
            <w:vAlign w:val="center"/>
          </w:tcPr>
          <w:p>
            <w:pPr>
              <w:pStyle w:val="TableContents"/>
              <w:spacing w:before="0" w:after="283"/>
              <w:rPr>
                <w:sz w:val="4"/>
                <w:szCs w:val="4"/>
              </w:rPr>
            </w:pPr>
            <w:r>
              <w:rPr>
                <w:sz w:val="4"/>
                <w:szCs w:val="4"/>
              </w:rPr>
            </w:r>
          </w:p>
        </w:tc>
        <w:tc>
          <w:tcPr>
            <w:tcW w:w="343" w:type="dxa"/>
            <w:tcBorders/>
            <w:shd w:fill="auto" w:val="clear"/>
            <w:vAlign w:val="center"/>
          </w:tcPr>
          <w:p>
            <w:pPr>
              <w:pStyle w:val="TableContents"/>
              <w:spacing w:before="0" w:after="283"/>
              <w:rPr>
                <w:sz w:val="4"/>
                <w:szCs w:val="4"/>
              </w:rPr>
            </w:pPr>
            <w:r>
              <w:rPr>
                <w:sz w:val="4"/>
                <w:szCs w:val="4"/>
              </w:rPr>
            </w:r>
          </w:p>
        </w:tc>
      </w:tr>
      <w:tr>
        <w:trPr/>
        <w:tc>
          <w:tcPr>
            <w:tcW w:w="50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20" w:type="dxa"/>
            <w:gridSpan w:val="15"/>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50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2018</w:t>
            </w:r>
          </w:p>
        </w:tc>
        <w:tc>
          <w:tcPr>
            <w:tcW w:w="35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2019</w:t>
            </w:r>
          </w:p>
        </w:tc>
        <w:tc>
          <w:tcPr>
            <w:tcW w:w="35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3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ind w:left="0" w:right="0" w:hanging="180"/>
              <w:jc w:val="center"/>
              <w:rPr>
                <w:rFonts w:ascii="Times New Roman;sans-serif" w:hAnsi="Times New Roman;sans-serif"/>
                <w:b/>
                <w:color w:val="000000"/>
                <w:sz w:val="20"/>
              </w:rPr>
            </w:pPr>
            <w:r>
              <w:rPr>
                <w:rFonts w:ascii="Times New Roman;sans-serif" w:hAnsi="Times New Roman;sans-serif"/>
                <w:b/>
                <w:color w:val="000000"/>
                <w:sz w:val="20"/>
              </w:rPr>
              <w:t>2020</w:t>
            </w:r>
          </w:p>
        </w:tc>
      </w:tr>
      <w:tr>
        <w:trPr/>
        <w:tc>
          <w:tcPr>
            <w:tcW w:w="50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Statutory income tax rate</w:t>
            </w:r>
          </w:p>
        </w:tc>
        <w:tc>
          <w:tcPr>
            <w:tcW w:w="7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25.00 </w:t>
            </w:r>
          </w:p>
        </w:tc>
        <w:tc>
          <w:tcPr>
            <w:tcW w:w="29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25.00 </w:t>
            </w:r>
          </w:p>
        </w:tc>
        <w:tc>
          <w:tcPr>
            <w:tcW w:w="29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25.00 </w:t>
            </w:r>
          </w:p>
        </w:tc>
        <w:tc>
          <w:tcPr>
            <w:tcW w:w="34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069" w:type="dxa"/>
            <w:gridSpan w:val="3"/>
            <w:tcBorders/>
            <w:shd w:fill="FFFFFF" w:val="clear"/>
            <w:tcMar>
              <w:top w:w="0" w:type="dxa"/>
              <w:left w:w="0" w:type="dxa"/>
              <w:bottom w:w="0" w:type="dxa"/>
              <w:right w:w="0" w:type="dxa"/>
            </w:tcMar>
            <w:vAlign w:val="center"/>
          </w:tcPr>
          <w:p>
            <w:pPr>
              <w:pStyle w:val="TableContents"/>
              <w:spacing w:lineRule="auto" w:line="288" w:before="0" w:after="0"/>
              <w:ind w:left="0" w:right="0" w:hanging="180"/>
              <w:jc w:val="left"/>
              <w:rPr/>
            </w:pPr>
            <w:r>
              <w:rPr>
                <w:rFonts w:ascii="Times New Roman;sans-serif" w:hAnsi="Times New Roman;sans-serif"/>
                <w:b w:val="false"/>
                <w:color w:val="000000"/>
                <w:sz w:val="20"/>
              </w:rPr>
              <w:t>Permanent differences</w:t>
            </w:r>
            <w:r>
              <w:rPr>
                <w:rFonts w:ascii="Times New Roman;sans-serif" w:hAnsi="Times New Roman;sans-serif"/>
                <w:b w:val="false"/>
                <w:color w:val="000000"/>
                <w:sz w:val="13"/>
              </w:rPr>
              <w:t>(1)</w:t>
            </w:r>
          </w:p>
        </w:tc>
        <w:tc>
          <w:tcPr>
            <w:tcW w:w="7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(105.06)</w:t>
            </w:r>
          </w:p>
        </w:tc>
        <w:tc>
          <w:tcPr>
            <w:tcW w:w="29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9.07 </w:t>
            </w:r>
          </w:p>
        </w:tc>
        <w:tc>
          <w:tcPr>
            <w:tcW w:w="29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124.93 </w:t>
            </w:r>
          </w:p>
        </w:tc>
        <w:tc>
          <w:tcPr>
            <w:tcW w:w="34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069" w:type="dxa"/>
            <w:gridSpan w:val="3"/>
            <w:tcBorders/>
            <w:shd w:fill="CCEEFF" w:val="clear"/>
            <w:tcMar>
              <w:top w:w="0" w:type="dxa"/>
              <w:left w:w="0" w:type="dxa"/>
              <w:bottom w:w="0" w:type="dxa"/>
              <w:right w:w="0" w:type="dxa"/>
            </w:tcMar>
            <w:vAlign w:val="center"/>
          </w:tcPr>
          <w:p>
            <w:pPr>
              <w:pStyle w:val="TableContents"/>
              <w:spacing w:lineRule="auto" w:line="288" w:before="0" w:after="0"/>
              <w:ind w:left="0" w:right="0" w:hanging="90"/>
              <w:jc w:val="left"/>
              <w:rPr/>
            </w:pPr>
            <w:r>
              <w:rPr>
                <w:rFonts w:ascii="Times New Roman;sans-serif" w:hAnsi="Times New Roman;sans-serif"/>
                <w:b w:val="false"/>
                <w:color w:val="000000"/>
                <w:sz w:val="20"/>
              </w:rPr>
              <w:t>Tax rate difference from statutory rate in other jurisdictions</w:t>
            </w:r>
            <w:r>
              <w:rPr>
                <w:rFonts w:ascii="Times New Roman;sans-serif" w:hAnsi="Times New Roman;sans-serif"/>
                <w:b w:val="false"/>
                <w:color w:val="000000"/>
                <w:sz w:val="13"/>
              </w:rPr>
              <w:t>(2)</w:t>
            </w:r>
          </w:p>
        </w:tc>
        <w:tc>
          <w:tcPr>
            <w:tcW w:w="7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(51.95)</w:t>
            </w:r>
          </w:p>
        </w:tc>
        <w:tc>
          <w:tcPr>
            <w:tcW w:w="29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12.70 </w:t>
            </w:r>
          </w:p>
        </w:tc>
        <w:tc>
          <w:tcPr>
            <w:tcW w:w="29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30.23 </w:t>
            </w:r>
          </w:p>
        </w:tc>
        <w:tc>
          <w:tcPr>
            <w:tcW w:w="34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069" w:type="dxa"/>
            <w:gridSpan w:val="3"/>
            <w:tcBorders/>
            <w:shd w:fill="FFFFFF" w:val="clear"/>
            <w:tcMar>
              <w:top w:w="0" w:type="dxa"/>
              <w:left w:w="0" w:type="dxa"/>
              <w:bottom w:w="0" w:type="dxa"/>
              <w:right w:w="0" w:type="dxa"/>
            </w:tcMar>
            <w:vAlign w:val="center"/>
          </w:tcPr>
          <w:p>
            <w:pPr>
              <w:pStyle w:val="TableContents"/>
              <w:spacing w:lineRule="auto" w:line="288" w:before="0" w:after="0"/>
              <w:ind w:left="0" w:right="0" w:hanging="180"/>
              <w:jc w:val="left"/>
              <w:rPr/>
            </w:pPr>
            <w:r>
              <w:rPr>
                <w:rFonts w:ascii="Times New Roman;sans-serif" w:hAnsi="Times New Roman;sans-serif"/>
                <w:b w:val="false"/>
                <w:color w:val="000000"/>
                <w:sz w:val="20"/>
              </w:rPr>
              <w:t>Change in valuation allowance</w:t>
            </w:r>
            <w:r>
              <w:rPr>
                <w:rFonts w:ascii="Times New Roman;sans-serif" w:hAnsi="Times New Roman;sans-serif"/>
                <w:b w:val="false"/>
                <w:color w:val="000000"/>
                <w:sz w:val="13"/>
              </w:rPr>
              <w:t>(3)</w:t>
            </w:r>
          </w:p>
        </w:tc>
        <w:tc>
          <w:tcPr>
            <w:tcW w:w="7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236.64 </w:t>
            </w:r>
          </w:p>
        </w:tc>
        <w:tc>
          <w:tcPr>
            <w:tcW w:w="29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(64.00)</w:t>
            </w:r>
          </w:p>
        </w:tc>
        <w:tc>
          <w:tcPr>
            <w:tcW w:w="29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(191.36)</w:t>
            </w:r>
          </w:p>
        </w:tc>
        <w:tc>
          <w:tcPr>
            <w:tcW w:w="34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069" w:type="dxa"/>
            <w:gridSpan w:val="3"/>
            <w:tcBorders/>
            <w:shd w:fill="CCEEFF" w:val="clear"/>
            <w:tcMar>
              <w:top w:w="0" w:type="dxa"/>
              <w:left w:w="0" w:type="dxa"/>
              <w:bottom w:w="0" w:type="dxa"/>
              <w:right w:w="0" w:type="dxa"/>
            </w:tcMar>
            <w:vAlign w:val="center"/>
          </w:tcPr>
          <w:p>
            <w:pPr>
              <w:pStyle w:val="TableContents"/>
              <w:spacing w:lineRule="auto" w:line="288" w:before="0" w:after="0"/>
              <w:ind w:left="0" w:right="0" w:hanging="180"/>
              <w:jc w:val="left"/>
              <w:rPr/>
            </w:pPr>
            <w:r>
              <w:rPr>
                <w:rFonts w:ascii="Times New Roman;sans-serif" w:hAnsi="Times New Roman;sans-serif"/>
                <w:b w:val="false"/>
                <w:color w:val="000000"/>
                <w:sz w:val="20"/>
              </w:rPr>
              <w:t>Effect of tax holiday</w:t>
            </w:r>
            <w:r>
              <w:rPr>
                <w:rFonts w:ascii="Times New Roman;sans-serif" w:hAnsi="Times New Roman;sans-serif"/>
                <w:b w:val="false"/>
                <w:color w:val="000000"/>
                <w:sz w:val="13"/>
              </w:rPr>
              <w:t>(4)</w:t>
            </w:r>
          </w:p>
        </w:tc>
        <w:tc>
          <w:tcPr>
            <w:tcW w:w="7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(82.96)</w:t>
            </w:r>
          </w:p>
        </w:tc>
        <w:tc>
          <w:tcPr>
            <w:tcW w:w="29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2.34 </w:t>
            </w:r>
          </w:p>
        </w:tc>
        <w:tc>
          <w:tcPr>
            <w:tcW w:w="29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(10.78)</w:t>
            </w:r>
          </w:p>
        </w:tc>
        <w:tc>
          <w:tcPr>
            <w:tcW w:w="343" w:type="dxa"/>
            <w:tcBorders/>
            <w:shd w:fill="CCEEFF" w:val="clear"/>
            <w:tcMar>
              <w:top w:w="0" w:type="dxa"/>
              <w:left w:w="0" w:type="dxa"/>
              <w:bottom w:w="0" w:type="dxa"/>
              <w:right w:w="0" w:type="dxa"/>
            </w:tcMar>
            <w:vAlign w:val="center"/>
          </w:tcPr>
          <w:p>
            <w:pPr>
              <w:pStyle w:val="TableContents"/>
              <w:spacing w:lineRule="auto" w:line="240" w:before="0" w:after="283"/>
              <w:ind w:left="0" w:right="0" w:hanging="18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0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Others</w:t>
            </w:r>
          </w:p>
        </w:tc>
        <w:tc>
          <w:tcPr>
            <w:tcW w:w="7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17.00 </w:t>
            </w:r>
          </w:p>
        </w:tc>
        <w:tc>
          <w:tcPr>
            <w:tcW w:w="29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(0.01)</w:t>
            </w:r>
          </w:p>
        </w:tc>
        <w:tc>
          <w:tcPr>
            <w:tcW w:w="29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(0.03)</w:t>
            </w:r>
          </w:p>
        </w:tc>
        <w:tc>
          <w:tcPr>
            <w:tcW w:w="343" w:type="dxa"/>
            <w:tcBorders/>
            <w:shd w:fill="FFFFFF" w:val="clear"/>
            <w:tcMar>
              <w:top w:w="0" w:type="dxa"/>
              <w:left w:w="0" w:type="dxa"/>
              <w:bottom w:w="0" w:type="dxa"/>
              <w:right w:w="0" w:type="dxa"/>
            </w:tcMar>
            <w:vAlign w:val="center"/>
          </w:tcPr>
          <w:p>
            <w:pPr>
              <w:pStyle w:val="TableContents"/>
              <w:spacing w:lineRule="auto" w:line="240" w:before="0" w:after="283"/>
              <w:ind w:left="0" w:right="0" w:hanging="18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0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Effective tax rate</w:t>
            </w:r>
          </w:p>
        </w:tc>
        <w:tc>
          <w:tcPr>
            <w:tcW w:w="79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21.84 </w:t>
            </w:r>
          </w:p>
        </w:tc>
        <w:tc>
          <w:tcPr>
            <w:tcW w:w="2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(14.90)</w:t>
            </w:r>
          </w:p>
        </w:tc>
        <w:tc>
          <w:tcPr>
            <w:tcW w:w="2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(22.01)</w:t>
            </w:r>
          </w:p>
        </w:tc>
        <w:tc>
          <w:tcPr>
            <w:tcW w:w="3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319" w:before="0" w:after="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(1)The permanent differences are primarily related to additional tax deductions for qualified research and development expenses offset by non-deductible share-based compensation expenses.</w:t>
      </w:r>
    </w:p>
    <w:p>
      <w:pPr>
        <w:pStyle w:val="TextBody"/>
        <w:spacing w:lineRule="auto" w:line="319" w:before="0" w:after="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(2)The tax rate difference is attributed to varying rates in other jurisdictions where the Group is established or operates, such as the Cayman Islands or the United States.</w:t>
      </w:r>
    </w:p>
    <w:p>
      <w:pPr>
        <w:pStyle w:val="TextBody"/>
        <w:spacing w:lineRule="auto" w:line="319" w:before="0" w:after="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(3)The change in valuation allowance is primarily attributed to fully provisioning for net operating loss carry-forwards of Agora Lab, Inc.</w:t>
      </w:r>
    </w:p>
    <w:p>
      <w:pPr>
        <w:pStyle w:val="TextBody"/>
        <w:spacing w:lineRule="auto" w:line="319" w:before="0" w:after="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(4)Dayin obtained its software enterprise certificate in 2018 and is entitled to a tax exemption from EIT for the year of 2018 and a 50% EIT rate reduction for the year of 2019 and 2020.</w:t>
      </w:r>
    </w:p>
    <w:p>
      <w:pPr>
        <w:pStyle w:val="TextBody"/>
        <w:spacing w:before="0" w:after="0"/>
        <w:jc w:val="both"/>
        <w:rPr/>
      </w:pPr>
      <w:r>
        <w:rPr/>
      </w:r>
    </w:p>
    <w:p>
      <w:pPr>
        <w:pStyle w:val="TextBody"/>
        <w:spacing w:lineRule="auto" w:line="319" w:before="0" w:after="240"/>
        <w:ind w:left="0" w:right="0" w:firstLine="567"/>
        <w:jc w:val="both"/>
        <w:rPr>
          <w:rFonts w:ascii="Times New Roman;sans-serif" w:hAnsi="Times New Roman;sans-serif"/>
          <w:b w:val="false"/>
          <w:color w:val="000000"/>
          <w:sz w:val="20"/>
        </w:rPr>
      </w:pPr>
      <w:r>
        <w:rPr>
          <w:rFonts w:ascii="Times New Roman;sans-serif" w:hAnsi="Times New Roman;sans-serif"/>
          <w:b w:val="false"/>
          <w:color w:val="000000"/>
          <w:sz w:val="20"/>
        </w:rPr>
        <w:t>For the years ended December 31, 2018, 2019 and 2020, substantially all the amounts of current and deferred income tax expense are attributable to PRC entities.</w:t>
      </w:r>
    </w:p>
    <w:tbl>
      <w:tblPr>
        <w:tblW w:w="7782" w:type="dxa"/>
        <w:jc w:val="left"/>
        <w:tblInd w:w="0" w:type="dxa"/>
        <w:tblCellMar>
          <w:top w:w="28" w:type="dxa"/>
          <w:left w:w="28" w:type="dxa"/>
          <w:bottom w:w="28" w:type="dxa"/>
          <w:right w:w="28" w:type="dxa"/>
        </w:tblCellMar>
      </w:tblPr>
      <w:tblGrid>
        <w:gridCol w:w="1267"/>
        <w:gridCol w:w="1110"/>
        <w:gridCol w:w="1118"/>
        <w:gridCol w:w="211"/>
        <w:gridCol w:w="826"/>
        <w:gridCol w:w="109"/>
        <w:gridCol w:w="109"/>
        <w:gridCol w:w="109"/>
        <w:gridCol w:w="109"/>
        <w:gridCol w:w="211"/>
        <w:gridCol w:w="976"/>
        <w:gridCol w:w="109"/>
        <w:gridCol w:w="109"/>
        <w:gridCol w:w="109"/>
        <w:gridCol w:w="109"/>
        <w:gridCol w:w="211"/>
        <w:gridCol w:w="826"/>
        <w:gridCol w:w="154"/>
      </w:tblGrid>
      <w:tr>
        <w:trPr/>
        <w:tc>
          <w:tcPr>
            <w:tcW w:w="1267" w:type="dxa"/>
            <w:tcBorders/>
            <w:shd w:fill="auto" w:val="clear"/>
            <w:vAlign w:val="center"/>
          </w:tcPr>
          <w:p>
            <w:pPr>
              <w:pStyle w:val="TableContents"/>
              <w:spacing w:before="0" w:after="283"/>
              <w:rPr>
                <w:sz w:val="4"/>
                <w:szCs w:val="4"/>
              </w:rPr>
            </w:pPr>
            <w:r>
              <w:rPr>
                <w:sz w:val="4"/>
                <w:szCs w:val="4"/>
              </w:rPr>
            </w:r>
          </w:p>
        </w:tc>
        <w:tc>
          <w:tcPr>
            <w:tcW w:w="1110" w:type="dxa"/>
            <w:tcBorders/>
            <w:shd w:fill="auto" w:val="clear"/>
            <w:vAlign w:val="center"/>
          </w:tcPr>
          <w:p>
            <w:pPr>
              <w:pStyle w:val="TableContents"/>
              <w:spacing w:before="0" w:after="283"/>
              <w:rPr>
                <w:sz w:val="4"/>
                <w:szCs w:val="4"/>
              </w:rPr>
            </w:pPr>
            <w:r>
              <w:rPr>
                <w:sz w:val="4"/>
                <w:szCs w:val="4"/>
              </w:rPr>
            </w:r>
          </w:p>
        </w:tc>
        <w:tc>
          <w:tcPr>
            <w:tcW w:w="111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87" w:type="dxa"/>
            <w:gridSpan w:val="15"/>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34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2018</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2019</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2020</w:t>
            </w:r>
          </w:p>
        </w:tc>
      </w:tr>
      <w:tr>
        <w:trPr/>
        <w:tc>
          <w:tcPr>
            <w:tcW w:w="34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87"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(US$)</w:t>
            </w:r>
          </w:p>
        </w:tc>
      </w:tr>
      <w:tr>
        <w:trPr/>
        <w:tc>
          <w:tcPr>
            <w:tcW w:w="34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income tax expense</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463,149 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1,137,800 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183,786 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 expense (tax benefit)</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(358,071)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(336,463)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378,008 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105,078 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801,337 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561,794 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319" w:before="0" w:after="240"/>
        <w:ind w:left="0" w:right="0" w:firstLine="567"/>
        <w:jc w:val="both"/>
        <w:rPr>
          <w:rFonts w:ascii="Times New Roman;sans-serif" w:hAnsi="Times New Roman;sans-serif"/>
          <w:b w:val="false"/>
          <w:color w:val="000000"/>
          <w:sz w:val="20"/>
        </w:rPr>
      </w:pPr>
      <w:r>
        <w:rPr>
          <w:rFonts w:ascii="Times New Roman;sans-serif" w:hAnsi="Times New Roman;sans-serif"/>
          <w:b w:val="false"/>
          <w:color w:val="000000"/>
          <w:sz w:val="20"/>
        </w:rPr>
        <w:t>The aggregate amount and per share effect of reduction of EIT for Dayin as a result of tax holidays are as follows:</w:t>
      </w:r>
    </w:p>
    <w:tbl>
      <w:tblPr>
        <w:tblW w:w="6693" w:type="dxa"/>
        <w:jc w:val="left"/>
        <w:tblInd w:w="0" w:type="dxa"/>
        <w:tblCellMar>
          <w:top w:w="28" w:type="dxa"/>
          <w:left w:w="28" w:type="dxa"/>
          <w:bottom w:w="28" w:type="dxa"/>
          <w:right w:w="28" w:type="dxa"/>
        </w:tblCellMar>
      </w:tblPr>
      <w:tblGrid>
        <w:gridCol w:w="957"/>
        <w:gridCol w:w="839"/>
        <w:gridCol w:w="844"/>
        <w:gridCol w:w="413"/>
        <w:gridCol w:w="413"/>
        <w:gridCol w:w="176"/>
        <w:gridCol w:w="152"/>
        <w:gridCol w:w="152"/>
        <w:gridCol w:w="152"/>
        <w:gridCol w:w="413"/>
        <w:gridCol w:w="413"/>
        <w:gridCol w:w="176"/>
        <w:gridCol w:w="152"/>
        <w:gridCol w:w="152"/>
        <w:gridCol w:w="152"/>
        <w:gridCol w:w="449"/>
        <w:gridCol w:w="451"/>
        <w:gridCol w:w="237"/>
      </w:tblGrid>
      <w:tr>
        <w:trPr/>
        <w:tc>
          <w:tcPr>
            <w:tcW w:w="957" w:type="dxa"/>
            <w:tcBorders/>
            <w:shd w:fill="auto" w:val="clear"/>
            <w:vAlign w:val="center"/>
          </w:tcPr>
          <w:p>
            <w:pPr>
              <w:pStyle w:val="TableContents"/>
              <w:spacing w:before="0" w:after="283"/>
              <w:rPr>
                <w:sz w:val="4"/>
                <w:szCs w:val="4"/>
              </w:rPr>
            </w:pPr>
            <w:r>
              <w:rPr>
                <w:sz w:val="4"/>
                <w:szCs w:val="4"/>
              </w:rPr>
            </w:r>
          </w:p>
        </w:tc>
        <w:tc>
          <w:tcPr>
            <w:tcW w:w="839" w:type="dxa"/>
            <w:tcBorders/>
            <w:shd w:fill="auto" w:val="clear"/>
            <w:vAlign w:val="center"/>
          </w:tcPr>
          <w:p>
            <w:pPr>
              <w:pStyle w:val="TableContents"/>
              <w:spacing w:before="0" w:after="283"/>
              <w:rPr>
                <w:sz w:val="4"/>
                <w:szCs w:val="4"/>
              </w:rPr>
            </w:pPr>
            <w:r>
              <w:rPr>
                <w:sz w:val="4"/>
                <w:szCs w:val="4"/>
              </w:rPr>
            </w:r>
          </w:p>
        </w:tc>
        <w:tc>
          <w:tcPr>
            <w:tcW w:w="844"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449" w:type="dxa"/>
            <w:tcBorders/>
            <w:shd w:fill="auto" w:val="clear"/>
            <w:vAlign w:val="center"/>
          </w:tcPr>
          <w:p>
            <w:pPr>
              <w:pStyle w:val="TableContents"/>
              <w:spacing w:before="0" w:after="283"/>
              <w:rPr>
                <w:sz w:val="4"/>
                <w:szCs w:val="4"/>
              </w:rPr>
            </w:pPr>
            <w:r>
              <w:rPr>
                <w:sz w:val="4"/>
                <w:szCs w:val="4"/>
              </w:rPr>
            </w:r>
          </w:p>
        </w:tc>
        <w:tc>
          <w:tcPr>
            <w:tcW w:w="451"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r>
      <w:tr>
        <w:trPr/>
        <w:tc>
          <w:tcPr>
            <w:tcW w:w="26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53" w:type="dxa"/>
            <w:gridSpan w:val="15"/>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26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2018</w:t>
            </w:r>
          </w:p>
        </w:tc>
        <w:tc>
          <w:tcPr>
            <w:tcW w:w="45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02"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2019</w:t>
            </w:r>
          </w:p>
        </w:tc>
        <w:tc>
          <w:tcPr>
            <w:tcW w:w="45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37"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2020</w:t>
            </w:r>
          </w:p>
        </w:tc>
      </w:tr>
      <w:tr>
        <w:trPr/>
        <w:tc>
          <w:tcPr>
            <w:tcW w:w="26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53"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(US$)</w:t>
            </w:r>
          </w:p>
        </w:tc>
      </w:tr>
      <w:tr>
        <w:trPr/>
        <w:tc>
          <w:tcPr>
            <w:tcW w:w="26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aggregate amount of effect</w:t>
            </w:r>
          </w:p>
        </w:tc>
        <w:tc>
          <w:tcPr>
            <w:tcW w:w="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399,028 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125,630 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(275,247)</w:t>
            </w:r>
          </w:p>
        </w:tc>
        <w:tc>
          <w:tcPr>
            <w:tcW w:w="2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319" w:before="0" w:after="240"/>
        <w:ind w:left="0" w:right="0" w:firstLine="567"/>
        <w:jc w:val="both"/>
        <w:rPr>
          <w:rFonts w:ascii="Times New Roman;sans-serif" w:hAnsi="Times New Roman;sans-serif"/>
          <w:b w:val="false"/>
          <w:color w:val="000000"/>
          <w:sz w:val="20"/>
        </w:rPr>
      </w:pPr>
      <w:r>
        <w:rPr>
          <w:rFonts w:ascii="Times New Roman;sans-serif" w:hAnsi="Times New Roman;sans-serif"/>
          <w:b w:val="false"/>
          <w:color w:val="000000"/>
          <w:sz w:val="20"/>
        </w:rPr>
        <w:t>The tax holiday effect disclosed above did not have a material impact to the Company’s net loss per share for the years ended December 31, 2018, 2019 and 2020.</w:t>
      </w:r>
    </w:p>
    <w:p>
      <w:pPr>
        <w:pStyle w:val="TextBody"/>
        <w:spacing w:lineRule="auto" w:line="319" w:before="0" w:after="240"/>
        <w:ind w:left="0" w:right="0" w:firstLine="567"/>
        <w:jc w:val="both"/>
        <w:rPr>
          <w:rFonts w:ascii="Times New Roman;sans-serif" w:hAnsi="Times New Roman;sans-serif"/>
          <w:b w:val="false"/>
          <w:i/>
          <w:color w:val="000000"/>
          <w:sz w:val="20"/>
        </w:rPr>
      </w:pPr>
      <w:r>
        <w:rPr>
          <w:rFonts w:ascii="Times New Roman;sans-serif" w:hAnsi="Times New Roman;sans-serif"/>
          <w:b w:val="false"/>
          <w:i/>
          <w:color w:val="000000"/>
          <w:sz w:val="20"/>
        </w:rPr>
        <w:t>Deferred Tax Assets and Liabilities</w:t>
      </w:r>
    </w:p>
    <w:p>
      <w:pPr>
        <w:pStyle w:val="TextBody"/>
        <w:spacing w:lineRule="auto" w:line="319" w:before="0" w:after="240"/>
        <w:ind w:left="0" w:right="0" w:firstLine="567"/>
        <w:jc w:val="both"/>
        <w:rPr>
          <w:rFonts w:ascii="Times New Roman;sans-serif" w:hAnsi="Times New Roman;sans-serif"/>
          <w:b w:val="false"/>
          <w:color w:val="000000"/>
          <w:sz w:val="20"/>
        </w:rPr>
      </w:pPr>
      <w:r>
        <w:rPr>
          <w:rFonts w:ascii="Times New Roman;sans-serif" w:hAnsi="Times New Roman;sans-serif"/>
          <w:b w:val="false"/>
          <w:color w:val="000000"/>
          <w:sz w:val="20"/>
        </w:rPr>
        <w:t>The principle components of the deferred tax assets were as follows:</w:t>
      </w:r>
    </w:p>
    <w:p>
      <w:pPr>
        <w:pStyle w:val="HorizontalLine"/>
        <w:rPr/>
      </w:pPr>
      <w:r>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6480175" cy="175260"/>
                <wp:effectExtent l="0" t="0" r="0" b="0"/>
                <wp:wrapNone/>
                <wp:docPr id="204" name="Frame20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F-44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F-44</w:t>
                      </w:r>
                    </w:p>
                  </w:txbxContent>
                </v:textbox>
              </v:rect>
            </w:pict>
          </mc:Fallback>
        </mc:AlternateConten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AGORA,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 xml:space="preserve">(All amounts in US$, except share data, unless otherwise stated) </w:t>
      </w:r>
    </w:p>
    <w:tbl>
      <w:tblPr>
        <w:tblW w:w="6278" w:type="dxa"/>
        <w:jc w:val="left"/>
        <w:tblInd w:w="0" w:type="dxa"/>
        <w:tblCellMar>
          <w:top w:w="28" w:type="dxa"/>
          <w:left w:w="28" w:type="dxa"/>
          <w:bottom w:w="28" w:type="dxa"/>
          <w:right w:w="28" w:type="dxa"/>
        </w:tblCellMar>
      </w:tblPr>
      <w:tblGrid>
        <w:gridCol w:w="1164"/>
        <w:gridCol w:w="1020"/>
        <w:gridCol w:w="1025"/>
        <w:gridCol w:w="211"/>
        <w:gridCol w:w="976"/>
        <w:gridCol w:w="109"/>
        <w:gridCol w:w="109"/>
        <w:gridCol w:w="109"/>
        <w:gridCol w:w="109"/>
        <w:gridCol w:w="211"/>
        <w:gridCol w:w="1081"/>
        <w:gridCol w:w="154"/>
      </w:tblGrid>
      <w:tr>
        <w:trPr/>
        <w:tc>
          <w:tcPr>
            <w:tcW w:w="1164" w:type="dxa"/>
            <w:tcBorders/>
            <w:shd w:fill="auto" w:val="clear"/>
            <w:vAlign w:val="center"/>
          </w:tcPr>
          <w:p>
            <w:pPr>
              <w:pStyle w:val="TableContents"/>
              <w:spacing w:before="0" w:after="283"/>
              <w:rPr>
                <w:sz w:val="4"/>
                <w:szCs w:val="4"/>
              </w:rPr>
            </w:pPr>
            <w:r>
              <w:rPr>
                <w:sz w:val="4"/>
                <w:szCs w:val="4"/>
              </w:rPr>
            </w:r>
          </w:p>
        </w:tc>
        <w:tc>
          <w:tcPr>
            <w:tcW w:w="1020" w:type="dxa"/>
            <w:tcBorders/>
            <w:shd w:fill="auto" w:val="clear"/>
            <w:vAlign w:val="center"/>
          </w:tcPr>
          <w:p>
            <w:pPr>
              <w:pStyle w:val="TableContents"/>
              <w:spacing w:before="0" w:after="283"/>
              <w:rPr>
                <w:sz w:val="4"/>
                <w:szCs w:val="4"/>
              </w:rPr>
            </w:pPr>
            <w:r>
              <w:rPr>
                <w:sz w:val="4"/>
                <w:szCs w:val="4"/>
              </w:rPr>
            </w:r>
          </w:p>
        </w:tc>
        <w:tc>
          <w:tcPr>
            <w:tcW w:w="102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8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69" w:type="dxa"/>
            <w:gridSpan w:val="9"/>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As of December 31,</w:t>
            </w:r>
          </w:p>
        </w:tc>
      </w:tr>
      <w:tr>
        <w:trPr/>
        <w:tc>
          <w:tcPr>
            <w:tcW w:w="32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2019</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4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2020</w:t>
            </w:r>
          </w:p>
        </w:tc>
      </w:tr>
      <w:tr>
        <w:trPr/>
        <w:tc>
          <w:tcPr>
            <w:tcW w:w="32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69"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(US$)</w:t>
            </w:r>
          </w:p>
        </w:tc>
      </w:tr>
      <w:tr>
        <w:trPr/>
        <w:tc>
          <w:tcPr>
            <w:tcW w:w="32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assets:</w:t>
            </w:r>
          </w:p>
        </w:tc>
        <w:tc>
          <w:tcPr>
            <w:tcW w:w="12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loss carry-forwards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7,614,276 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12,285,078 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Payroll liabilities</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627,010 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297,834 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doubtful accounts</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269,560 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457,028 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deductible temporary difference</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52,955 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158,337 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8,563,801 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13,198,277 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valuation allowance</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(7,727,287)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(12,687,777)</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assets,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836,514 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510,500 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tbl>
      <w:tblPr>
        <w:tblW w:w="7793" w:type="dxa"/>
        <w:jc w:val="left"/>
        <w:tblInd w:w="0" w:type="dxa"/>
        <w:tblCellMar>
          <w:top w:w="28" w:type="dxa"/>
          <w:left w:w="28" w:type="dxa"/>
          <w:bottom w:w="28" w:type="dxa"/>
          <w:right w:w="28" w:type="dxa"/>
        </w:tblCellMar>
      </w:tblPr>
      <w:tblGrid>
        <w:gridCol w:w="2019"/>
        <w:gridCol w:w="1776"/>
        <w:gridCol w:w="1784"/>
        <w:gridCol w:w="211"/>
        <w:gridCol w:w="406"/>
        <w:gridCol w:w="109"/>
        <w:gridCol w:w="109"/>
        <w:gridCol w:w="109"/>
        <w:gridCol w:w="109"/>
        <w:gridCol w:w="211"/>
        <w:gridCol w:w="796"/>
        <w:gridCol w:w="154"/>
      </w:tblGrid>
      <w:tr>
        <w:trPr/>
        <w:tc>
          <w:tcPr>
            <w:tcW w:w="2019" w:type="dxa"/>
            <w:tcBorders/>
            <w:shd w:fill="auto" w:val="clear"/>
            <w:vAlign w:val="center"/>
          </w:tcPr>
          <w:p>
            <w:pPr>
              <w:pStyle w:val="TableContents"/>
              <w:spacing w:before="0" w:after="283"/>
              <w:rPr>
                <w:sz w:val="4"/>
                <w:szCs w:val="4"/>
              </w:rPr>
            </w:pPr>
            <w:r>
              <w:rPr>
                <w:sz w:val="4"/>
                <w:szCs w:val="4"/>
              </w:rPr>
            </w:r>
          </w:p>
        </w:tc>
        <w:tc>
          <w:tcPr>
            <w:tcW w:w="1776" w:type="dxa"/>
            <w:tcBorders/>
            <w:shd w:fill="auto" w:val="clear"/>
            <w:vAlign w:val="center"/>
          </w:tcPr>
          <w:p>
            <w:pPr>
              <w:pStyle w:val="TableContents"/>
              <w:spacing w:before="0" w:after="283"/>
              <w:rPr>
                <w:sz w:val="4"/>
                <w:szCs w:val="4"/>
              </w:rPr>
            </w:pPr>
            <w:r>
              <w:rPr>
                <w:sz w:val="4"/>
                <w:szCs w:val="4"/>
              </w:rPr>
            </w:r>
          </w:p>
        </w:tc>
        <w:tc>
          <w:tcPr>
            <w:tcW w:w="178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579" w:type="dxa"/>
            <w:gridSpan w:val="3"/>
            <w:tcBorders/>
            <w:shd w:fill="CCEEFF" w:val="clear"/>
            <w:tcMar>
              <w:top w:w="0" w:type="dxa"/>
              <w:left w:w="0" w:type="dxa"/>
              <w:bottom w:w="0" w:type="dxa"/>
              <w:right w:w="0" w:type="dxa"/>
            </w:tcMar>
            <w:vAlign w:val="center"/>
          </w:tcPr>
          <w:p>
            <w:pPr>
              <w:pStyle w:val="TableContents"/>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liabilities:</w:t>
            </w:r>
          </w:p>
        </w:tc>
        <w:tc>
          <w:tcPr>
            <w:tcW w:w="7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79" w:type="dxa"/>
            <w:gridSpan w:val="3"/>
            <w:tcBorders/>
            <w:shd w:fill="FFFFFF" w:val="clear"/>
            <w:tcMar>
              <w:top w:w="0" w:type="dxa"/>
              <w:left w:w="0" w:type="dxa"/>
              <w:bottom w:w="0" w:type="dxa"/>
              <w:right w:w="0" w:type="dxa"/>
            </w:tcMar>
            <w:vAlign w:val="center"/>
          </w:tcPr>
          <w:p>
            <w:pPr>
              <w:pStyle w:val="TableContents"/>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Recognition of intangible assets arising from business combination</w:t>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(52,319)</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79" w:type="dxa"/>
            <w:gridSpan w:val="3"/>
            <w:tcBorders/>
            <w:shd w:fill="CCEEFF" w:val="clear"/>
            <w:tcMar>
              <w:top w:w="0" w:type="dxa"/>
              <w:left w:w="0" w:type="dxa"/>
              <w:bottom w:w="0" w:type="dxa"/>
              <w:right w:w="0" w:type="dxa"/>
            </w:tcMar>
            <w:vAlign w:val="center"/>
          </w:tcPr>
          <w:p>
            <w:pPr>
              <w:pStyle w:val="TableContents"/>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liabilities,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(52,319)</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319" w:before="0" w:after="0"/>
        <w:ind w:left="0" w:right="0" w:firstLine="567"/>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2019 and 2020, the Group had tax loss carryforwards of approximately US$25,517,011 and US$45,505,732, which can be carried forward to offset taxable income. As of December 31, 2019 and 2020, Agora Lab, Inc., a California corporation, had U.S. federal tax loss carry-forwards of approximately US$25,517,011 and US$35,521,448, respectively, and had U.S. state tax loss carry-forwards of approximately US$25,417,389 and US$35,421,826, respectively. Under the U.S. tax law, federal tax loss carry-forwards arising in tax years beginning after December 31, 2017 can be carried forward indefinitely but the maximum deduction for any such loss carried forward to tax years beginning on or after January 1, 2021 is reduced to 80% of Agora Lab, Inc.’s taxable income, while loss carry-forwards arising in 2017 or prior years can be carried back two tax years and carried forward up to 20 years (and are not subject to the 80% limitation). California state tax loss carry-forwards may be carried forward for up to 20 years and are subject to limitation on use through the end of 2022 (during which the period of carryforward may be extended). On June 29, 2020, Governor Gavin Newson signed the 2020 Budget Act Assembly Bill 85 (A.B.85) - a US$202.1 billion spending plan that strengthens emergency response, protects public health and safety, and promotes economic recovery while closing a US$54.3 billion budget shortfall caused by the COVID-19 recession. A.B.85, which includes several tax measures, provides for a three-year suspension of the use of NOLs for medium and large business and a three-year cap on the use of business incentive tax credits to offset no more than US$5 million of tax per year. Under both sections, the suspension applies to “any taxable year beginning on or after January 1, 2020 and before January 1, 2023”. Based on the Company’s current year and projected future year profitability level, the Company believes there will not be a material impact on the Company’s financial statements after considering the above provisions.</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Agora Lab, Inc.’s federal tax loss carry-forwards arisen in 2017 or prior will begin to expire in varying amounts between 2035 and 2038 and the state tax loss carry-forwards will begin to expire in varying amounts between 2035 and 2041.</w:t>
      </w:r>
    </w:p>
    <w:p>
      <w:pPr>
        <w:pStyle w:val="TextBody"/>
        <w:spacing w:before="0" w:after="0"/>
        <w:rPr/>
      </w:pPr>
      <w:r>
        <w:rPr/>
      </w:r>
    </w:p>
    <w:p>
      <w:pPr>
        <w:pStyle w:val="TextBody"/>
        <w:spacing w:lineRule="auto" w:line="319" w:before="0" w:after="240"/>
        <w:ind w:left="0" w:right="0" w:firstLine="567"/>
        <w:jc w:val="both"/>
        <w:rPr>
          <w:rFonts w:ascii="Times New Roman;sans-serif" w:hAnsi="Times New Roman;sans-serif"/>
          <w:b w:val="false"/>
          <w:i/>
          <w:color w:val="000000"/>
          <w:sz w:val="20"/>
        </w:rPr>
      </w:pPr>
      <w:r>
        <w:rPr>
          <w:rFonts w:ascii="Times New Roman;sans-serif" w:hAnsi="Times New Roman;sans-serif"/>
          <w:b w:val="false"/>
          <w:i/>
          <w:color w:val="000000"/>
          <w:sz w:val="20"/>
        </w:rPr>
        <w:t>Movement of Valuation Allowance</w:t>
      </w:r>
    </w:p>
    <w:p>
      <w:pPr>
        <w:pStyle w:val="HorizontalLine"/>
        <w:rPr/>
      </w:pPr>
      <w:r>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6480175" cy="175260"/>
                <wp:effectExtent l="0" t="0" r="0" b="0"/>
                <wp:wrapNone/>
                <wp:docPr id="205" name="Frame20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F-45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F-45</w:t>
                      </w:r>
                    </w:p>
                  </w:txbxContent>
                </v:textbox>
              </v:rect>
            </w:pict>
          </mc:Fallback>
        </mc:AlternateConten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AGORA,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 xml:space="preserve">(All amounts in US$, except share data, unless otherwise stated) </w:t>
      </w:r>
    </w:p>
    <w:tbl>
      <w:tblPr>
        <w:tblW w:w="7677" w:type="dxa"/>
        <w:jc w:val="left"/>
        <w:tblInd w:w="0" w:type="dxa"/>
        <w:tblCellMar>
          <w:top w:w="28" w:type="dxa"/>
          <w:left w:w="28" w:type="dxa"/>
          <w:bottom w:w="28" w:type="dxa"/>
          <w:right w:w="28" w:type="dxa"/>
        </w:tblCellMar>
      </w:tblPr>
      <w:tblGrid>
        <w:gridCol w:w="999"/>
        <w:gridCol w:w="879"/>
        <w:gridCol w:w="882"/>
        <w:gridCol w:w="211"/>
        <w:gridCol w:w="1051"/>
        <w:gridCol w:w="109"/>
        <w:gridCol w:w="109"/>
        <w:gridCol w:w="109"/>
        <w:gridCol w:w="109"/>
        <w:gridCol w:w="211"/>
        <w:gridCol w:w="1051"/>
        <w:gridCol w:w="109"/>
        <w:gridCol w:w="109"/>
        <w:gridCol w:w="109"/>
        <w:gridCol w:w="109"/>
        <w:gridCol w:w="211"/>
        <w:gridCol w:w="1156"/>
        <w:gridCol w:w="154"/>
      </w:tblGrid>
      <w:tr>
        <w:trPr/>
        <w:tc>
          <w:tcPr>
            <w:tcW w:w="999" w:type="dxa"/>
            <w:tcBorders/>
            <w:shd w:fill="auto" w:val="clear"/>
            <w:vAlign w:val="center"/>
          </w:tcPr>
          <w:p>
            <w:pPr>
              <w:pStyle w:val="TableContents"/>
              <w:spacing w:before="0" w:after="283"/>
              <w:rPr>
                <w:sz w:val="4"/>
                <w:szCs w:val="4"/>
              </w:rPr>
            </w:pPr>
            <w:r>
              <w:rPr>
                <w:sz w:val="4"/>
                <w:szCs w:val="4"/>
              </w:rPr>
            </w:r>
          </w:p>
        </w:tc>
        <w:tc>
          <w:tcPr>
            <w:tcW w:w="879" w:type="dxa"/>
            <w:tcBorders/>
            <w:shd w:fill="auto" w:val="clear"/>
            <w:vAlign w:val="center"/>
          </w:tcPr>
          <w:p>
            <w:pPr>
              <w:pStyle w:val="TableContents"/>
              <w:spacing w:before="0" w:after="283"/>
              <w:rPr>
                <w:sz w:val="4"/>
                <w:szCs w:val="4"/>
              </w:rPr>
            </w:pPr>
            <w:r>
              <w:rPr>
                <w:sz w:val="4"/>
                <w:szCs w:val="4"/>
              </w:rPr>
            </w:r>
          </w:p>
        </w:tc>
        <w:tc>
          <w:tcPr>
            <w:tcW w:w="882"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15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17" w:type="dxa"/>
            <w:gridSpan w:val="15"/>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27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2018</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7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2019</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2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2020</w:t>
            </w:r>
          </w:p>
        </w:tc>
      </w:tr>
      <w:tr>
        <w:trPr/>
        <w:tc>
          <w:tcPr>
            <w:tcW w:w="27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17"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(US$)</w:t>
            </w:r>
          </w:p>
        </w:tc>
      </w:tr>
      <w:tr>
        <w:trPr/>
        <w:tc>
          <w:tcPr>
            <w:tcW w:w="27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beginning of the year</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(3,147,795)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(4,286,495)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(7,727,287)</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 in current year</w:t>
            </w:r>
          </w:p>
        </w:tc>
        <w:tc>
          <w:tcPr>
            <w:tcW w:w="12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(1,138,700)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(3,440,792)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(4,960,490)</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Reversals in current year</w:t>
            </w:r>
          </w:p>
        </w:tc>
        <w:tc>
          <w:tcPr>
            <w:tcW w:w="12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the end of the year</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(4,286,495)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(7,727,287)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(12,687,777)</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19" w:before="0" w:after="240"/>
        <w:ind w:left="0" w:right="0" w:hanging="567"/>
        <w:jc w:val="both"/>
        <w:rPr>
          <w:rFonts w:ascii="Times New Roman;sans-serif" w:hAnsi="Times New Roman;sans-serif"/>
          <w:b/>
          <w:color w:val="000000"/>
          <w:sz w:val="20"/>
        </w:rPr>
      </w:pPr>
      <w:r>
        <w:rPr>
          <w:rFonts w:ascii="Times New Roman;sans-serif" w:hAnsi="Times New Roman;sans-serif"/>
          <w:b/>
          <w:color w:val="000000"/>
          <w:sz w:val="20"/>
        </w:rPr>
        <w:t>16.Basic and Diluted Net Loss per Share</w:t>
      </w:r>
    </w:p>
    <w:p>
      <w:pPr>
        <w:pStyle w:val="TextBody"/>
        <w:spacing w:lineRule="auto" w:line="319" w:before="0" w:after="240"/>
        <w:ind w:left="0" w:right="0" w:firstLine="567"/>
        <w:jc w:val="both"/>
        <w:rPr>
          <w:rFonts w:ascii="Times New Roman;sans-serif" w:hAnsi="Times New Roman;sans-serif"/>
          <w:b w:val="false"/>
          <w:color w:val="000000"/>
          <w:sz w:val="20"/>
        </w:rPr>
      </w:pPr>
      <w:r>
        <w:rPr>
          <w:rFonts w:ascii="Times New Roman;sans-serif" w:hAnsi="Times New Roman;sans-serif"/>
          <w:b w:val="false"/>
          <w:color w:val="000000"/>
          <w:sz w:val="20"/>
        </w:rPr>
        <w:t>Basic and diluted net loss per share have been calculated in accordance with ASC 260, Earnings Per Share. Basic net loss per share is computed using the weighted average number of ordinary shares outstanding during the period. Diluted net loss per share is computed using the weighted average number of ordinary shares and dilutive potential ordinary shares outstanding during the period. The computation of earnings per share for the years ended December 31, 2018, 2019 and 2020 is as follows:</w:t>
      </w:r>
    </w:p>
    <w:tbl>
      <w:tblPr>
        <w:tblW w:w="10205" w:type="dxa"/>
        <w:jc w:val="left"/>
        <w:tblInd w:w="0" w:type="dxa"/>
        <w:tblCellMar>
          <w:top w:w="28" w:type="dxa"/>
          <w:left w:w="28" w:type="dxa"/>
          <w:bottom w:w="28" w:type="dxa"/>
          <w:right w:w="28" w:type="dxa"/>
        </w:tblCellMar>
      </w:tblPr>
      <w:tblGrid>
        <w:gridCol w:w="2110"/>
        <w:gridCol w:w="1697"/>
        <w:gridCol w:w="1704"/>
        <w:gridCol w:w="241"/>
        <w:gridCol w:w="945"/>
        <w:gridCol w:w="109"/>
        <w:gridCol w:w="109"/>
        <w:gridCol w:w="109"/>
        <w:gridCol w:w="109"/>
        <w:gridCol w:w="211"/>
        <w:gridCol w:w="1029"/>
        <w:gridCol w:w="109"/>
        <w:gridCol w:w="109"/>
        <w:gridCol w:w="109"/>
        <w:gridCol w:w="109"/>
        <w:gridCol w:w="211"/>
        <w:gridCol w:w="1029"/>
        <w:gridCol w:w="156"/>
      </w:tblGrid>
      <w:tr>
        <w:trPr/>
        <w:tc>
          <w:tcPr>
            <w:tcW w:w="2110" w:type="dxa"/>
            <w:tcBorders/>
            <w:shd w:fill="auto" w:val="clear"/>
            <w:vAlign w:val="center"/>
          </w:tcPr>
          <w:p>
            <w:pPr>
              <w:pStyle w:val="TableContents"/>
              <w:spacing w:before="0" w:after="283"/>
              <w:rPr>
                <w:sz w:val="4"/>
                <w:szCs w:val="4"/>
              </w:rPr>
            </w:pPr>
            <w:r>
              <w:rPr>
                <w:sz w:val="4"/>
                <w:szCs w:val="4"/>
              </w:rPr>
            </w:r>
          </w:p>
        </w:tc>
        <w:tc>
          <w:tcPr>
            <w:tcW w:w="1697" w:type="dxa"/>
            <w:tcBorders/>
            <w:shd w:fill="auto" w:val="clear"/>
            <w:vAlign w:val="center"/>
          </w:tcPr>
          <w:p>
            <w:pPr>
              <w:pStyle w:val="TableContents"/>
              <w:spacing w:before="0" w:after="283"/>
              <w:rPr>
                <w:sz w:val="4"/>
                <w:szCs w:val="4"/>
              </w:rPr>
            </w:pPr>
            <w:r>
              <w:rPr>
                <w:sz w:val="4"/>
                <w:szCs w:val="4"/>
              </w:rPr>
            </w:r>
          </w:p>
        </w:tc>
        <w:tc>
          <w:tcPr>
            <w:tcW w:w="1704"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94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2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2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5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94" w:type="dxa"/>
            <w:gridSpan w:val="15"/>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5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2018</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49"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2019</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9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2020</w:t>
            </w:r>
          </w:p>
        </w:tc>
      </w:tr>
      <w:tr>
        <w:trPr/>
        <w:tc>
          <w:tcPr>
            <w:tcW w:w="5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94"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(US$)</w:t>
            </w:r>
          </w:p>
        </w:tc>
      </w:tr>
      <w:tr>
        <w:trPr/>
        <w:tc>
          <w:tcPr>
            <w:tcW w:w="551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Numerator:</w:t>
            </w:r>
          </w:p>
        </w:tc>
        <w:tc>
          <w:tcPr>
            <w:tcW w:w="12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6" w:type="dxa"/>
            <w:gridSpan w:val="3"/>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551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24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376,116 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(6,177,438)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(3,114,860)</w:t>
            </w:r>
          </w:p>
        </w:tc>
        <w:tc>
          <w:tcPr>
            <w:tcW w:w="156"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551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Cumulative undeclared dividends on convertible redeemable preferred shares</w:t>
            </w:r>
          </w:p>
        </w:tc>
        <w:tc>
          <w:tcPr>
            <w:tcW w:w="11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(9,961,473)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(9,961,473)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(6,714,852)</w:t>
            </w:r>
          </w:p>
        </w:tc>
        <w:tc>
          <w:tcPr>
            <w:tcW w:w="156"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551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Accretion on convertible redeemable preferred shares to redemption value (Note 10)</w:t>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(33,234,811)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(50,714,953)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(193,465,743)</w:t>
            </w:r>
          </w:p>
        </w:tc>
        <w:tc>
          <w:tcPr>
            <w:tcW w:w="156"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551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Agora, Inc.’s ordinary shareholders - basic and diluted</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(42,820,168)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(66,853,864)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(203,295,455)</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551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Denominator:</w:t>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9"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551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Denominator for basic and diluted loss per share weighted-average ordinary shares outstanding</w:t>
            </w:r>
          </w:p>
        </w:tc>
        <w:tc>
          <w:tcPr>
            <w:tcW w:w="11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109,141,311 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115,716,392 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268,849,967 </w:t>
            </w:r>
          </w:p>
        </w:tc>
        <w:tc>
          <w:tcPr>
            <w:tcW w:w="156"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551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 loss per share</w:t>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(0.76)</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319" w:before="0" w:after="240"/>
        <w:ind w:left="0" w:right="0" w:firstLine="567"/>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ordinary shares equivalent were excluded from the computation of diluted net loss per ordinary share for the periods presented because including them would have had an anti-dilutive effect:</w:t>
      </w:r>
    </w:p>
    <w:tbl>
      <w:tblPr>
        <w:tblW w:w="8389" w:type="dxa"/>
        <w:jc w:val="left"/>
        <w:tblInd w:w="0" w:type="dxa"/>
        <w:tblCellMar>
          <w:top w:w="28" w:type="dxa"/>
          <w:left w:w="28" w:type="dxa"/>
          <w:bottom w:w="28" w:type="dxa"/>
          <w:right w:w="28" w:type="dxa"/>
        </w:tblCellMar>
      </w:tblPr>
      <w:tblGrid>
        <w:gridCol w:w="1243"/>
        <w:gridCol w:w="1094"/>
        <w:gridCol w:w="1098"/>
        <w:gridCol w:w="593"/>
        <w:gridCol w:w="593"/>
        <w:gridCol w:w="176"/>
        <w:gridCol w:w="152"/>
        <w:gridCol w:w="152"/>
        <w:gridCol w:w="152"/>
        <w:gridCol w:w="593"/>
        <w:gridCol w:w="593"/>
        <w:gridCol w:w="176"/>
        <w:gridCol w:w="152"/>
        <w:gridCol w:w="152"/>
        <w:gridCol w:w="152"/>
        <w:gridCol w:w="540"/>
        <w:gridCol w:w="541"/>
        <w:gridCol w:w="237"/>
      </w:tblGrid>
      <w:tr>
        <w:trPr/>
        <w:tc>
          <w:tcPr>
            <w:tcW w:w="1243" w:type="dxa"/>
            <w:tcBorders/>
            <w:shd w:fill="auto" w:val="clear"/>
            <w:vAlign w:val="center"/>
          </w:tcPr>
          <w:p>
            <w:pPr>
              <w:pStyle w:val="TableContents"/>
              <w:spacing w:before="0" w:after="283"/>
              <w:rPr>
                <w:sz w:val="4"/>
                <w:szCs w:val="4"/>
              </w:rPr>
            </w:pPr>
            <w:r>
              <w:rPr>
                <w:sz w:val="4"/>
                <w:szCs w:val="4"/>
              </w:rPr>
            </w:r>
          </w:p>
        </w:tc>
        <w:tc>
          <w:tcPr>
            <w:tcW w:w="1094" w:type="dxa"/>
            <w:tcBorders/>
            <w:shd w:fill="auto" w:val="clear"/>
            <w:vAlign w:val="center"/>
          </w:tcPr>
          <w:p>
            <w:pPr>
              <w:pStyle w:val="TableContents"/>
              <w:spacing w:before="0" w:after="283"/>
              <w:rPr>
                <w:sz w:val="4"/>
                <w:szCs w:val="4"/>
              </w:rPr>
            </w:pPr>
            <w:r>
              <w:rPr>
                <w:sz w:val="4"/>
                <w:szCs w:val="4"/>
              </w:rPr>
            </w:r>
          </w:p>
        </w:tc>
        <w:tc>
          <w:tcPr>
            <w:tcW w:w="1098" w:type="dxa"/>
            <w:tcBorders/>
            <w:shd w:fill="auto" w:val="clear"/>
            <w:vAlign w:val="center"/>
          </w:tcPr>
          <w:p>
            <w:pPr>
              <w:pStyle w:val="TableContents"/>
              <w:spacing w:before="0" w:after="283"/>
              <w:rPr>
                <w:sz w:val="4"/>
                <w:szCs w:val="4"/>
              </w:rPr>
            </w:pPr>
            <w:r>
              <w:rPr>
                <w:sz w:val="4"/>
                <w:szCs w:val="4"/>
              </w:rPr>
            </w:r>
          </w:p>
        </w:tc>
        <w:tc>
          <w:tcPr>
            <w:tcW w:w="593" w:type="dxa"/>
            <w:tcBorders/>
            <w:shd w:fill="auto" w:val="clear"/>
            <w:vAlign w:val="center"/>
          </w:tcPr>
          <w:p>
            <w:pPr>
              <w:pStyle w:val="TableContents"/>
              <w:spacing w:before="0" w:after="283"/>
              <w:rPr>
                <w:sz w:val="4"/>
                <w:szCs w:val="4"/>
              </w:rPr>
            </w:pPr>
            <w:r>
              <w:rPr>
                <w:sz w:val="4"/>
                <w:szCs w:val="4"/>
              </w:rPr>
            </w:r>
          </w:p>
        </w:tc>
        <w:tc>
          <w:tcPr>
            <w:tcW w:w="593"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593" w:type="dxa"/>
            <w:tcBorders/>
            <w:shd w:fill="auto" w:val="clear"/>
            <w:vAlign w:val="center"/>
          </w:tcPr>
          <w:p>
            <w:pPr>
              <w:pStyle w:val="TableContents"/>
              <w:spacing w:before="0" w:after="283"/>
              <w:rPr>
                <w:sz w:val="4"/>
                <w:szCs w:val="4"/>
              </w:rPr>
            </w:pPr>
            <w:r>
              <w:rPr>
                <w:sz w:val="4"/>
                <w:szCs w:val="4"/>
              </w:rPr>
            </w:r>
          </w:p>
        </w:tc>
        <w:tc>
          <w:tcPr>
            <w:tcW w:w="593"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540"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r>
      <w:tr>
        <w:trPr/>
        <w:tc>
          <w:tcPr>
            <w:tcW w:w="34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54" w:type="dxa"/>
            <w:gridSpan w:val="15"/>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34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2018</w:t>
            </w:r>
          </w:p>
        </w:tc>
        <w:tc>
          <w:tcPr>
            <w:tcW w:w="45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6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2019</w:t>
            </w:r>
          </w:p>
        </w:tc>
        <w:tc>
          <w:tcPr>
            <w:tcW w:w="45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1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2020</w:t>
            </w:r>
          </w:p>
        </w:tc>
      </w:tr>
      <w:tr>
        <w:trPr/>
        <w:tc>
          <w:tcPr>
            <w:tcW w:w="34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Preferred shares - weighted average</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141,543,341 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167,855,481 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86,731,855 </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 options - weighted average</w:t>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17,280,175 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26,923,735 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39,846,432 </w:t>
            </w:r>
          </w:p>
        </w:tc>
        <w:tc>
          <w:tcPr>
            <w:tcW w:w="2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share - weighted average</w:t>
            </w:r>
          </w:p>
        </w:tc>
        <w:tc>
          <w:tcPr>
            <w:tcW w:w="11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11,358,874 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5,154,272 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479,275 </w:t>
            </w:r>
          </w:p>
        </w:tc>
        <w:tc>
          <w:tcPr>
            <w:tcW w:w="2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share units - weighted average</w:t>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32,870 </w:t>
            </w:r>
          </w:p>
        </w:tc>
        <w:tc>
          <w:tcPr>
            <w:tcW w:w="2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VPP shares – weighted average</w:t>
            </w:r>
          </w:p>
        </w:tc>
        <w:tc>
          <w:tcPr>
            <w:tcW w:w="11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39,311 </w:t>
            </w:r>
          </w:p>
        </w:tc>
        <w:tc>
          <w:tcPr>
            <w:tcW w:w="2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19" w:before="0" w:after="240"/>
        <w:ind w:left="0" w:right="0" w:hanging="540"/>
        <w:jc w:val="both"/>
        <w:rPr/>
      </w:pPr>
      <w:r>
        <w:rPr>
          <w:rFonts w:ascii="Times New Roman;sans-serif" w:hAnsi="Times New Roman;sans-serif"/>
          <w:b/>
          <w:color w:val="000000"/>
          <w:sz w:val="18"/>
        </w:rPr>
        <w:t>17.</w:t>
      </w:r>
      <w:r>
        <w:rPr>
          <w:rFonts w:ascii="Times New Roman;sans-serif" w:hAnsi="Times New Roman;sans-serif"/>
          <w:b/>
          <w:color w:val="000000"/>
          <w:sz w:val="20"/>
        </w:rPr>
        <w:t>Commitments and Contingencies</w:t>
      </w:r>
    </w:p>
    <w:p>
      <w:pPr>
        <w:pStyle w:val="TextBody"/>
        <w:spacing w:lineRule="auto" w:line="319" w:before="0" w:after="240"/>
        <w:ind w:left="0" w:right="0" w:firstLine="567"/>
        <w:jc w:val="both"/>
        <w:rPr>
          <w:rFonts w:ascii="Times New Roman;sans-serif" w:hAnsi="Times New Roman;sans-serif"/>
          <w:b/>
          <w:i/>
          <w:color w:val="000000"/>
          <w:sz w:val="20"/>
        </w:rPr>
      </w:pPr>
      <w:r>
        <w:rPr>
          <w:rFonts w:ascii="Times New Roman;sans-serif" w:hAnsi="Times New Roman;sans-serif"/>
          <w:b/>
          <w:i/>
          <w:color w:val="000000"/>
          <w:sz w:val="20"/>
        </w:rPr>
        <w:t>Operating Lease Commitments</w:t>
      </w:r>
    </w:p>
    <w:p>
      <w:pPr>
        <w:pStyle w:val="HorizontalLine"/>
        <w:rPr/>
      </w:pPr>
      <w:r>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6480175" cy="175260"/>
                <wp:effectExtent l="0" t="0" r="0" b="0"/>
                <wp:wrapNone/>
                <wp:docPr id="206" name="Frame20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F-46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F-46</w:t>
                      </w:r>
                    </w:p>
                  </w:txbxContent>
                </v:textbox>
              </v:rect>
            </w:pict>
          </mc:Fallback>
        </mc:AlternateConten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AGORA,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 xml:space="preserve">(All amounts in US$, except share data, unless otherwise stated) </w:t>
      </w:r>
    </w:p>
    <w:p>
      <w:pPr>
        <w:pStyle w:val="TextBody"/>
        <w:spacing w:lineRule="auto" w:line="319" w:before="0" w:after="240"/>
        <w:ind w:left="0" w:right="0" w:firstLine="567"/>
        <w:jc w:val="both"/>
        <w:rPr>
          <w:rFonts w:ascii="Times New Roman;sans-serif" w:hAnsi="Times New Roman;sans-serif"/>
          <w:b w:val="false"/>
          <w:color w:val="000000"/>
          <w:sz w:val="20"/>
        </w:rPr>
      </w:pPr>
      <w:r>
        <w:rPr>
          <w:rFonts w:ascii="Times New Roman;sans-serif" w:hAnsi="Times New Roman;sans-serif"/>
          <w:b w:val="false"/>
          <w:color w:val="000000"/>
          <w:sz w:val="20"/>
        </w:rPr>
        <w:t>The Group has entered into non-cancellable agreements with initial or remaining terms in excess of one year for the rental and property management fee of office premises and for the lease of office equipment. As of December 31, 2020, future minimum payments under non-cancellable operating leases for office rental, office equipment and property management fee of office premises consist of the following:</w:t>
      </w:r>
    </w:p>
    <w:tbl>
      <w:tblPr>
        <w:tblW w:w="4108" w:type="dxa"/>
        <w:jc w:val="left"/>
        <w:tblInd w:w="0" w:type="dxa"/>
        <w:tblCellMar>
          <w:top w:w="28" w:type="dxa"/>
          <w:left w:w="28" w:type="dxa"/>
          <w:bottom w:w="28" w:type="dxa"/>
          <w:right w:w="28" w:type="dxa"/>
        </w:tblCellMar>
      </w:tblPr>
      <w:tblGrid>
        <w:gridCol w:w="895"/>
        <w:gridCol w:w="788"/>
        <w:gridCol w:w="791"/>
        <w:gridCol w:w="257"/>
        <w:gridCol w:w="1190"/>
        <w:gridCol w:w="187"/>
      </w:tblGrid>
      <w:tr>
        <w:trPr/>
        <w:tc>
          <w:tcPr>
            <w:tcW w:w="895" w:type="dxa"/>
            <w:tcBorders/>
            <w:shd w:fill="auto" w:val="clear"/>
            <w:vAlign w:val="center"/>
          </w:tcPr>
          <w:p>
            <w:pPr>
              <w:pStyle w:val="TableContents"/>
              <w:spacing w:before="0" w:after="283"/>
              <w:rPr>
                <w:sz w:val="4"/>
                <w:szCs w:val="4"/>
              </w:rPr>
            </w:pPr>
            <w:r>
              <w:rPr>
                <w:sz w:val="4"/>
                <w:szCs w:val="4"/>
              </w:rPr>
            </w:r>
          </w:p>
        </w:tc>
        <w:tc>
          <w:tcPr>
            <w:tcW w:w="788" w:type="dxa"/>
            <w:tcBorders/>
            <w:shd w:fill="auto" w:val="clear"/>
            <w:vAlign w:val="center"/>
          </w:tcPr>
          <w:p>
            <w:pPr>
              <w:pStyle w:val="TableContents"/>
              <w:spacing w:before="0" w:after="283"/>
              <w:rPr>
                <w:sz w:val="4"/>
                <w:szCs w:val="4"/>
              </w:rPr>
            </w:pPr>
            <w:r>
              <w:rPr>
                <w:sz w:val="4"/>
                <w:szCs w:val="4"/>
              </w:rPr>
            </w:r>
          </w:p>
        </w:tc>
        <w:tc>
          <w:tcPr>
            <w:tcW w:w="791"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center"/>
          </w:tcPr>
          <w:p>
            <w:pPr>
              <w:pStyle w:val="TableContents"/>
              <w:spacing w:before="0" w:after="283"/>
              <w:rPr>
                <w:sz w:val="4"/>
                <w:szCs w:val="4"/>
              </w:rPr>
            </w:pPr>
            <w:r>
              <w:rPr>
                <w:sz w:val="4"/>
                <w:szCs w:val="4"/>
              </w:rPr>
            </w:r>
          </w:p>
        </w:tc>
        <w:tc>
          <w:tcPr>
            <w:tcW w:w="1190"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r>
      <w:tr>
        <w:trPr/>
        <w:tc>
          <w:tcPr>
            <w:tcW w:w="24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4" w:type="dxa"/>
            <w:gridSpan w:val="3"/>
            <w:tcBorders/>
            <w:shd w:fill="auto" w:val="clear"/>
            <w:tcMar>
              <w:top w:w="0" w:type="dxa"/>
              <w:left w:w="0" w:type="dxa"/>
              <w:bottom w:w="0" w:type="dxa"/>
              <w:right w:w="0" w:type="dxa"/>
            </w:tcMar>
            <w:vAlign w:val="center"/>
          </w:tcPr>
          <w:p>
            <w:pPr>
              <w:pStyle w:val="TableContents"/>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Operating Leases</w:t>
            </w:r>
          </w:p>
        </w:tc>
      </w:tr>
      <w:tr>
        <w:trPr/>
        <w:tc>
          <w:tcPr>
            <w:tcW w:w="2474" w:type="dxa"/>
            <w:gridSpan w:val="3"/>
            <w:tcBorders/>
            <w:shd w:fill="CCEEFF" w:val="clear"/>
            <w:tcMar>
              <w:top w:w="0" w:type="dxa"/>
              <w:left w:w="0" w:type="dxa"/>
              <w:bottom w:w="0" w:type="dxa"/>
              <w:right w:w="0" w:type="dxa"/>
            </w:tcMar>
            <w:vAlign w:val="center"/>
          </w:tcPr>
          <w:p>
            <w:pPr>
              <w:pStyle w:val="TableContents"/>
              <w:spacing w:lineRule="auto" w:line="276" w:before="0" w:after="0"/>
              <w:jc w:val="left"/>
              <w:rPr>
                <w:rFonts w:ascii="Times New Roman;sans-serif" w:hAnsi="Times New Roman;sans-serif"/>
                <w:b/>
                <w:color w:val="000000"/>
                <w:sz w:val="20"/>
              </w:rPr>
            </w:pPr>
            <w:r>
              <w:rPr>
                <w:rFonts w:ascii="Times New Roman;sans-serif" w:hAnsi="Times New Roman;sans-serif"/>
                <w:b/>
                <w:color w:val="000000"/>
                <w:sz w:val="20"/>
              </w:rPr>
              <w:t>Years Ending December 31,</w:t>
            </w:r>
          </w:p>
        </w:tc>
        <w:tc>
          <w:tcPr>
            <w:tcW w:w="163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2021</w:t>
            </w:r>
          </w:p>
        </w:tc>
        <w:tc>
          <w:tcPr>
            <w:tcW w:w="257" w:type="dxa"/>
            <w:tcBorders/>
            <w:shd w:fill="FFFFFF" w:val="clear"/>
            <w:tcMar>
              <w:top w:w="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0" w:type="dxa"/>
            <w:tcBorders/>
            <w:shd w:fill="FFFFFF" w:val="clear"/>
            <w:tcMar>
              <w:top w:w="0" w:type="dxa"/>
              <w:left w:w="0" w:type="dxa"/>
              <w:bottom w:w="0" w:type="dxa"/>
              <w:right w:w="0" w:type="dxa"/>
            </w:tcMar>
            <w:vAlign w:val="center"/>
          </w:tcPr>
          <w:p>
            <w:pPr>
              <w:pStyle w:val="TableContents"/>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2,913,548 </w:t>
            </w:r>
          </w:p>
        </w:tc>
        <w:tc>
          <w:tcPr>
            <w:tcW w:w="18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1447" w:type="dxa"/>
            <w:gridSpan w:val="2"/>
            <w:tcBorders/>
            <w:shd w:fill="CCEEFF" w:val="clear"/>
            <w:tcMar>
              <w:top w:w="0" w:type="dxa"/>
              <w:left w:w="0" w:type="dxa"/>
              <w:bottom w:w="0" w:type="dxa"/>
              <w:right w:w="0" w:type="dxa"/>
            </w:tcMar>
            <w:vAlign w:val="center"/>
          </w:tcPr>
          <w:p>
            <w:pPr>
              <w:pStyle w:val="TableContents"/>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2,316,861 </w:t>
            </w:r>
          </w:p>
        </w:tc>
        <w:tc>
          <w:tcPr>
            <w:tcW w:w="18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1447" w:type="dxa"/>
            <w:gridSpan w:val="2"/>
            <w:tcBorders/>
            <w:shd w:fill="FFFFFF" w:val="clear"/>
            <w:tcMar>
              <w:top w:w="0" w:type="dxa"/>
              <w:left w:w="0" w:type="dxa"/>
              <w:bottom w:w="0" w:type="dxa"/>
              <w:right w:w="0" w:type="dxa"/>
            </w:tcMar>
            <w:vAlign w:val="center"/>
          </w:tcPr>
          <w:p>
            <w:pPr>
              <w:pStyle w:val="TableContents"/>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1,438,938 </w:t>
            </w:r>
          </w:p>
        </w:tc>
        <w:tc>
          <w:tcPr>
            <w:tcW w:w="18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1447" w:type="dxa"/>
            <w:gridSpan w:val="2"/>
            <w:tcBorders/>
            <w:shd w:fill="CCEEFF" w:val="clear"/>
            <w:tcMar>
              <w:top w:w="0" w:type="dxa"/>
              <w:left w:w="0" w:type="dxa"/>
              <w:bottom w:w="0" w:type="dxa"/>
              <w:right w:w="0" w:type="dxa"/>
            </w:tcMar>
            <w:vAlign w:val="center"/>
          </w:tcPr>
          <w:p>
            <w:pPr>
              <w:pStyle w:val="TableContents"/>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106,163 </w:t>
            </w:r>
          </w:p>
        </w:tc>
        <w:tc>
          <w:tcPr>
            <w:tcW w:w="18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447" w:type="dxa"/>
            <w:gridSpan w:val="2"/>
            <w:tcBorders/>
            <w:shd w:fill="FFFFFF" w:val="clear"/>
            <w:tcMar>
              <w:top w:w="0" w:type="dxa"/>
              <w:left w:w="0" w:type="dxa"/>
              <w:bottom w:w="0" w:type="dxa"/>
              <w:right w:w="0" w:type="dxa"/>
            </w:tcMar>
            <w:vAlign w:val="center"/>
          </w:tcPr>
          <w:p>
            <w:pPr>
              <w:pStyle w:val="TableContents"/>
              <w:spacing w:lineRule="auto" w:line="276"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6,775,510 </w:t>
            </w:r>
          </w:p>
        </w:tc>
        <w:tc>
          <w:tcPr>
            <w:tcW w:w="1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319" w:before="0" w:after="240"/>
        <w:ind w:left="0" w:right="0" w:firstLine="567"/>
        <w:jc w:val="both"/>
        <w:rPr>
          <w:rFonts w:ascii="Times New Roman;sans-serif" w:hAnsi="Times New Roman;sans-serif"/>
          <w:b w:val="false"/>
          <w:color w:val="000000"/>
          <w:sz w:val="20"/>
        </w:rPr>
      </w:pPr>
      <w:r>
        <w:rPr>
          <w:rFonts w:ascii="Times New Roman;sans-serif" w:hAnsi="Times New Roman;sans-serif"/>
          <w:b w:val="false"/>
          <w:color w:val="000000"/>
          <w:sz w:val="20"/>
        </w:rPr>
        <w:t>Rental expenses for the years ended December 31, 2018, 2019 and 2020 $1,211,936, $1,424,998 and $2,303,599, respectively.</w:t>
      </w:r>
    </w:p>
    <w:p>
      <w:pPr>
        <w:pStyle w:val="TextBody"/>
        <w:spacing w:lineRule="auto" w:line="319" w:before="0" w:after="240"/>
        <w:ind w:left="0" w:right="0" w:firstLine="567"/>
        <w:jc w:val="both"/>
        <w:rPr>
          <w:rFonts w:ascii="Times New Roman;sans-serif" w:hAnsi="Times New Roman;sans-serif"/>
          <w:b/>
          <w:i/>
          <w:color w:val="000000"/>
          <w:sz w:val="20"/>
        </w:rPr>
      </w:pPr>
      <w:r>
        <w:rPr>
          <w:rFonts w:ascii="Times New Roman;sans-serif" w:hAnsi="Times New Roman;sans-serif"/>
          <w:b/>
          <w:i/>
          <w:color w:val="000000"/>
          <w:sz w:val="20"/>
        </w:rPr>
        <w:t>Contractual Purchase Obligations</w:t>
      </w:r>
    </w:p>
    <w:p>
      <w:pPr>
        <w:pStyle w:val="TextBody"/>
        <w:spacing w:lineRule="auto" w:line="319" w:before="0" w:after="240"/>
        <w:ind w:left="0" w:right="0" w:firstLine="567"/>
        <w:jc w:val="both"/>
        <w:rPr>
          <w:rFonts w:ascii="Times New Roman;sans-serif" w:hAnsi="Times New Roman;sans-serif"/>
          <w:b w:val="false"/>
          <w:color w:val="000000"/>
          <w:sz w:val="20"/>
        </w:rPr>
      </w:pPr>
      <w:r>
        <w:rPr>
          <w:rFonts w:ascii="Times New Roman;sans-serif" w:hAnsi="Times New Roman;sans-serif"/>
          <w:b w:val="false"/>
          <w:color w:val="000000"/>
          <w:sz w:val="20"/>
        </w:rPr>
        <w:t>The Group has entered into non-cancellable agreements related to the purchase of network equipment from third party vendors. As of December 31, 2020, contractual purchase obligations with respect to these servers consist of the following:</w:t>
      </w:r>
    </w:p>
    <w:tbl>
      <w:tblPr>
        <w:tblW w:w="3571" w:type="dxa"/>
        <w:jc w:val="left"/>
        <w:tblInd w:w="0" w:type="dxa"/>
        <w:tblCellMar>
          <w:top w:w="28" w:type="dxa"/>
          <w:left w:w="28" w:type="dxa"/>
          <w:bottom w:w="28" w:type="dxa"/>
          <w:right w:w="28" w:type="dxa"/>
        </w:tblCellMar>
      </w:tblPr>
      <w:tblGrid>
        <w:gridCol w:w="196"/>
        <w:gridCol w:w="172"/>
        <w:gridCol w:w="173"/>
        <w:gridCol w:w="476"/>
        <w:gridCol w:w="2206"/>
        <w:gridCol w:w="348"/>
      </w:tblGrid>
      <w:tr>
        <w:trPr/>
        <w:tc>
          <w:tcPr>
            <w:tcW w:w="196"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476" w:type="dxa"/>
            <w:tcBorders/>
            <w:shd w:fill="auto" w:val="clear"/>
            <w:vAlign w:val="center"/>
          </w:tcPr>
          <w:p>
            <w:pPr>
              <w:pStyle w:val="TableContents"/>
              <w:spacing w:before="0" w:after="283"/>
              <w:rPr>
                <w:sz w:val="4"/>
                <w:szCs w:val="4"/>
              </w:rPr>
            </w:pPr>
            <w:r>
              <w:rPr>
                <w:sz w:val="4"/>
                <w:szCs w:val="4"/>
              </w:rPr>
            </w:r>
          </w:p>
        </w:tc>
        <w:tc>
          <w:tcPr>
            <w:tcW w:w="2206"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center"/>
          </w:tcPr>
          <w:p>
            <w:pPr>
              <w:pStyle w:val="TableContents"/>
              <w:spacing w:before="0" w:after="283"/>
              <w:rPr>
                <w:sz w:val="4"/>
                <w:szCs w:val="4"/>
              </w:rPr>
            </w:pPr>
            <w:r>
              <w:rPr>
                <w:sz w:val="4"/>
                <w:szCs w:val="4"/>
              </w:rPr>
            </w:r>
          </w:p>
        </w:tc>
      </w:tr>
      <w:tr>
        <w:trPr/>
        <w:tc>
          <w:tcPr>
            <w:tcW w:w="5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30" w:type="dxa"/>
            <w:gridSpan w:val="3"/>
            <w:tcBorders/>
            <w:shd w:fill="auto" w:val="clear"/>
            <w:tcMar>
              <w:top w:w="0" w:type="dxa"/>
              <w:left w:w="0" w:type="dxa"/>
              <w:bottom w:w="0" w:type="dxa"/>
              <w:right w:w="0" w:type="dxa"/>
            </w:tcMar>
            <w:vAlign w:val="center"/>
          </w:tcPr>
          <w:p>
            <w:pPr>
              <w:pStyle w:val="TableContents"/>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Contractual Purchase Obligations</w:t>
            </w:r>
          </w:p>
        </w:tc>
      </w:tr>
      <w:tr>
        <w:trPr/>
        <w:tc>
          <w:tcPr>
            <w:tcW w:w="541" w:type="dxa"/>
            <w:gridSpan w:val="3"/>
            <w:tcBorders/>
            <w:shd w:fill="CCEEFF" w:val="clear"/>
            <w:tcMar>
              <w:top w:w="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2021</w:t>
            </w:r>
          </w:p>
        </w:tc>
        <w:tc>
          <w:tcPr>
            <w:tcW w:w="4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2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2,304,744 </w:t>
            </w:r>
          </w:p>
        </w:tc>
        <w:tc>
          <w:tcPr>
            <w:tcW w:w="3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19" w:before="0" w:after="240"/>
        <w:ind w:left="0" w:right="0" w:hanging="567"/>
        <w:jc w:val="both"/>
        <w:rPr>
          <w:rFonts w:ascii="Times New Roman;sans-serif" w:hAnsi="Times New Roman;sans-serif"/>
          <w:b/>
          <w:color w:val="000000"/>
          <w:sz w:val="20"/>
        </w:rPr>
      </w:pPr>
      <w:r>
        <w:rPr>
          <w:rFonts w:ascii="Times New Roman;sans-serif" w:hAnsi="Times New Roman;sans-serif"/>
          <w:b/>
          <w:color w:val="000000"/>
          <w:sz w:val="20"/>
        </w:rPr>
        <w:t>18.Related Party Transactions</w:t>
      </w:r>
    </w:p>
    <w:p>
      <w:pPr>
        <w:pStyle w:val="TextBody"/>
        <w:spacing w:lineRule="auto" w:line="319" w:before="0" w:after="240"/>
        <w:ind w:left="0" w:right="0" w:firstLine="567"/>
        <w:jc w:val="both"/>
        <w:rPr>
          <w:rFonts w:ascii="Times New Roman;sans-serif" w:hAnsi="Times New Roman;sans-serif"/>
          <w:b w:val="false"/>
          <w:color w:val="000000"/>
          <w:sz w:val="20"/>
        </w:rPr>
      </w:pPr>
      <w:r>
        <w:rPr>
          <w:rFonts w:ascii="Times New Roman;sans-serif" w:hAnsi="Times New Roman;sans-serif"/>
          <w:b w:val="false"/>
          <w:color w:val="000000"/>
          <w:sz w:val="20"/>
        </w:rPr>
        <w:t>For the years ended December 31, 2018, 2019 and 2020, the significant related party transactions and balances were as follows:</w:t>
      </w:r>
    </w:p>
    <w:tbl>
      <w:tblPr>
        <w:tblW w:w="8674" w:type="dxa"/>
        <w:jc w:val="left"/>
        <w:tblInd w:w="0" w:type="dxa"/>
        <w:tblCellMar>
          <w:top w:w="28" w:type="dxa"/>
          <w:left w:w="28" w:type="dxa"/>
          <w:bottom w:w="28" w:type="dxa"/>
          <w:right w:w="28" w:type="dxa"/>
        </w:tblCellMar>
      </w:tblPr>
      <w:tblGrid>
        <w:gridCol w:w="1643"/>
        <w:gridCol w:w="1448"/>
        <w:gridCol w:w="1454"/>
        <w:gridCol w:w="413"/>
        <w:gridCol w:w="413"/>
        <w:gridCol w:w="176"/>
        <w:gridCol w:w="152"/>
        <w:gridCol w:w="152"/>
        <w:gridCol w:w="152"/>
        <w:gridCol w:w="413"/>
        <w:gridCol w:w="413"/>
        <w:gridCol w:w="176"/>
        <w:gridCol w:w="152"/>
        <w:gridCol w:w="152"/>
        <w:gridCol w:w="152"/>
        <w:gridCol w:w="488"/>
        <w:gridCol w:w="488"/>
        <w:gridCol w:w="237"/>
      </w:tblGrid>
      <w:tr>
        <w:trPr/>
        <w:tc>
          <w:tcPr>
            <w:tcW w:w="1643" w:type="dxa"/>
            <w:tcBorders/>
            <w:shd w:fill="auto" w:val="clear"/>
            <w:vAlign w:val="center"/>
          </w:tcPr>
          <w:p>
            <w:pPr>
              <w:pStyle w:val="TableContents"/>
              <w:spacing w:before="0" w:after="283"/>
              <w:rPr>
                <w:sz w:val="4"/>
                <w:szCs w:val="4"/>
              </w:rPr>
            </w:pPr>
            <w:r>
              <w:rPr>
                <w:sz w:val="4"/>
                <w:szCs w:val="4"/>
              </w:rPr>
            </w:r>
          </w:p>
        </w:tc>
        <w:tc>
          <w:tcPr>
            <w:tcW w:w="1448" w:type="dxa"/>
            <w:tcBorders/>
            <w:shd w:fill="auto" w:val="clear"/>
            <w:vAlign w:val="center"/>
          </w:tcPr>
          <w:p>
            <w:pPr>
              <w:pStyle w:val="TableContents"/>
              <w:spacing w:before="0" w:after="283"/>
              <w:rPr>
                <w:sz w:val="4"/>
                <w:szCs w:val="4"/>
              </w:rPr>
            </w:pPr>
            <w:r>
              <w:rPr>
                <w:sz w:val="4"/>
                <w:szCs w:val="4"/>
              </w:rPr>
            </w:r>
          </w:p>
        </w:tc>
        <w:tc>
          <w:tcPr>
            <w:tcW w:w="1454"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r>
      <w:tr>
        <w:trPr/>
        <w:tc>
          <w:tcPr>
            <w:tcW w:w="45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29"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45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2018</w:t>
            </w:r>
          </w:p>
        </w:tc>
        <w:tc>
          <w:tcPr>
            <w:tcW w:w="45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02"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2019</w:t>
            </w:r>
          </w:p>
        </w:tc>
        <w:tc>
          <w:tcPr>
            <w:tcW w:w="45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13"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2020</w:t>
            </w:r>
          </w:p>
        </w:tc>
      </w:tr>
      <w:tr>
        <w:trPr/>
        <w:tc>
          <w:tcPr>
            <w:tcW w:w="45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29"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(US$)</w:t>
            </w:r>
          </w:p>
        </w:tc>
      </w:tr>
      <w:tr>
        <w:trPr/>
        <w:tc>
          <w:tcPr>
            <w:tcW w:w="45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Rental fee charged by a related party</w:t>
            </w:r>
          </w:p>
        </w:tc>
        <w:tc>
          <w:tcPr>
            <w:tcW w:w="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153,920 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168,349 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202,153 </w:t>
            </w:r>
          </w:p>
        </w:tc>
        <w:tc>
          <w:tcPr>
            <w:tcW w:w="2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Consideration to a related party for Netless acquisition</w:t>
            </w:r>
          </w:p>
        </w:tc>
        <w:tc>
          <w:tcPr>
            <w:tcW w:w="826" w:type="dxa"/>
            <w:gridSpan w:val="2"/>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76" w:type="dxa"/>
            <w:tcBorders>
              <w:bottom w:val="doub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76" w:type="dxa"/>
            <w:tcBorders>
              <w:bottom w:val="doub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bottom w:val="double" w:sz="8" w:space="0" w:color="000000"/>
            </w:tcBorders>
            <w:shd w:fill="FFFFFF" w:val="clear"/>
            <w:tcMar>
              <w:top w:w="0" w:type="dxa"/>
              <w:left w:w="0" w:type="dxa"/>
              <w:bottom w:w="30" w:type="dxa"/>
              <w:right w:w="0" w:type="dxa"/>
            </w:tcMar>
            <w:vAlign w:val="center"/>
          </w:tcPr>
          <w:p>
            <w:pPr>
              <w:pStyle w:val="TableContents"/>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1,300,000 </w:t>
            </w:r>
          </w:p>
        </w:tc>
        <w:tc>
          <w:tcPr>
            <w:tcW w:w="237" w:type="dxa"/>
            <w:tcBorders>
              <w:bottom w:val="doub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319" w:before="0" w:after="240"/>
        <w:ind w:left="0" w:right="0" w:firstLine="567"/>
        <w:jc w:val="both"/>
        <w:rPr>
          <w:rFonts w:ascii="Times New Roman;sans-serif" w:hAnsi="Times New Roman;sans-serif"/>
          <w:b w:val="false"/>
          <w:color w:val="000000"/>
          <w:sz w:val="20"/>
        </w:rPr>
      </w:pPr>
      <w:r>
        <w:rPr>
          <w:rFonts w:ascii="Times New Roman;sans-serif" w:hAnsi="Times New Roman;sans-serif"/>
          <w:b w:val="false"/>
          <w:color w:val="000000"/>
          <w:sz w:val="20"/>
        </w:rPr>
        <w:t>The rental fee charged by a related party represented the costs charged from a company under common control of a principal shareholder for a renewable one-year operating lease for an office facility used by the Company.</w:t>
      </w:r>
    </w:p>
    <w:p>
      <w:pPr>
        <w:pStyle w:val="TextBody"/>
        <w:spacing w:lineRule="auto" w:line="319" w:before="0" w:after="0"/>
        <w:ind w:left="0" w:right="0" w:firstLine="567"/>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 xml:space="preserve">Prior to the Netless acquisition (Note 3), a company under common control of a principal shareholder held a 10% preferred share investment in the acquiree company. As part of the acquisition, the related party’s preferred share investment was liquidated, and the related party was entitled to a $1,300,000 worth of payment in a combination of $1,150,000 and 14,935 ordinary shares, as well additional payout which is contingent on certain conditions. The total payout the related party is entitled to, including subsequent payments, is equivalent to 100% of </w:t>
      </w:r>
    </w:p>
    <w:p>
      <w:pPr>
        <w:pStyle w:val="HorizontalLine"/>
        <w:rPr/>
      </w:pPr>
      <w:r>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6480175" cy="175260"/>
                <wp:effectExtent l="0" t="0" r="0" b="0"/>
                <wp:wrapNone/>
                <wp:docPr id="207" name="Frame20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F-47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F-47</w:t>
                      </w:r>
                    </w:p>
                  </w:txbxContent>
                </v:textbox>
              </v:rect>
            </w:pict>
          </mc:Fallback>
        </mc:AlternateConten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AGORA,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 xml:space="preserve">(All amounts in US$, except share data, unless otherwise stated) </w:t>
      </w:r>
    </w:p>
    <w:p>
      <w:pPr>
        <w:pStyle w:val="TextBody"/>
        <w:spacing w:lineRule="auto" w:line="319" w:before="0" w:after="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 xml:space="preserve">the issuance price plus the related party’s ratable portion of the remaining purchase price as a 10% shareholder. The cash consideration was recorded as a payable as of December 31, 2020 and was subsequently settled in January 2021. </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19" w:before="0" w:after="240"/>
        <w:ind w:left="0" w:right="0" w:hanging="567"/>
        <w:jc w:val="both"/>
        <w:rPr>
          <w:rFonts w:ascii="Times New Roman;sans-serif" w:hAnsi="Times New Roman;sans-serif"/>
          <w:b/>
          <w:color w:val="000000"/>
          <w:sz w:val="20"/>
        </w:rPr>
      </w:pPr>
      <w:r>
        <w:rPr>
          <w:rFonts w:ascii="Times New Roman;sans-serif" w:hAnsi="Times New Roman;sans-serif"/>
          <w:b/>
          <w:color w:val="000000"/>
          <w:sz w:val="20"/>
        </w:rPr>
        <w:t>19.Subsequent Events</w:t>
      </w:r>
    </w:p>
    <w:p>
      <w:pPr>
        <w:pStyle w:val="TextBody"/>
        <w:spacing w:lineRule="auto" w:line="319" w:before="0" w:after="240"/>
        <w:ind w:left="0" w:right="0" w:firstLine="567"/>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On January 27, 2021, the Company announced that it has entered into a definitive agreement to acquire Easemob, a leading provider of instant messaging APIs and customer engagement cloud services in China, with a total estimated consideration of $54 million. The transaction was closed during the first quarter of 2021.</w:t>
      </w:r>
    </w:p>
    <w:p>
      <w:pPr>
        <w:pStyle w:val="TextBody"/>
        <w:spacing w:lineRule="auto" w:line="319" w:before="0" w:after="240"/>
        <w:ind w:left="0" w:right="0" w:firstLine="567"/>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1, 2021, the Company announced that an accredited investor had agreed to purchase through a private placement a total of US$250 million of newly issued Class A ordinary shares of the Company, representing approximately 4.5% of the Company’s total outstanding shares. The private placement was completed in February 2021.</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19" w:before="0" w:after="0"/>
        <w:ind w:left="0" w:right="0" w:hanging="567"/>
        <w:jc w:val="both"/>
        <w:rPr>
          <w:rFonts w:ascii="Times New Roman;sans-serif" w:hAnsi="Times New Roman;sans-serif"/>
          <w:b/>
          <w:color w:val="000000"/>
          <w:sz w:val="20"/>
        </w:rPr>
      </w:pPr>
      <w:r>
        <w:rPr>
          <w:rFonts w:ascii="Times New Roman;sans-serif" w:hAnsi="Times New Roman;sans-serif"/>
          <w:b/>
          <w:color w:val="000000"/>
          <w:sz w:val="20"/>
        </w:rPr>
        <w:t xml:space="preserve">20.Restricted Net Assets </w:t>
      </w:r>
    </w:p>
    <w:p>
      <w:pPr>
        <w:pStyle w:val="TextBody"/>
        <w:spacing w:before="0" w:after="0"/>
        <w:rPr/>
      </w:pPr>
      <w:r>
        <w:rPr/>
      </w:r>
    </w:p>
    <w:p>
      <w:pPr>
        <w:pStyle w:val="TextBody"/>
        <w:spacing w:lineRule="auto" w:line="319" w:before="0" w:after="240"/>
        <w:ind w:left="0" w:right="0" w:firstLine="567"/>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 xml:space="preserve">Relevant PRC laws and regulations permit payments of dividends by the Group’s subsidiaries and the VIE incorporated in the PRC only out of their retained earnings, if any, as determined in accordance with PRC accounting standards and regulations. In addition, the Group’s subsidiaries and the VIE in the PRC are required to annually appropriate 10% of their net after-tax income to the statutory general reserve fund prior to payment of any dividends, unless such reserve funds have reached 50% of their respective registered capital. As a result of these and other restrictions under PRC laws and regulations, the Group’s subsidiaries and the VIE subsidiary incorporated in the PRC are restricted in their ability to transfer a portion of their net assets to the Company either in the form of dividends, loans or advances. </w:t>
      </w:r>
    </w:p>
    <w:p>
      <w:pPr>
        <w:pStyle w:val="TextBody"/>
        <w:spacing w:lineRule="auto" w:line="319" w:before="0" w:after="240"/>
        <w:ind w:left="0" w:right="0" w:firstLine="567"/>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 xml:space="preserve">There are no significant differences between U.S. GAAP and PRC accounting standards in connection with the reported net assets of the legally owned subsidiaries in the PRC and the VIE. Even though the Company currently does not require any such dividends, loans or advances from the PRC entities for working capital and other funding purposes, the Company may in the future require additional cash resources from them due to changes in business conditions, to fund future acquisitions and development, or merely to declare and pay dividends or distributions to our shareholders. Except for the above, there is no other restriction on use of proceeds generated by the Group’s subsidiaries and the VIE to satisfy any obligations of the Company. </w:t>
      </w:r>
    </w:p>
    <w:p>
      <w:pPr>
        <w:pStyle w:val="TextBody"/>
        <w:spacing w:lineRule="auto" w:line="319" w:before="0" w:after="240"/>
        <w:ind w:left="0" w:right="0" w:firstLine="567"/>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 xml:space="preserve">As of December 31, 2019 and 2020, the total restricted net assets of the Company’s subsidiaries and the VIE incorporated in PRC and subjected to restriction amounted to approximately US$22,691,472 and US$21,035,648 respectively. </w:t>
      </w:r>
    </w:p>
    <w:p>
      <w:pPr>
        <w:pStyle w:val="TextBody"/>
        <w:spacing w:lineRule="auto" w:line="319" w:before="0" w:after="0"/>
        <w:ind w:left="0" w:right="0" w:firstLine="567"/>
        <w:jc w:val="both"/>
        <w:rPr>
          <w:rFonts w:ascii="Times New Roman;sans-serif" w:hAnsi="Times New Roman;sans-serif"/>
          <w:b w:val="false"/>
          <w:color w:val="000000"/>
          <w:sz w:val="20"/>
        </w:rPr>
      </w:pPr>
      <w:r>
        <w:rPr>
          <w:rFonts w:ascii="Times New Roman;sans-serif" w:hAnsi="Times New Roman;sans-serif"/>
          <w:b w:val="false"/>
          <w:color w:val="000000"/>
          <w:sz w:val="20"/>
        </w:rPr>
        <w:t>Rules 12-04(a) and 4-08(e)(3) of Regulation S-X require condensed financial information as to the financial position, cash flows and results of operations of a parent company as of and for the same periods for which the audited consolidated financial statements have been presented when the restricted net assets of the consolidated and unconsolidated subsidiaries together exceed 25% of consolidated net assets as of the end of the most recently completed fiscal year. The Company performed a test on the restricted net assets of consolidated subsidiaries in accordance S-X Rule4-08 (e)(3) and concluded that it was not applicable for the Company to disclose the financial statements for the parent company since the 25% threshold was not met for the year ended December 31, 2020.</w:t>
      </w:r>
    </w:p>
    <w:p>
      <w:pPr>
        <w:pStyle w:val="TextBody"/>
        <w:jc w:val="both"/>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6480175" cy="175260"/>
                <wp:effectExtent l="0" t="0" r="0" b="0"/>
                <wp:wrapNone/>
                <wp:docPr id="208" name="Frame20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F-48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F-48</w:t>
                      </w:r>
                    </w:p>
                  </w:txbxContent>
                </v:textbox>
              </v:rect>
            </w:pict>
          </mc:Fallback>
        </mc:AlternateContent>
      </w:r>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THE COMPANIES LAW (2020 REVISION) </w:t>
      </w:r>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OF THE CAYMAN ISLANDS </w:t>
      </w:r>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COMPANY LIMITED BY SHARES </w:t>
      </w:r>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FIFTH AMENDED AND RESTATED</w:t>
      </w:r>
    </w:p>
    <w:p>
      <w:pPr>
        <w:pStyle w:val="TextBody"/>
        <w:spacing w:lineRule="auto" w:line="288" w:before="1" w:after="283"/>
        <w:jc w:val="center"/>
        <w:rPr>
          <w:rFonts w:ascii="Times New Roman;sans-serif" w:hAnsi="Times New Roman;sans-serif"/>
          <w:b/>
          <w:color w:val="000000"/>
          <w:sz w:val="20"/>
        </w:rPr>
      </w:pPr>
      <w:r>
        <w:rPr>
          <w:rFonts w:ascii="Times New Roman;sans-serif" w:hAnsi="Times New Roman;sans-serif"/>
          <w:b/>
          <w:color w:val="000000"/>
          <w:sz w:val="20"/>
        </w:rPr>
        <w:t xml:space="preserve">MEMORANDUM OF ASSOCIATION </w:t>
      </w:r>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OF </w:t>
      </w:r>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AGORA, INC.</w:t>
      </w:r>
    </w:p>
    <w:p>
      <w:pPr>
        <w:pStyle w:val="TextBody"/>
        <w:spacing w:lineRule="auto" w:line="288" w:before="24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(adopted by a Special Resolution passed on 19 June, 2020 and effective immediately prior to the completion of the initial public offering of the Company’s American Depositary Shares representing its Class A Ordinary Shares) </w:t>
      </w:r>
    </w:p>
    <w:p>
      <w:pPr>
        <w:pStyle w:val="TextBody"/>
        <w:spacing w:lineRule="auto" w:line="288" w:before="0" w:after="240"/>
        <w:ind w:left="0" w:right="0" w:hanging="540"/>
        <w:rPr/>
      </w:pPr>
      <w:r>
        <w:rPr>
          <w:rFonts w:ascii="Times New Roman;sans-serif" w:hAnsi="Times New Roman;sans-serif"/>
          <w:b w:val="false"/>
          <w:color w:val="000000"/>
          <w:sz w:val="22"/>
        </w:rPr>
        <w:t>1.</w:t>
      </w:r>
      <w:r>
        <w:rPr>
          <w:rFonts w:ascii="Times New Roman;sans-serif" w:hAnsi="Times New Roman;sans-serif"/>
          <w:b w:val="false"/>
          <w:color w:val="000000"/>
          <w:sz w:val="20"/>
        </w:rPr>
        <w:t xml:space="preserve">The name of the Company is </w:t>
      </w:r>
      <w:r>
        <w:rPr>
          <w:rFonts w:ascii="Times New Roman;sans-serif" w:hAnsi="Times New Roman;sans-serif"/>
          <w:b/>
          <w:color w:val="000000"/>
          <w:sz w:val="20"/>
        </w:rPr>
        <w:t>Agora, Inc.</w:t>
      </w:r>
      <w:r>
        <w:rPr>
          <w:rFonts w:ascii="Times New Roman;sans-serif" w:hAnsi="Times New Roman;sans-serif"/>
          <w:b w:val="false"/>
          <w:color w:val="000000"/>
          <w:sz w:val="20"/>
        </w:rPr>
        <w:t>.</w:t>
      </w:r>
    </w:p>
    <w:p>
      <w:pPr>
        <w:pStyle w:val="TextBody"/>
        <w:spacing w:lineRule="auto" w:line="288" w:before="0" w:after="240"/>
        <w:ind w:left="0" w:right="0" w:hanging="540"/>
        <w:jc w:val="both"/>
        <w:rPr/>
      </w:pPr>
      <w:r>
        <w:rPr>
          <w:rFonts w:ascii="Times New Roman;sans-serif" w:hAnsi="Times New Roman;sans-serif"/>
          <w:b w:val="false"/>
          <w:color w:val="000000"/>
          <w:sz w:val="22"/>
        </w:rPr>
        <w:t>2.</w:t>
      </w:r>
      <w:r>
        <w:rPr>
          <w:rFonts w:ascii="Times New Roman;sans-serif" w:hAnsi="Times New Roman;sans-serif"/>
          <w:b w:val="false"/>
          <w:color w:val="000000"/>
          <w:sz w:val="20"/>
        </w:rPr>
        <w:t>The Registered Office of the Company will be situated at the offices of Maples Corporate Services Limited, PO Box 309, Ugland House, Grand Cayman, KY1-1104, Cayman Islands, or at such other location within the Cayman Islands as the Directors may from time to time determine.</w:t>
      </w:r>
    </w:p>
    <w:p>
      <w:pPr>
        <w:pStyle w:val="TextBody"/>
        <w:spacing w:lineRule="auto" w:line="288" w:before="0" w:after="240"/>
        <w:ind w:left="0" w:right="0" w:hanging="540"/>
        <w:jc w:val="both"/>
        <w:rPr/>
      </w:pPr>
      <w:r>
        <w:rPr>
          <w:rFonts w:ascii="Times New Roman;sans-serif" w:hAnsi="Times New Roman;sans-serif"/>
          <w:b w:val="false"/>
          <w:color w:val="000000"/>
          <w:sz w:val="22"/>
        </w:rPr>
        <w:t>3.</w:t>
      </w:r>
      <w:r>
        <w:rPr>
          <w:rFonts w:ascii="Times New Roman;sans-serif" w:hAnsi="Times New Roman;sans-serif"/>
          <w:b w:val="false"/>
          <w:color w:val="000000"/>
          <w:sz w:val="20"/>
        </w:rPr>
        <w:t xml:space="preserve">The objects for which the Company is established are unrestricted and the Company shall have full power and authority to carry out any object not prohibited by the Companies Law or any other law of the Cayman Islands. </w:t>
      </w:r>
    </w:p>
    <w:p>
      <w:pPr>
        <w:pStyle w:val="TextBody"/>
        <w:spacing w:lineRule="auto" w:line="288" w:before="0" w:after="240"/>
        <w:ind w:left="0" w:right="0" w:hanging="540"/>
        <w:jc w:val="both"/>
        <w:rPr/>
      </w:pPr>
      <w:r>
        <w:rPr>
          <w:rFonts w:ascii="Times New Roman;sans-serif" w:hAnsi="Times New Roman;sans-serif"/>
          <w:b w:val="false"/>
          <w:color w:val="000000"/>
          <w:sz w:val="22"/>
        </w:rPr>
        <w:t>4.</w:t>
      </w:r>
      <w:r>
        <w:rPr>
          <w:rFonts w:ascii="Times New Roman;sans-serif" w:hAnsi="Times New Roman;sans-serif"/>
          <w:b w:val="false"/>
          <w:color w:val="000000"/>
          <w:sz w:val="20"/>
        </w:rPr>
        <w:t xml:space="preserve">The Company shall have and be capable of exercising all the functions of a natural person of full capacity irrespective of any question of corporate benefit as provided by the Companies Law. </w:t>
      </w:r>
    </w:p>
    <w:p>
      <w:pPr>
        <w:pStyle w:val="TextBody"/>
        <w:spacing w:lineRule="auto" w:line="288" w:before="0" w:after="240"/>
        <w:ind w:left="0" w:right="0" w:hanging="540"/>
        <w:jc w:val="both"/>
        <w:rPr/>
      </w:pPr>
      <w:r>
        <w:rPr>
          <w:rFonts w:ascii="Times New Roman;sans-serif" w:hAnsi="Times New Roman;sans-serif"/>
          <w:b w:val="false"/>
          <w:color w:val="000000"/>
          <w:sz w:val="22"/>
        </w:rPr>
        <w:t>5.</w:t>
      </w:r>
      <w:r>
        <w:rPr>
          <w:rFonts w:ascii="Times New Roman;sans-serif" w:hAnsi="Times New Roman;sans-serif"/>
          <w:b w:val="false"/>
          <w:color w:val="000000"/>
          <w:sz w:val="20"/>
        </w:rPr>
        <w:t xml:space="preserve">The Company will not trade in the Cayman Islands with any person, firm or corporation except in furtherance of the business of the Company carried on outside the Cayman Islands; provided that nothing in this section shall be construed as to prevent the Company effecting and concluding contracts in the Cayman Islands, and exercising in the Cayman Islands all of its powers necessary for the carrying on of its business outside the Cayman Islands. </w:t>
      </w:r>
    </w:p>
    <w:p>
      <w:pPr>
        <w:pStyle w:val="TextBody"/>
        <w:spacing w:lineRule="auto" w:line="288" w:before="0" w:after="240"/>
        <w:ind w:left="0" w:right="0" w:hanging="540"/>
        <w:jc w:val="both"/>
        <w:rPr/>
      </w:pPr>
      <w:r>
        <w:rPr>
          <w:rFonts w:ascii="Times New Roman;sans-serif" w:hAnsi="Times New Roman;sans-serif"/>
          <w:b w:val="false"/>
          <w:color w:val="000000"/>
          <w:sz w:val="22"/>
        </w:rPr>
        <w:t>6.</w:t>
      </w:r>
      <w:r>
        <w:rPr>
          <w:rFonts w:ascii="Times New Roman;sans-serif" w:hAnsi="Times New Roman;sans-serif"/>
          <w:b w:val="false"/>
          <w:color w:val="000000"/>
          <w:sz w:val="20"/>
        </w:rPr>
        <w:t xml:space="preserve">The liability of each Shareholder is limited to the amount, if any, unpaid on the Shares held by such Shareholder. </w:t>
      </w:r>
    </w:p>
    <w:p>
      <w:pPr>
        <w:pStyle w:val="TextBody"/>
        <w:spacing w:lineRule="auto" w:line="288" w:before="0" w:after="240"/>
        <w:ind w:left="0" w:right="0" w:hanging="540"/>
        <w:jc w:val="both"/>
        <w:rPr/>
      </w:pPr>
      <w:r>
        <w:rPr>
          <w:rFonts w:ascii="Times New Roman;sans-serif" w:hAnsi="Times New Roman;sans-serif"/>
          <w:b w:val="false"/>
          <w:color w:val="000000"/>
          <w:sz w:val="22"/>
        </w:rPr>
        <w:t>7.</w:t>
      </w:r>
      <w:r>
        <w:rPr>
          <w:rFonts w:ascii="Times New Roman;sans-serif" w:hAnsi="Times New Roman;sans-serif"/>
          <w:b w:val="false"/>
          <w:color w:val="000000"/>
          <w:sz w:val="20"/>
        </w:rPr>
        <w:t>The authorised share capital of the Company is US$100,000 divided into 1,000,000,000 shares comprising (i) 800,000,000 Class A Ordinary Shares of a par value of US$0.0001 each, (ii) 76,179,938 Class B Ordinary Shares of a par value of US$0.0001 each and (iii) 123,820,062 shares of a par value of US$0.0001 each of such class or classes (however designated) as the board of directors may determine in accordance with Article 9 of the Articles. Subject to the Companies Law and the Articles, the Company shall have power to redeem or purchase any of its Shares and to increase or reduce its authorised share capital and to sub-divide or consolidate the said Shares or any of them and to issue all or any part of its capital whether original, redeemed, increased or reduced with or without any preference, priority, special privilege or other rights or subject to any postponement of rights or to any conditions or restrictions whatsoever and so that unless the conditions of issue shall otherwise expressly provide every issue of shares whether stated to be ordinary, preference or otherwise shall be subject to the powers on the part of the Company hereinbefore provided.</w:t>
      </w:r>
    </w:p>
    <w:p>
      <w:pPr>
        <w:pStyle w:val="TextBody"/>
        <w:spacing w:lineRule="auto" w:line="288" w:before="0" w:after="240"/>
        <w:ind w:left="0" w:right="0" w:hanging="540"/>
        <w:jc w:val="both"/>
        <w:rPr/>
      </w:pPr>
      <w:r>
        <w:rPr>
          <w:rFonts w:ascii="Times New Roman;sans-serif" w:hAnsi="Times New Roman;sans-serif"/>
          <w:b w:val="false"/>
          <w:color w:val="000000"/>
          <w:sz w:val="22"/>
        </w:rPr>
        <w:t>8.</w:t>
      </w:r>
      <w:r>
        <w:rPr>
          <w:rFonts w:ascii="Times New Roman;sans-serif" w:hAnsi="Times New Roman;sans-serif"/>
          <w:b w:val="false"/>
          <w:color w:val="000000"/>
          <w:sz w:val="20"/>
        </w:rPr>
        <w:t xml:space="preserve">The Company has the power contained in the Companies Law to deregister in the Cayman Islands and be registered by way of continuation in some other jurisdiction. </w:t>
      </w:r>
    </w:p>
    <w:p>
      <w:pPr>
        <w:pStyle w:val="TextBody"/>
        <w:spacing w:lineRule="auto" w:line="319" w:before="0" w:after="200"/>
        <w:ind w:left="0" w:right="0" w:hanging="540"/>
        <w:jc w:val="both"/>
        <w:rPr/>
      </w:pPr>
      <w:r>
        <w:rPr>
          <w:rFonts w:ascii="Times New Roman;sans-serif" w:hAnsi="Times New Roman;sans-serif"/>
          <w:b w:val="false"/>
          <w:color w:val="000000"/>
          <w:sz w:val="22"/>
        </w:rPr>
        <w:t>9.</w:t>
      </w:r>
      <w:r>
        <w:rPr>
          <w:rFonts w:ascii="Times New Roman;sans-serif" w:hAnsi="Times New Roman;sans-serif"/>
          <w:b w:val="false"/>
          <w:color w:val="000000"/>
          <w:sz w:val="20"/>
        </w:rPr>
        <w:t>Capitalised terms that are not defined in this Memorandum of Association bear the same meanings as those given in the Articles of Association of the Company.</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r>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6480175" cy="175260"/>
                <wp:effectExtent l="0" t="0" r="0" b="0"/>
                <wp:wrapNone/>
                <wp:docPr id="209" name="Frame20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rPr/>
      </w:pPr>
      <w:r>
        <w:rPr/>
      </w:r>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THE COMPANIES LAW (2020 REVISION) </w:t>
      </w:r>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OF THE CAYMAN ISLANDS </w:t>
      </w:r>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COMPANY LIMITED BY SHARES </w:t>
      </w:r>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FIFTH AMENDED AND RESTATED </w:t>
      </w:r>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ARTICLES OF ASSOCIATION </w:t>
      </w:r>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OF </w:t>
      </w:r>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AGORA, INC.</w:t>
      </w:r>
    </w:p>
    <w:p>
      <w:pPr>
        <w:pStyle w:val="TextBody"/>
        <w:spacing w:lineRule="auto" w:line="288" w:before="24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(adopted by a Special Resolution passed on 19 June, 2020 and effective immediately prior to the completion of the initial public offering of the Company’s American Depositary Shares representing its Class A Ordinary Shares) </w:t>
      </w:r>
    </w:p>
    <w:p>
      <w:pPr>
        <w:pStyle w:val="TextBody"/>
        <w:spacing w:lineRule="auto" w:line="288" w:before="240" w:after="240"/>
        <w:jc w:val="center"/>
        <w:rPr>
          <w:rFonts w:ascii="Times New Roman;sans-serif" w:hAnsi="Times New Roman;sans-serif"/>
          <w:b/>
          <w:color w:val="000000"/>
          <w:sz w:val="20"/>
        </w:rPr>
      </w:pPr>
      <w:r>
        <w:rPr>
          <w:rFonts w:ascii="Times New Roman;sans-serif" w:hAnsi="Times New Roman;sans-serif"/>
          <w:b/>
          <w:color w:val="000000"/>
          <w:sz w:val="20"/>
        </w:rPr>
        <w:t xml:space="preserve">TABLE A </w:t>
      </w:r>
    </w:p>
    <w:p>
      <w:pPr>
        <w:pStyle w:val="TextBody"/>
        <w:spacing w:lineRule="auto" w:line="288" w:before="240" w:after="240"/>
        <w:rPr>
          <w:rFonts w:ascii="Times New Roman;sans-serif" w:hAnsi="Times New Roman;sans-serif"/>
          <w:b w:val="false"/>
          <w:color w:val="000000"/>
          <w:sz w:val="20"/>
        </w:rPr>
      </w:pPr>
      <w:r>
        <w:rPr>
          <w:rFonts w:ascii="Times New Roman;sans-serif" w:hAnsi="Times New Roman;sans-serif"/>
          <w:b w:val="false"/>
          <w:color w:val="000000"/>
          <w:sz w:val="20"/>
        </w:rPr>
        <w:t xml:space="preserve">The regulations contained or incorporated in Table ‘A’ in the First Schedule of the Companies Law shall not apply to the Company and the following Articles shall comprise the Articles of Association of the Company. </w:t>
      </w:r>
    </w:p>
    <w:p>
      <w:pPr>
        <w:pStyle w:val="TextBody"/>
        <w:spacing w:lineRule="auto" w:line="288" w:before="240" w:after="240"/>
        <w:jc w:val="center"/>
        <w:rPr>
          <w:rFonts w:ascii="Times New Roman;sans-serif" w:hAnsi="Times New Roman;sans-serif"/>
          <w:b/>
          <w:color w:val="000000"/>
          <w:sz w:val="20"/>
        </w:rPr>
      </w:pPr>
      <w:r>
        <w:rPr>
          <w:rFonts w:ascii="Times New Roman;sans-serif" w:hAnsi="Times New Roman;sans-serif"/>
          <w:b/>
          <w:color w:val="000000"/>
          <w:sz w:val="20"/>
        </w:rPr>
        <w:t>INTERPRETATION</w:t>
      </w:r>
    </w:p>
    <w:p>
      <w:pPr>
        <w:pStyle w:val="TextBody"/>
        <w:spacing w:lineRule="auto" w:line="288" w:before="240" w:after="24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1.In these Articles the following defined terms will have the meanings ascribed to them, if not inconsistent with the subject or context:</w:t>
      </w:r>
    </w:p>
    <w:p>
      <w:pPr>
        <w:pStyle w:val="TextBody"/>
        <w:spacing w:before="0" w:after="0"/>
        <w:rPr/>
      </w:pPr>
      <w:r>
        <w:rPr/>
      </w:r>
    </w:p>
    <w:tbl>
      <w:tblPr>
        <w:tblW w:w="10205" w:type="dxa"/>
        <w:jc w:val="left"/>
        <w:tblInd w:w="0" w:type="dxa"/>
        <w:tblCellMar>
          <w:top w:w="28" w:type="dxa"/>
          <w:left w:w="28" w:type="dxa"/>
          <w:bottom w:w="28" w:type="dxa"/>
          <w:right w:w="28" w:type="dxa"/>
        </w:tblCellMar>
      </w:tblPr>
      <w:tblGrid>
        <w:gridCol w:w="459"/>
        <w:gridCol w:w="405"/>
        <w:gridCol w:w="412"/>
        <w:gridCol w:w="2846"/>
        <w:gridCol w:w="2513"/>
        <w:gridCol w:w="3570"/>
      </w:tblGrid>
      <w:tr>
        <w:trPr/>
        <w:tc>
          <w:tcPr>
            <w:tcW w:w="459" w:type="dxa"/>
            <w:tcBorders/>
            <w:shd w:fill="auto" w:val="clear"/>
            <w:vAlign w:val="center"/>
          </w:tcPr>
          <w:p>
            <w:pPr>
              <w:pStyle w:val="TableContents"/>
              <w:spacing w:before="0" w:after="283"/>
              <w:rPr>
                <w:sz w:val="4"/>
                <w:szCs w:val="4"/>
              </w:rPr>
            </w:pPr>
            <w:r>
              <w:rPr>
                <w:sz w:val="4"/>
                <w:szCs w:val="4"/>
              </w:rPr>
            </w:r>
          </w:p>
        </w:tc>
        <w:tc>
          <w:tcPr>
            <w:tcW w:w="405" w:type="dxa"/>
            <w:tcBorders/>
            <w:shd w:fill="auto" w:val="clear"/>
            <w:vAlign w:val="center"/>
          </w:tcPr>
          <w:p>
            <w:pPr>
              <w:pStyle w:val="TableContents"/>
              <w:spacing w:before="0" w:after="283"/>
              <w:rPr>
                <w:sz w:val="4"/>
                <w:szCs w:val="4"/>
              </w:rPr>
            </w:pPr>
            <w:r>
              <w:rPr>
                <w:sz w:val="4"/>
                <w:szCs w:val="4"/>
              </w:rPr>
            </w:r>
          </w:p>
        </w:tc>
        <w:tc>
          <w:tcPr>
            <w:tcW w:w="412" w:type="dxa"/>
            <w:tcBorders/>
            <w:shd w:fill="auto" w:val="clear"/>
            <w:vAlign w:val="center"/>
          </w:tcPr>
          <w:p>
            <w:pPr>
              <w:pStyle w:val="TableContents"/>
              <w:spacing w:before="0" w:after="283"/>
              <w:rPr>
                <w:sz w:val="4"/>
                <w:szCs w:val="4"/>
              </w:rPr>
            </w:pPr>
            <w:r>
              <w:rPr>
                <w:sz w:val="4"/>
                <w:szCs w:val="4"/>
              </w:rPr>
            </w:r>
          </w:p>
        </w:tc>
        <w:tc>
          <w:tcPr>
            <w:tcW w:w="2846" w:type="dxa"/>
            <w:tcBorders/>
            <w:shd w:fill="auto" w:val="clear"/>
            <w:vAlign w:val="center"/>
          </w:tcPr>
          <w:p>
            <w:pPr>
              <w:pStyle w:val="TableContents"/>
              <w:spacing w:before="0" w:after="283"/>
              <w:rPr>
                <w:sz w:val="4"/>
                <w:szCs w:val="4"/>
              </w:rPr>
            </w:pPr>
            <w:r>
              <w:rPr>
                <w:sz w:val="4"/>
                <w:szCs w:val="4"/>
              </w:rPr>
            </w:r>
          </w:p>
        </w:tc>
        <w:tc>
          <w:tcPr>
            <w:tcW w:w="2513" w:type="dxa"/>
            <w:tcBorders/>
            <w:shd w:fill="auto" w:val="clear"/>
            <w:vAlign w:val="center"/>
          </w:tcPr>
          <w:p>
            <w:pPr>
              <w:pStyle w:val="TableContents"/>
              <w:spacing w:before="0" w:after="283"/>
              <w:rPr>
                <w:sz w:val="4"/>
                <w:szCs w:val="4"/>
              </w:rPr>
            </w:pPr>
            <w:r>
              <w:rPr>
                <w:sz w:val="4"/>
                <w:szCs w:val="4"/>
              </w:rPr>
            </w:r>
          </w:p>
        </w:tc>
        <w:tc>
          <w:tcPr>
            <w:tcW w:w="3570" w:type="dxa"/>
            <w:tcBorders/>
            <w:shd w:fill="auto" w:val="clear"/>
            <w:vAlign w:val="center"/>
          </w:tcPr>
          <w:p>
            <w:pPr>
              <w:pStyle w:val="TableContents"/>
              <w:spacing w:before="0" w:after="283"/>
              <w:rPr>
                <w:sz w:val="4"/>
                <w:szCs w:val="4"/>
              </w:rPr>
            </w:pPr>
            <w:r>
              <w:rPr>
                <w:sz w:val="4"/>
                <w:szCs w:val="4"/>
              </w:rPr>
            </w:r>
          </w:p>
        </w:tc>
      </w:tr>
      <w:tr>
        <w:trPr/>
        <w:tc>
          <w:tcPr>
            <w:tcW w:w="1276" w:type="dxa"/>
            <w:gridSpan w:val="3"/>
            <w:tcBorders/>
            <w:shd w:fill="auto" w:val="clear"/>
            <w:tcMar>
              <w:top w:w="0" w:type="dxa"/>
              <w:left w:w="0" w:type="dxa"/>
              <w:bottom w:w="0" w:type="dxa"/>
              <w:right w:w="0" w:type="dxa"/>
            </w:tcMar>
            <w:vAlign w:val="center"/>
          </w:tcPr>
          <w:p>
            <w:pPr>
              <w:pStyle w:val="TableContents"/>
              <w:spacing w:lineRule="auto" w:line="319" w:before="0" w:after="283"/>
              <w:jc w:val="left"/>
              <w:rPr>
                <w:color w:val="000000"/>
              </w:rPr>
            </w:pPr>
            <w:r>
              <w:rPr>
                <w:color w:val="000000"/>
              </w:rPr>
              <w:t>“</w:t>
            </w:r>
            <w:r>
              <w:rPr>
                <w:rFonts w:ascii="Times New Roman;sans-serif" w:hAnsi="Times New Roman;sans-serif"/>
                <w:b/>
                <w:color w:val="000000"/>
                <w:sz w:val="20"/>
              </w:rPr>
              <w:t>ADS”</w:t>
            </w:r>
          </w:p>
        </w:tc>
        <w:tc>
          <w:tcPr>
            <w:tcW w:w="8929" w:type="dxa"/>
            <w:gridSpan w:val="3"/>
            <w:tcBorders/>
            <w:shd w:fill="auto" w:val="clear"/>
            <w:tcMar>
              <w:top w:w="0" w:type="dxa"/>
              <w:left w:w="0" w:type="dxa"/>
              <w:bottom w:w="0" w:type="dxa"/>
              <w:right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means an American Depositary Share representing Class A Ordinary Shares;</w:t>
            </w:r>
          </w:p>
        </w:tc>
      </w:tr>
      <w:tr>
        <w:trPr/>
        <w:tc>
          <w:tcPr>
            <w:tcW w:w="1276" w:type="dxa"/>
            <w:gridSpan w:val="3"/>
            <w:tcBorders/>
            <w:shd w:fill="auto" w:val="clear"/>
            <w:tcMar>
              <w:top w:w="0" w:type="dxa"/>
              <w:left w:w="0" w:type="dxa"/>
              <w:bottom w:w="0" w:type="dxa"/>
              <w:right w:w="0" w:type="dxa"/>
            </w:tcMar>
            <w:vAlign w:val="center"/>
          </w:tcPr>
          <w:p>
            <w:pPr>
              <w:pStyle w:val="TableContents"/>
              <w:spacing w:lineRule="auto" w:line="319" w:before="0" w:after="283"/>
              <w:jc w:val="left"/>
              <w:rPr>
                <w:color w:val="000000"/>
              </w:rPr>
            </w:pPr>
            <w:r>
              <w:rPr>
                <w:color w:val="000000"/>
              </w:rPr>
              <w:t>“</w:t>
            </w:r>
            <w:r>
              <w:rPr>
                <w:rFonts w:ascii="Times New Roman;sans-serif" w:hAnsi="Times New Roman;sans-serif"/>
                <w:b/>
                <w:color w:val="000000"/>
                <w:sz w:val="20"/>
              </w:rPr>
              <w:t>Affiliate”</w:t>
            </w:r>
          </w:p>
        </w:tc>
        <w:tc>
          <w:tcPr>
            <w:tcW w:w="8929" w:type="dxa"/>
            <w:gridSpan w:val="3"/>
            <w:tcBorders/>
            <w:shd w:fill="auto" w:val="clear"/>
            <w:tcMar>
              <w:top w:w="0" w:type="dxa"/>
              <w:left w:w="0" w:type="dxa"/>
              <w:bottom w:w="0" w:type="dxa"/>
              <w:right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means in respect of a Person, any other Person that, directly or indirectly, through one or more intermediaries, controls, is controlled by, or is under common control with, such Person, and (i) in the case of a natural person, shall include, without limitation, such person’s spouse, parents, children, siblings, mother-in-law, father-in-law, brothers-in-law and sisters-in-law, a trust for the benefit of any of the foregoing, and a corporation, partnership or any other entity wholly or jointly owned by any of the foregoing, and (ii) in the case of an entity, shall include a partnership, a corporation or any other entity or any natural person which directly, or indirectly through one or more intermediaries, controls, is controlled by, or is under common control with, such entity. The term “control” shall mean the ownership, directly or indirectly, of shares possessing more than fifty per cent (50%) of the voting power of the corporation, partnership or other entity (other than, in the case of a corporation, securities having such power only by reason of the happening of a contingency), or having the power to control the management or elect a majority of members to the board of directors or equivalent decision-making body of such corporation, partnership or other entity;</w:t>
            </w:r>
          </w:p>
        </w:tc>
      </w:tr>
      <w:tr>
        <w:trPr/>
        <w:tc>
          <w:tcPr>
            <w:tcW w:w="1276" w:type="dxa"/>
            <w:gridSpan w:val="3"/>
            <w:tcBorders/>
            <w:shd w:fill="auto" w:val="clear"/>
            <w:tcMar>
              <w:top w:w="0" w:type="dxa"/>
              <w:left w:w="0" w:type="dxa"/>
              <w:bottom w:w="0" w:type="dxa"/>
              <w:right w:w="0" w:type="dxa"/>
            </w:tcMar>
            <w:vAlign w:val="center"/>
          </w:tcPr>
          <w:p>
            <w:pPr>
              <w:pStyle w:val="TableContents"/>
              <w:spacing w:lineRule="auto" w:line="319" w:before="0" w:after="283"/>
              <w:jc w:val="left"/>
              <w:rPr>
                <w:color w:val="000000"/>
              </w:rPr>
            </w:pPr>
            <w:r>
              <w:rPr>
                <w:color w:val="000000"/>
              </w:rPr>
              <w:t>“</w:t>
            </w:r>
            <w:r>
              <w:rPr>
                <w:rFonts w:ascii="Times New Roman;sans-serif" w:hAnsi="Times New Roman;sans-serif"/>
                <w:b/>
                <w:color w:val="000000"/>
                <w:sz w:val="20"/>
              </w:rPr>
              <w:t>Articles”</w:t>
            </w:r>
          </w:p>
        </w:tc>
        <w:tc>
          <w:tcPr>
            <w:tcW w:w="8929" w:type="dxa"/>
            <w:gridSpan w:val="3"/>
            <w:tcBorders/>
            <w:shd w:fill="auto" w:val="clear"/>
            <w:tcMar>
              <w:top w:w="0" w:type="dxa"/>
              <w:left w:w="0" w:type="dxa"/>
              <w:bottom w:w="0" w:type="dxa"/>
              <w:right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means these articles of association of the Company, as amended or substituted from time to time;</w:t>
            </w:r>
          </w:p>
        </w:tc>
      </w:tr>
      <w:tr>
        <w:trPr/>
        <w:tc>
          <w:tcPr>
            <w:tcW w:w="1276" w:type="dxa"/>
            <w:gridSpan w:val="3"/>
            <w:tcBorders/>
            <w:shd w:fill="auto" w:val="clear"/>
            <w:tcMar>
              <w:top w:w="0" w:type="dxa"/>
              <w:left w:w="0" w:type="dxa"/>
              <w:bottom w:w="0" w:type="dxa"/>
              <w:right w:w="0" w:type="dxa"/>
            </w:tcMar>
            <w:vAlign w:val="center"/>
          </w:tcPr>
          <w:p>
            <w:pPr>
              <w:pStyle w:val="TableContents"/>
              <w:spacing w:lineRule="auto" w:line="288" w:before="0" w:after="240"/>
              <w:jc w:val="left"/>
              <w:rPr/>
            </w:pPr>
            <w:r>
              <w:rPr>
                <w:color w:val="000000"/>
              </w:rPr>
              <w:t>“</w:t>
            </w:r>
            <w:r>
              <w:rPr>
                <w:rFonts w:ascii="Times New Roman;sans-serif" w:hAnsi="Times New Roman;sans-serif"/>
                <w:b/>
                <w:color w:val="000000"/>
                <w:sz w:val="20"/>
              </w:rPr>
              <w:t xml:space="preserve">Board” </w:t>
            </w:r>
            <w:r>
              <w:rPr>
                <w:rFonts w:ascii="Times New Roman;sans-serif" w:hAnsi="Times New Roman;sans-serif"/>
                <w:b w:val="false"/>
                <w:color w:val="000000"/>
                <w:sz w:val="20"/>
              </w:rPr>
              <w:t>and</w:t>
            </w:r>
            <w:r>
              <w:rPr>
                <w:color w:val="000000"/>
              </w:rPr>
              <w:t xml:space="preserve"> “</w:t>
            </w:r>
            <w:r>
              <w:rPr>
                <w:rFonts w:ascii="Times New Roman;sans-serif" w:hAnsi="Times New Roman;sans-serif"/>
                <w:b/>
                <w:color w:val="000000"/>
                <w:sz w:val="20"/>
              </w:rPr>
              <w:t xml:space="preserve">Board of Directors” </w:t>
            </w:r>
            <w:r>
              <w:rPr>
                <w:rFonts w:ascii="Times New Roman;sans-serif" w:hAnsi="Times New Roman;sans-serif"/>
                <w:b w:val="false"/>
                <w:color w:val="000000"/>
                <w:sz w:val="20"/>
              </w:rPr>
              <w:t>and</w:t>
            </w:r>
            <w:r>
              <w:rPr>
                <w:color w:val="000000"/>
              </w:rPr>
              <w:t xml:space="preserve"> “</w:t>
            </w:r>
            <w:r>
              <w:rPr>
                <w:rFonts w:ascii="Times New Roman;sans-serif" w:hAnsi="Times New Roman;sans-serif"/>
                <w:b/>
                <w:color w:val="000000"/>
                <w:sz w:val="20"/>
              </w:rPr>
              <w:t>Directors”</w:t>
            </w:r>
          </w:p>
        </w:tc>
        <w:tc>
          <w:tcPr>
            <w:tcW w:w="8929" w:type="dxa"/>
            <w:gridSpan w:val="3"/>
            <w:tcBorders/>
            <w:shd w:fill="auto" w:val="clear"/>
            <w:tcMar>
              <w:top w:w="0" w:type="dxa"/>
              <w:left w:w="0" w:type="dxa"/>
              <w:bottom w:w="0" w:type="dxa"/>
              <w:right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means the directors of the Company for the time being, or as the case may be, the directors assembled as a board or as a committee thereof;</w:t>
            </w:r>
          </w:p>
        </w:tc>
      </w:tr>
      <w:tr>
        <w:trPr/>
        <w:tc>
          <w:tcPr>
            <w:tcW w:w="1276" w:type="dxa"/>
            <w:gridSpan w:val="3"/>
            <w:tcBorders/>
            <w:shd w:fill="auto" w:val="clear"/>
            <w:tcMar>
              <w:top w:w="0" w:type="dxa"/>
              <w:left w:w="0" w:type="dxa"/>
              <w:bottom w:w="0" w:type="dxa"/>
              <w:right w:w="0" w:type="dxa"/>
            </w:tcMar>
            <w:vAlign w:val="center"/>
          </w:tcPr>
          <w:p>
            <w:pPr>
              <w:pStyle w:val="TableContents"/>
              <w:spacing w:lineRule="auto" w:line="319" w:before="0" w:after="283"/>
              <w:jc w:val="left"/>
              <w:rPr>
                <w:color w:val="000000"/>
              </w:rPr>
            </w:pPr>
            <w:r>
              <w:rPr>
                <w:color w:val="000000"/>
              </w:rPr>
              <w:t>“</w:t>
            </w:r>
            <w:r>
              <w:rPr>
                <w:rFonts w:ascii="Times New Roman;sans-serif" w:hAnsi="Times New Roman;sans-serif"/>
                <w:b/>
                <w:color w:val="000000"/>
                <w:sz w:val="20"/>
              </w:rPr>
              <w:t>Chairman”</w:t>
            </w:r>
          </w:p>
        </w:tc>
        <w:tc>
          <w:tcPr>
            <w:tcW w:w="8929" w:type="dxa"/>
            <w:gridSpan w:val="3"/>
            <w:tcBorders/>
            <w:shd w:fill="auto" w:val="clear"/>
            <w:tcMar>
              <w:top w:w="0" w:type="dxa"/>
              <w:left w:w="0" w:type="dxa"/>
              <w:bottom w:w="0" w:type="dxa"/>
              <w:right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means the chairman of the Board of Directors;</w:t>
            </w:r>
          </w:p>
        </w:tc>
      </w:tr>
      <w:tr>
        <w:trPr/>
        <w:tc>
          <w:tcPr>
            <w:tcW w:w="1276" w:type="dxa"/>
            <w:gridSpan w:val="3"/>
            <w:tcBorders/>
            <w:shd w:fill="auto" w:val="clear"/>
            <w:tcMar>
              <w:top w:w="0" w:type="dxa"/>
              <w:left w:w="0" w:type="dxa"/>
              <w:bottom w:w="0" w:type="dxa"/>
              <w:right w:w="0" w:type="dxa"/>
            </w:tcMar>
            <w:vAlign w:val="center"/>
          </w:tcPr>
          <w:p>
            <w:pPr>
              <w:pStyle w:val="TableContents"/>
              <w:spacing w:lineRule="auto" w:line="319" w:before="0" w:after="283"/>
              <w:jc w:val="left"/>
              <w:rPr>
                <w:color w:val="000000"/>
              </w:rPr>
            </w:pPr>
            <w:r>
              <w:rPr>
                <w:color w:val="000000"/>
              </w:rPr>
              <w:t>“</w:t>
            </w:r>
            <w:r>
              <w:rPr>
                <w:rFonts w:ascii="Times New Roman;sans-serif" w:hAnsi="Times New Roman;sans-serif"/>
                <w:b/>
                <w:color w:val="000000"/>
                <w:sz w:val="20"/>
              </w:rPr>
              <w:t>Class” or “Classes”</w:t>
            </w:r>
          </w:p>
        </w:tc>
        <w:tc>
          <w:tcPr>
            <w:tcW w:w="8929" w:type="dxa"/>
            <w:gridSpan w:val="3"/>
            <w:tcBorders/>
            <w:shd w:fill="auto" w:val="clear"/>
            <w:tcMar>
              <w:top w:w="0" w:type="dxa"/>
              <w:left w:w="0" w:type="dxa"/>
              <w:bottom w:w="0" w:type="dxa"/>
              <w:right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means any class or classes of Shares as may from time to time be issued by the Company;</w:t>
            </w:r>
          </w:p>
        </w:tc>
      </w:tr>
    </w:tbl>
    <w:p>
      <w:pPr>
        <w:pStyle w:val="TextBody"/>
        <w:spacing w:before="0" w:after="0"/>
        <w:jc w:val="right"/>
        <w:rPr/>
      </w:pPr>
      <w:r>
        <w:br w:type="page"/>
      </w:r>
      <w:r>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6480175" cy="146685"/>
                <wp:effectExtent l="0" t="0" r="0" b="0"/>
                <wp:wrapNone/>
                <wp:docPr id="210" name="Frame20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v:rect>
            </w:pict>
          </mc:Fallback>
        </mc:AlternateContent>
      </w:r>
    </w:p>
    <w:tbl>
      <w:tblPr>
        <w:tblW w:w="10205" w:type="dxa"/>
        <w:jc w:val="left"/>
        <w:tblInd w:w="0" w:type="dxa"/>
        <w:tblCellMar>
          <w:top w:w="28" w:type="dxa"/>
          <w:left w:w="28" w:type="dxa"/>
          <w:bottom w:w="28" w:type="dxa"/>
          <w:right w:w="28" w:type="dxa"/>
        </w:tblCellMar>
      </w:tblPr>
      <w:tblGrid>
        <w:gridCol w:w="915"/>
        <w:gridCol w:w="480"/>
        <w:gridCol w:w="452"/>
        <w:gridCol w:w="3045"/>
        <w:gridCol w:w="2197"/>
        <w:gridCol w:w="3116"/>
      </w:tblGrid>
      <w:tr>
        <w:trPr/>
        <w:tc>
          <w:tcPr>
            <w:tcW w:w="915"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rPr>
                <w:sz w:val="4"/>
                <w:szCs w:val="4"/>
              </w:rPr>
            </w:pPr>
            <w:r>
              <w:rPr>
                <w:sz w:val="4"/>
                <w:szCs w:val="4"/>
              </w:rPr>
            </w:r>
          </w:p>
        </w:tc>
        <w:tc>
          <w:tcPr>
            <w:tcW w:w="452" w:type="dxa"/>
            <w:tcBorders/>
            <w:shd w:fill="auto" w:val="clear"/>
            <w:vAlign w:val="center"/>
          </w:tcPr>
          <w:p>
            <w:pPr>
              <w:pStyle w:val="TableContents"/>
              <w:spacing w:before="0" w:after="283"/>
              <w:rPr>
                <w:sz w:val="4"/>
                <w:szCs w:val="4"/>
              </w:rPr>
            </w:pPr>
            <w:r>
              <w:rPr>
                <w:sz w:val="4"/>
                <w:szCs w:val="4"/>
              </w:rPr>
            </w:r>
          </w:p>
        </w:tc>
        <w:tc>
          <w:tcPr>
            <w:tcW w:w="3045" w:type="dxa"/>
            <w:tcBorders/>
            <w:shd w:fill="auto" w:val="clear"/>
            <w:vAlign w:val="center"/>
          </w:tcPr>
          <w:p>
            <w:pPr>
              <w:pStyle w:val="TableContents"/>
              <w:spacing w:before="0" w:after="283"/>
              <w:rPr>
                <w:sz w:val="4"/>
                <w:szCs w:val="4"/>
              </w:rPr>
            </w:pPr>
            <w:r>
              <w:rPr>
                <w:sz w:val="4"/>
                <w:szCs w:val="4"/>
              </w:rPr>
            </w:r>
          </w:p>
        </w:tc>
        <w:tc>
          <w:tcPr>
            <w:tcW w:w="2197" w:type="dxa"/>
            <w:tcBorders/>
            <w:shd w:fill="auto" w:val="clear"/>
            <w:vAlign w:val="center"/>
          </w:tcPr>
          <w:p>
            <w:pPr>
              <w:pStyle w:val="TableContents"/>
              <w:spacing w:before="0" w:after="283"/>
              <w:rPr>
                <w:sz w:val="4"/>
                <w:szCs w:val="4"/>
              </w:rPr>
            </w:pPr>
            <w:r>
              <w:rPr>
                <w:sz w:val="4"/>
                <w:szCs w:val="4"/>
              </w:rPr>
            </w:r>
          </w:p>
        </w:tc>
        <w:tc>
          <w:tcPr>
            <w:tcW w:w="3116" w:type="dxa"/>
            <w:tcBorders/>
            <w:shd w:fill="auto" w:val="clear"/>
            <w:vAlign w:val="center"/>
          </w:tcPr>
          <w:p>
            <w:pPr>
              <w:pStyle w:val="TableContents"/>
              <w:spacing w:before="0" w:after="283"/>
              <w:rPr>
                <w:sz w:val="4"/>
                <w:szCs w:val="4"/>
              </w:rPr>
            </w:pPr>
            <w:r>
              <w:rPr>
                <w:sz w:val="4"/>
                <w:szCs w:val="4"/>
              </w:rPr>
            </w:r>
          </w:p>
        </w:tc>
      </w:tr>
      <w:tr>
        <w:trPr/>
        <w:tc>
          <w:tcPr>
            <w:tcW w:w="1847" w:type="dxa"/>
            <w:gridSpan w:val="3"/>
            <w:tcBorders/>
            <w:shd w:fill="auto" w:val="clear"/>
            <w:tcMar>
              <w:top w:w="0" w:type="dxa"/>
              <w:left w:w="0" w:type="dxa"/>
              <w:bottom w:w="0" w:type="dxa"/>
              <w:right w:w="0" w:type="dxa"/>
            </w:tcMar>
            <w:vAlign w:val="center"/>
          </w:tcPr>
          <w:p>
            <w:pPr>
              <w:pStyle w:val="TableContents"/>
              <w:spacing w:lineRule="auto" w:line="319" w:before="0" w:after="283"/>
              <w:jc w:val="left"/>
              <w:rPr>
                <w:color w:val="000000"/>
              </w:rPr>
            </w:pPr>
            <w:r>
              <w:rPr>
                <w:color w:val="000000"/>
              </w:rPr>
              <w:t>“</w:t>
            </w:r>
            <w:r>
              <w:rPr>
                <w:rFonts w:ascii="Times New Roman;sans-serif" w:hAnsi="Times New Roman;sans-serif"/>
                <w:b/>
                <w:color w:val="000000"/>
                <w:sz w:val="20"/>
              </w:rPr>
              <w:t>Class A Ordinary Share”</w:t>
            </w:r>
          </w:p>
        </w:tc>
        <w:tc>
          <w:tcPr>
            <w:tcW w:w="8358" w:type="dxa"/>
            <w:gridSpan w:val="3"/>
            <w:tcBorders/>
            <w:shd w:fill="auto" w:val="clear"/>
            <w:tcMar>
              <w:top w:w="0" w:type="dxa"/>
              <w:left w:w="0" w:type="dxa"/>
              <w:bottom w:w="0" w:type="dxa"/>
              <w:right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means an Ordinary Share of a par value of US$0.0001 in the capital of the Company, designated as a Class A Ordinary Shares and having the rights provided for in these Articles;</w:t>
            </w:r>
          </w:p>
        </w:tc>
      </w:tr>
      <w:tr>
        <w:trPr/>
        <w:tc>
          <w:tcPr>
            <w:tcW w:w="1847" w:type="dxa"/>
            <w:gridSpan w:val="3"/>
            <w:tcBorders/>
            <w:shd w:fill="auto" w:val="clear"/>
            <w:tcMar>
              <w:top w:w="0" w:type="dxa"/>
              <w:left w:w="0" w:type="dxa"/>
              <w:bottom w:w="0" w:type="dxa"/>
              <w:right w:w="0" w:type="dxa"/>
            </w:tcMar>
            <w:vAlign w:val="center"/>
          </w:tcPr>
          <w:p>
            <w:pPr>
              <w:pStyle w:val="TableContents"/>
              <w:spacing w:lineRule="auto" w:line="319" w:before="0" w:after="283"/>
              <w:jc w:val="left"/>
              <w:rPr>
                <w:color w:val="000000"/>
              </w:rPr>
            </w:pPr>
            <w:r>
              <w:rPr>
                <w:color w:val="000000"/>
              </w:rPr>
              <w:t>“</w:t>
            </w:r>
            <w:r>
              <w:rPr>
                <w:rFonts w:ascii="Times New Roman;sans-serif" w:hAnsi="Times New Roman;sans-serif"/>
                <w:b/>
                <w:color w:val="000000"/>
                <w:sz w:val="20"/>
              </w:rPr>
              <w:t>Class B Ordinary Share”</w:t>
            </w:r>
          </w:p>
        </w:tc>
        <w:tc>
          <w:tcPr>
            <w:tcW w:w="8358" w:type="dxa"/>
            <w:gridSpan w:val="3"/>
            <w:tcBorders/>
            <w:shd w:fill="auto" w:val="clear"/>
            <w:tcMar>
              <w:top w:w="0" w:type="dxa"/>
              <w:left w:w="0" w:type="dxa"/>
              <w:bottom w:w="0" w:type="dxa"/>
              <w:right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means an Ordinary Share of a par value of US$0.0001 in the capital of the Company, designated as a Class B Ordinary Share and having the rights provided for in these Articles;</w:t>
            </w:r>
          </w:p>
        </w:tc>
      </w:tr>
      <w:tr>
        <w:trPr/>
        <w:tc>
          <w:tcPr>
            <w:tcW w:w="1847" w:type="dxa"/>
            <w:gridSpan w:val="3"/>
            <w:tcBorders/>
            <w:shd w:fill="auto" w:val="clear"/>
            <w:tcMar>
              <w:top w:w="0" w:type="dxa"/>
              <w:left w:w="0" w:type="dxa"/>
              <w:bottom w:w="0" w:type="dxa"/>
              <w:right w:w="0" w:type="dxa"/>
            </w:tcMar>
            <w:vAlign w:val="center"/>
          </w:tcPr>
          <w:p>
            <w:pPr>
              <w:pStyle w:val="TableContents"/>
              <w:spacing w:lineRule="auto" w:line="319" w:before="0" w:after="283"/>
              <w:jc w:val="left"/>
              <w:rPr>
                <w:color w:val="000000"/>
              </w:rPr>
            </w:pPr>
            <w:r>
              <w:rPr>
                <w:color w:val="000000"/>
              </w:rPr>
              <w:t>“</w:t>
            </w:r>
            <w:r>
              <w:rPr>
                <w:rFonts w:ascii="Times New Roman;sans-serif" w:hAnsi="Times New Roman;sans-serif"/>
                <w:b/>
                <w:color w:val="000000"/>
                <w:sz w:val="20"/>
              </w:rPr>
              <w:t>Commission”</w:t>
            </w:r>
          </w:p>
        </w:tc>
        <w:tc>
          <w:tcPr>
            <w:tcW w:w="8358" w:type="dxa"/>
            <w:gridSpan w:val="3"/>
            <w:tcBorders/>
            <w:shd w:fill="auto" w:val="clear"/>
            <w:tcMar>
              <w:top w:w="0" w:type="dxa"/>
              <w:left w:w="0" w:type="dxa"/>
              <w:bottom w:w="0" w:type="dxa"/>
              <w:right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means the Securities and Exchange Commission of the United States of America or any other federal agency for the time being administering the Securities Act;</w:t>
            </w:r>
          </w:p>
        </w:tc>
      </w:tr>
      <w:tr>
        <w:trPr/>
        <w:tc>
          <w:tcPr>
            <w:tcW w:w="1847" w:type="dxa"/>
            <w:gridSpan w:val="3"/>
            <w:tcBorders/>
            <w:shd w:fill="auto" w:val="clear"/>
            <w:tcMar>
              <w:top w:w="0" w:type="dxa"/>
              <w:left w:w="0" w:type="dxa"/>
              <w:bottom w:w="0" w:type="dxa"/>
              <w:right w:w="0" w:type="dxa"/>
            </w:tcMar>
            <w:vAlign w:val="center"/>
          </w:tcPr>
          <w:p>
            <w:pPr>
              <w:pStyle w:val="TableContents"/>
              <w:spacing w:lineRule="auto" w:line="319" w:before="0" w:after="283"/>
              <w:jc w:val="left"/>
              <w:rPr>
                <w:color w:val="000000"/>
              </w:rPr>
            </w:pPr>
            <w:r>
              <w:rPr>
                <w:color w:val="000000"/>
              </w:rPr>
              <w:t>“</w:t>
            </w:r>
            <w:r>
              <w:rPr>
                <w:rFonts w:ascii="Times New Roman;sans-serif" w:hAnsi="Times New Roman;sans-serif"/>
                <w:b/>
                <w:color w:val="000000"/>
                <w:sz w:val="20"/>
              </w:rPr>
              <w:t>Communication Facilities”</w:t>
            </w:r>
          </w:p>
        </w:tc>
        <w:tc>
          <w:tcPr>
            <w:tcW w:w="8358" w:type="dxa"/>
            <w:gridSpan w:val="3"/>
            <w:tcBorders/>
            <w:shd w:fill="auto" w:val="clear"/>
            <w:tcMar>
              <w:top w:w="0" w:type="dxa"/>
              <w:left w:w="0" w:type="dxa"/>
              <w:bottom w:w="0" w:type="dxa"/>
              <w:right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means video, video-conferencing, internet or online conferencing applications, telephone or tele-conferencing and/or any other video-communications, internet or online conferencing application or telecommunications facilities by means of which all Persons participating in a meeting are capable of hearing and being heard by each other;</w:t>
            </w:r>
          </w:p>
        </w:tc>
      </w:tr>
      <w:tr>
        <w:trPr/>
        <w:tc>
          <w:tcPr>
            <w:tcW w:w="1847" w:type="dxa"/>
            <w:gridSpan w:val="3"/>
            <w:tcBorders/>
            <w:shd w:fill="auto" w:val="clear"/>
            <w:tcMar>
              <w:top w:w="0" w:type="dxa"/>
              <w:left w:w="0" w:type="dxa"/>
              <w:bottom w:w="0" w:type="dxa"/>
              <w:right w:w="0" w:type="dxa"/>
            </w:tcMar>
            <w:vAlign w:val="center"/>
          </w:tcPr>
          <w:p>
            <w:pPr>
              <w:pStyle w:val="TableContents"/>
              <w:spacing w:lineRule="auto" w:line="319" w:before="0" w:after="283"/>
              <w:jc w:val="left"/>
              <w:rPr>
                <w:color w:val="000000"/>
              </w:rPr>
            </w:pPr>
            <w:r>
              <w:rPr>
                <w:color w:val="000000"/>
              </w:rPr>
              <w:t>“</w:t>
            </w:r>
            <w:r>
              <w:rPr>
                <w:rFonts w:ascii="Times New Roman;sans-serif" w:hAnsi="Times New Roman;sans-serif"/>
                <w:b/>
                <w:color w:val="000000"/>
                <w:sz w:val="20"/>
              </w:rPr>
              <w:t>Company”</w:t>
            </w:r>
          </w:p>
        </w:tc>
        <w:tc>
          <w:tcPr>
            <w:tcW w:w="8358" w:type="dxa"/>
            <w:gridSpan w:val="3"/>
            <w:tcBorders/>
            <w:shd w:fill="auto" w:val="clear"/>
            <w:tcMar>
              <w:top w:w="0" w:type="dxa"/>
              <w:left w:w="0" w:type="dxa"/>
              <w:bottom w:w="0" w:type="dxa"/>
              <w:right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means Agora, Inc., a Cayman Islands exempted company;</w:t>
            </w:r>
          </w:p>
        </w:tc>
      </w:tr>
      <w:tr>
        <w:trPr/>
        <w:tc>
          <w:tcPr>
            <w:tcW w:w="1847" w:type="dxa"/>
            <w:gridSpan w:val="3"/>
            <w:tcBorders/>
            <w:shd w:fill="auto" w:val="clear"/>
            <w:tcMar>
              <w:top w:w="0" w:type="dxa"/>
              <w:left w:w="0" w:type="dxa"/>
              <w:bottom w:w="0" w:type="dxa"/>
              <w:right w:w="0" w:type="dxa"/>
            </w:tcMar>
            <w:vAlign w:val="center"/>
          </w:tcPr>
          <w:p>
            <w:pPr>
              <w:pStyle w:val="TableContents"/>
              <w:spacing w:lineRule="auto" w:line="319" w:before="0" w:after="283"/>
              <w:jc w:val="left"/>
              <w:rPr>
                <w:color w:val="000000"/>
              </w:rPr>
            </w:pPr>
            <w:r>
              <w:rPr>
                <w:color w:val="000000"/>
              </w:rPr>
              <w:t>“</w:t>
            </w:r>
            <w:r>
              <w:rPr>
                <w:rFonts w:ascii="Times New Roman;sans-serif" w:hAnsi="Times New Roman;sans-serif"/>
                <w:b/>
                <w:color w:val="000000"/>
                <w:sz w:val="20"/>
              </w:rPr>
              <w:t>Companies Law”</w:t>
            </w:r>
          </w:p>
        </w:tc>
        <w:tc>
          <w:tcPr>
            <w:tcW w:w="8358" w:type="dxa"/>
            <w:gridSpan w:val="3"/>
            <w:tcBorders/>
            <w:shd w:fill="auto" w:val="clear"/>
            <w:tcMar>
              <w:top w:w="0" w:type="dxa"/>
              <w:left w:w="0" w:type="dxa"/>
              <w:bottom w:w="0" w:type="dxa"/>
              <w:right w:w="0" w:type="dxa"/>
            </w:tcMar>
            <w:vAlign w:val="center"/>
          </w:tcPr>
          <w:p>
            <w:pPr>
              <w:pStyle w:val="TableContents"/>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means the Companies Law (2020 Revision) of the Cayman Islands and any statutory amendment or re-enactment thereof;</w:t>
            </w:r>
          </w:p>
        </w:tc>
      </w:tr>
      <w:tr>
        <w:trPr/>
        <w:tc>
          <w:tcPr>
            <w:tcW w:w="1847" w:type="dxa"/>
            <w:gridSpan w:val="3"/>
            <w:tcBorders/>
            <w:shd w:fill="auto" w:val="clear"/>
            <w:tcMar>
              <w:top w:w="0" w:type="dxa"/>
              <w:left w:w="0" w:type="dxa"/>
              <w:bottom w:w="0" w:type="dxa"/>
              <w:right w:w="0" w:type="dxa"/>
            </w:tcMar>
            <w:vAlign w:val="center"/>
          </w:tcPr>
          <w:p>
            <w:pPr>
              <w:pStyle w:val="TableContents"/>
              <w:spacing w:lineRule="auto" w:line="319" w:before="0" w:after="283"/>
              <w:jc w:val="left"/>
              <w:rPr>
                <w:color w:val="000000"/>
              </w:rPr>
            </w:pPr>
            <w:r>
              <w:rPr>
                <w:color w:val="000000"/>
              </w:rPr>
              <w:t>“</w:t>
            </w:r>
            <w:r>
              <w:rPr>
                <w:rFonts w:ascii="Times New Roman;sans-serif" w:hAnsi="Times New Roman;sans-serif"/>
                <w:b/>
                <w:color w:val="000000"/>
                <w:sz w:val="20"/>
              </w:rPr>
              <w:t>Company’s Website”</w:t>
            </w:r>
          </w:p>
        </w:tc>
        <w:tc>
          <w:tcPr>
            <w:tcW w:w="8358" w:type="dxa"/>
            <w:gridSpan w:val="3"/>
            <w:tcBorders/>
            <w:shd w:fill="auto" w:val="clear"/>
            <w:tcMar>
              <w:top w:w="0" w:type="dxa"/>
              <w:left w:w="0" w:type="dxa"/>
              <w:bottom w:w="0" w:type="dxa"/>
              <w:right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means the main corporate/investor relations website of the Company, the address or domain name of which has been disclosed in any registration statement filed by the Company with the Commission in connection with its initial public offering of ADSs, or which has otherwise been notified to Shareholders;</w:t>
            </w:r>
          </w:p>
        </w:tc>
      </w:tr>
      <w:tr>
        <w:trPr/>
        <w:tc>
          <w:tcPr>
            <w:tcW w:w="1847" w:type="dxa"/>
            <w:gridSpan w:val="3"/>
            <w:tcBorders/>
            <w:shd w:fill="auto" w:val="clear"/>
            <w:tcMar>
              <w:top w:w="0" w:type="dxa"/>
              <w:left w:w="0" w:type="dxa"/>
              <w:bottom w:w="0" w:type="dxa"/>
              <w:right w:w="0" w:type="dxa"/>
            </w:tcMar>
            <w:vAlign w:val="center"/>
          </w:tcPr>
          <w:p>
            <w:pPr>
              <w:pStyle w:val="TableContents"/>
              <w:spacing w:lineRule="auto" w:line="319" w:before="0" w:after="283"/>
              <w:jc w:val="left"/>
              <w:rPr>
                <w:color w:val="000000"/>
              </w:rPr>
            </w:pPr>
            <w:r>
              <w:rPr>
                <w:color w:val="000000"/>
              </w:rPr>
              <w:t>“</w:t>
            </w:r>
            <w:r>
              <w:rPr>
                <w:rFonts w:ascii="Times New Roman;sans-serif" w:hAnsi="Times New Roman;sans-serif"/>
                <w:b/>
                <w:color w:val="000000"/>
                <w:sz w:val="20"/>
              </w:rPr>
              <w:t>Designated Stock Exchange”</w:t>
            </w:r>
          </w:p>
        </w:tc>
        <w:tc>
          <w:tcPr>
            <w:tcW w:w="8358" w:type="dxa"/>
            <w:gridSpan w:val="3"/>
            <w:tcBorders/>
            <w:shd w:fill="auto" w:val="clear"/>
            <w:tcMar>
              <w:top w:w="0" w:type="dxa"/>
              <w:left w:w="0" w:type="dxa"/>
              <w:bottom w:w="0" w:type="dxa"/>
              <w:right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means the stock exchange in the United States on which any Shares and ADSs are listed for trading;</w:t>
            </w:r>
          </w:p>
        </w:tc>
      </w:tr>
      <w:tr>
        <w:trPr/>
        <w:tc>
          <w:tcPr>
            <w:tcW w:w="1847" w:type="dxa"/>
            <w:gridSpan w:val="3"/>
            <w:tcBorders/>
            <w:shd w:fill="auto" w:val="clear"/>
            <w:tcMar>
              <w:top w:w="0" w:type="dxa"/>
              <w:left w:w="0" w:type="dxa"/>
              <w:bottom w:w="0" w:type="dxa"/>
              <w:right w:w="0" w:type="dxa"/>
            </w:tcMar>
            <w:vAlign w:val="center"/>
          </w:tcPr>
          <w:p>
            <w:pPr>
              <w:pStyle w:val="TableContents"/>
              <w:spacing w:lineRule="auto" w:line="319" w:before="0" w:after="283"/>
              <w:jc w:val="left"/>
              <w:rPr>
                <w:color w:val="000000"/>
              </w:rPr>
            </w:pPr>
            <w:r>
              <w:rPr>
                <w:color w:val="000000"/>
              </w:rPr>
              <w:t>“</w:t>
            </w:r>
            <w:r>
              <w:rPr>
                <w:rFonts w:ascii="Times New Roman;sans-serif" w:hAnsi="Times New Roman;sans-serif"/>
                <w:b/>
                <w:color w:val="000000"/>
                <w:sz w:val="20"/>
              </w:rPr>
              <w:t>Designated Stock Exchange Rules”</w:t>
            </w:r>
          </w:p>
        </w:tc>
        <w:tc>
          <w:tcPr>
            <w:tcW w:w="8358" w:type="dxa"/>
            <w:gridSpan w:val="3"/>
            <w:tcBorders/>
            <w:shd w:fill="auto" w:val="clear"/>
            <w:tcMar>
              <w:top w:w="0" w:type="dxa"/>
              <w:left w:w="0" w:type="dxa"/>
              <w:bottom w:w="0" w:type="dxa"/>
              <w:right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means the relevant code, rules and regulations, as amended, from time to time, applicable as a result of the original and continued listing of any Shares or ADSs on the Designated Stock Exchange;</w:t>
            </w:r>
          </w:p>
        </w:tc>
      </w:tr>
      <w:tr>
        <w:trPr/>
        <w:tc>
          <w:tcPr>
            <w:tcW w:w="1847" w:type="dxa"/>
            <w:gridSpan w:val="3"/>
            <w:tcBorders/>
            <w:shd w:fill="auto" w:val="clear"/>
            <w:tcMar>
              <w:top w:w="0" w:type="dxa"/>
              <w:left w:w="0" w:type="dxa"/>
              <w:bottom w:w="0" w:type="dxa"/>
              <w:right w:w="0" w:type="dxa"/>
            </w:tcMar>
            <w:vAlign w:val="center"/>
          </w:tcPr>
          <w:p>
            <w:pPr>
              <w:pStyle w:val="TableContents"/>
              <w:spacing w:lineRule="auto" w:line="319" w:before="0" w:after="283"/>
              <w:jc w:val="left"/>
              <w:rPr>
                <w:color w:val="000000"/>
              </w:rPr>
            </w:pPr>
            <w:r>
              <w:rPr>
                <w:color w:val="000000"/>
              </w:rPr>
              <w:t>“</w:t>
            </w:r>
            <w:r>
              <w:rPr>
                <w:rFonts w:ascii="Times New Roman;sans-serif" w:hAnsi="Times New Roman;sans-serif"/>
                <w:b/>
                <w:color w:val="000000"/>
                <w:sz w:val="20"/>
              </w:rPr>
              <w:t>electronic”</w:t>
            </w:r>
          </w:p>
        </w:tc>
        <w:tc>
          <w:tcPr>
            <w:tcW w:w="8358" w:type="dxa"/>
            <w:gridSpan w:val="3"/>
            <w:tcBorders/>
            <w:shd w:fill="auto" w:val="clear"/>
            <w:tcMar>
              <w:top w:w="0" w:type="dxa"/>
              <w:left w:w="0" w:type="dxa"/>
              <w:bottom w:w="0" w:type="dxa"/>
              <w:right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has the meaning given to it in the Electronic Transactions Law and any amendment thereto or re-enactments thereof for the time being in force and includes every other law incorporated therewith or substituted therefor;</w:t>
            </w:r>
          </w:p>
        </w:tc>
      </w:tr>
      <w:tr>
        <w:trPr/>
        <w:tc>
          <w:tcPr>
            <w:tcW w:w="1847" w:type="dxa"/>
            <w:gridSpan w:val="3"/>
            <w:tcBorders/>
            <w:shd w:fill="auto" w:val="clear"/>
            <w:tcMar>
              <w:top w:w="0" w:type="dxa"/>
              <w:left w:w="0" w:type="dxa"/>
              <w:bottom w:w="0" w:type="dxa"/>
              <w:right w:w="0" w:type="dxa"/>
            </w:tcMar>
            <w:vAlign w:val="center"/>
          </w:tcPr>
          <w:p>
            <w:pPr>
              <w:pStyle w:val="TableContents"/>
              <w:spacing w:lineRule="auto" w:line="319" w:before="0" w:after="283"/>
              <w:jc w:val="left"/>
              <w:rPr>
                <w:color w:val="000000"/>
              </w:rPr>
            </w:pPr>
            <w:r>
              <w:rPr>
                <w:color w:val="000000"/>
              </w:rPr>
              <w:t>“</w:t>
            </w:r>
            <w:r>
              <w:rPr>
                <w:rFonts w:ascii="Times New Roman;sans-serif" w:hAnsi="Times New Roman;sans-serif"/>
                <w:b/>
                <w:color w:val="000000"/>
                <w:sz w:val="20"/>
              </w:rPr>
              <w:t>electronic communication”</w:t>
            </w:r>
          </w:p>
        </w:tc>
        <w:tc>
          <w:tcPr>
            <w:tcW w:w="8358" w:type="dxa"/>
            <w:gridSpan w:val="3"/>
            <w:tcBorders/>
            <w:shd w:fill="auto" w:val="clear"/>
            <w:tcMar>
              <w:top w:w="0" w:type="dxa"/>
              <w:left w:w="0" w:type="dxa"/>
              <w:bottom w:w="0" w:type="dxa"/>
              <w:right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means electronic posting to the Company’s Website, transmission to any number, address or internet website or other electronic delivery methods as otherwise decided and approved by not less than two-thirds of the vote of the Board;</w:t>
            </w:r>
          </w:p>
        </w:tc>
      </w:tr>
      <w:tr>
        <w:trPr/>
        <w:tc>
          <w:tcPr>
            <w:tcW w:w="1847" w:type="dxa"/>
            <w:gridSpan w:val="3"/>
            <w:tcBorders/>
            <w:shd w:fill="auto" w:val="clear"/>
            <w:tcMar>
              <w:top w:w="0" w:type="dxa"/>
              <w:left w:w="0" w:type="dxa"/>
              <w:bottom w:w="0" w:type="dxa"/>
              <w:right w:w="0" w:type="dxa"/>
            </w:tcMar>
            <w:vAlign w:val="center"/>
          </w:tcPr>
          <w:p>
            <w:pPr>
              <w:pStyle w:val="TableContents"/>
              <w:spacing w:lineRule="auto" w:line="319" w:before="0" w:after="283"/>
              <w:jc w:val="left"/>
              <w:rPr>
                <w:color w:val="000000"/>
              </w:rPr>
            </w:pPr>
            <w:r>
              <w:rPr>
                <w:color w:val="000000"/>
              </w:rPr>
              <w:t>“</w:t>
            </w:r>
            <w:r>
              <w:rPr>
                <w:rFonts w:ascii="Times New Roman;sans-serif" w:hAnsi="Times New Roman;sans-serif"/>
                <w:b/>
                <w:color w:val="000000"/>
                <w:sz w:val="20"/>
              </w:rPr>
              <w:t>Electronic Transactions Law”</w:t>
            </w:r>
          </w:p>
        </w:tc>
        <w:tc>
          <w:tcPr>
            <w:tcW w:w="8358" w:type="dxa"/>
            <w:gridSpan w:val="3"/>
            <w:tcBorders/>
            <w:shd w:fill="auto" w:val="clear"/>
            <w:tcMar>
              <w:top w:w="0" w:type="dxa"/>
              <w:left w:w="0" w:type="dxa"/>
              <w:bottom w:w="0" w:type="dxa"/>
              <w:right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means the Electronic Transactions Law (2003 Revision) of the Cayman Islands and any statutory amendment or re-enactment thereof;</w:t>
            </w:r>
          </w:p>
        </w:tc>
      </w:tr>
      <w:tr>
        <w:trPr/>
        <w:tc>
          <w:tcPr>
            <w:tcW w:w="1847" w:type="dxa"/>
            <w:gridSpan w:val="3"/>
            <w:tcBorders/>
            <w:shd w:fill="auto" w:val="clear"/>
            <w:tcMar>
              <w:top w:w="0" w:type="dxa"/>
              <w:left w:w="0" w:type="dxa"/>
              <w:bottom w:w="0" w:type="dxa"/>
              <w:right w:w="0" w:type="dxa"/>
            </w:tcMar>
            <w:vAlign w:val="center"/>
          </w:tcPr>
          <w:p>
            <w:pPr>
              <w:pStyle w:val="TableContents"/>
              <w:spacing w:lineRule="auto" w:line="319" w:before="0" w:after="283"/>
              <w:jc w:val="left"/>
              <w:rPr>
                <w:color w:val="000000"/>
              </w:rPr>
            </w:pPr>
            <w:r>
              <w:rPr>
                <w:color w:val="000000"/>
              </w:rPr>
              <w:t>“</w:t>
            </w:r>
            <w:r>
              <w:rPr>
                <w:rFonts w:ascii="Times New Roman;sans-serif" w:hAnsi="Times New Roman;sans-serif"/>
                <w:b/>
                <w:color w:val="000000"/>
                <w:sz w:val="20"/>
              </w:rPr>
              <w:t>electronic record”</w:t>
            </w:r>
          </w:p>
        </w:tc>
        <w:tc>
          <w:tcPr>
            <w:tcW w:w="8358" w:type="dxa"/>
            <w:gridSpan w:val="3"/>
            <w:tcBorders/>
            <w:shd w:fill="auto" w:val="clear"/>
            <w:tcMar>
              <w:top w:w="0" w:type="dxa"/>
              <w:left w:w="0" w:type="dxa"/>
              <w:bottom w:w="0" w:type="dxa"/>
              <w:right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has the meaning given to it in the Electronic Transactions Law and any amendment thereto or re-enactments thereof for the time being in force and includes every other law incorporated therewith or substituted therefor;</w:t>
            </w:r>
          </w:p>
        </w:tc>
      </w:tr>
      <w:tr>
        <w:trPr/>
        <w:tc>
          <w:tcPr>
            <w:tcW w:w="1847" w:type="dxa"/>
            <w:gridSpan w:val="3"/>
            <w:tcBorders/>
            <w:shd w:fill="auto" w:val="clear"/>
            <w:tcMar>
              <w:top w:w="0" w:type="dxa"/>
              <w:left w:w="0" w:type="dxa"/>
              <w:bottom w:w="0" w:type="dxa"/>
              <w:right w:w="0" w:type="dxa"/>
            </w:tcMar>
            <w:vAlign w:val="center"/>
          </w:tcPr>
          <w:p>
            <w:pPr>
              <w:pStyle w:val="TableContents"/>
              <w:spacing w:lineRule="auto" w:line="319" w:before="0" w:after="283"/>
              <w:jc w:val="left"/>
              <w:rPr>
                <w:color w:val="000000"/>
              </w:rPr>
            </w:pPr>
            <w:r>
              <w:rPr>
                <w:color w:val="000000"/>
              </w:rPr>
              <w:t>“</w:t>
            </w:r>
            <w:r>
              <w:rPr>
                <w:rFonts w:ascii="Times New Roman;sans-serif" w:hAnsi="Times New Roman;sans-serif"/>
                <w:b/>
                <w:color w:val="000000"/>
                <w:sz w:val="20"/>
              </w:rPr>
              <w:t>Memorandum of Association”</w:t>
            </w:r>
          </w:p>
        </w:tc>
        <w:tc>
          <w:tcPr>
            <w:tcW w:w="8358" w:type="dxa"/>
            <w:gridSpan w:val="3"/>
            <w:tcBorders/>
            <w:shd w:fill="auto" w:val="clear"/>
            <w:tcMar>
              <w:top w:w="0" w:type="dxa"/>
              <w:left w:w="0" w:type="dxa"/>
              <w:bottom w:w="0" w:type="dxa"/>
              <w:right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means the memorandum of association of the Company, as amended or substituted from time to time;</w:t>
            </w:r>
          </w:p>
        </w:tc>
      </w:tr>
      <w:tr>
        <w:trPr/>
        <w:tc>
          <w:tcPr>
            <w:tcW w:w="1847" w:type="dxa"/>
            <w:gridSpan w:val="3"/>
            <w:tcBorders/>
            <w:shd w:fill="auto" w:val="clear"/>
            <w:tcMar>
              <w:top w:w="0" w:type="dxa"/>
              <w:left w:w="0" w:type="dxa"/>
              <w:bottom w:w="0" w:type="dxa"/>
              <w:right w:w="0" w:type="dxa"/>
            </w:tcMar>
            <w:vAlign w:val="center"/>
          </w:tcPr>
          <w:p>
            <w:pPr>
              <w:pStyle w:val="TableContents"/>
              <w:spacing w:lineRule="auto" w:line="319" w:before="0" w:after="283"/>
              <w:jc w:val="left"/>
              <w:rPr>
                <w:color w:val="000000"/>
              </w:rPr>
            </w:pPr>
            <w:r>
              <w:rPr>
                <w:color w:val="000000"/>
              </w:rPr>
              <w:t>“</w:t>
            </w:r>
            <w:r>
              <w:rPr>
                <w:rFonts w:ascii="Times New Roman;sans-serif" w:hAnsi="Times New Roman;sans-serif"/>
                <w:b/>
                <w:color w:val="000000"/>
                <w:sz w:val="20"/>
              </w:rPr>
              <w:t>Ordinary Resolution”</w:t>
            </w:r>
          </w:p>
        </w:tc>
        <w:tc>
          <w:tcPr>
            <w:tcW w:w="8358" w:type="dxa"/>
            <w:gridSpan w:val="3"/>
            <w:tcBorders/>
            <w:shd w:fill="auto" w:val="clear"/>
            <w:tcMar>
              <w:top w:w="0" w:type="dxa"/>
              <w:left w:w="0" w:type="dxa"/>
              <w:bottom w:w="0" w:type="dxa"/>
              <w:right w:w="0" w:type="dxa"/>
            </w:tcMar>
            <w:vAlign w:val="center"/>
          </w:tcPr>
          <w:p>
            <w:pPr>
              <w:pStyle w:val="TableContents"/>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means a resolution:</w:t>
            </w:r>
          </w:p>
          <w:p>
            <w:pPr>
              <w:pStyle w:val="TableContents"/>
              <w:spacing w:lineRule="auto" w:line="288" w:before="0" w:after="240"/>
              <w:ind w:left="0" w:right="0" w:hanging="522"/>
              <w:jc w:val="both"/>
              <w:rPr>
                <w:rFonts w:ascii="Times New Roman;sans-serif" w:hAnsi="Times New Roman;sans-serif"/>
                <w:b w:val="false"/>
                <w:color w:val="000000"/>
                <w:sz w:val="20"/>
              </w:rPr>
            </w:pPr>
            <w:r>
              <w:rPr>
                <w:rFonts w:ascii="Times New Roman;sans-serif" w:hAnsi="Times New Roman;sans-serif"/>
                <w:b w:val="false"/>
                <w:color w:val="000000"/>
                <w:sz w:val="20"/>
              </w:rPr>
              <w:t>(a)     passed by a simple majority of the votes cast by such Shareholders as, being entitled to do so, vote in person or, where proxies are allowed, by proxy or, in the case of corporations, by their duly authorised representatives, at a general meeting of the Company held in accordance with these Articles; or</w:t>
            </w:r>
          </w:p>
        </w:tc>
      </w:tr>
      <w:tr>
        <w:trPr/>
        <w:tc>
          <w:tcPr>
            <w:tcW w:w="184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58" w:type="dxa"/>
            <w:gridSpan w:val="3"/>
            <w:tcBorders/>
            <w:shd w:fill="auto" w:val="clear"/>
            <w:tcMar>
              <w:top w:w="0" w:type="dxa"/>
              <w:left w:w="0" w:type="dxa"/>
              <w:bottom w:w="0" w:type="dxa"/>
              <w:right w:w="0" w:type="dxa"/>
            </w:tcMar>
            <w:vAlign w:val="center"/>
          </w:tcPr>
          <w:p>
            <w:pPr>
              <w:pStyle w:val="TableContents"/>
              <w:spacing w:lineRule="auto" w:line="288" w:before="0" w:after="240"/>
              <w:ind w:left="0" w:right="0" w:hanging="522"/>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     approved in writing by all of the Shareholders entitled to vote at a general meeting of the Company in one or more instruments each signed by one or more of the Shareholders and the effective date of the resolution so adopted shall be the date on which the instrument, or the last of such instruments, if more than one, is executed (or on such later date as may be specified therein); </w:t>
            </w:r>
          </w:p>
        </w:tc>
      </w:tr>
    </w:tbl>
    <w:p>
      <w:pPr>
        <w:pStyle w:val="TextBody"/>
        <w:spacing w:before="0" w:after="0"/>
        <w:jc w:val="right"/>
        <w:rPr/>
      </w:pPr>
      <w:r>
        <w:br w:type="page"/>
      </w:r>
      <w:r>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6480175" cy="146685"/>
                <wp:effectExtent l="0" t="0" r="0" b="0"/>
                <wp:wrapNone/>
                <wp:docPr id="211" name="Frame21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v:rect>
            </w:pict>
          </mc:Fallback>
        </mc:AlternateContent>
      </w:r>
    </w:p>
    <w:tbl>
      <w:tblPr>
        <w:tblW w:w="10205" w:type="dxa"/>
        <w:jc w:val="left"/>
        <w:tblInd w:w="0" w:type="dxa"/>
        <w:tblCellMar>
          <w:top w:w="28" w:type="dxa"/>
          <w:left w:w="28" w:type="dxa"/>
          <w:bottom w:w="28" w:type="dxa"/>
          <w:right w:w="28" w:type="dxa"/>
        </w:tblCellMar>
      </w:tblPr>
      <w:tblGrid>
        <w:gridCol w:w="686"/>
        <w:gridCol w:w="399"/>
        <w:gridCol w:w="370"/>
        <w:gridCol w:w="2973"/>
        <w:gridCol w:w="2390"/>
        <w:gridCol w:w="3387"/>
      </w:tblGrid>
      <w:tr>
        <w:trPr/>
        <w:tc>
          <w:tcPr>
            <w:tcW w:w="686" w:type="dxa"/>
            <w:tcBorders/>
            <w:shd w:fill="auto" w:val="clear"/>
            <w:vAlign w:val="center"/>
          </w:tcPr>
          <w:p>
            <w:pPr>
              <w:pStyle w:val="TableContents"/>
              <w:spacing w:before="0" w:after="283"/>
              <w:rPr>
                <w:sz w:val="4"/>
                <w:szCs w:val="4"/>
              </w:rPr>
            </w:pPr>
            <w:r>
              <w:rPr>
                <w:sz w:val="4"/>
                <w:szCs w:val="4"/>
              </w:rPr>
            </w:r>
          </w:p>
        </w:tc>
        <w:tc>
          <w:tcPr>
            <w:tcW w:w="399" w:type="dxa"/>
            <w:tcBorders/>
            <w:shd w:fill="auto" w:val="clear"/>
            <w:vAlign w:val="center"/>
          </w:tcPr>
          <w:p>
            <w:pPr>
              <w:pStyle w:val="TableContents"/>
              <w:spacing w:before="0" w:after="283"/>
              <w:rPr>
                <w:sz w:val="4"/>
                <w:szCs w:val="4"/>
              </w:rPr>
            </w:pPr>
            <w:r>
              <w:rPr>
                <w:sz w:val="4"/>
                <w:szCs w:val="4"/>
              </w:rPr>
            </w:r>
          </w:p>
        </w:tc>
        <w:tc>
          <w:tcPr>
            <w:tcW w:w="370" w:type="dxa"/>
            <w:tcBorders/>
            <w:shd w:fill="auto" w:val="clear"/>
            <w:vAlign w:val="center"/>
          </w:tcPr>
          <w:p>
            <w:pPr>
              <w:pStyle w:val="TableContents"/>
              <w:spacing w:before="0" w:after="283"/>
              <w:rPr>
                <w:sz w:val="4"/>
                <w:szCs w:val="4"/>
              </w:rPr>
            </w:pPr>
            <w:r>
              <w:rPr>
                <w:sz w:val="4"/>
                <w:szCs w:val="4"/>
              </w:rPr>
            </w:r>
          </w:p>
        </w:tc>
        <w:tc>
          <w:tcPr>
            <w:tcW w:w="2973" w:type="dxa"/>
            <w:tcBorders/>
            <w:shd w:fill="auto" w:val="clear"/>
            <w:vAlign w:val="center"/>
          </w:tcPr>
          <w:p>
            <w:pPr>
              <w:pStyle w:val="TableContents"/>
              <w:spacing w:before="0" w:after="283"/>
              <w:rPr>
                <w:sz w:val="4"/>
                <w:szCs w:val="4"/>
              </w:rPr>
            </w:pPr>
            <w:r>
              <w:rPr>
                <w:sz w:val="4"/>
                <w:szCs w:val="4"/>
              </w:rPr>
            </w:r>
          </w:p>
        </w:tc>
        <w:tc>
          <w:tcPr>
            <w:tcW w:w="2390" w:type="dxa"/>
            <w:tcBorders/>
            <w:shd w:fill="auto" w:val="clear"/>
            <w:vAlign w:val="center"/>
          </w:tcPr>
          <w:p>
            <w:pPr>
              <w:pStyle w:val="TableContents"/>
              <w:spacing w:before="0" w:after="283"/>
              <w:rPr>
                <w:sz w:val="4"/>
                <w:szCs w:val="4"/>
              </w:rPr>
            </w:pPr>
            <w:r>
              <w:rPr>
                <w:sz w:val="4"/>
                <w:szCs w:val="4"/>
              </w:rPr>
            </w:r>
          </w:p>
        </w:tc>
        <w:tc>
          <w:tcPr>
            <w:tcW w:w="3387" w:type="dxa"/>
            <w:tcBorders/>
            <w:shd w:fill="auto" w:val="clear"/>
            <w:vAlign w:val="center"/>
          </w:tcPr>
          <w:p>
            <w:pPr>
              <w:pStyle w:val="TableContents"/>
              <w:spacing w:before="0" w:after="283"/>
              <w:rPr>
                <w:sz w:val="4"/>
                <w:szCs w:val="4"/>
              </w:rPr>
            </w:pPr>
            <w:r>
              <w:rPr>
                <w:sz w:val="4"/>
                <w:szCs w:val="4"/>
              </w:rPr>
            </w:r>
          </w:p>
        </w:tc>
      </w:tr>
      <w:tr>
        <w:trPr/>
        <w:tc>
          <w:tcPr>
            <w:tcW w:w="1455" w:type="dxa"/>
            <w:gridSpan w:val="3"/>
            <w:tcBorders/>
            <w:shd w:fill="auto" w:val="clear"/>
            <w:tcMar>
              <w:top w:w="0" w:type="dxa"/>
              <w:left w:w="0" w:type="dxa"/>
              <w:bottom w:w="0" w:type="dxa"/>
              <w:right w:w="0" w:type="dxa"/>
            </w:tcMar>
            <w:vAlign w:val="center"/>
          </w:tcPr>
          <w:p>
            <w:pPr>
              <w:pStyle w:val="TableContents"/>
              <w:spacing w:lineRule="auto" w:line="319" w:before="0" w:after="283"/>
              <w:jc w:val="left"/>
              <w:rPr>
                <w:color w:val="000000"/>
              </w:rPr>
            </w:pPr>
            <w:r>
              <w:rPr>
                <w:color w:val="000000"/>
              </w:rPr>
              <w:t>“</w:t>
            </w:r>
            <w:r>
              <w:rPr>
                <w:rFonts w:ascii="Times New Roman;sans-serif" w:hAnsi="Times New Roman;sans-serif"/>
                <w:b/>
                <w:color w:val="000000"/>
                <w:sz w:val="20"/>
              </w:rPr>
              <w:t>Ordinary Share”</w:t>
            </w:r>
          </w:p>
        </w:tc>
        <w:tc>
          <w:tcPr>
            <w:tcW w:w="8750" w:type="dxa"/>
            <w:gridSpan w:val="3"/>
            <w:tcBorders/>
            <w:shd w:fill="auto" w:val="clear"/>
            <w:tcMar>
              <w:top w:w="0" w:type="dxa"/>
              <w:left w:w="0" w:type="dxa"/>
              <w:bottom w:w="0" w:type="dxa"/>
              <w:right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means a Class A Ordinary Share or a Class B Ordinary Share;</w:t>
            </w:r>
          </w:p>
        </w:tc>
      </w:tr>
      <w:tr>
        <w:trPr/>
        <w:tc>
          <w:tcPr>
            <w:tcW w:w="1455" w:type="dxa"/>
            <w:gridSpan w:val="3"/>
            <w:tcBorders/>
            <w:shd w:fill="auto" w:val="clear"/>
            <w:tcMar>
              <w:top w:w="0" w:type="dxa"/>
              <w:left w:w="0" w:type="dxa"/>
              <w:bottom w:w="0" w:type="dxa"/>
              <w:right w:w="0" w:type="dxa"/>
            </w:tcMar>
            <w:vAlign w:val="center"/>
          </w:tcPr>
          <w:p>
            <w:pPr>
              <w:pStyle w:val="TableContents"/>
              <w:spacing w:lineRule="auto" w:line="319" w:before="0" w:after="283"/>
              <w:jc w:val="left"/>
              <w:rPr>
                <w:color w:val="000000"/>
              </w:rPr>
            </w:pPr>
            <w:r>
              <w:rPr>
                <w:color w:val="000000"/>
              </w:rPr>
              <w:t>“</w:t>
            </w:r>
            <w:r>
              <w:rPr>
                <w:rFonts w:ascii="Times New Roman;sans-serif" w:hAnsi="Times New Roman;sans-serif"/>
                <w:b/>
                <w:color w:val="000000"/>
                <w:sz w:val="20"/>
              </w:rPr>
              <w:t>paid up”</w:t>
            </w:r>
          </w:p>
        </w:tc>
        <w:tc>
          <w:tcPr>
            <w:tcW w:w="8750" w:type="dxa"/>
            <w:gridSpan w:val="3"/>
            <w:tcBorders/>
            <w:shd w:fill="auto" w:val="clear"/>
            <w:tcMar>
              <w:top w:w="0" w:type="dxa"/>
              <w:left w:w="0" w:type="dxa"/>
              <w:bottom w:w="0" w:type="dxa"/>
              <w:right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means paid up as to the par value in respect of the issue of any Shares and includes credited as paid up;</w:t>
            </w:r>
          </w:p>
        </w:tc>
      </w:tr>
      <w:tr>
        <w:trPr/>
        <w:tc>
          <w:tcPr>
            <w:tcW w:w="1455" w:type="dxa"/>
            <w:gridSpan w:val="3"/>
            <w:tcBorders/>
            <w:shd w:fill="auto" w:val="clear"/>
            <w:tcMar>
              <w:top w:w="0" w:type="dxa"/>
              <w:left w:w="0" w:type="dxa"/>
              <w:bottom w:w="0" w:type="dxa"/>
              <w:right w:w="0" w:type="dxa"/>
            </w:tcMar>
            <w:vAlign w:val="center"/>
          </w:tcPr>
          <w:p>
            <w:pPr>
              <w:pStyle w:val="TableContents"/>
              <w:spacing w:lineRule="auto" w:line="319" w:before="0" w:after="283"/>
              <w:jc w:val="left"/>
              <w:rPr>
                <w:rFonts w:ascii="Times New Roman;sans-serif" w:hAnsi="Times New Roman;sans-serif"/>
                <w:b/>
                <w:color w:val="000000"/>
                <w:sz w:val="20"/>
              </w:rPr>
            </w:pPr>
            <w:r>
              <w:rPr>
                <w:rFonts w:ascii="Times New Roman;sans-serif" w:hAnsi="Times New Roman;sans-serif"/>
                <w:b/>
                <w:color w:val="000000"/>
                <w:sz w:val="20"/>
              </w:rPr>
              <w:t>"Partnership"</w:t>
            </w:r>
          </w:p>
        </w:tc>
        <w:tc>
          <w:tcPr>
            <w:tcW w:w="8750" w:type="dxa"/>
            <w:gridSpan w:val="3"/>
            <w:tcBorders/>
            <w:shd w:fill="auto" w:val="clear"/>
            <w:tcMar>
              <w:top w:w="0" w:type="dxa"/>
              <w:left w:w="0" w:type="dxa"/>
              <w:bottom w:w="0" w:type="dxa"/>
              <w:right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means Agora Partners L.P., an exempted limited partnership established, or to be established in the Cayman Islands (the limited partners of which shall consist of primarily management of the Company and its Affiliates);</w:t>
            </w:r>
          </w:p>
        </w:tc>
      </w:tr>
      <w:tr>
        <w:trPr/>
        <w:tc>
          <w:tcPr>
            <w:tcW w:w="1455" w:type="dxa"/>
            <w:gridSpan w:val="3"/>
            <w:tcBorders/>
            <w:shd w:fill="auto" w:val="clear"/>
            <w:tcMar>
              <w:top w:w="0" w:type="dxa"/>
              <w:left w:w="0" w:type="dxa"/>
              <w:bottom w:w="0" w:type="dxa"/>
              <w:right w:w="0" w:type="dxa"/>
            </w:tcMar>
            <w:vAlign w:val="center"/>
          </w:tcPr>
          <w:p>
            <w:pPr>
              <w:pStyle w:val="TableContents"/>
              <w:spacing w:lineRule="auto" w:line="319" w:before="0" w:after="283"/>
              <w:jc w:val="left"/>
              <w:rPr>
                <w:color w:val="000000"/>
              </w:rPr>
            </w:pPr>
            <w:r>
              <w:rPr>
                <w:color w:val="000000"/>
              </w:rPr>
              <w:t>“</w:t>
            </w:r>
            <w:r>
              <w:rPr>
                <w:rFonts w:ascii="Times New Roman;sans-serif" w:hAnsi="Times New Roman;sans-serif"/>
                <w:b/>
                <w:color w:val="000000"/>
                <w:sz w:val="20"/>
              </w:rPr>
              <w:t>Person”</w:t>
            </w:r>
          </w:p>
        </w:tc>
        <w:tc>
          <w:tcPr>
            <w:tcW w:w="8750" w:type="dxa"/>
            <w:gridSpan w:val="3"/>
            <w:tcBorders/>
            <w:shd w:fill="auto" w:val="clear"/>
            <w:tcMar>
              <w:top w:w="0" w:type="dxa"/>
              <w:left w:w="0" w:type="dxa"/>
              <w:bottom w:w="0" w:type="dxa"/>
              <w:right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means any natural person, firm, company, joint venture, partnership, corporation, association or other entity (whether or not having a separate legal personality) or any of them as the context so requires;</w:t>
            </w:r>
          </w:p>
        </w:tc>
      </w:tr>
      <w:tr>
        <w:trPr/>
        <w:tc>
          <w:tcPr>
            <w:tcW w:w="1455" w:type="dxa"/>
            <w:gridSpan w:val="3"/>
            <w:tcBorders/>
            <w:shd w:fill="auto" w:val="clear"/>
            <w:tcMar>
              <w:top w:w="0" w:type="dxa"/>
              <w:left w:w="0" w:type="dxa"/>
              <w:bottom w:w="0" w:type="dxa"/>
              <w:right w:w="0" w:type="dxa"/>
            </w:tcMar>
            <w:vAlign w:val="center"/>
          </w:tcPr>
          <w:p>
            <w:pPr>
              <w:pStyle w:val="TableContents"/>
              <w:spacing w:lineRule="auto" w:line="319" w:before="0" w:after="283"/>
              <w:jc w:val="left"/>
              <w:rPr>
                <w:color w:val="000000"/>
              </w:rPr>
            </w:pPr>
            <w:r>
              <w:rPr>
                <w:color w:val="000000"/>
              </w:rPr>
              <w:t>“</w:t>
            </w:r>
            <w:r>
              <w:rPr>
                <w:rFonts w:ascii="Times New Roman;sans-serif" w:hAnsi="Times New Roman;sans-serif"/>
                <w:b/>
                <w:color w:val="000000"/>
                <w:sz w:val="20"/>
              </w:rPr>
              <w:t>Present”</w:t>
            </w:r>
          </w:p>
        </w:tc>
        <w:tc>
          <w:tcPr>
            <w:tcW w:w="8750" w:type="dxa"/>
            <w:gridSpan w:val="3"/>
            <w:tcBorders/>
            <w:shd w:fill="auto" w:val="clear"/>
            <w:tcMar>
              <w:top w:w="0" w:type="dxa"/>
              <w:left w:w="0" w:type="dxa"/>
              <w:bottom w:w="0" w:type="dxa"/>
              <w:right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means, in respect of any Person, such Person's presence at a general meeting of Shareholders (or any meeting of the holders of any Class of Shares), which may be satisfied by means of such Person or, if a corporation or other non-natural Person, its duly authorissed representative (or, in the case of any Shareholder, a proxy which has been validly appointed by such Shareholder in accordance with these Articles), being: (a) physically present at the meeting; or (b) in the case of any meeting at which Communications Facilities are permitted in accordance with these Articles, including any Virtual Meeting, connected by means of the use of such Communication Facilities;</w:t>
            </w:r>
          </w:p>
        </w:tc>
      </w:tr>
      <w:tr>
        <w:trPr/>
        <w:tc>
          <w:tcPr>
            <w:tcW w:w="1455" w:type="dxa"/>
            <w:gridSpan w:val="3"/>
            <w:tcBorders/>
            <w:shd w:fill="auto" w:val="clear"/>
            <w:tcMar>
              <w:top w:w="0" w:type="dxa"/>
              <w:left w:w="0" w:type="dxa"/>
              <w:bottom w:w="0" w:type="dxa"/>
              <w:right w:w="0" w:type="dxa"/>
            </w:tcMar>
            <w:vAlign w:val="center"/>
          </w:tcPr>
          <w:p>
            <w:pPr>
              <w:pStyle w:val="TableContents"/>
              <w:spacing w:lineRule="auto" w:line="319" w:before="0" w:after="283"/>
              <w:jc w:val="left"/>
              <w:rPr>
                <w:color w:val="000000"/>
              </w:rPr>
            </w:pPr>
            <w:r>
              <w:rPr>
                <w:color w:val="000000"/>
              </w:rPr>
              <w:t>“</w:t>
            </w:r>
            <w:r>
              <w:rPr>
                <w:rFonts w:ascii="Times New Roman;sans-serif" w:hAnsi="Times New Roman;sans-serif"/>
                <w:b/>
                <w:color w:val="000000"/>
                <w:sz w:val="20"/>
              </w:rPr>
              <w:t>Register”</w:t>
            </w:r>
          </w:p>
        </w:tc>
        <w:tc>
          <w:tcPr>
            <w:tcW w:w="8750" w:type="dxa"/>
            <w:gridSpan w:val="3"/>
            <w:tcBorders/>
            <w:shd w:fill="auto" w:val="clear"/>
            <w:tcMar>
              <w:top w:w="0" w:type="dxa"/>
              <w:left w:w="0" w:type="dxa"/>
              <w:bottom w:w="0" w:type="dxa"/>
              <w:right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means the register of Members of the Company maintained in accordance with the Companies Law;</w:t>
            </w:r>
          </w:p>
        </w:tc>
      </w:tr>
      <w:tr>
        <w:trPr/>
        <w:tc>
          <w:tcPr>
            <w:tcW w:w="1455" w:type="dxa"/>
            <w:gridSpan w:val="3"/>
            <w:tcBorders/>
            <w:shd w:fill="auto" w:val="clear"/>
            <w:tcMar>
              <w:top w:w="0" w:type="dxa"/>
              <w:left w:w="0" w:type="dxa"/>
              <w:bottom w:w="0" w:type="dxa"/>
              <w:right w:w="0" w:type="dxa"/>
            </w:tcMar>
            <w:vAlign w:val="center"/>
          </w:tcPr>
          <w:p>
            <w:pPr>
              <w:pStyle w:val="TableContents"/>
              <w:spacing w:lineRule="auto" w:line="319" w:before="0" w:after="283"/>
              <w:jc w:val="left"/>
              <w:rPr>
                <w:color w:val="000000"/>
              </w:rPr>
            </w:pPr>
            <w:r>
              <w:rPr>
                <w:color w:val="000000"/>
              </w:rPr>
              <w:t>“</w:t>
            </w:r>
            <w:r>
              <w:rPr>
                <w:rFonts w:ascii="Times New Roman;sans-serif" w:hAnsi="Times New Roman;sans-serif"/>
                <w:b/>
                <w:color w:val="000000"/>
                <w:sz w:val="20"/>
              </w:rPr>
              <w:t>Registered Office”</w:t>
            </w:r>
          </w:p>
        </w:tc>
        <w:tc>
          <w:tcPr>
            <w:tcW w:w="8750" w:type="dxa"/>
            <w:gridSpan w:val="3"/>
            <w:tcBorders/>
            <w:shd w:fill="auto" w:val="clear"/>
            <w:tcMar>
              <w:top w:w="0" w:type="dxa"/>
              <w:left w:w="0" w:type="dxa"/>
              <w:bottom w:w="0" w:type="dxa"/>
              <w:right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means the registered office of the Company as required by the Companies Law;</w:t>
            </w:r>
          </w:p>
        </w:tc>
      </w:tr>
      <w:tr>
        <w:trPr/>
        <w:tc>
          <w:tcPr>
            <w:tcW w:w="1455" w:type="dxa"/>
            <w:gridSpan w:val="3"/>
            <w:tcBorders/>
            <w:shd w:fill="auto" w:val="clear"/>
            <w:tcMar>
              <w:top w:w="0" w:type="dxa"/>
              <w:left w:w="0" w:type="dxa"/>
              <w:bottom w:w="0" w:type="dxa"/>
              <w:right w:w="0" w:type="dxa"/>
            </w:tcMar>
            <w:vAlign w:val="center"/>
          </w:tcPr>
          <w:p>
            <w:pPr>
              <w:pStyle w:val="TableContents"/>
              <w:spacing w:lineRule="auto" w:line="319" w:before="0" w:after="283"/>
              <w:jc w:val="left"/>
              <w:rPr>
                <w:color w:val="000000"/>
              </w:rPr>
            </w:pPr>
            <w:r>
              <w:rPr>
                <w:color w:val="000000"/>
              </w:rPr>
              <w:t>“</w:t>
            </w:r>
            <w:r>
              <w:rPr>
                <w:rFonts w:ascii="Times New Roman;sans-serif" w:hAnsi="Times New Roman;sans-serif"/>
                <w:b/>
                <w:color w:val="000000"/>
                <w:sz w:val="20"/>
              </w:rPr>
              <w:t>Seal”</w:t>
            </w:r>
          </w:p>
        </w:tc>
        <w:tc>
          <w:tcPr>
            <w:tcW w:w="8750" w:type="dxa"/>
            <w:gridSpan w:val="3"/>
            <w:tcBorders/>
            <w:shd w:fill="auto" w:val="clear"/>
            <w:tcMar>
              <w:top w:w="0" w:type="dxa"/>
              <w:left w:w="0" w:type="dxa"/>
              <w:bottom w:w="0" w:type="dxa"/>
              <w:right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means the common seal of the Company (if adopted) including any facsimile thereof;</w:t>
            </w:r>
          </w:p>
        </w:tc>
      </w:tr>
      <w:tr>
        <w:trPr/>
        <w:tc>
          <w:tcPr>
            <w:tcW w:w="1455" w:type="dxa"/>
            <w:gridSpan w:val="3"/>
            <w:tcBorders/>
            <w:shd w:fill="auto" w:val="clear"/>
            <w:tcMar>
              <w:top w:w="0" w:type="dxa"/>
              <w:left w:w="0" w:type="dxa"/>
              <w:bottom w:w="0" w:type="dxa"/>
              <w:right w:w="0" w:type="dxa"/>
            </w:tcMar>
            <w:vAlign w:val="center"/>
          </w:tcPr>
          <w:p>
            <w:pPr>
              <w:pStyle w:val="TableContents"/>
              <w:spacing w:lineRule="auto" w:line="319" w:before="0" w:after="283"/>
              <w:jc w:val="left"/>
              <w:rPr>
                <w:color w:val="000000"/>
              </w:rPr>
            </w:pPr>
            <w:r>
              <w:rPr>
                <w:color w:val="000000"/>
              </w:rPr>
              <w:t>“</w:t>
            </w:r>
            <w:r>
              <w:rPr>
                <w:rFonts w:ascii="Times New Roman;sans-serif" w:hAnsi="Times New Roman;sans-serif"/>
                <w:b/>
                <w:color w:val="000000"/>
                <w:sz w:val="20"/>
              </w:rPr>
              <w:t>Secretary”</w:t>
            </w:r>
          </w:p>
        </w:tc>
        <w:tc>
          <w:tcPr>
            <w:tcW w:w="8750" w:type="dxa"/>
            <w:gridSpan w:val="3"/>
            <w:tcBorders/>
            <w:shd w:fill="auto" w:val="clear"/>
            <w:tcMar>
              <w:top w:w="0" w:type="dxa"/>
              <w:left w:w="0" w:type="dxa"/>
              <w:bottom w:w="0" w:type="dxa"/>
              <w:right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means any Person appointed by the Directors to perform any of the duties of the secretary of the Company;</w:t>
            </w:r>
          </w:p>
        </w:tc>
      </w:tr>
      <w:tr>
        <w:trPr/>
        <w:tc>
          <w:tcPr>
            <w:tcW w:w="1455" w:type="dxa"/>
            <w:gridSpan w:val="3"/>
            <w:tcBorders/>
            <w:shd w:fill="auto" w:val="clear"/>
            <w:tcMar>
              <w:top w:w="0" w:type="dxa"/>
              <w:left w:w="0" w:type="dxa"/>
              <w:bottom w:w="0" w:type="dxa"/>
              <w:right w:w="0" w:type="dxa"/>
            </w:tcMar>
            <w:vAlign w:val="center"/>
          </w:tcPr>
          <w:p>
            <w:pPr>
              <w:pStyle w:val="TableContents"/>
              <w:spacing w:lineRule="auto" w:line="319" w:before="0" w:after="283"/>
              <w:jc w:val="left"/>
              <w:rPr>
                <w:color w:val="000000"/>
              </w:rPr>
            </w:pPr>
            <w:r>
              <w:rPr>
                <w:color w:val="000000"/>
              </w:rPr>
              <w:t>“</w:t>
            </w:r>
            <w:r>
              <w:rPr>
                <w:rFonts w:ascii="Times New Roman;sans-serif" w:hAnsi="Times New Roman;sans-serif"/>
                <w:b/>
                <w:color w:val="000000"/>
                <w:sz w:val="20"/>
              </w:rPr>
              <w:t>Securities Act”</w:t>
            </w:r>
          </w:p>
        </w:tc>
        <w:tc>
          <w:tcPr>
            <w:tcW w:w="8750" w:type="dxa"/>
            <w:gridSpan w:val="3"/>
            <w:tcBorders/>
            <w:shd w:fill="auto" w:val="clear"/>
            <w:tcMar>
              <w:top w:w="0" w:type="dxa"/>
              <w:left w:w="0" w:type="dxa"/>
              <w:bottom w:w="0" w:type="dxa"/>
              <w:right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means the Securities Act of 1933 of the United States of America, as amended, or any similar federal statute and the rules and regulations of the Commission thereunder, all as the same shall be in effect at the time;</w:t>
            </w:r>
          </w:p>
        </w:tc>
      </w:tr>
      <w:tr>
        <w:trPr/>
        <w:tc>
          <w:tcPr>
            <w:tcW w:w="1455" w:type="dxa"/>
            <w:gridSpan w:val="3"/>
            <w:tcBorders/>
            <w:shd w:fill="auto" w:val="clear"/>
            <w:tcMar>
              <w:top w:w="0" w:type="dxa"/>
              <w:left w:w="0" w:type="dxa"/>
              <w:bottom w:w="0" w:type="dxa"/>
              <w:right w:w="0" w:type="dxa"/>
            </w:tcMar>
            <w:vAlign w:val="center"/>
          </w:tcPr>
          <w:p>
            <w:pPr>
              <w:pStyle w:val="TableContents"/>
              <w:spacing w:lineRule="auto" w:line="319" w:before="0" w:after="283"/>
              <w:jc w:val="left"/>
              <w:rPr>
                <w:color w:val="000000"/>
              </w:rPr>
            </w:pPr>
            <w:r>
              <w:rPr>
                <w:color w:val="000000"/>
              </w:rPr>
              <w:t>“</w:t>
            </w:r>
            <w:r>
              <w:rPr>
                <w:rFonts w:ascii="Times New Roman;sans-serif" w:hAnsi="Times New Roman;sans-serif"/>
                <w:b/>
                <w:color w:val="000000"/>
                <w:sz w:val="20"/>
              </w:rPr>
              <w:t>Share”</w:t>
            </w:r>
          </w:p>
        </w:tc>
        <w:tc>
          <w:tcPr>
            <w:tcW w:w="8750" w:type="dxa"/>
            <w:gridSpan w:val="3"/>
            <w:tcBorders/>
            <w:shd w:fill="auto" w:val="clear"/>
            <w:tcMar>
              <w:top w:w="0" w:type="dxa"/>
              <w:left w:w="0" w:type="dxa"/>
              <w:bottom w:w="0" w:type="dxa"/>
              <w:right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means a share in the capital of the Company. All references to “Shares” herein shall be deemed to be Shares of any or all Classes as the context may require. For the avoidance of doubt in these Articles the expression “Share” shall include a fraction of a Share;</w:t>
            </w:r>
          </w:p>
        </w:tc>
      </w:tr>
      <w:tr>
        <w:trPr/>
        <w:tc>
          <w:tcPr>
            <w:tcW w:w="1455" w:type="dxa"/>
            <w:gridSpan w:val="3"/>
            <w:tcBorders/>
            <w:shd w:fill="auto" w:val="clear"/>
            <w:tcMar>
              <w:top w:w="0" w:type="dxa"/>
              <w:left w:w="0" w:type="dxa"/>
              <w:bottom w:w="0" w:type="dxa"/>
              <w:right w:w="0" w:type="dxa"/>
            </w:tcMar>
            <w:vAlign w:val="center"/>
          </w:tcPr>
          <w:p>
            <w:pPr>
              <w:pStyle w:val="TableContents"/>
              <w:spacing w:lineRule="auto" w:line="319" w:before="0" w:after="283"/>
              <w:jc w:val="left"/>
              <w:rPr>
                <w:color w:val="000000"/>
              </w:rPr>
            </w:pPr>
            <w:r>
              <w:rPr>
                <w:color w:val="000000"/>
              </w:rPr>
              <w:t>“</w:t>
            </w:r>
            <w:r>
              <w:rPr>
                <w:rFonts w:ascii="Times New Roman;sans-serif" w:hAnsi="Times New Roman;sans-serif"/>
                <w:b/>
                <w:color w:val="000000"/>
                <w:sz w:val="20"/>
              </w:rPr>
              <w:t>Shareholder” or “Member”</w:t>
            </w:r>
          </w:p>
        </w:tc>
        <w:tc>
          <w:tcPr>
            <w:tcW w:w="8750" w:type="dxa"/>
            <w:gridSpan w:val="3"/>
            <w:tcBorders/>
            <w:shd w:fill="auto" w:val="clear"/>
            <w:tcMar>
              <w:top w:w="0" w:type="dxa"/>
              <w:left w:w="0" w:type="dxa"/>
              <w:bottom w:w="0" w:type="dxa"/>
              <w:right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means a Person who is registered as the holder of one or more Shares in the Register;</w:t>
            </w:r>
          </w:p>
        </w:tc>
      </w:tr>
      <w:tr>
        <w:trPr/>
        <w:tc>
          <w:tcPr>
            <w:tcW w:w="1455" w:type="dxa"/>
            <w:gridSpan w:val="3"/>
            <w:tcBorders/>
            <w:shd w:fill="auto" w:val="clear"/>
            <w:tcMar>
              <w:top w:w="0" w:type="dxa"/>
              <w:left w:w="0" w:type="dxa"/>
              <w:bottom w:w="0" w:type="dxa"/>
              <w:right w:w="0" w:type="dxa"/>
            </w:tcMar>
            <w:vAlign w:val="center"/>
          </w:tcPr>
          <w:p>
            <w:pPr>
              <w:pStyle w:val="TableContents"/>
              <w:spacing w:lineRule="auto" w:line="319" w:before="0" w:after="283"/>
              <w:jc w:val="left"/>
              <w:rPr>
                <w:color w:val="000000"/>
              </w:rPr>
            </w:pPr>
            <w:r>
              <w:rPr>
                <w:color w:val="000000"/>
              </w:rPr>
              <w:t>“</w:t>
            </w:r>
            <w:r>
              <w:rPr>
                <w:rFonts w:ascii="Times New Roman;sans-serif" w:hAnsi="Times New Roman;sans-serif"/>
                <w:b/>
                <w:color w:val="000000"/>
                <w:sz w:val="20"/>
              </w:rPr>
              <w:t>Share Premium Account”</w:t>
            </w:r>
          </w:p>
        </w:tc>
        <w:tc>
          <w:tcPr>
            <w:tcW w:w="8750" w:type="dxa"/>
            <w:gridSpan w:val="3"/>
            <w:tcBorders/>
            <w:shd w:fill="auto" w:val="clear"/>
            <w:tcMar>
              <w:top w:w="0" w:type="dxa"/>
              <w:left w:w="0" w:type="dxa"/>
              <w:bottom w:w="0" w:type="dxa"/>
              <w:right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means the share premium account established in accordance with these Articles and the Companies Law;</w:t>
            </w:r>
          </w:p>
        </w:tc>
      </w:tr>
      <w:tr>
        <w:trPr/>
        <w:tc>
          <w:tcPr>
            <w:tcW w:w="1455" w:type="dxa"/>
            <w:gridSpan w:val="3"/>
            <w:tcBorders/>
            <w:shd w:fill="auto" w:val="clear"/>
            <w:tcMar>
              <w:top w:w="0" w:type="dxa"/>
              <w:left w:w="0" w:type="dxa"/>
              <w:bottom w:w="0" w:type="dxa"/>
              <w:right w:w="0" w:type="dxa"/>
            </w:tcMar>
            <w:vAlign w:val="center"/>
          </w:tcPr>
          <w:p>
            <w:pPr>
              <w:pStyle w:val="TableContents"/>
              <w:spacing w:lineRule="auto" w:line="319" w:before="0" w:after="283"/>
              <w:jc w:val="left"/>
              <w:rPr>
                <w:color w:val="000000"/>
              </w:rPr>
            </w:pPr>
            <w:r>
              <w:rPr>
                <w:color w:val="000000"/>
              </w:rPr>
              <w:t>“</w:t>
            </w:r>
            <w:r>
              <w:rPr>
                <w:rFonts w:ascii="Times New Roman;sans-serif" w:hAnsi="Times New Roman;sans-serif"/>
                <w:b/>
                <w:color w:val="000000"/>
                <w:sz w:val="20"/>
              </w:rPr>
              <w:t>signed”</w:t>
            </w:r>
          </w:p>
        </w:tc>
        <w:tc>
          <w:tcPr>
            <w:tcW w:w="8750" w:type="dxa"/>
            <w:gridSpan w:val="3"/>
            <w:tcBorders/>
            <w:shd w:fill="auto" w:val="clear"/>
            <w:tcMar>
              <w:top w:w="0" w:type="dxa"/>
              <w:left w:w="0" w:type="dxa"/>
              <w:bottom w:w="0" w:type="dxa"/>
              <w:right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means bearing a signature or representation of a signature affixed by mechanical means or an electronic symbol or process attached to or logically associated with an electronic communication and executed or adopted by a Person with the intent to sign the electronic communication;</w:t>
            </w:r>
          </w:p>
        </w:tc>
      </w:tr>
    </w:tbl>
    <w:p>
      <w:pPr>
        <w:pStyle w:val="TextBody"/>
        <w:spacing w:before="0" w:after="0"/>
        <w:jc w:val="right"/>
        <w:rPr/>
      </w:pPr>
      <w:r>
        <w:br w:type="page"/>
      </w:r>
      <w:r>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6480175" cy="146685"/>
                <wp:effectExtent l="0" t="0" r="0" b="0"/>
                <wp:wrapNone/>
                <wp:docPr id="212" name="Frame21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v:rect>
            </w:pict>
          </mc:Fallback>
        </mc:AlternateContent>
      </w:r>
    </w:p>
    <w:tbl>
      <w:tblPr>
        <w:tblW w:w="10205" w:type="dxa"/>
        <w:jc w:val="left"/>
        <w:tblInd w:w="0" w:type="dxa"/>
        <w:tblCellMar>
          <w:top w:w="28" w:type="dxa"/>
          <w:left w:w="28" w:type="dxa"/>
          <w:bottom w:w="28" w:type="dxa"/>
          <w:right w:w="28" w:type="dxa"/>
        </w:tblCellMar>
      </w:tblPr>
      <w:tblGrid>
        <w:gridCol w:w="447"/>
        <w:gridCol w:w="392"/>
        <w:gridCol w:w="394"/>
        <w:gridCol w:w="2881"/>
        <w:gridCol w:w="2519"/>
        <w:gridCol w:w="3572"/>
      </w:tblGrid>
      <w:tr>
        <w:trPr/>
        <w:tc>
          <w:tcPr>
            <w:tcW w:w="447" w:type="dxa"/>
            <w:tcBorders/>
            <w:shd w:fill="auto" w:val="clear"/>
            <w:vAlign w:val="center"/>
          </w:tcPr>
          <w:p>
            <w:pPr>
              <w:pStyle w:val="TableContents"/>
              <w:spacing w:before="0" w:after="283"/>
              <w:rPr>
                <w:sz w:val="4"/>
                <w:szCs w:val="4"/>
              </w:rPr>
            </w:pPr>
            <w:r>
              <w:rPr>
                <w:sz w:val="4"/>
                <w:szCs w:val="4"/>
              </w:rPr>
            </w:r>
          </w:p>
        </w:tc>
        <w:tc>
          <w:tcPr>
            <w:tcW w:w="392" w:type="dxa"/>
            <w:tcBorders/>
            <w:shd w:fill="auto" w:val="clear"/>
            <w:vAlign w:val="center"/>
          </w:tcPr>
          <w:p>
            <w:pPr>
              <w:pStyle w:val="TableContents"/>
              <w:spacing w:before="0" w:after="283"/>
              <w:rPr>
                <w:sz w:val="4"/>
                <w:szCs w:val="4"/>
              </w:rPr>
            </w:pPr>
            <w:r>
              <w:rPr>
                <w:sz w:val="4"/>
                <w:szCs w:val="4"/>
              </w:rPr>
            </w:r>
          </w:p>
        </w:tc>
        <w:tc>
          <w:tcPr>
            <w:tcW w:w="394" w:type="dxa"/>
            <w:tcBorders/>
            <w:shd w:fill="auto" w:val="clear"/>
            <w:vAlign w:val="center"/>
          </w:tcPr>
          <w:p>
            <w:pPr>
              <w:pStyle w:val="TableContents"/>
              <w:spacing w:before="0" w:after="283"/>
              <w:rPr>
                <w:sz w:val="4"/>
                <w:szCs w:val="4"/>
              </w:rPr>
            </w:pPr>
            <w:r>
              <w:rPr>
                <w:sz w:val="4"/>
                <w:szCs w:val="4"/>
              </w:rPr>
            </w:r>
          </w:p>
        </w:tc>
        <w:tc>
          <w:tcPr>
            <w:tcW w:w="2881" w:type="dxa"/>
            <w:tcBorders/>
            <w:shd w:fill="auto" w:val="clear"/>
            <w:vAlign w:val="center"/>
          </w:tcPr>
          <w:p>
            <w:pPr>
              <w:pStyle w:val="TableContents"/>
              <w:spacing w:before="0" w:after="283"/>
              <w:rPr>
                <w:sz w:val="4"/>
                <w:szCs w:val="4"/>
              </w:rPr>
            </w:pPr>
            <w:r>
              <w:rPr>
                <w:sz w:val="4"/>
                <w:szCs w:val="4"/>
              </w:rPr>
            </w:r>
          </w:p>
        </w:tc>
        <w:tc>
          <w:tcPr>
            <w:tcW w:w="2519" w:type="dxa"/>
            <w:tcBorders/>
            <w:shd w:fill="auto" w:val="clear"/>
            <w:vAlign w:val="center"/>
          </w:tcPr>
          <w:p>
            <w:pPr>
              <w:pStyle w:val="TableContents"/>
              <w:spacing w:before="0" w:after="283"/>
              <w:rPr>
                <w:sz w:val="4"/>
                <w:szCs w:val="4"/>
              </w:rPr>
            </w:pPr>
            <w:r>
              <w:rPr>
                <w:sz w:val="4"/>
                <w:szCs w:val="4"/>
              </w:rPr>
            </w:r>
          </w:p>
        </w:tc>
        <w:tc>
          <w:tcPr>
            <w:tcW w:w="3572" w:type="dxa"/>
            <w:tcBorders/>
            <w:shd w:fill="auto" w:val="clear"/>
            <w:vAlign w:val="center"/>
          </w:tcPr>
          <w:p>
            <w:pPr>
              <w:pStyle w:val="TableContents"/>
              <w:spacing w:before="0" w:after="283"/>
              <w:rPr>
                <w:sz w:val="4"/>
                <w:szCs w:val="4"/>
              </w:rPr>
            </w:pPr>
            <w:r>
              <w:rPr>
                <w:sz w:val="4"/>
                <w:szCs w:val="4"/>
              </w:rPr>
            </w:r>
          </w:p>
        </w:tc>
      </w:tr>
      <w:tr>
        <w:trPr/>
        <w:tc>
          <w:tcPr>
            <w:tcW w:w="1233" w:type="dxa"/>
            <w:gridSpan w:val="3"/>
            <w:tcBorders/>
            <w:shd w:fill="auto" w:val="clear"/>
            <w:tcMar>
              <w:top w:w="0" w:type="dxa"/>
              <w:left w:w="0" w:type="dxa"/>
              <w:bottom w:w="0" w:type="dxa"/>
              <w:right w:w="0" w:type="dxa"/>
            </w:tcMar>
            <w:vAlign w:val="center"/>
          </w:tcPr>
          <w:p>
            <w:pPr>
              <w:pStyle w:val="TableContents"/>
              <w:spacing w:lineRule="auto" w:line="319" w:before="0" w:after="283"/>
              <w:jc w:val="left"/>
              <w:rPr>
                <w:color w:val="000000"/>
              </w:rPr>
            </w:pPr>
            <w:r>
              <w:rPr>
                <w:color w:val="000000"/>
              </w:rPr>
              <w:t>“</w:t>
            </w:r>
            <w:r>
              <w:rPr>
                <w:rFonts w:ascii="Times New Roman;sans-serif" w:hAnsi="Times New Roman;sans-serif"/>
                <w:b/>
                <w:color w:val="000000"/>
                <w:sz w:val="20"/>
              </w:rPr>
              <w:t>Special Resolution”</w:t>
            </w:r>
          </w:p>
        </w:tc>
        <w:tc>
          <w:tcPr>
            <w:tcW w:w="8972" w:type="dxa"/>
            <w:gridSpan w:val="3"/>
            <w:tcBorders/>
            <w:shd w:fill="auto" w:val="clear"/>
            <w:tcMar>
              <w:top w:w="0" w:type="dxa"/>
              <w:left w:w="0" w:type="dxa"/>
              <w:bottom w:w="0" w:type="dxa"/>
              <w:right w:w="0" w:type="dxa"/>
            </w:tcMar>
            <w:vAlign w:val="center"/>
          </w:tcPr>
          <w:p>
            <w:pPr>
              <w:pStyle w:val="TableContents"/>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means a special resolution of the Company passed in accordance with the Companies Law, being a resolution:</w:t>
            </w:r>
          </w:p>
          <w:p>
            <w:pPr>
              <w:pStyle w:val="TableContents"/>
              <w:spacing w:lineRule="auto" w:line="288" w:before="0" w:after="240"/>
              <w:ind w:left="0" w:right="0" w:hanging="522"/>
              <w:jc w:val="both"/>
              <w:rPr>
                <w:rFonts w:ascii="Times New Roman;sans-serif" w:hAnsi="Times New Roman;sans-serif"/>
                <w:b w:val="false"/>
                <w:color w:val="000000"/>
                <w:sz w:val="20"/>
              </w:rPr>
            </w:pPr>
            <w:r>
              <w:rPr>
                <w:rFonts w:ascii="Times New Roman;sans-serif" w:hAnsi="Times New Roman;sans-serif"/>
                <w:b w:val="false"/>
                <w:color w:val="000000"/>
                <w:sz w:val="20"/>
              </w:rPr>
              <w:t>(a)     passed by not less than two-thirds of the votes cast by such Shareholders as, being entitled to do so, vote in person or, where proxies are allowed, by proxy or, in the case of corporations, by their duly authorised representatives, at a general meeting of the Company of which notice specifying the intention to propose the resolution as a special resolution has been duly given; or</w:t>
            </w:r>
          </w:p>
          <w:p>
            <w:pPr>
              <w:pStyle w:val="TableContents"/>
              <w:spacing w:lineRule="auto" w:line="288" w:before="0" w:after="240"/>
              <w:ind w:left="0" w:right="0" w:hanging="522"/>
              <w:jc w:val="both"/>
              <w:rPr>
                <w:rFonts w:ascii="Times New Roman;sans-serif" w:hAnsi="Times New Roman;sans-serif"/>
                <w:b w:val="false"/>
                <w:color w:val="000000"/>
                <w:sz w:val="20"/>
              </w:rPr>
            </w:pPr>
            <w:r>
              <w:rPr>
                <w:rFonts w:ascii="Times New Roman;sans-serif" w:hAnsi="Times New Roman;sans-serif"/>
                <w:b w:val="false"/>
                <w:color w:val="000000"/>
                <w:sz w:val="20"/>
              </w:rPr>
              <w:t>(b)     approved in writing by all of the Shareholders entitled to vote at a general meeting of the Company in one or more instruments each signed by one or more of the Shareholders and the effective date of the special resolution so adopted shall be the date on which the instrument or the last of such instruments, if more than one, is executed (or on such later date as may be specified therein);</w:t>
            </w:r>
          </w:p>
        </w:tc>
      </w:tr>
      <w:tr>
        <w:trPr/>
        <w:tc>
          <w:tcPr>
            <w:tcW w:w="1233" w:type="dxa"/>
            <w:gridSpan w:val="3"/>
            <w:tcBorders/>
            <w:shd w:fill="auto" w:val="clear"/>
            <w:tcMar>
              <w:top w:w="0" w:type="dxa"/>
              <w:left w:w="0" w:type="dxa"/>
              <w:bottom w:w="0" w:type="dxa"/>
              <w:right w:w="0" w:type="dxa"/>
            </w:tcMar>
            <w:vAlign w:val="center"/>
          </w:tcPr>
          <w:p>
            <w:pPr>
              <w:pStyle w:val="TableContents"/>
              <w:spacing w:lineRule="auto" w:line="319" w:before="0" w:after="283"/>
              <w:jc w:val="left"/>
              <w:rPr>
                <w:color w:val="000000"/>
              </w:rPr>
            </w:pPr>
            <w:r>
              <w:rPr>
                <w:color w:val="000000"/>
              </w:rPr>
              <w:t>“</w:t>
            </w:r>
            <w:r>
              <w:rPr>
                <w:rFonts w:ascii="Times New Roman;sans-serif" w:hAnsi="Times New Roman;sans-serif"/>
                <w:b/>
                <w:color w:val="000000"/>
                <w:sz w:val="20"/>
              </w:rPr>
              <w:t>Treasury Share”</w:t>
            </w:r>
          </w:p>
        </w:tc>
        <w:tc>
          <w:tcPr>
            <w:tcW w:w="8972" w:type="dxa"/>
            <w:gridSpan w:val="3"/>
            <w:tcBorders/>
            <w:shd w:fill="auto" w:val="clear"/>
            <w:tcMar>
              <w:top w:w="0" w:type="dxa"/>
              <w:left w:w="0" w:type="dxa"/>
              <w:bottom w:w="0" w:type="dxa"/>
              <w:right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means a Share held in the name of the Company as a treasury share in accordance with the Companies Law;</w:t>
            </w:r>
          </w:p>
        </w:tc>
      </w:tr>
      <w:tr>
        <w:trPr/>
        <w:tc>
          <w:tcPr>
            <w:tcW w:w="1233" w:type="dxa"/>
            <w:gridSpan w:val="3"/>
            <w:tcBorders/>
            <w:shd w:fill="auto" w:val="clear"/>
            <w:tcMar>
              <w:top w:w="0" w:type="dxa"/>
              <w:left w:w="0" w:type="dxa"/>
              <w:bottom w:w="0" w:type="dxa"/>
              <w:right w:w="0" w:type="dxa"/>
            </w:tcMar>
            <w:vAlign w:val="center"/>
          </w:tcPr>
          <w:p>
            <w:pPr>
              <w:pStyle w:val="TableContents"/>
              <w:spacing w:lineRule="auto" w:line="319" w:before="0" w:after="283"/>
              <w:jc w:val="left"/>
              <w:rPr>
                <w:color w:val="000000"/>
              </w:rPr>
            </w:pPr>
            <w:r>
              <w:rPr>
                <w:color w:val="000000"/>
              </w:rPr>
              <w:t>“</w:t>
            </w:r>
            <w:r>
              <w:rPr>
                <w:rFonts w:ascii="Times New Roman;sans-serif" w:hAnsi="Times New Roman;sans-serif"/>
                <w:b/>
                <w:color w:val="000000"/>
                <w:sz w:val="20"/>
              </w:rPr>
              <w:t>United States”</w:t>
            </w:r>
          </w:p>
        </w:tc>
        <w:tc>
          <w:tcPr>
            <w:tcW w:w="8972" w:type="dxa"/>
            <w:gridSpan w:val="3"/>
            <w:tcBorders/>
            <w:shd w:fill="auto" w:val="clear"/>
            <w:tcMar>
              <w:top w:w="0" w:type="dxa"/>
              <w:left w:w="0" w:type="dxa"/>
              <w:bottom w:w="0" w:type="dxa"/>
              <w:right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means the United States of America, its territories, its possessions and all areas subject to its jurisdiction; and</w:t>
            </w:r>
          </w:p>
        </w:tc>
      </w:tr>
      <w:tr>
        <w:trPr/>
        <w:tc>
          <w:tcPr>
            <w:tcW w:w="1233" w:type="dxa"/>
            <w:gridSpan w:val="3"/>
            <w:tcBorders/>
            <w:shd w:fill="auto" w:val="clear"/>
            <w:tcMar>
              <w:top w:w="0" w:type="dxa"/>
              <w:left w:w="0" w:type="dxa"/>
              <w:bottom w:w="0" w:type="dxa"/>
              <w:right w:w="0" w:type="dxa"/>
            </w:tcMar>
            <w:vAlign w:val="center"/>
          </w:tcPr>
          <w:p>
            <w:pPr>
              <w:pStyle w:val="TableContents"/>
              <w:spacing w:lineRule="auto" w:line="319" w:before="0" w:after="283"/>
              <w:jc w:val="left"/>
              <w:rPr>
                <w:color w:val="000000"/>
              </w:rPr>
            </w:pPr>
            <w:r>
              <w:rPr>
                <w:color w:val="000000"/>
              </w:rPr>
              <w:t>“</w:t>
            </w:r>
            <w:r>
              <w:rPr>
                <w:rFonts w:ascii="Times New Roman;sans-serif" w:hAnsi="Times New Roman;sans-serif"/>
                <w:b/>
                <w:color w:val="000000"/>
                <w:sz w:val="20"/>
              </w:rPr>
              <w:t>Virtual Meeting”</w:t>
            </w:r>
          </w:p>
        </w:tc>
        <w:tc>
          <w:tcPr>
            <w:tcW w:w="8972" w:type="dxa"/>
            <w:gridSpan w:val="3"/>
            <w:tcBorders/>
            <w:shd w:fill="auto" w:val="clear"/>
            <w:tcMar>
              <w:top w:w="0" w:type="dxa"/>
              <w:left w:w="0" w:type="dxa"/>
              <w:bottom w:w="0" w:type="dxa"/>
              <w:right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means any general meeting of the Shareholders (or any meeting of the holders of any Class of Shares) at which the Shareholders (and any other permitted participants of such meeting, including without limitation the chairman of the meeting and any Directors) are permitted to attend and participate solely by means of Communications Facilities.</w:t>
            </w:r>
          </w:p>
        </w:tc>
      </w:tr>
    </w:tbl>
    <w:p>
      <w:pPr>
        <w:pStyle w:val="TextBody"/>
        <w:spacing w:lineRule="auto" w:line="288" w:before="24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2.In these Articles, save where the context requires otherwise: </w:t>
      </w:r>
    </w:p>
    <w:p>
      <w:pPr>
        <w:pStyle w:val="TextBody"/>
        <w:spacing w:lineRule="auto" w:line="288" w:before="0" w:after="240"/>
        <w:ind w:left="0" w:right="0" w:hanging="909"/>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(i)words importing the singular number shall include the plural number and vice versa; </w:t>
      </w:r>
    </w:p>
    <w:p>
      <w:pPr>
        <w:pStyle w:val="TextBody"/>
        <w:spacing w:lineRule="auto" w:line="288" w:before="0" w:after="240"/>
        <w:ind w:left="0" w:right="0" w:hanging="964"/>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(ii)words importing the masculine gender only shall include the feminine gender and any Person as the context may require; </w:t>
      </w:r>
    </w:p>
    <w:p>
      <w:pPr>
        <w:pStyle w:val="TextBody"/>
        <w:spacing w:lineRule="auto" w:line="288" w:before="0" w:after="240"/>
        <w:ind w:left="0" w:right="0" w:hanging="1019"/>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(iii)the word "may" shall be construed as permissive and the word “shall” shall be construed as imperative; </w:t>
      </w:r>
    </w:p>
    <w:p>
      <w:pPr>
        <w:pStyle w:val="TextBody"/>
        <w:spacing w:lineRule="auto" w:line="288" w:before="0" w:after="240"/>
        <w:ind w:left="0" w:right="0" w:hanging="1009"/>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(iv)reference to a dollar or dollars (or US$) and to a cent or cents is reference to dollars and cents of the United States of America; </w:t>
      </w:r>
    </w:p>
    <w:p>
      <w:pPr>
        <w:pStyle w:val="TextBody"/>
        <w:spacing w:lineRule="auto" w:line="288" w:before="0" w:after="240"/>
        <w:ind w:left="0" w:right="0" w:hanging="95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(v)reference to a statutory enactment shall include reference to any amendment or re-enactment thereof for the time being in force; </w:t>
      </w:r>
    </w:p>
    <w:p>
      <w:pPr>
        <w:pStyle w:val="TextBody"/>
        <w:spacing w:lineRule="auto" w:line="288" w:before="0" w:after="240"/>
        <w:ind w:left="0" w:right="0" w:hanging="1009"/>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(vi)reference to any determination by the Directors shall be construed as a determination by the Directors in their sole and absolute discretion and shall be applicable either generally or in any particular case; </w:t>
      </w:r>
    </w:p>
    <w:p>
      <w:pPr>
        <w:pStyle w:val="TextBody"/>
        <w:spacing w:lineRule="auto" w:line="288" w:before="0" w:after="240"/>
        <w:ind w:left="0" w:right="0" w:hanging="1064"/>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(vii)reference to “in writing” shall be construed as written or represented by any means reproducible in writing, including any form of print, lithograph, email, facsimile, photograph or telex or represented by any other substitute or format for storage or transmission for writing including in the form of an electronic record or partly one and partly another; </w:t>
      </w:r>
    </w:p>
    <w:p>
      <w:pPr>
        <w:pStyle w:val="TextBody"/>
        <w:spacing w:lineRule="auto" w:line="288" w:before="0" w:after="240"/>
        <w:ind w:left="0" w:right="0" w:hanging="1119"/>
        <w:jc w:val="both"/>
        <w:rPr>
          <w:rFonts w:ascii="Times New Roman;sans-serif" w:hAnsi="Times New Roman;sans-serif"/>
          <w:b w:val="false"/>
          <w:color w:val="000000"/>
          <w:sz w:val="20"/>
        </w:rPr>
      </w:pPr>
      <w:r>
        <w:rPr>
          <w:rFonts w:ascii="Times New Roman;sans-serif" w:hAnsi="Times New Roman;sans-serif"/>
          <w:b w:val="false"/>
          <w:color w:val="000000"/>
          <w:sz w:val="20"/>
        </w:rPr>
        <w:t>(viii)any requirements as to delivery under the Articles include delivery in the form of an electronic record or an electronic communication;</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6480175" cy="146685"/>
                <wp:effectExtent l="0" t="0" r="0" b="0"/>
                <wp:wrapNone/>
                <wp:docPr id="213" name="Frame21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v:rect>
            </w:pict>
          </mc:Fallback>
        </mc:AlternateContent>
      </w:r>
    </w:p>
    <w:p>
      <w:pPr>
        <w:pStyle w:val="TextBody"/>
        <w:spacing w:lineRule="auto" w:line="288" w:before="0" w:after="240"/>
        <w:ind w:left="0" w:right="0" w:hanging="1009"/>
        <w:jc w:val="both"/>
        <w:rPr>
          <w:rFonts w:ascii="Times New Roman;sans-serif" w:hAnsi="Times New Roman;sans-serif"/>
          <w:b w:val="false"/>
          <w:color w:val="000000"/>
          <w:sz w:val="20"/>
        </w:rPr>
      </w:pPr>
      <w:r>
        <w:rPr>
          <w:rFonts w:ascii="Times New Roman;sans-serif" w:hAnsi="Times New Roman;sans-serif"/>
          <w:b w:val="false"/>
          <w:color w:val="000000"/>
          <w:sz w:val="20"/>
        </w:rPr>
        <w:t>(ix)any requirements as to execution or signature under the Articles, including the execution of the Articles themselves, can be satisfied in the form of an electronic signature as defined in the Electronic Transaction Law; and</w:t>
      </w:r>
    </w:p>
    <w:p>
      <w:pPr>
        <w:pStyle w:val="TextBody"/>
        <w:spacing w:lineRule="auto" w:line="288" w:before="0" w:after="240"/>
        <w:ind w:left="0" w:right="0" w:hanging="95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(x)Sections 8 and 19(3) of the Electronic Transactions Law shall not apply. </w:t>
      </w:r>
    </w:p>
    <w:p>
      <w:pPr>
        <w:pStyle w:val="TextBody"/>
        <w:spacing w:lineRule="auto" w:line="288" w:before="24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3.Subject to the last two preceding Articles, any words defined in the Companies Law shall, if not inconsistent with the subject or context, bear the same meaning in these Articles. </w:t>
      </w:r>
    </w:p>
    <w:p>
      <w:pPr>
        <w:pStyle w:val="TextBody"/>
        <w:spacing w:lineRule="auto" w:line="288" w:before="240" w:after="240"/>
        <w:jc w:val="center"/>
        <w:rPr>
          <w:rFonts w:ascii="Times New Roman;sans-serif" w:hAnsi="Times New Roman;sans-serif"/>
          <w:b/>
          <w:color w:val="000000"/>
          <w:sz w:val="20"/>
        </w:rPr>
      </w:pPr>
      <w:r>
        <w:rPr>
          <w:rFonts w:ascii="Times New Roman;sans-serif" w:hAnsi="Times New Roman;sans-serif"/>
          <w:b/>
          <w:color w:val="000000"/>
          <w:sz w:val="20"/>
        </w:rPr>
        <w:t xml:space="preserve">PRELIMINARY </w:t>
      </w:r>
    </w:p>
    <w:p>
      <w:pPr>
        <w:pStyle w:val="TextBody"/>
        <w:spacing w:lineRule="auto" w:line="288" w:before="24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4.The business of the Company may be conducted as the Directors see fit. </w:t>
      </w:r>
    </w:p>
    <w:p>
      <w:pPr>
        <w:pStyle w:val="TextBody"/>
        <w:spacing w:lineRule="auto" w:line="288" w:before="24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5.The Registered Office shall be at such address in the Cayman Islands as the Directors may from time to time determine. The Company may in addition establish and maintain such other offices and places of business and agencies in such places as the Directors may from time to time determine. </w:t>
      </w:r>
    </w:p>
    <w:p>
      <w:pPr>
        <w:pStyle w:val="TextBody"/>
        <w:spacing w:lineRule="auto" w:line="288" w:before="24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6.The expenses incurred in the formation of the Company and in connection with the offer for subscription and issue of Shares shall be paid by the Company. Such expenses may be amortised over such period as the Directors may determine and the amount so paid shall be charged against income and/or capital in the accounts of the Company as the Directors shall determine. </w:t>
      </w:r>
    </w:p>
    <w:p>
      <w:pPr>
        <w:pStyle w:val="TextBody"/>
        <w:spacing w:lineRule="auto" w:line="288" w:before="24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7.The Directors shall keep, or cause to be kept, the Register at such place as the Directors may from time to time determine and, in the absence of any such determination, the Register shall be kept at the Registered Office. </w:t>
      </w:r>
    </w:p>
    <w:p>
      <w:pPr>
        <w:pStyle w:val="TextBody"/>
        <w:spacing w:lineRule="auto" w:line="288" w:before="240" w:after="240"/>
        <w:jc w:val="center"/>
        <w:rPr>
          <w:rFonts w:ascii="Times New Roman;sans-serif" w:hAnsi="Times New Roman;sans-serif"/>
          <w:b/>
          <w:color w:val="000000"/>
          <w:sz w:val="20"/>
        </w:rPr>
      </w:pPr>
      <w:r>
        <w:rPr>
          <w:rFonts w:ascii="Times New Roman;sans-serif" w:hAnsi="Times New Roman;sans-serif"/>
          <w:b/>
          <w:color w:val="000000"/>
          <w:sz w:val="20"/>
        </w:rPr>
        <w:t xml:space="preserve">SHARES </w:t>
      </w:r>
    </w:p>
    <w:p>
      <w:pPr>
        <w:pStyle w:val="TextBody"/>
        <w:spacing w:lineRule="auto" w:line="288" w:before="24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8.Subject to these Articles, all Shares for the time being unissued shall be under the control of the Directors who may, in their absolute discretion and without the approval of the Members, cause the Company to: </w:t>
      </w:r>
    </w:p>
    <w:p>
      <w:pPr>
        <w:pStyle w:val="TextBody"/>
        <w:spacing w:lineRule="auto" w:line="288" w:before="0" w:after="240"/>
        <w:ind w:left="0" w:right="0" w:hanging="909"/>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(i)issue, allot and dispose of Shares (including, without limitation, preferred shares) (whether in certificated form or non-certificated form) to such Persons, in such manner, on such terms and having such rights and being subject to such restrictions as they may from time to time determine; </w:t>
      </w:r>
    </w:p>
    <w:p>
      <w:pPr>
        <w:pStyle w:val="TextBody"/>
        <w:spacing w:lineRule="auto" w:line="288" w:before="0" w:after="240"/>
        <w:ind w:left="0" w:right="0" w:hanging="964"/>
        <w:jc w:val="both"/>
        <w:rPr>
          <w:rFonts w:ascii="Times New Roman;sans-serif" w:hAnsi="Times New Roman;sans-serif"/>
          <w:b w:val="false"/>
          <w:color w:val="000000"/>
          <w:sz w:val="20"/>
        </w:rPr>
      </w:pPr>
      <w:r>
        <w:rPr>
          <w:rFonts w:ascii="Times New Roman;sans-serif" w:hAnsi="Times New Roman;sans-serif"/>
          <w:b w:val="false"/>
          <w:color w:val="000000"/>
          <w:sz w:val="20"/>
        </w:rPr>
        <w:t>(ii)grant rights over Shares or other securities to be issued in one or more classes or series as they deem necessary or appropriate and determine the designations, powers, preferences, privileges and other rights attaching to such Shares or securities, including dividend rights, voting rights, conversion rights, terms of redemption and liquidation preferences, any or all of which may be greater than the powers, preferences, privileges and rights associated with the then issued and outstanding Shares, at such times and on such other terms as they think proper; and</w:t>
      </w:r>
    </w:p>
    <w:p>
      <w:pPr>
        <w:pStyle w:val="TextBody"/>
        <w:spacing w:lineRule="auto" w:line="288" w:before="0" w:after="240"/>
        <w:ind w:left="0" w:right="0" w:hanging="1019"/>
        <w:jc w:val="both"/>
        <w:rPr>
          <w:rFonts w:ascii="Times New Roman;sans-serif" w:hAnsi="Times New Roman;sans-serif"/>
          <w:b w:val="false"/>
          <w:color w:val="000000"/>
          <w:sz w:val="20"/>
        </w:rPr>
      </w:pPr>
      <w:r>
        <w:rPr>
          <w:rFonts w:ascii="Times New Roman;sans-serif" w:hAnsi="Times New Roman;sans-serif"/>
          <w:b w:val="false"/>
          <w:color w:val="000000"/>
          <w:sz w:val="20"/>
        </w:rPr>
        <w:t>(iii)grant options with respect to Shares and issue warrants or similar instruments with respect thereto.</w:t>
      </w:r>
    </w:p>
    <w:p>
      <w:pPr>
        <w:pStyle w:val="TextBody"/>
        <w:spacing w:lineRule="auto" w:line="288" w:before="24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9.The Directors may authorise the division of Shares into any number of Classes and the different Classes shall be authorised, established and designated (or re-designated as the case may be) and the variations in the relative rights (including, without limitation, voting, dividend and redemption rights), restrictions, preferences, privileges and payment obligations as between the different Classes (if any) may be fixed and determined by the Directors. The Directors may issue Shares with such preferred or other rights, all or any of which may be greater than the rights of Ordinary Shares, at such time and on such terms as they may think appropriate. Notwithstanding Article 17, the Directors may issue from time to time, out of the authorised share capital of the Company (other than the authorised but unissued Ordinary Shares), series of preferred shares in their absolute discretion and without approval of the Members; provided, however, before any preferred shares of any such series are issued, the Directors </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6480175" cy="146685"/>
                <wp:effectExtent l="0" t="0" r="0" b="0"/>
                <wp:wrapNone/>
                <wp:docPr id="214" name="Frame21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v:rect>
            </w:pict>
          </mc:Fallback>
        </mc:AlternateContent>
      </w:r>
    </w:p>
    <w:p>
      <w:pPr>
        <w:pStyle w:val="TextBody"/>
        <w:spacing w:lineRule="auto" w:line="288" w:before="240" w:after="240"/>
        <w:jc w:val="both"/>
        <w:rPr>
          <w:rFonts w:ascii="Times New Roman;sans-serif" w:hAnsi="Times New Roman;sans-serif"/>
          <w:b w:val="false"/>
          <w:color w:val="000000"/>
          <w:sz w:val="20"/>
        </w:rPr>
      </w:pPr>
      <w:r>
        <w:rPr>
          <w:rFonts w:ascii="Times New Roman;sans-serif" w:hAnsi="Times New Roman;sans-serif"/>
          <w:b w:val="false"/>
          <w:color w:val="000000"/>
          <w:sz w:val="20"/>
        </w:rPr>
        <w:t>shall by resolution of Directors determine, with respect to any series of preferred shares, the terms and rights of that series, including:</w:t>
      </w:r>
    </w:p>
    <w:p>
      <w:pPr>
        <w:pStyle w:val="TextBody"/>
        <w:spacing w:lineRule="auto" w:line="288" w:before="0" w:after="240"/>
        <w:ind w:left="0" w:right="0" w:hanging="909"/>
        <w:jc w:val="both"/>
        <w:rPr>
          <w:rFonts w:ascii="Times New Roman;sans-serif" w:hAnsi="Times New Roman;sans-serif"/>
          <w:b w:val="false"/>
          <w:color w:val="000000"/>
          <w:sz w:val="20"/>
        </w:rPr>
      </w:pPr>
      <w:r>
        <w:rPr>
          <w:rFonts w:ascii="Times New Roman;sans-serif" w:hAnsi="Times New Roman;sans-serif"/>
          <w:b w:val="false"/>
          <w:color w:val="000000"/>
          <w:sz w:val="20"/>
        </w:rPr>
        <w:t>(i)the designation of such series, the number of preferred shares to constitute such series and the subscription price thereof if different from the par value thereof;</w:t>
      </w:r>
    </w:p>
    <w:p>
      <w:pPr>
        <w:pStyle w:val="TextBody"/>
        <w:spacing w:lineRule="auto" w:line="288" w:before="0" w:after="240"/>
        <w:ind w:left="0" w:right="0" w:hanging="964"/>
        <w:jc w:val="both"/>
        <w:rPr>
          <w:rFonts w:ascii="Times New Roman;sans-serif" w:hAnsi="Times New Roman;sans-serif"/>
          <w:b w:val="false"/>
          <w:color w:val="000000"/>
          <w:sz w:val="20"/>
        </w:rPr>
      </w:pPr>
      <w:r>
        <w:rPr>
          <w:rFonts w:ascii="Times New Roman;sans-serif" w:hAnsi="Times New Roman;sans-serif"/>
          <w:b w:val="false"/>
          <w:color w:val="000000"/>
          <w:sz w:val="20"/>
        </w:rPr>
        <w:t>(ii)whether the preferred shares of such series shall have voting rights, in addition to any voting rights provided by law, and, if so, the terms of such voting rights, which may be general or limited;</w:t>
      </w:r>
    </w:p>
    <w:p>
      <w:pPr>
        <w:pStyle w:val="TextBody"/>
        <w:spacing w:lineRule="auto" w:line="288" w:before="0" w:after="240"/>
        <w:ind w:left="0" w:right="0" w:hanging="1019"/>
        <w:jc w:val="both"/>
        <w:rPr>
          <w:rFonts w:ascii="Times New Roman;sans-serif" w:hAnsi="Times New Roman;sans-serif"/>
          <w:b w:val="false"/>
          <w:color w:val="000000"/>
          <w:sz w:val="20"/>
        </w:rPr>
      </w:pPr>
      <w:r>
        <w:rPr>
          <w:rFonts w:ascii="Times New Roman;sans-serif" w:hAnsi="Times New Roman;sans-serif"/>
          <w:b w:val="false"/>
          <w:color w:val="000000"/>
          <w:sz w:val="20"/>
        </w:rPr>
        <w:t>(iii)the dividends, if any, payable on such series, whether any such dividends shall be cumulative, and, if so, from what dates, the conditions and dates upon which such dividends shall be payable, and the preference or relation which such dividends shall bear to the dividends payable on any shares of any other class or any other series of shares;</w:t>
      </w:r>
    </w:p>
    <w:p>
      <w:pPr>
        <w:pStyle w:val="TextBody"/>
        <w:spacing w:lineRule="auto" w:line="288" w:before="0" w:after="240"/>
        <w:ind w:left="0" w:right="0" w:hanging="1009"/>
        <w:jc w:val="both"/>
        <w:rPr>
          <w:rFonts w:ascii="Times New Roman;sans-serif" w:hAnsi="Times New Roman;sans-serif"/>
          <w:b w:val="false"/>
          <w:color w:val="000000"/>
          <w:sz w:val="20"/>
        </w:rPr>
      </w:pPr>
      <w:r>
        <w:rPr>
          <w:rFonts w:ascii="Times New Roman;sans-serif" w:hAnsi="Times New Roman;sans-serif"/>
          <w:b w:val="false"/>
          <w:color w:val="000000"/>
          <w:sz w:val="20"/>
        </w:rPr>
        <w:t>(iv)whether the preferred shares of such series shall be subject to redemption by the Company, and, if so, the times, prices and other conditions of such redemption;</w:t>
      </w:r>
    </w:p>
    <w:p>
      <w:pPr>
        <w:pStyle w:val="TextBody"/>
        <w:spacing w:lineRule="auto" w:line="288" w:before="0" w:after="240"/>
        <w:ind w:left="0" w:right="0" w:hanging="953"/>
        <w:jc w:val="both"/>
        <w:rPr>
          <w:rFonts w:ascii="Times New Roman;sans-serif" w:hAnsi="Times New Roman;sans-serif"/>
          <w:b w:val="false"/>
          <w:color w:val="000000"/>
          <w:sz w:val="20"/>
        </w:rPr>
      </w:pPr>
      <w:r>
        <w:rPr>
          <w:rFonts w:ascii="Times New Roman;sans-serif" w:hAnsi="Times New Roman;sans-serif"/>
          <w:b w:val="false"/>
          <w:color w:val="000000"/>
          <w:sz w:val="20"/>
        </w:rPr>
        <w:t>(v)whether the preferred shares of such series shall have any rights to receive any part of the assets available for distribution amongst the Members upon the liquidation of the Company, and, if so, the terms of such liquidation preference, and the relation which such liquidation preference shall bear to the entitlements of the holders of shares of any other class or any other series of shares;</w:t>
      </w:r>
    </w:p>
    <w:p>
      <w:pPr>
        <w:pStyle w:val="TextBody"/>
        <w:spacing w:lineRule="auto" w:line="288" w:before="0" w:after="240"/>
        <w:ind w:left="0" w:right="0" w:hanging="1009"/>
        <w:jc w:val="both"/>
        <w:rPr>
          <w:rFonts w:ascii="Times New Roman;sans-serif" w:hAnsi="Times New Roman;sans-serif"/>
          <w:b w:val="false"/>
          <w:color w:val="000000"/>
          <w:sz w:val="20"/>
        </w:rPr>
      </w:pPr>
      <w:r>
        <w:rPr>
          <w:rFonts w:ascii="Times New Roman;sans-serif" w:hAnsi="Times New Roman;sans-serif"/>
          <w:b w:val="false"/>
          <w:color w:val="000000"/>
          <w:sz w:val="20"/>
        </w:rPr>
        <w:t>(vi)whether the preferred shares of such series shall be subject to the operation of a retirement or sinking fund and, if so, the extent to and manner in which any such retirement or sinking fund shall be applied to the purchase or redemption of the preferred shares of such series for retirement or other corporate purposes and the terms and provisions relative to the operation thereof;</w:t>
      </w:r>
    </w:p>
    <w:p>
      <w:pPr>
        <w:pStyle w:val="TextBody"/>
        <w:spacing w:lineRule="auto" w:line="288" w:before="0" w:after="240"/>
        <w:ind w:left="0" w:right="0" w:hanging="1064"/>
        <w:jc w:val="both"/>
        <w:rPr>
          <w:rFonts w:ascii="Times New Roman;sans-serif" w:hAnsi="Times New Roman;sans-serif"/>
          <w:b w:val="false"/>
          <w:color w:val="000000"/>
          <w:sz w:val="20"/>
        </w:rPr>
      </w:pPr>
      <w:r>
        <w:rPr>
          <w:rFonts w:ascii="Times New Roman;sans-serif" w:hAnsi="Times New Roman;sans-serif"/>
          <w:b w:val="false"/>
          <w:color w:val="000000"/>
          <w:sz w:val="20"/>
        </w:rPr>
        <w:t>(vii)whether the preferred shares of such series shall be convertible into, or exchangeable for, shares of any other class or any other series of preferred shares or any other securities and, if so, the price or prices or the rate or rates of conversion or exchange and the method, if any, of adjusting the same, and any other terms and conditions of conversion or exchange;</w:t>
      </w:r>
    </w:p>
    <w:p>
      <w:pPr>
        <w:pStyle w:val="TextBody"/>
        <w:spacing w:lineRule="auto" w:line="288" w:before="0" w:after="240"/>
        <w:ind w:left="0" w:right="0" w:hanging="1119"/>
        <w:jc w:val="both"/>
        <w:rPr>
          <w:rFonts w:ascii="Times New Roman;sans-serif" w:hAnsi="Times New Roman;sans-serif"/>
          <w:b w:val="false"/>
          <w:color w:val="000000"/>
          <w:sz w:val="20"/>
        </w:rPr>
      </w:pPr>
      <w:r>
        <w:rPr>
          <w:rFonts w:ascii="Times New Roman;sans-serif" w:hAnsi="Times New Roman;sans-serif"/>
          <w:b w:val="false"/>
          <w:color w:val="000000"/>
          <w:sz w:val="20"/>
        </w:rPr>
        <w:t>(viii)the limitations and restrictions, if any, to be effective while any preferred shares of such series are outstanding upon the payment of dividends or the making of other distributions on, and upon the purchase, redemption or other acquisition by the Company of, the existing shares or shares of any other class of shares or any other series of preferred shares;</w:t>
      </w:r>
    </w:p>
    <w:p>
      <w:pPr>
        <w:pStyle w:val="TextBody"/>
        <w:spacing w:lineRule="auto" w:line="288" w:before="0" w:after="240"/>
        <w:ind w:left="0" w:right="0" w:hanging="1009"/>
        <w:jc w:val="both"/>
        <w:rPr>
          <w:rFonts w:ascii="Times New Roman;sans-serif" w:hAnsi="Times New Roman;sans-serif"/>
          <w:b w:val="false"/>
          <w:color w:val="000000"/>
          <w:sz w:val="20"/>
        </w:rPr>
      </w:pPr>
      <w:r>
        <w:rPr>
          <w:rFonts w:ascii="Times New Roman;sans-serif" w:hAnsi="Times New Roman;sans-serif"/>
          <w:b w:val="false"/>
          <w:color w:val="000000"/>
          <w:sz w:val="20"/>
        </w:rPr>
        <w:t>(ix)the conditions or restrictions, if any, upon the creation of indebtedness of the Company or upon the issue of any additional shares, including additional shares of such series or of any other class of shares or any other series of preferred shares; and</w:t>
      </w:r>
    </w:p>
    <w:p>
      <w:pPr>
        <w:pStyle w:val="TextBody"/>
        <w:spacing w:lineRule="auto" w:line="288" w:before="0" w:after="240"/>
        <w:ind w:left="0" w:right="0" w:hanging="953"/>
        <w:jc w:val="both"/>
        <w:rPr>
          <w:rFonts w:ascii="Times New Roman;sans-serif" w:hAnsi="Times New Roman;sans-serif"/>
          <w:b w:val="false"/>
          <w:color w:val="000000"/>
          <w:sz w:val="20"/>
        </w:rPr>
      </w:pPr>
      <w:r>
        <w:rPr>
          <w:rFonts w:ascii="Times New Roman;sans-serif" w:hAnsi="Times New Roman;sans-serif"/>
          <w:b w:val="false"/>
          <w:color w:val="000000"/>
          <w:sz w:val="20"/>
        </w:rPr>
        <w:t>(x)any other powers, preferences and relative, participating, optional and other special rights, and any qualifications, limitations and restrictions thereof;</w:t>
      </w:r>
    </w:p>
    <w:p>
      <w:pPr>
        <w:pStyle w:val="TextBody"/>
        <w:spacing w:lineRule="auto" w:line="288" w:before="240" w:after="240"/>
        <w:jc w:val="both"/>
        <w:rPr>
          <w:rFonts w:ascii="Times New Roman;sans-serif" w:hAnsi="Times New Roman;sans-serif"/>
          <w:b w:val="false"/>
          <w:color w:val="000000"/>
          <w:sz w:val="20"/>
        </w:rPr>
      </w:pPr>
      <w:r>
        <w:rPr>
          <w:rFonts w:ascii="Times New Roman;sans-serif" w:hAnsi="Times New Roman;sans-serif"/>
          <w:b w:val="false"/>
          <w:color w:val="000000"/>
          <w:sz w:val="20"/>
        </w:rPr>
        <w:t>and, for such purposes, the Directors may reserve an appropriate number of Shares for the time being unissued. The Company shall not issue Shares to bearer.</w:t>
      </w:r>
    </w:p>
    <w:p>
      <w:pPr>
        <w:pStyle w:val="TextBody"/>
        <w:spacing w:lineRule="auto" w:line="288" w:before="24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10.The Company may insofar as may be permitted by law, pay a commission to any Person in consideration of his subscribing or agreeing to subscribe whether absolutely or conditionally for any Shares. Such commissions may be satisfied by the payment of cash or the lodgement of fully or partly paid-up Shares or partly in one way and partly in the other. The Company may also pay such brokerage as may be lawful on any issue of Shares. </w:t>
      </w:r>
    </w:p>
    <w:p>
      <w:pPr>
        <w:pStyle w:val="TextBody"/>
        <w:spacing w:lineRule="auto" w:line="288" w:before="24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11.The Directors may refuse to accept any application for Shares, and may accept any application in whole or in part, for any reason or for no reason. </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6480175" cy="146685"/>
                <wp:effectExtent l="0" t="0" r="0" b="0"/>
                <wp:wrapNone/>
                <wp:docPr id="215" name="Frame21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v:rect>
            </w:pict>
          </mc:Fallback>
        </mc:AlternateContent>
      </w:r>
    </w:p>
    <w:p>
      <w:pPr>
        <w:pStyle w:val="TextBody"/>
        <w:spacing w:lineRule="auto" w:line="288" w:before="240" w:after="240"/>
        <w:jc w:val="center"/>
        <w:rPr>
          <w:rFonts w:ascii="Times New Roman;sans-serif" w:hAnsi="Times New Roman;sans-serif"/>
          <w:b/>
          <w:color w:val="000000"/>
          <w:sz w:val="20"/>
        </w:rPr>
      </w:pPr>
      <w:r>
        <w:rPr>
          <w:rFonts w:ascii="Times New Roman;sans-serif" w:hAnsi="Times New Roman;sans-serif"/>
          <w:b/>
          <w:color w:val="000000"/>
          <w:sz w:val="20"/>
        </w:rPr>
        <w:t xml:space="preserve">CLASS A ORDINARY SHARES AND CLASS B ORDINARY SHARES </w:t>
      </w:r>
    </w:p>
    <w:p>
      <w:pPr>
        <w:pStyle w:val="TextBody"/>
        <w:spacing w:lineRule="auto" w:line="288" w:before="24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12.Holders of Class A Ordinary Shares and Class B Ordinary Shares shall at all times vote together as one class on all resolutions submitted to a vote by the Members. Each Class A Ordinary Share shall entitle the holder thereof to one (1) vote on all matters subject to vote at general meetings of the Company, and each Class B Ordinary Share shall entitle the holder thereof to twenty (20) votes on all matters subject to vote at general meetings of the Company. </w:t>
      </w:r>
    </w:p>
    <w:p>
      <w:pPr>
        <w:pStyle w:val="TextBody"/>
        <w:spacing w:lineRule="auto" w:line="288" w:before="24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13.Each Class B Ordinary Share is convertible into one (1) Class A Ordinary Share at any time at the option of the holder thereof. The right to convert shall be exercisable by the holder of the Class B Ordinary Share delivering a written notice to the Company that such holder elects to convert a specified number of Class B Ordinary Shares into Class A Ordinary Shares. In no event shall Class A Ordinary Shares be convertible into Class B Ordinary Shares.</w:t>
      </w:r>
    </w:p>
    <w:p>
      <w:pPr>
        <w:pStyle w:val="TextBody"/>
        <w:spacing w:lineRule="auto" w:line="288" w:before="24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14.Any conversion of Class B Ordinary Shares into Class A Ordinary Shares pursuant to these Articles shall be effected by means of the re-designation of each relevant Class B Ordinary Share as a Class A Ordinary Share. Such conversion shall become effective forthwith upon entries being made in the Register to record the re-designation of the relevant Class B Ordinary Shares as Class A Ordinary Shares. </w:t>
      </w:r>
    </w:p>
    <w:p>
      <w:pPr>
        <w:pStyle w:val="TextBody"/>
        <w:spacing w:lineRule="auto" w:line="288" w:before="24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15.Upon any sale, transfer, assignment or disposition of any Class B Ordinary Share by a Shareholder to any Person who is neither the Partnership nor an Affiliate of such Shareholder, or upon a change of ultimate beneficial ownership of any Class B Ordinary Share to any Person who is neither the Partnership nor an Affiliate of the registered shareholder of such Class B Ordinary Share, such Class B Ordinary Share shall be automatically and immediately converted into the same number of Class A Ordinary Share. For the avoidance of doubt, (i) a sale, transfer, assignment or disposition shall be effective upon the Company's registration of such sale, transfer, assignment or disposition in its Register; (ii) the creation of any pledge, charge, encumbrance or other third party right of whatever description on any Class B Ordinary Shares to secure a holder's contractual or legal obligations shall not be deemed as a sale, transfer, assignment or disposition, or a change of ultimate beneficial ownership, unless and until any such pledge, charge, encumbrance or other third party right is enforced and results in the third party holding legal title to the relevant Class B Ordinary Shares, in which case all the related Class B Ordinary Shares shall be automatically converted into the same number of Class A Ordinary Share; and (iii) any entrustment or similar arrangement whereby the voting power and rights of any Class B Ordinary Shares held by Soundscape Limited or the Partnership (including, but not limited to, the right to appoint a majority of Directors as set forth in Article 88(b)) are entrusted to any Person (whether or not such Person is an Affiliate of such Shareholder or the Partnership) shall not be deemed a sale, transfer, assignment or disposition, or a change of ultimate beneficial ownership, of such Class B Ordinary Shares. For purpose of this Article 15, beneficial ownership shall have the meaning set forth in Rule 13d-3 under the United States Securities Exchange Act of 1934, as amended.</w:t>
      </w:r>
    </w:p>
    <w:p>
      <w:pPr>
        <w:pStyle w:val="TextBody"/>
        <w:spacing w:lineRule="auto" w:line="288" w:before="240" w:after="240"/>
        <w:ind w:left="0" w:right="0" w:hanging="720"/>
        <w:rPr/>
      </w:pPr>
      <w:r>
        <w:rPr>
          <w:rFonts w:ascii="Times New Roman;sans-serif" w:hAnsi="Times New Roman;sans-serif"/>
          <w:b w:val="false"/>
          <w:color w:val="000000"/>
          <w:sz w:val="20"/>
        </w:rPr>
        <w:t xml:space="preserve">16.Save and except for voting rights and conversion rights as set out in Articles 12 to 15 (inclusive), the Class A Ordinary Shares and the Class B Ordinary Shares shall rank </w:t>
      </w:r>
      <w:r>
        <w:rPr>
          <w:rFonts w:ascii="Times New Roman;sans-serif" w:hAnsi="Times New Roman;sans-serif"/>
          <w:b w:val="false"/>
          <w:i/>
          <w:color w:val="000000"/>
          <w:sz w:val="20"/>
        </w:rPr>
        <w:t>pari passu</w:t>
      </w:r>
      <w:r>
        <w:rPr>
          <w:color w:val="000000"/>
        </w:rPr>
        <w:t xml:space="preserve"> </w:t>
      </w:r>
      <w:r>
        <w:rPr>
          <w:rFonts w:ascii="Times New Roman;sans-serif" w:hAnsi="Times New Roman;sans-serif"/>
          <w:b w:val="false"/>
          <w:color w:val="000000"/>
          <w:sz w:val="20"/>
        </w:rPr>
        <w:t xml:space="preserve">with one another and shall have the same rights, preferences, privileges and restrictions. </w:t>
      </w:r>
    </w:p>
    <w:p>
      <w:pPr>
        <w:pStyle w:val="TextBody"/>
        <w:spacing w:lineRule="auto" w:line="288" w:before="240" w:after="240"/>
        <w:jc w:val="center"/>
        <w:rPr>
          <w:rFonts w:ascii="Times New Roman;sans-serif" w:hAnsi="Times New Roman;sans-serif"/>
          <w:b/>
          <w:color w:val="000000"/>
          <w:sz w:val="20"/>
        </w:rPr>
      </w:pPr>
      <w:r>
        <w:rPr>
          <w:rFonts w:ascii="Times New Roman;sans-serif" w:hAnsi="Times New Roman;sans-serif"/>
          <w:b/>
          <w:color w:val="000000"/>
          <w:sz w:val="20"/>
        </w:rPr>
        <w:t xml:space="preserve">MODIFICATION OF RIGHTS </w:t>
      </w:r>
    </w:p>
    <w:p>
      <w:pPr>
        <w:pStyle w:val="TextBody"/>
        <w:spacing w:lineRule="auto" w:line="288" w:before="240" w:after="240"/>
        <w:ind w:left="0" w:right="0" w:hanging="720"/>
        <w:jc w:val="both"/>
        <w:rPr/>
      </w:pPr>
      <w:r>
        <w:rPr>
          <w:rFonts w:ascii="Times New Roman;sans-serif" w:hAnsi="Times New Roman;sans-serif"/>
          <w:b w:val="false"/>
          <w:color w:val="000000"/>
          <w:sz w:val="20"/>
        </w:rPr>
        <w:t xml:space="preserve">17.Whenever the capital of the Company is divided into different Classes the rights attached to any such Class may, subject to any rights or restrictions for the time being attached to any Class, only be materially adversely varied with the consent in writing of the holders of fifty per cent (50%) of the issued Shares of that Class or with the sanction of an Ordinary Resolution passed at a separate meeting of the holders of the Shares of that Class. To every such separate meeting all the provisions of these Articles relating to general meetings of the Company or to the proceedings thereat shall, </w:t>
      </w:r>
      <w:r>
        <w:rPr>
          <w:rFonts w:ascii="Times New Roman;sans-serif" w:hAnsi="Times New Roman;sans-serif"/>
          <w:b w:val="false"/>
          <w:i/>
          <w:color w:val="000000"/>
          <w:sz w:val="20"/>
        </w:rPr>
        <w:t>mutatis</w:t>
      </w:r>
      <w:r>
        <w:rPr>
          <w:color w:val="000000"/>
        </w:rPr>
        <w:t xml:space="preserve"> </w:t>
      </w:r>
      <w:r>
        <w:rPr>
          <w:rFonts w:ascii="Times New Roman;sans-serif" w:hAnsi="Times New Roman;sans-serif"/>
          <w:b w:val="false"/>
          <w:i/>
          <w:color w:val="000000"/>
          <w:sz w:val="20"/>
        </w:rPr>
        <w:t>mutandis</w:t>
      </w:r>
      <w:r>
        <w:rPr>
          <w:rFonts w:ascii="Times New Roman;sans-serif" w:hAnsi="Times New Roman;sans-serif"/>
          <w:b w:val="false"/>
          <w:color w:val="000000"/>
          <w:sz w:val="20"/>
        </w:rPr>
        <w:t xml:space="preserve">, apply, except that the necessary quorum shall be one or more Persons holding or representing by proxy at least one-third in nominal or par value amount of the issued Shares of the relevant Class (but so that if at any adjourned meeting of such holders a quorum as above defined is not present, those Shareholders who are present shall form a quorum) and that, subject to any rights or restrictions for the time being attached to the Shares of that Class, every Shareholder of the Class shall on a poll have one </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6480175" cy="146685"/>
                <wp:effectExtent l="0" t="0" r="0" b="0"/>
                <wp:wrapNone/>
                <wp:docPr id="216" name="Frame21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v:rect>
            </w:pict>
          </mc:Fallback>
        </mc:AlternateContent>
      </w:r>
    </w:p>
    <w:p>
      <w:pPr>
        <w:pStyle w:val="TextBody"/>
        <w:spacing w:lineRule="auto" w:line="288" w:before="240" w:after="2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vote for each Share of the Class held by him. For the purposes of this Article the Directors may treat all the Classes or any two or more Classes as forming one Class if they consider that all such Classes would be affected in the same way by the proposals under consideration, but in any other case shall treat them as separate Classes. </w:t>
      </w:r>
    </w:p>
    <w:p>
      <w:pPr>
        <w:pStyle w:val="TextBody"/>
        <w:spacing w:lineRule="auto" w:line="288" w:before="240" w:after="240"/>
        <w:ind w:left="0" w:right="0" w:hanging="720"/>
        <w:jc w:val="both"/>
        <w:rPr/>
      </w:pPr>
      <w:r>
        <w:rPr>
          <w:rFonts w:ascii="Times New Roman;sans-serif" w:hAnsi="Times New Roman;sans-serif"/>
          <w:b w:val="false"/>
          <w:color w:val="000000"/>
          <w:sz w:val="20"/>
        </w:rPr>
        <w:t xml:space="preserve">18.The rights conferred upon the holders of the Shares of any Class issued with preferred or other rights shall not, subject to any rights or restrictions for the time being attached to the Shares of that Class, be deemed to be materially adversely varied by, inter alia, the creation, allotment or issue of further Shares ranking </w:t>
      </w:r>
      <w:r>
        <w:rPr>
          <w:rFonts w:ascii="Times New Roman;sans-serif" w:hAnsi="Times New Roman;sans-serif"/>
          <w:b w:val="false"/>
          <w:i/>
          <w:color w:val="000000"/>
          <w:sz w:val="20"/>
        </w:rPr>
        <w:t>pari passu</w:t>
      </w:r>
      <w:r>
        <w:rPr>
          <w:color w:val="000000"/>
        </w:rPr>
        <w:t xml:space="preserve"> </w:t>
      </w:r>
      <w:r>
        <w:rPr>
          <w:rFonts w:ascii="Times New Roman;sans-serif" w:hAnsi="Times New Roman;sans-serif"/>
          <w:b w:val="false"/>
          <w:color w:val="000000"/>
          <w:sz w:val="20"/>
        </w:rPr>
        <w:t xml:space="preserve">with or subsequent to them or the redemption or purchase of any Shares of any Class by the Company. The rights of the holders of Shares shall not be deemed to be materially adversely varied by the creation or issue of Shares with preferred or other rights including, without limitation, the creation of Shares with enhanced or weighted voting rights. </w:t>
      </w:r>
    </w:p>
    <w:p>
      <w:pPr>
        <w:pStyle w:val="TextBody"/>
        <w:spacing w:lineRule="auto" w:line="288" w:before="240" w:after="240"/>
        <w:jc w:val="center"/>
        <w:rPr>
          <w:rFonts w:ascii="Times New Roman;sans-serif" w:hAnsi="Times New Roman;sans-serif"/>
          <w:b/>
          <w:color w:val="000000"/>
          <w:sz w:val="20"/>
        </w:rPr>
      </w:pPr>
      <w:r>
        <w:rPr>
          <w:rFonts w:ascii="Times New Roman;sans-serif" w:hAnsi="Times New Roman;sans-serif"/>
          <w:b/>
          <w:color w:val="000000"/>
          <w:sz w:val="20"/>
        </w:rPr>
        <w:t xml:space="preserve">CERTIFICATES </w:t>
      </w:r>
    </w:p>
    <w:p>
      <w:pPr>
        <w:pStyle w:val="TextBody"/>
        <w:spacing w:lineRule="auto" w:line="288" w:before="24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19.Every Person whose name is entered as a Member in the Register may, without payment and upon its written request, request a certificate within two calendar months after allotment or lodgement of transfer (or within such other period as the conditions of issue shall provide) in the form determined by the Directors. All certificates shall specify the Share or Shares held by that Person, provided that in respect of a Share or Shares held jointly by several Persons the Company shall not be bound to issue more than one certificate, and delivery of a certificate for a Share to one of several joint holders shall be sufficient delivery to all. All certificates for Shares shall be delivered personally or sent through the post addressed to the Member entitled thereto at the Member's registered address as appearing in the Register. </w:t>
      </w:r>
    </w:p>
    <w:p>
      <w:pPr>
        <w:pStyle w:val="TextBody"/>
        <w:spacing w:lineRule="auto" w:line="288" w:before="24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20.Every share certificate of the Company shall bear such legends as may be required under applicable laws, including the Securities Act. </w:t>
      </w:r>
    </w:p>
    <w:p>
      <w:pPr>
        <w:pStyle w:val="TextBody"/>
        <w:spacing w:lineRule="auto" w:line="288" w:before="24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21.Any two or more certificates representing Shares of any one Class held by any Member may at the Member's request be cancelled and a single new certificate for such Shares issued in lieu on payment (if the Directors shall so require) of one dollar (US$1.00) or such smaller sum as the Directors shall determine. </w:t>
      </w:r>
    </w:p>
    <w:p>
      <w:pPr>
        <w:pStyle w:val="TextBody"/>
        <w:spacing w:lineRule="auto" w:line="288" w:before="24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22.If a share certificate shall be damaged or defaced or alleged to have been lost, stolen or destroyed, a new certificate representing the same Shares may be issued to the relevant Member upon request, subject to delivery up of the old certificate or (if alleged to have been lost, stolen or destroyed) compliance with such conditions as to evidence and indemnity and the payment of out-of-pocket expenses of the Company in connection with the request as the Directors may think fit. </w:t>
      </w:r>
    </w:p>
    <w:p>
      <w:pPr>
        <w:pStyle w:val="TextBody"/>
        <w:spacing w:lineRule="auto" w:line="288" w:before="24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23.In the event that Shares are held jointly by several Persons, any request may be made by any one of the joint holders and if so made shall be binding on all of the joint holders. </w:t>
      </w:r>
    </w:p>
    <w:p>
      <w:pPr>
        <w:pStyle w:val="TextBody"/>
        <w:spacing w:lineRule="auto" w:line="288" w:before="240" w:after="240"/>
        <w:jc w:val="center"/>
        <w:rPr>
          <w:rFonts w:ascii="Times New Roman;sans-serif" w:hAnsi="Times New Roman;sans-serif"/>
          <w:b/>
          <w:color w:val="000000"/>
          <w:sz w:val="20"/>
        </w:rPr>
      </w:pPr>
      <w:r>
        <w:rPr>
          <w:rFonts w:ascii="Times New Roman;sans-serif" w:hAnsi="Times New Roman;sans-serif"/>
          <w:b/>
          <w:color w:val="000000"/>
          <w:sz w:val="20"/>
        </w:rPr>
        <w:t xml:space="preserve">FRACTIONAL SHARES </w:t>
      </w:r>
    </w:p>
    <w:p>
      <w:pPr>
        <w:pStyle w:val="TextBody"/>
        <w:spacing w:lineRule="auto" w:line="288" w:before="24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24.The Directors may issue fractions of a Share and, if so issued, a fraction of a Share shall be subject to and carry the corresponding fraction of liabilities (whether with respect to nominal or par value, premium, contributions, calls or otherwise), limitations, preferences, privileges, qualifications, restrictions, rights (including, without prejudice to the generality of the foregoing, voting and participation rights) and other attributes of a whole Share. If more than one fraction of a Share of the same Class is issued to or acquired by the same Shareholder such fractions shall be accumulated. </w:t>
      </w:r>
    </w:p>
    <w:p>
      <w:pPr>
        <w:pStyle w:val="TextBody"/>
        <w:spacing w:lineRule="auto" w:line="288" w:before="240" w:after="240"/>
        <w:jc w:val="center"/>
        <w:rPr>
          <w:rFonts w:ascii="Times New Roman;sans-serif" w:hAnsi="Times New Roman;sans-serif"/>
          <w:b/>
          <w:color w:val="000000"/>
          <w:sz w:val="20"/>
        </w:rPr>
      </w:pPr>
      <w:r>
        <w:rPr>
          <w:rFonts w:ascii="Times New Roman;sans-serif" w:hAnsi="Times New Roman;sans-serif"/>
          <w:b/>
          <w:color w:val="000000"/>
          <w:sz w:val="20"/>
        </w:rPr>
        <w:t xml:space="preserve">LIEN </w:t>
      </w:r>
    </w:p>
    <w:p>
      <w:pPr>
        <w:pStyle w:val="TextBody"/>
        <w:spacing w:lineRule="auto" w:line="288" w:before="24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25.The Company has a first and paramount lien on every Share (whether or not fully paid) for all amounts (whether presently payable or not) payable at a fixed time or called in respect of that Share. The Company also has a first and paramount lien on every Share registered in the name of a Person indebted or under liability to the Company (whether he is the sole registered holder of a Share or one of two or more joint holders) for all amounts owing by him or his estate to the Company (whether or not </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6480175" cy="146685"/>
                <wp:effectExtent l="0" t="0" r="0" b="0"/>
                <wp:wrapNone/>
                <wp:docPr id="217" name="Frame21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v:rect>
            </w:pict>
          </mc:Fallback>
        </mc:AlternateContent>
      </w:r>
    </w:p>
    <w:p>
      <w:pPr>
        <w:pStyle w:val="TextBody"/>
        <w:spacing w:lineRule="auto" w:line="288" w:before="240" w:after="2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presently payable). The Directors may at any time declare a Share to be wholly or in part exempt from the provisions of this Article. The Company's lien on a Share extends to any amount payable in respect of it, including but not limited to dividends. </w:t>
      </w:r>
    </w:p>
    <w:p>
      <w:pPr>
        <w:pStyle w:val="TextBody"/>
        <w:spacing w:lineRule="auto" w:line="288" w:before="24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26.The Company may sell, in such manner as the Directors in their absolute discretion think fit, any Share on which the Company has a lien, but no sale shall be made unless an amount in respect of which the lien exists is presently payable nor until the expiration of seven calendar days after a notice in writing, demanding payment of such part of the amount in respect of which the lien exists as is presently payable, has been given to the registered holder for the time being of the Share, or the Persons entitled thereto by reason of his death or bankruptcy. </w:t>
      </w:r>
    </w:p>
    <w:p>
      <w:pPr>
        <w:pStyle w:val="TextBody"/>
        <w:spacing w:lineRule="auto" w:line="288" w:before="24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27.For giving effect to any such sale the Directors may authorise a Person to transfer the Shares sold to the purchaser thereof. The purchaser shall be registered as the holder of the Shares comprised in any such transfer and he shall not be bound to see to the application of the purchase money, nor shall his title to the Shares be affected by any irregularity or invalidity in the proceedings in reference to the sale. </w:t>
      </w:r>
    </w:p>
    <w:p>
      <w:pPr>
        <w:pStyle w:val="TextBody"/>
        <w:spacing w:lineRule="auto" w:line="288" w:before="24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28.The proceeds of the sale after deduction of expenses, fees and commissions incurred by the Company shall be received by the Company and applied in payment of such part of the amount in respect of which the lien exists as is presently payable, and the residue shall (subject to a like lien for sums not presently payable as existed upon the Shares prior to the sale) be paid to the Person entitled to the Shares immediately prior to the sale. </w:t>
      </w:r>
    </w:p>
    <w:p>
      <w:pPr>
        <w:pStyle w:val="TextBody"/>
        <w:spacing w:lineRule="auto" w:line="288" w:before="240" w:after="240"/>
        <w:jc w:val="center"/>
        <w:rPr>
          <w:rFonts w:ascii="Times New Roman;sans-serif" w:hAnsi="Times New Roman;sans-serif"/>
          <w:b/>
          <w:color w:val="000000"/>
          <w:sz w:val="20"/>
        </w:rPr>
      </w:pPr>
      <w:r>
        <w:rPr>
          <w:rFonts w:ascii="Times New Roman;sans-serif" w:hAnsi="Times New Roman;sans-serif"/>
          <w:b/>
          <w:color w:val="000000"/>
          <w:sz w:val="20"/>
        </w:rPr>
        <w:t xml:space="preserve">CALLS ON SHARES </w:t>
      </w:r>
    </w:p>
    <w:p>
      <w:pPr>
        <w:pStyle w:val="TextBody"/>
        <w:spacing w:lineRule="auto" w:line="288" w:before="24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29.Subject to the terms of the allotment, the Directors may from time to time make calls upon the Shareholders in respect of any moneys unpaid on their Shares, and each Shareholder shall (subject to receiving at least fourteen calendar days' notice specifying the time or times of payment) pay to the Company at the time or times so specified the amount called on such Shares. A call shall be deemed to have been made at the time when the resolution of the Directors authorising such call was passed. </w:t>
      </w:r>
    </w:p>
    <w:p>
      <w:pPr>
        <w:pStyle w:val="TextBody"/>
        <w:spacing w:lineRule="auto" w:line="288" w:before="24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30.The joint holders of a Share shall be jointly and severally liable to pay calls in respect thereof. </w:t>
      </w:r>
    </w:p>
    <w:p>
      <w:pPr>
        <w:pStyle w:val="TextBody"/>
        <w:spacing w:lineRule="auto" w:line="288" w:before="24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31.If a sum called in respect of a Share is not paid before or on the day appointed for payment thereof, the Person from whom the sum is due shall pay interest upon the sum at the rate of ten percent per annum from the day appointed for the payment thereof to the time of the actual payment, but the Directors shall be at liberty to waive payment of that interest wholly or in part. </w:t>
      </w:r>
    </w:p>
    <w:p>
      <w:pPr>
        <w:pStyle w:val="TextBody"/>
        <w:spacing w:lineRule="auto" w:line="288" w:before="24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32.The provisions of these Articles as to the liability of joint holders and as to payment of interest shall apply in the case of non-payment of any sum which, by the terms of issue of a Share, becomes payable at a fixed time, whether on account of the amount of the Share, or by way of premium, as if the same had become payable by virtue of a call duly made and notified. </w:t>
      </w:r>
    </w:p>
    <w:p>
      <w:pPr>
        <w:pStyle w:val="TextBody"/>
        <w:spacing w:lineRule="auto" w:line="288" w:before="24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33.The Directors may make arrangements with respect to the issue of partly paid Shares for a difference between the Shareholders, or the particular Shares, in the amount of calls to be paid and in the times of payment. </w:t>
      </w:r>
    </w:p>
    <w:p>
      <w:pPr>
        <w:pStyle w:val="TextBody"/>
        <w:spacing w:lineRule="auto" w:line="288" w:before="24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34.The Directors may, if they think fit, receive from any Shareholder willing to advance the same all or any part of the moneys uncalled and unpaid upon any partly paid Shares held by him, and upon all or any of the moneys so advanced may (until the same would, but for such advance, become presently payable) pay interest at such rate (not exceeding without the sanction of an Ordinary Resolution, ten percent per annum) as may be agreed upon between the Shareholder paying the sum in advance and the Directors. No such sum paid in advance of calls shall entitle the Member paying such sum to any portion of a dividend declared in respect of any period prior to the date upon which such sum would, but for such payment, become presently payable. </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6480175" cy="146685"/>
                <wp:effectExtent l="0" t="0" r="0" b="0"/>
                <wp:wrapNone/>
                <wp:docPr id="218" name="Frame21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v:rect>
            </w:pict>
          </mc:Fallback>
        </mc:AlternateContent>
      </w:r>
    </w:p>
    <w:p>
      <w:pPr>
        <w:pStyle w:val="TextBody"/>
        <w:spacing w:lineRule="auto" w:line="288" w:before="240" w:after="240"/>
        <w:jc w:val="center"/>
        <w:rPr>
          <w:rFonts w:ascii="Times New Roman;sans-serif" w:hAnsi="Times New Roman;sans-serif"/>
          <w:b/>
          <w:color w:val="000000"/>
          <w:sz w:val="20"/>
        </w:rPr>
      </w:pPr>
      <w:r>
        <w:rPr>
          <w:rFonts w:ascii="Times New Roman;sans-serif" w:hAnsi="Times New Roman;sans-serif"/>
          <w:b/>
          <w:color w:val="000000"/>
          <w:sz w:val="20"/>
        </w:rPr>
        <w:t xml:space="preserve">FORFEITURE OF SHARES </w:t>
      </w:r>
    </w:p>
    <w:p>
      <w:pPr>
        <w:pStyle w:val="TextBody"/>
        <w:spacing w:lineRule="auto" w:line="288" w:before="24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35.If a Shareholder fails to pay any call or instalment of a call in respect of partly paid Shares on the day appointed for payment, the Directors may, at any time thereafter during such time as any part of such call or instalment remains unpaid, serve a notice on him requiring payment of so much of the call or instalment as is unpaid, together with any interest which may have accrued. </w:t>
      </w:r>
    </w:p>
    <w:p>
      <w:pPr>
        <w:pStyle w:val="TextBody"/>
        <w:spacing w:lineRule="auto" w:line="288" w:before="24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36.The notice shall name a further day (not earlier than the expiration of seven calendar days from the date of the notice) on or before which the payment required by the notice is to be made, and shall state that in the event of non-payment at or before the time appointed, the Shares in respect of which the call was made will be liable to be forfeited. </w:t>
      </w:r>
    </w:p>
    <w:p>
      <w:pPr>
        <w:pStyle w:val="TextBody"/>
        <w:spacing w:lineRule="auto" w:line="288" w:before="24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37.If the requirements of any such notice as aforesaid are not complied with, any Share in respect of which the notice has been given may at any time thereafter, before the payment required by notice has been made, be forfeited by a resolution of the Directors to that effect. </w:t>
      </w:r>
    </w:p>
    <w:p>
      <w:pPr>
        <w:pStyle w:val="TextBody"/>
        <w:spacing w:lineRule="auto" w:line="288" w:before="24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38.A forfeited Share may be sold or otherwise disposed of on such terms and in such manner as the Directors think fit, and at any time before a sale or disposition the forfeiture may be cancelled on such terms as the Directors think fit. </w:t>
      </w:r>
    </w:p>
    <w:p>
      <w:pPr>
        <w:pStyle w:val="TextBody"/>
        <w:spacing w:lineRule="auto" w:line="288" w:before="24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39.A Person whose Shares have been forfeited shall cease to be a Shareholder in respect of the forfeited Shares, but shall, notwithstanding, remain liable to pay to the Company all moneys which at the date of forfeiture were payable by him to the Company in respect of the Shares forfeited, but his liability shall cease if and when the Company receives payment in full of the amount unpaid on the Shares forfeited. </w:t>
      </w:r>
    </w:p>
    <w:p>
      <w:pPr>
        <w:pStyle w:val="TextBody"/>
        <w:spacing w:lineRule="auto" w:line="288" w:before="24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40.A certificate in writing under the hand of a Director that a Share has been duly forfeited on a date stated in the certificate shall be conclusive evidence of the facts in the declaration as against all Persons claiming to be entitled to the Share. </w:t>
      </w:r>
    </w:p>
    <w:p>
      <w:pPr>
        <w:pStyle w:val="TextBody"/>
        <w:spacing w:lineRule="auto" w:line="288" w:before="24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41.The Company may receive the consideration, if any, given for a Share on any sale or disposition thereof pursuant to the provisions of these Articles as to forfeiture and may execute a transfer of the Share in favour of the Person to whom the Share is sold or disposed of and that Person shall be registered as the holder of the Share and shall not be bound to see to the application of the purchase money, if any, nor shall his title to the Shares be affected by any irregularity or invalidity in the proceedings in reference to the disposition or sale. </w:t>
      </w:r>
    </w:p>
    <w:p>
      <w:pPr>
        <w:pStyle w:val="TextBody"/>
        <w:spacing w:lineRule="auto" w:line="288" w:before="240" w:after="24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 xml:space="preserve">42.The provisions of these Articles as to forfeiture shall apply in the case of non-payment of any sum which by the terms of issue of a Share becomes due and payable, whether on account of the amount of the Share, or by way of premium, as if the same had been payable by virtue of a call duly made and notified. </w:t>
      </w:r>
    </w:p>
    <w:p>
      <w:pPr>
        <w:pStyle w:val="TextBody"/>
        <w:spacing w:lineRule="auto" w:line="288" w:before="240" w:after="240"/>
        <w:jc w:val="center"/>
        <w:rPr>
          <w:rFonts w:ascii="Times New Roman;sans-serif" w:hAnsi="Times New Roman;sans-serif"/>
          <w:b/>
          <w:color w:val="000000"/>
          <w:sz w:val="20"/>
        </w:rPr>
      </w:pPr>
      <w:r>
        <w:rPr>
          <w:rFonts w:ascii="Times New Roman;sans-serif" w:hAnsi="Times New Roman;sans-serif"/>
          <w:b/>
          <w:color w:val="000000"/>
          <w:sz w:val="20"/>
        </w:rPr>
        <w:t xml:space="preserve">TRANSFER OF SHARES </w:t>
      </w:r>
    </w:p>
    <w:p>
      <w:pPr>
        <w:pStyle w:val="TextBody"/>
        <w:spacing w:lineRule="auto" w:line="288" w:before="24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43.The instrument of transfer of any Share shall be in writing and in any usual or common form or such other form as the Directors may, in their absolute discretion, approve and be executed by or on behalf of the transferor and if in respect of a nil or partly paid up Share, or if so required by the Directors, shall also be executed on behalf of the transferee and shall be accompanied by the certificate (if any) of the Shares to which it relates and such other evidence as the Directors may reasonably require to show the right of the transferor to make the transfer. The transferor shall be deemed to remain a Shareholder until the name of the transferee is entered in the Register in respect of the relevant Shares. </w:t>
      </w:r>
    </w:p>
    <w:p>
      <w:pPr>
        <w:pStyle w:val="TextBody"/>
        <w:spacing w:lineRule="auto" w:line="288" w:before="240" w:after="240"/>
        <w:ind w:left="0" w:right="0" w:hanging="1440"/>
        <w:jc w:val="both"/>
        <w:rPr/>
      </w:pPr>
      <w:r>
        <w:rPr>
          <w:rFonts w:ascii="Times New Roman;sans-serif" w:hAnsi="Times New Roman;sans-serif"/>
          <w:b w:val="false"/>
          <w:color w:val="000000"/>
          <w:sz w:val="20"/>
        </w:rPr>
        <w:t>44.</w:t>
      </w:r>
      <w:r>
        <w:rPr>
          <w:color w:val="000000"/>
        </w:rPr>
        <w:t xml:space="preserve">     </w:t>
      </w:r>
    </w:p>
    <w:p>
      <w:pPr>
        <w:pStyle w:val="TextBody"/>
        <w:spacing w:lineRule="auto" w:line="288"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i.The Directors may in their absolute discretion decline to register any transfer of Shares which is not fully paid up or on which the Company has a lien.</w:t>
      </w:r>
    </w:p>
    <w:p>
      <w:pPr>
        <w:pStyle w:val="TextBody"/>
        <w:spacing w:lineRule="auto" w:line="288"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ii.The Directors may also decline to register any transfer of any Share unless:</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6480175" cy="146685"/>
                <wp:effectExtent l="0" t="0" r="0" b="0"/>
                <wp:wrapNone/>
                <wp:docPr id="219" name="Frame21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v:rect>
            </w:pict>
          </mc:Fallback>
        </mc:AlternateContent>
      </w:r>
    </w:p>
    <w:p>
      <w:pPr>
        <w:pStyle w:val="TextBody"/>
        <w:spacing w:lineRule="auto" w:line="288"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(1)the instrument of transfer is lodged with the Company, accompanied by the certificate for the Shares to which it relates and such other evidence as the Board may reasonably require to show the right of the transferor to make the transfer;</w:t>
      </w:r>
    </w:p>
    <w:p>
      <w:pPr>
        <w:pStyle w:val="TextBody"/>
        <w:spacing w:lineRule="auto" w:line="288"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(2)the instrument of transfer is in respect of only one Class of Shares; </w:t>
      </w:r>
    </w:p>
    <w:p>
      <w:pPr>
        <w:pStyle w:val="TextBody"/>
        <w:spacing w:lineRule="auto" w:line="288"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(3)the instrument of transfer is properly stamped, if required; </w:t>
      </w:r>
    </w:p>
    <w:p>
      <w:pPr>
        <w:pStyle w:val="TextBody"/>
        <w:spacing w:lineRule="auto" w:line="288"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(4)in the case of a transfer to joint holders, the number of joint holders to whom the Share is to be transferred does not exceed four; and</w:t>
      </w:r>
    </w:p>
    <w:p>
      <w:pPr>
        <w:pStyle w:val="TextBody"/>
        <w:spacing w:lineRule="auto" w:line="288"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(5)a fee of such maximum sum as the Designated Stock Exchange may determine to be payable, or such lesser sum as the Board of Directors may from time to time require, is paid to the Company in respect thereof. </w:t>
      </w:r>
    </w:p>
    <w:p>
      <w:pPr>
        <w:pStyle w:val="TextBody"/>
        <w:spacing w:lineRule="auto" w:line="288" w:before="24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45.The registration of transfers may, on ten calendar days' notice being given by advertisement in such one or more newspapers, by electronic means or by any other means in accordance with the Designated Stock Exchange Rules, be suspended and the Register closed at such times and for such periods as the Directors may, in their absolute discretion, from time to time determine, provided always that such registration of transfer shall not be suspended nor the Register closed for more than thirty calendar days in any calendar year. </w:t>
      </w:r>
    </w:p>
    <w:p>
      <w:pPr>
        <w:pStyle w:val="TextBody"/>
        <w:spacing w:lineRule="auto" w:line="288" w:before="24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46.All instruments of transfer that are registered shall be retained by the Company. If the Directors refuse to register a transfer of any Shares, they shall within three calendar months after the date on which the transfer was lodged with the Company send notice of the refusal to each of the transferor and the transferee. </w:t>
      </w:r>
    </w:p>
    <w:p>
      <w:pPr>
        <w:pStyle w:val="TextBody"/>
        <w:spacing w:lineRule="auto" w:line="288" w:before="240" w:after="240"/>
        <w:jc w:val="center"/>
        <w:rPr>
          <w:rFonts w:ascii="Times New Roman;sans-serif" w:hAnsi="Times New Roman;sans-serif"/>
          <w:b/>
          <w:color w:val="000000"/>
          <w:sz w:val="20"/>
        </w:rPr>
      </w:pPr>
      <w:r>
        <w:rPr>
          <w:rFonts w:ascii="Times New Roman;sans-serif" w:hAnsi="Times New Roman;sans-serif"/>
          <w:b/>
          <w:color w:val="000000"/>
          <w:sz w:val="20"/>
        </w:rPr>
        <w:t xml:space="preserve">TRANSMISSION OF SHARES </w:t>
      </w:r>
    </w:p>
    <w:p>
      <w:pPr>
        <w:pStyle w:val="TextBody"/>
        <w:spacing w:lineRule="auto" w:line="288" w:before="24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47.The legal personal representative of a deceased sole holder of a Share shall be the only Person recognised by the Company as having any title to the Share. In the case of a Share registered in the name of two or more holders, the survivors or survivor, or the legal personal representatives of the deceased survivor, shall be the only Person recognised by the Company as having any title to the Share. </w:t>
      </w:r>
    </w:p>
    <w:p>
      <w:pPr>
        <w:pStyle w:val="TextBody"/>
        <w:spacing w:lineRule="auto" w:line="288" w:before="24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48.Any Person becoming entitled to a Share in consequence of the death or bankruptcy of a Shareholder shall, upon such evidence being produced as may from time to time be required by the Directors, have the right either to be registered as a Shareholder in respect of the Share or, instead of being registered himself, to make such transfer of the Share as the deceased or bankrupt Person could have made; but the Directors shall, in either case, have the same right to decline or suspend registration as they would have had in the case of a transfer of the Share by the deceased or bankrupt Person before the death or bankruptcy. </w:t>
      </w:r>
    </w:p>
    <w:p>
      <w:pPr>
        <w:pStyle w:val="TextBody"/>
        <w:spacing w:lineRule="auto" w:line="288" w:before="24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49.A Person becoming entitled to a Share by reason of the death or bankruptcy of a Shareholder shall be entitled to the same dividends and other advantages to which he would be entitled if he were the registered Shareholder, except that he shall not, before being registered as a Shareholder in respect of the Share, be entitled in respect of it to exercise any right conferred by membership in relation to meetings of the Company, provided however, that the Directors may at any time give notice requiring any such Person to elect either to be registered himself or to transfer the Share, and if the notice is not complied with within ninety calendar days, the Directors may thereafter withhold payment of all dividends, bonuses or other monies payable in respect of the Share until the requirements of the notice have been complied with. </w:t>
      </w:r>
    </w:p>
    <w:p>
      <w:pPr>
        <w:pStyle w:val="TextBody"/>
        <w:spacing w:lineRule="auto" w:line="288" w:before="240" w:after="240"/>
        <w:jc w:val="center"/>
        <w:rPr>
          <w:rFonts w:ascii="Times New Roman;sans-serif" w:hAnsi="Times New Roman;sans-serif"/>
          <w:b/>
          <w:color w:val="000000"/>
          <w:sz w:val="20"/>
        </w:rPr>
      </w:pPr>
      <w:r>
        <w:rPr>
          <w:rFonts w:ascii="Times New Roman;sans-serif" w:hAnsi="Times New Roman;sans-serif"/>
          <w:b/>
          <w:color w:val="000000"/>
          <w:sz w:val="20"/>
        </w:rPr>
        <w:t xml:space="preserve">REGISTRATION OF EMPOWERING INSTRUMENTS </w:t>
      </w:r>
    </w:p>
    <w:p>
      <w:pPr>
        <w:pStyle w:val="TextBody"/>
        <w:spacing w:lineRule="auto" w:line="288" w:before="240" w:after="24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 xml:space="preserve">50.The Company shall be entitled to charge a fee not exceeding one U.S. dollar (US$1.00) on the registration of every probate, letters of administration, certificate of death or marriage, power of attorney, notice in lieu of distringas, or other instrument. </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6480175" cy="146685"/>
                <wp:effectExtent l="0" t="0" r="0" b="0"/>
                <wp:wrapNone/>
                <wp:docPr id="220" name="Frame21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v:rect>
            </w:pict>
          </mc:Fallback>
        </mc:AlternateContent>
      </w:r>
    </w:p>
    <w:p>
      <w:pPr>
        <w:pStyle w:val="TextBody"/>
        <w:spacing w:lineRule="auto" w:line="288" w:before="240" w:after="240"/>
        <w:jc w:val="center"/>
        <w:rPr>
          <w:rFonts w:ascii="Times New Roman;sans-serif" w:hAnsi="Times New Roman;sans-serif"/>
          <w:b/>
          <w:color w:val="000000"/>
          <w:sz w:val="20"/>
        </w:rPr>
      </w:pPr>
      <w:r>
        <w:rPr>
          <w:rFonts w:ascii="Times New Roman;sans-serif" w:hAnsi="Times New Roman;sans-serif"/>
          <w:b/>
          <w:color w:val="000000"/>
          <w:sz w:val="20"/>
        </w:rPr>
        <w:t xml:space="preserve">ALTERATION OF SHARE CAPITAL </w:t>
      </w:r>
    </w:p>
    <w:p>
      <w:pPr>
        <w:pStyle w:val="TextBody"/>
        <w:spacing w:lineRule="auto" w:line="288" w:before="24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51.The Company may from time to time by Ordinary Resolution increase the share capital by such sum, to be divided into Shares of such Classes and amount, as the resolution shall prescribe. </w:t>
      </w:r>
    </w:p>
    <w:p>
      <w:pPr>
        <w:pStyle w:val="TextBody"/>
        <w:spacing w:lineRule="auto" w:line="288" w:before="24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52.The Company may by Ordinary Resolution: </w:t>
      </w:r>
    </w:p>
    <w:p>
      <w:pPr>
        <w:pStyle w:val="TextBody"/>
        <w:spacing w:lineRule="auto" w:line="288" w:before="0" w:after="240"/>
        <w:ind w:left="0" w:right="0" w:hanging="909"/>
        <w:jc w:val="both"/>
        <w:rPr>
          <w:rFonts w:ascii="Times New Roman;sans-serif" w:hAnsi="Times New Roman;sans-serif"/>
          <w:b w:val="false"/>
          <w:color w:val="000000"/>
          <w:sz w:val="20"/>
        </w:rPr>
      </w:pPr>
      <w:r>
        <w:rPr>
          <w:rFonts w:ascii="Times New Roman;sans-serif" w:hAnsi="Times New Roman;sans-serif"/>
          <w:b w:val="false"/>
          <w:color w:val="000000"/>
          <w:sz w:val="20"/>
        </w:rPr>
        <w:t>(i)increase its share capital by new Shares of such amount as it thinks expedient;</w:t>
      </w:r>
    </w:p>
    <w:p>
      <w:pPr>
        <w:pStyle w:val="TextBody"/>
        <w:spacing w:lineRule="auto" w:line="288" w:before="0" w:after="240"/>
        <w:ind w:left="0" w:right="0" w:hanging="964"/>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(ii)consolidate and divide all or any of its share capital into Shares of a larger amount than its existing Shares; </w:t>
      </w:r>
    </w:p>
    <w:p>
      <w:pPr>
        <w:pStyle w:val="TextBody"/>
        <w:spacing w:lineRule="auto" w:line="288" w:before="0" w:after="240"/>
        <w:ind w:left="0" w:right="0" w:hanging="1019"/>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(iii)subdivide its Shares, or any of them, into Shares of an amount smaller than that fixed by the Memorandum, provided that in the subdivision the proportion between the amount paid and the amount, if any, unpaid on each reduced Share shall be the same as it was in case of the Share from which the reduced Share is derived; and </w:t>
      </w:r>
    </w:p>
    <w:p>
      <w:pPr>
        <w:pStyle w:val="TextBody"/>
        <w:spacing w:lineRule="auto" w:line="288" w:before="0" w:after="240"/>
        <w:ind w:left="0" w:right="0" w:hanging="1009"/>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(iv)cancel any Shares that, at the date of the passing of the resolution, have not been taken or agreed to be taken by any Person and diminish the amount of its share capital by the amount of the Shares so cancelled. </w:t>
      </w:r>
    </w:p>
    <w:p>
      <w:pPr>
        <w:pStyle w:val="TextBody"/>
        <w:spacing w:lineRule="auto" w:line="288" w:before="24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53.The Company may by Special Resolution reduce its share capital and any capital redemption reserve in any manner authorised by the Companies Law. </w:t>
      </w:r>
    </w:p>
    <w:p>
      <w:pPr>
        <w:pStyle w:val="TextBody"/>
        <w:spacing w:lineRule="auto" w:line="288" w:before="240" w:after="240"/>
        <w:jc w:val="both"/>
        <w:rPr>
          <w:rFonts w:ascii="Times New Roman;sans-serif" w:hAnsi="Times New Roman;sans-serif"/>
          <w:b/>
          <w:color w:val="000000"/>
          <w:sz w:val="20"/>
        </w:rPr>
      </w:pPr>
      <w:r>
        <w:rPr>
          <w:rFonts w:ascii="Times New Roman;sans-serif" w:hAnsi="Times New Roman;sans-serif"/>
          <w:b/>
          <w:color w:val="000000"/>
          <w:sz w:val="20"/>
        </w:rPr>
        <w:t xml:space="preserve">REDEMPTION, PURCHASE AND SURRENDER OF SHARES </w:t>
      </w:r>
    </w:p>
    <w:p>
      <w:pPr>
        <w:pStyle w:val="TextBody"/>
        <w:spacing w:lineRule="auto" w:line="288" w:before="24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54.Subject to the provisions of the Companies Law and these Articles, the Company may: </w:t>
      </w:r>
    </w:p>
    <w:p>
      <w:pPr>
        <w:pStyle w:val="TextBody"/>
        <w:spacing w:lineRule="auto" w:line="288" w:before="0" w:after="240"/>
        <w:ind w:left="0" w:right="0" w:hanging="909"/>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(i)issue Shares that are to be redeemed or are liable to be redeemed at the option of the Shareholder or the Company. The redemption of Shares shall be effected in such manner and upon such terms as may be determined, before the issue of such Shares, by the Board; </w:t>
      </w:r>
    </w:p>
    <w:p>
      <w:pPr>
        <w:pStyle w:val="TextBody"/>
        <w:spacing w:lineRule="auto" w:line="288" w:before="0" w:after="240"/>
        <w:ind w:left="0" w:right="0" w:hanging="964"/>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(ii)purchase its own Shares (including any redeemable Shares) on such terms and in such manner and terms as have been approved by the Board, or are otherwise authorised by these Articles; and </w:t>
      </w:r>
    </w:p>
    <w:p>
      <w:pPr>
        <w:pStyle w:val="TextBody"/>
        <w:spacing w:lineRule="auto" w:line="288" w:before="0" w:after="240"/>
        <w:ind w:left="0" w:right="0" w:hanging="1019"/>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(iii)make a payment in respect of the redemption or purchase of its own Shares in any manner permitted by the Companies Law, including out of capital. </w:t>
      </w:r>
    </w:p>
    <w:p>
      <w:pPr>
        <w:pStyle w:val="TextBody"/>
        <w:spacing w:lineRule="auto" w:line="288" w:before="24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55.The purchase of any Share shall not oblige the Company to purchase any other Share other than as may be required pursuant to applicable law and any other contractual obligations of the Company. </w:t>
      </w:r>
    </w:p>
    <w:p>
      <w:pPr>
        <w:pStyle w:val="TextBody"/>
        <w:spacing w:lineRule="auto" w:line="288" w:before="24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56.The holder of the Shares being purchased shall be bound to deliver up to the Company the certificate(s) (if any) thereof for cancellation and thereupon the Company shall pay to him the purchase or redemption monies or consideration in respect thereof. </w:t>
      </w:r>
    </w:p>
    <w:p>
      <w:pPr>
        <w:pStyle w:val="TextBody"/>
        <w:spacing w:lineRule="auto" w:line="288" w:before="24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57.The Directors may accept the surrender for no consideration of any fully paid Share. </w:t>
      </w:r>
    </w:p>
    <w:p>
      <w:pPr>
        <w:pStyle w:val="TextBody"/>
        <w:spacing w:lineRule="auto" w:line="288" w:before="240" w:after="240"/>
        <w:jc w:val="center"/>
        <w:rPr>
          <w:rFonts w:ascii="Times New Roman;sans-serif" w:hAnsi="Times New Roman;sans-serif"/>
          <w:b/>
          <w:color w:val="000000"/>
          <w:sz w:val="20"/>
        </w:rPr>
      </w:pPr>
      <w:r>
        <w:rPr>
          <w:rFonts w:ascii="Times New Roman;sans-serif" w:hAnsi="Times New Roman;sans-serif"/>
          <w:b/>
          <w:color w:val="000000"/>
          <w:sz w:val="20"/>
        </w:rPr>
        <w:t xml:space="preserve">TREASURY SHARES </w:t>
      </w:r>
    </w:p>
    <w:p>
      <w:pPr>
        <w:pStyle w:val="TextBody"/>
        <w:spacing w:lineRule="auto" w:line="288" w:before="24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58.The Directors may, prior to the purchase, redemption or surrender of any Share, determine that such Share shall be held as a Treasury Share. </w:t>
      </w:r>
    </w:p>
    <w:p>
      <w:pPr>
        <w:pStyle w:val="TextBody"/>
        <w:spacing w:lineRule="auto" w:line="288" w:before="24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59.The Directors may determine to cancel a Treasury Share or transfer a Treasury Share on such terms as they think proper (including, without limitation, for nil consideration). </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6480175" cy="146685"/>
                <wp:effectExtent l="0" t="0" r="0" b="0"/>
                <wp:wrapNone/>
                <wp:docPr id="221" name="Frame22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v:rect>
            </w:pict>
          </mc:Fallback>
        </mc:AlternateContent>
      </w:r>
    </w:p>
    <w:p>
      <w:pPr>
        <w:pStyle w:val="TextBody"/>
        <w:spacing w:lineRule="auto" w:line="288" w:before="240" w:after="240"/>
        <w:jc w:val="center"/>
        <w:rPr>
          <w:rFonts w:ascii="Times New Roman;sans-serif" w:hAnsi="Times New Roman;sans-serif"/>
          <w:b/>
          <w:color w:val="000000"/>
          <w:sz w:val="20"/>
        </w:rPr>
      </w:pPr>
      <w:r>
        <w:rPr>
          <w:rFonts w:ascii="Times New Roman;sans-serif" w:hAnsi="Times New Roman;sans-serif"/>
          <w:b/>
          <w:color w:val="000000"/>
          <w:sz w:val="20"/>
        </w:rPr>
        <w:t xml:space="preserve">GENERAL MEETINGS </w:t>
      </w:r>
    </w:p>
    <w:p>
      <w:pPr>
        <w:pStyle w:val="TextBody"/>
        <w:spacing w:lineRule="auto" w:line="288" w:before="24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60.All general meetings other than annual general meetings shall be called extraordinary general meetings. </w:t>
      </w:r>
    </w:p>
    <w:p>
      <w:pPr>
        <w:pStyle w:val="TextBody"/>
        <w:spacing w:lineRule="auto" w:line="288" w:before="240" w:after="240"/>
        <w:ind w:left="0" w:right="0" w:hanging="1440"/>
        <w:jc w:val="both"/>
        <w:rPr/>
      </w:pPr>
      <w:r>
        <w:rPr>
          <w:rFonts w:ascii="Times New Roman;sans-serif" w:hAnsi="Times New Roman;sans-serif"/>
          <w:b w:val="false"/>
          <w:color w:val="000000"/>
          <w:sz w:val="20"/>
        </w:rPr>
        <w:t>61.</w:t>
      </w:r>
      <w:r>
        <w:rPr>
          <w:color w:val="000000"/>
        </w:rPr>
        <w:t>    </w:t>
      </w:r>
    </w:p>
    <w:p>
      <w:pPr>
        <w:pStyle w:val="TextBody"/>
        <w:spacing w:lineRule="auto" w:line="288" w:before="0" w:after="240"/>
        <w:ind w:left="0" w:right="0" w:hanging="720"/>
        <w:jc w:val="both"/>
        <w:rPr/>
      </w:pPr>
      <w:r>
        <w:rPr>
          <w:rFonts w:eastAsia="Times New Roman;sans-serif"/>
          <w:b w:val="false"/>
          <w:color w:val="000000"/>
          <w:sz w:val="20"/>
        </w:rPr>
        <w:t>（</w:t>
      </w:r>
      <w:r>
        <w:rPr>
          <w:rFonts w:ascii="Times New Roman;sans-serif" w:hAnsi="Times New Roman;sans-serif"/>
          <w:b w:val="false"/>
          <w:color w:val="000000"/>
          <w:sz w:val="20"/>
        </w:rPr>
        <w:t>i</w:t>
      </w:r>
      <w:r>
        <w:rPr>
          <w:rFonts w:eastAsia="Times New Roman;sans-serif"/>
          <w:b w:val="false"/>
          <w:color w:val="000000"/>
          <w:sz w:val="20"/>
        </w:rPr>
        <w:t>）</w:t>
      </w:r>
      <w:r>
        <w:rPr>
          <w:rFonts w:ascii="Times New Roman;sans-serif" w:hAnsi="Times New Roman;sans-serif"/>
          <w:b w:val="false"/>
          <w:color w:val="000000"/>
          <w:sz w:val="20"/>
        </w:rPr>
        <w:t>The Company may (but shall not be obliged to) in each calendar year hold a general meeting as its annual general meeting and shall specify the meeting as such in the notices calling it. The annual general meeting shall be held at such time and place as may be determined by the Directors.</w:t>
      </w:r>
    </w:p>
    <w:p>
      <w:pPr>
        <w:pStyle w:val="TextBody"/>
        <w:spacing w:lineRule="auto" w:line="288" w:before="0" w:after="240"/>
        <w:ind w:left="0" w:right="0" w:hanging="720"/>
        <w:jc w:val="both"/>
        <w:rPr/>
      </w:pPr>
      <w:r>
        <w:rPr>
          <w:rFonts w:eastAsia="Times New Roman;sans-serif"/>
          <w:b w:val="false"/>
          <w:color w:val="000000"/>
          <w:sz w:val="20"/>
        </w:rPr>
        <w:t>（</w:t>
      </w:r>
      <w:r>
        <w:rPr>
          <w:rFonts w:ascii="Times New Roman;sans-serif" w:hAnsi="Times New Roman;sans-serif"/>
          <w:b w:val="false"/>
          <w:color w:val="000000"/>
          <w:sz w:val="20"/>
        </w:rPr>
        <w:t>ii</w:t>
      </w:r>
      <w:r>
        <w:rPr>
          <w:rFonts w:eastAsia="Times New Roman;sans-serif"/>
          <w:b w:val="false"/>
          <w:color w:val="000000"/>
          <w:sz w:val="20"/>
        </w:rPr>
        <w:t>）</w:t>
      </w:r>
      <w:r>
        <w:rPr>
          <w:rFonts w:ascii="Times New Roman;sans-serif" w:hAnsi="Times New Roman;sans-serif"/>
          <w:b w:val="false"/>
          <w:color w:val="000000"/>
          <w:sz w:val="20"/>
        </w:rPr>
        <w:t>At these meetings the report of the Directors (if any) shall be presented.</w:t>
      </w:r>
    </w:p>
    <w:p>
      <w:pPr>
        <w:pStyle w:val="TextBody"/>
        <w:spacing w:lineRule="auto" w:line="288" w:before="240" w:after="240"/>
        <w:ind w:left="0" w:right="0" w:hanging="1440"/>
        <w:jc w:val="both"/>
        <w:rPr/>
      </w:pPr>
      <w:r>
        <w:rPr>
          <w:rFonts w:ascii="Times New Roman;sans-serif" w:hAnsi="Times New Roman;sans-serif"/>
          <w:b w:val="false"/>
          <w:color w:val="000000"/>
          <w:sz w:val="20"/>
        </w:rPr>
        <w:t>62.</w:t>
      </w:r>
      <w:r>
        <w:rPr>
          <w:color w:val="000000"/>
        </w:rPr>
        <w:t>    </w:t>
      </w:r>
    </w:p>
    <w:p>
      <w:pPr>
        <w:pStyle w:val="TextBody"/>
        <w:spacing w:lineRule="auto" w:line="288" w:before="0" w:after="240"/>
        <w:ind w:left="0" w:right="0" w:hanging="909"/>
        <w:jc w:val="both"/>
        <w:rPr>
          <w:rFonts w:ascii="Times New Roman;sans-serif" w:hAnsi="Times New Roman;sans-serif"/>
          <w:b w:val="false"/>
          <w:color w:val="000000"/>
          <w:sz w:val="20"/>
        </w:rPr>
      </w:pPr>
      <w:r>
        <w:rPr>
          <w:rFonts w:ascii="Times New Roman;sans-serif" w:hAnsi="Times New Roman;sans-serif"/>
          <w:b w:val="false"/>
          <w:color w:val="000000"/>
          <w:sz w:val="20"/>
        </w:rPr>
        <w:t>(i)The Chairman or a majority of the Directors (acting by a resolution of the Board) may call general meetings, and they shall on a Shareholders' requisition forthwith proceed to convene an extraordinary general meeting of the Company.</w:t>
      </w:r>
    </w:p>
    <w:p>
      <w:pPr>
        <w:pStyle w:val="TextBody"/>
        <w:spacing w:lineRule="auto" w:line="288" w:before="0" w:after="2"/>
        <w:ind w:left="0" w:right="0" w:hanging="1013"/>
        <w:jc w:val="both"/>
        <w:rPr/>
      </w:pPr>
      <w:r>
        <w:rPr>
          <w:rFonts w:ascii="Times New Roman;sans-serif" w:hAnsi="Times New Roman;sans-serif"/>
          <w:b w:val="false"/>
          <w:color w:val="000000"/>
          <w:sz w:val="24"/>
        </w:rPr>
        <w:t>(ii)</w:t>
      </w:r>
      <w:r>
        <w:rPr>
          <w:rFonts w:ascii="Times New Roman;sans-serif" w:hAnsi="Times New Roman;sans-serif"/>
          <w:b w:val="false"/>
          <w:color w:val="000000"/>
          <w:sz w:val="20"/>
        </w:rPr>
        <w:t xml:space="preserve">A Shareholders' requisition is a requisition of Members holding at the date of deposit of the requisition Shares which carry in aggregate not less than one-third (1/3) of all votes attaching to all issued and outstanding Shares that as at the date of the deposit carry the right to vote at general meetings of the Company. </w:t>
      </w:r>
    </w:p>
    <w:p>
      <w:pPr>
        <w:pStyle w:val="TextBody"/>
        <w:spacing w:lineRule="auto" w:line="288" w:before="0" w:after="240"/>
        <w:ind w:left="0" w:right="0" w:hanging="1019"/>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(iii)The requisition must state the objects of the meeting and must be signed by the requisitionists and deposited at the Registered Office, and may consist of several documents in like form each signed by one or more requisitionists. </w:t>
      </w:r>
    </w:p>
    <w:p>
      <w:pPr>
        <w:pStyle w:val="TextBody"/>
        <w:spacing w:lineRule="auto" w:line="288" w:before="0" w:after="240"/>
        <w:ind w:left="0" w:right="0" w:hanging="1009"/>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(iv)If the Directors do not within thirty calendar days from the date of the deposit of the requisition duly proceed to convene a general meeting to be held within a further thirty calendar days, the requisitionists, or any of them representing more than two-thirds (2/3) of the total voting rights of all of them, may themselves convene a general meeting, but any meeting so convened shall not be held after the expiration of three calendar months after the expiration of the said thirty calendar days. </w:t>
      </w:r>
    </w:p>
    <w:p>
      <w:pPr>
        <w:pStyle w:val="TextBody"/>
        <w:spacing w:lineRule="auto" w:line="288" w:before="0" w:after="240"/>
        <w:ind w:left="0" w:right="0" w:hanging="95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(v)A general meeting convened as aforesaid by requisitionists shall be convened in the same manner as nearly as possible as that in which general meetings are to be convened by Directors. </w:t>
      </w:r>
    </w:p>
    <w:p>
      <w:pPr>
        <w:pStyle w:val="TextBody"/>
        <w:spacing w:lineRule="auto" w:line="288" w:before="240" w:after="240"/>
        <w:jc w:val="center"/>
        <w:rPr>
          <w:rFonts w:ascii="Times New Roman;sans-serif" w:hAnsi="Times New Roman;sans-serif"/>
          <w:b/>
          <w:color w:val="000000"/>
          <w:sz w:val="20"/>
        </w:rPr>
      </w:pPr>
      <w:r>
        <w:rPr>
          <w:rFonts w:ascii="Times New Roman;sans-serif" w:hAnsi="Times New Roman;sans-serif"/>
          <w:b/>
          <w:color w:val="000000"/>
          <w:sz w:val="20"/>
        </w:rPr>
        <w:t xml:space="preserve">NOTICE OF GENERAL MEETINGS </w:t>
      </w:r>
    </w:p>
    <w:p>
      <w:pPr>
        <w:pStyle w:val="TextBody"/>
        <w:spacing w:lineRule="auto" w:line="288" w:before="240" w:after="24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 xml:space="preserve">63.At least ten (10) calendar days' notice shall be given for any general meeting. Every notice shall be exclusive of the day on which it is given or deemed to be given and of the day for which it is given and shall specify the place, the day and the hour of the meeting and the general nature of the business and shall be given in the manner hereinafter mentioned or in such other manner if any as may be prescribed by the Company, provided that a general meeting of the Company shall, whether or not the notice specified in this Article has been given and whether or not the provisions of these Articles regarding general meetings have been complied with, be deemed to have been duly convened if it is so agreed: </w:t>
      </w:r>
    </w:p>
    <w:p>
      <w:pPr>
        <w:pStyle w:val="TextBody"/>
        <w:spacing w:lineRule="auto" w:line="288" w:before="0" w:after="240"/>
        <w:ind w:left="0" w:right="0" w:hanging="909"/>
        <w:rPr>
          <w:rFonts w:ascii="Times New Roman;sans-serif" w:hAnsi="Times New Roman;sans-serif"/>
          <w:b w:val="false"/>
          <w:color w:val="000000"/>
          <w:sz w:val="20"/>
        </w:rPr>
      </w:pPr>
      <w:r>
        <w:rPr>
          <w:rFonts w:ascii="Times New Roman;sans-serif" w:hAnsi="Times New Roman;sans-serif"/>
          <w:b w:val="false"/>
          <w:color w:val="000000"/>
          <w:sz w:val="20"/>
        </w:rPr>
        <w:t xml:space="preserve">(i)in the case of an annual general meeting, by Shareholders who together hold Shares which carry in aggregate not less than two-thirds (2/3) of all votes attaching to all Shares that carry the right to attend and vote at the meeting. ; and </w:t>
      </w:r>
    </w:p>
    <w:p>
      <w:pPr>
        <w:pStyle w:val="TextBody"/>
        <w:spacing w:lineRule="auto" w:line="288" w:before="0" w:after="240"/>
        <w:ind w:left="0" w:right="0" w:hanging="964"/>
        <w:rPr>
          <w:rFonts w:ascii="Times New Roman;sans-serif" w:hAnsi="Times New Roman;sans-serif"/>
          <w:b w:val="false"/>
          <w:color w:val="000000"/>
          <w:sz w:val="20"/>
        </w:rPr>
      </w:pPr>
      <w:r>
        <w:rPr>
          <w:rFonts w:ascii="Times New Roman;sans-serif" w:hAnsi="Times New Roman;sans-serif"/>
          <w:b w:val="false"/>
          <w:color w:val="000000"/>
          <w:sz w:val="20"/>
        </w:rPr>
        <w:t xml:space="preserve">(ii)in the case of an extraordinary general meeting, by Shareholders who together hold Shares which carry in aggregate not less than two-thirds (2/3) of all votes attaching to all Shares that carry the right to attend and vote at the meeting. </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6480175" cy="146685"/>
                <wp:effectExtent l="0" t="0" r="0" b="0"/>
                <wp:wrapNone/>
                <wp:docPr id="222" name="Frame22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v:rect>
            </w:pict>
          </mc:Fallback>
        </mc:AlternateContent>
      </w:r>
    </w:p>
    <w:p>
      <w:pPr>
        <w:pStyle w:val="TextBody"/>
        <w:spacing w:lineRule="auto" w:line="288" w:before="240" w:after="24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 xml:space="preserve">64.The accidental omission to give notice of a meeting to or the non-receipt of a notice of a meeting by any Shareholder shall not invalidate the proceedings at any meeting. </w:t>
      </w:r>
    </w:p>
    <w:p>
      <w:pPr>
        <w:pStyle w:val="TextBody"/>
        <w:spacing w:lineRule="auto" w:line="288" w:before="240" w:after="240"/>
        <w:jc w:val="center"/>
        <w:rPr>
          <w:rFonts w:ascii="Times New Roman;sans-serif" w:hAnsi="Times New Roman;sans-serif"/>
          <w:b/>
          <w:color w:val="000000"/>
          <w:sz w:val="20"/>
        </w:rPr>
      </w:pPr>
      <w:r>
        <w:rPr>
          <w:rFonts w:ascii="Times New Roman;sans-serif" w:hAnsi="Times New Roman;sans-serif"/>
          <w:b/>
          <w:color w:val="000000"/>
          <w:sz w:val="20"/>
        </w:rPr>
        <w:t xml:space="preserve">PROCEEDINGS AT GENERAL MEETINGS </w:t>
      </w:r>
    </w:p>
    <w:p>
      <w:pPr>
        <w:pStyle w:val="TextBody"/>
        <w:spacing w:lineRule="auto" w:line="288" w:before="24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65.No business except for the appointment of a chairman for the meeting shall be transacted at any general meeting unless a quorum of Shareholders is Present at the time when the meeting proceeds to business. One or more Shareholders holding Shares which carry in aggregate not less than one-third (1/3) of all votes attaching to all Shares which carry the right to attend and vote at such general meeting, Present at the meeting, shall be a quorum for all purposes. </w:t>
      </w:r>
    </w:p>
    <w:p>
      <w:pPr>
        <w:pStyle w:val="TextBody"/>
        <w:spacing w:lineRule="auto" w:line="288" w:before="24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66.If within half an hour from the time appointed for the meeting a quorum is not Present, the meeting shall be dissolved. </w:t>
      </w:r>
    </w:p>
    <w:p>
      <w:pPr>
        <w:pStyle w:val="TextBody"/>
        <w:spacing w:lineRule="auto" w:line="288" w:before="24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67.If the Directors wish to make this facility available for a specific general meeting or all general meetings of the Company, attendance and participation in any general meeting of the Company may be by means of Communications Facilities. Without limiting the generality of the foregoing, the Directors may determine that any general meeting may be held as a Virtual Meeting. The notice of any general meeting at which Communications Facilities will be utilized (including any Virtual Meeting) must disclose the Communications Facilities that will be used, including the procedures to be followed by any Shareholder or other participant of the Meeting who wishes to utilize such Communications Facilities for the purposes of attending and participating in such meeting, including attending and casting any vote thereat. </w:t>
      </w:r>
    </w:p>
    <w:p>
      <w:pPr>
        <w:pStyle w:val="TextBody"/>
        <w:spacing w:lineRule="auto" w:line="288" w:before="24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68.The Chairman, if any, of the Board of Directors shall preside as chairman at every general meeting of the Company. If there is no such Chairman of the Board of Directors, or if at any general meeting he is not Present within fifteen minutes after the time appointed for holding the meeting or is unwilling to act as chairman of the meeting, any Director or Person nominated by the Chairman (or, in the absence of such Chairman nomination, the Directors) shall preside as chairman of that meeting, failing which the Shareholders Present shall choose any Person Present to be chairman of that meeting.</w:t>
      </w:r>
    </w:p>
    <w:p>
      <w:pPr>
        <w:pStyle w:val="TextBody"/>
        <w:spacing w:lineRule="auto" w:line="288" w:before="24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69.The chairman of any general meeting shall be entitled to attend and participate at any such general meeting by means of Communication Facilities, and to act as the chairman of such general meeting, in which event the following provisions shall apply:</w:t>
      </w:r>
    </w:p>
    <w:p>
      <w:pPr>
        <w:pStyle w:val="TextBody"/>
        <w:spacing w:lineRule="auto" w:line="288" w:before="0" w:after="240"/>
        <w:ind w:left="0" w:right="0" w:hanging="909"/>
        <w:jc w:val="both"/>
        <w:rPr>
          <w:rFonts w:ascii="Times New Roman;sans-serif" w:hAnsi="Times New Roman;sans-serif"/>
          <w:b w:val="false"/>
          <w:color w:val="000000"/>
          <w:sz w:val="20"/>
        </w:rPr>
      </w:pPr>
      <w:r>
        <w:rPr>
          <w:rFonts w:ascii="Times New Roman;sans-serif" w:hAnsi="Times New Roman;sans-serif"/>
          <w:b w:val="false"/>
          <w:color w:val="000000"/>
          <w:sz w:val="20"/>
        </w:rPr>
        <w:t>(i)The chairman of the meeting shall be deemed to be Present at the meeting; and</w:t>
      </w:r>
    </w:p>
    <w:p>
      <w:pPr>
        <w:pStyle w:val="TextBody"/>
        <w:spacing w:lineRule="auto" w:line="288" w:before="0" w:after="240"/>
        <w:ind w:left="0" w:right="0" w:hanging="964"/>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(ii)If the Communication Facilities are interrupted or fail for any reason to enable the chairman of the meeting to hear and be heard by all other Persons participating in the meeting, then the other Directors Present at the meeting shall choose another Director Present to act as chairman of the meeting for the remainder of the meeting; provided that if no other Director is Present at the meeting, or if all the Directors Present decline to take the chair, then the meeting shall be automatically adjourned to the same day in the next week and at such time and place as shall be decided by the board of Directors. </w:t>
      </w:r>
    </w:p>
    <w:p>
      <w:pPr>
        <w:pStyle w:val="TextBody"/>
        <w:spacing w:lineRule="auto" w:line="288" w:before="24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70.The chairman may with the consent of any general meeting at which a quorum is present (and shall if so directed by the meeting) adjourn the meeting from time to time and from place to place, but no business shall be transacted at any adjourned meeting other than the business left unfinished at the meeting from which the adjournment took place. When a meeting, or adjourned meeting, is adjourned for fourteen calendar days or more, notice of the adjourned meeting shall be given as in the case of an original meeting. Save as aforesaid it shall not be necessary to give any notice of an adjournment or of the business to be transacted at an adjourned meeting. </w:t>
      </w:r>
    </w:p>
    <w:p>
      <w:pPr>
        <w:pStyle w:val="TextBody"/>
        <w:spacing w:lineRule="auto" w:line="288" w:before="24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71.The Directors may cancel or postpone any duly convened general meeting at any time prior to such meeting, except for general meetings requisitioned by the Shareholders in accordance with these Articles, for any reason or for no reason, upon notice in writing to Shareholders. A postponement may be for a stated period of any length or indefinitely as the Directors may determine. </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6480175" cy="146685"/>
                <wp:effectExtent l="0" t="0" r="0" b="0"/>
                <wp:wrapNone/>
                <wp:docPr id="223" name="Frame22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v:rect>
            </w:pict>
          </mc:Fallback>
        </mc:AlternateContent>
      </w:r>
    </w:p>
    <w:p>
      <w:pPr>
        <w:pStyle w:val="TextBody"/>
        <w:spacing w:lineRule="auto" w:line="288" w:before="24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72.At any general meeting a resolution put to the vote of the meeting shall be decided on a show of hands, unless a poll is (before or on the declaration of the result of the show of hands) demanded by the chairman of the meeting or any Shareholder Present, and unless a poll is so demanded, a declaration by the chairman of the meeting that a resolution has, on a show of hands, been carried, or carried unanimously, or by a particular majority, or lost, and an entry to that effect in the book of the proceedings of the Company, shall be conclusive evidence of the fact, without proof of the number or proportion of the votes recorded in favour of, or against, that resolution. </w:t>
      </w:r>
    </w:p>
    <w:p>
      <w:pPr>
        <w:pStyle w:val="TextBody"/>
        <w:spacing w:lineRule="auto" w:line="288" w:before="24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73.If a poll is duly demanded it shall be taken in such manner as the chairman of the meeting directs, and the result of the poll shall be deemed to be the resolution of the meeting at which the poll was demanded. </w:t>
      </w:r>
    </w:p>
    <w:p>
      <w:pPr>
        <w:pStyle w:val="TextBody"/>
        <w:spacing w:lineRule="auto" w:line="288" w:before="24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74.All questions submitted to a meeting shall be decided by an Ordinary Resolution except where a greater majority is required by these Articles or by the Companies Law. In the case of an equality of votes, whether on a show of hands or on a poll, the chairman of the meeting at which the show of hands takes place or at which the poll is demanded, shall be entitled to a second or casting vote. </w:t>
      </w:r>
    </w:p>
    <w:p>
      <w:pPr>
        <w:pStyle w:val="TextBody"/>
        <w:spacing w:lineRule="auto" w:line="288" w:before="24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75.A poll demanded on the election of a chairman of the meeting or on a question of adjournment shall be taken forthwith. A poll demanded on any other question shall be taken at such time as the chairman of the meeting directs. </w:t>
      </w:r>
    </w:p>
    <w:p>
      <w:pPr>
        <w:pStyle w:val="TextBody"/>
        <w:spacing w:lineRule="auto" w:line="288" w:before="240" w:after="240"/>
        <w:jc w:val="center"/>
        <w:rPr>
          <w:rFonts w:ascii="Times New Roman;sans-serif" w:hAnsi="Times New Roman;sans-serif"/>
          <w:b/>
          <w:color w:val="000000"/>
          <w:sz w:val="20"/>
        </w:rPr>
      </w:pPr>
      <w:r>
        <w:rPr>
          <w:rFonts w:ascii="Times New Roman;sans-serif" w:hAnsi="Times New Roman;sans-serif"/>
          <w:b/>
          <w:color w:val="000000"/>
          <w:sz w:val="20"/>
        </w:rPr>
        <w:t xml:space="preserve">VOTES OF SHAREHOLDERS </w:t>
      </w:r>
    </w:p>
    <w:p>
      <w:pPr>
        <w:pStyle w:val="TextBody"/>
        <w:spacing w:lineRule="auto" w:line="288" w:before="24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76.Subject to any rights and restrictions for the time being attached to any Share, on a show of hands every Shareholder Present shall, at a general meeting of the Company, each have one vote and on a poll every Shareholder Present at the meeting shall have one (1) vote for each Class A Ordinary Share and twenty (20) votes for each Class B Ordinary Share of which he is the holder. </w:t>
      </w:r>
    </w:p>
    <w:p>
      <w:pPr>
        <w:pStyle w:val="TextBody"/>
        <w:spacing w:lineRule="auto" w:line="288" w:before="24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77.In the case of joint holders the vote of the senior who tenders a vote whether in person or by proxy (or, if a corporation or other non-natural person, by its duly authorised representative or proxy) shall be accepted to the exclusion of the votes of the other joint holders and for this purpose seniority shall be determined by the order in which the names stand in the Register. </w:t>
      </w:r>
    </w:p>
    <w:p>
      <w:pPr>
        <w:pStyle w:val="TextBody"/>
        <w:spacing w:lineRule="auto" w:line="288" w:before="24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78.Shares carrying the right to vote that are held by a Shareholder of unsound mind, or in respect of whom an order has been made by any court having jurisdiction in lunacy, may be voted, whether on a show of hands or on a poll, by his committee, or other Person in the nature of a committee appointed by that court, and any such committee or other Person may vote in respect of such Shares by proxy. </w:t>
      </w:r>
    </w:p>
    <w:p>
      <w:pPr>
        <w:pStyle w:val="TextBody"/>
        <w:spacing w:lineRule="auto" w:line="288" w:before="24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79.No Shareholder shall be entitled to vote at any general meeting of the Company unless all calls, if any, or other sums presently payable by him in respect of Shares carrying the right to vote held by him have been paid. </w:t>
      </w:r>
    </w:p>
    <w:p>
      <w:pPr>
        <w:pStyle w:val="TextBody"/>
        <w:spacing w:lineRule="auto" w:line="288" w:before="24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80.On a poll votes may be given either personally or by proxy. </w:t>
      </w:r>
    </w:p>
    <w:p>
      <w:pPr>
        <w:pStyle w:val="TextBody"/>
        <w:spacing w:lineRule="auto" w:line="288" w:before="24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81.Each Shareholder, other than a recognised clearing house (or its nominee(s)) or depositary (or its nominee(s)), may only appoint one proxy on a show of hand. The instrument appointing a proxy shall be in writing under the hand of the appointor or of his attorney duly authorised in writing or, if the appointor is a corporation, either under Seal or under the hand of an officer or attorney duly authorised. A proxy need not be a Shareholder. </w:t>
      </w:r>
    </w:p>
    <w:p>
      <w:pPr>
        <w:pStyle w:val="TextBody"/>
        <w:spacing w:lineRule="auto" w:line="288" w:before="240" w:after="24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 xml:space="preserve">82.An instrument appointing a proxy may be in any usual or common form or such other form as the Directors may approve. </w:t>
      </w:r>
    </w:p>
    <w:p>
      <w:pPr>
        <w:pStyle w:val="TextBody"/>
        <w:spacing w:lineRule="auto" w:line="288" w:before="24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83.The instrument appointing a proxy shall be deposited at the Registered Office or at such other place as is specified for that purpose in the notice convening the meeting, or in any instrument of proxy sent out by the Company: </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6480175" cy="146685"/>
                <wp:effectExtent l="0" t="0" r="0" b="0"/>
                <wp:wrapNone/>
                <wp:docPr id="224" name="Frame22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v:rect>
            </w:pict>
          </mc:Fallback>
        </mc:AlternateContent>
      </w:r>
    </w:p>
    <w:p>
      <w:pPr>
        <w:pStyle w:val="TextBody"/>
        <w:spacing w:lineRule="auto" w:line="288" w:before="0" w:after="240"/>
        <w:ind w:left="0" w:right="0" w:hanging="909"/>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(i)not less than 48 hours before the time for holding the meeting or adjourned meeting at which the person named in the instrument proposes to vote; or </w:t>
      </w:r>
    </w:p>
    <w:p>
      <w:pPr>
        <w:pStyle w:val="TextBody"/>
        <w:spacing w:lineRule="auto" w:line="288" w:before="0" w:after="240"/>
        <w:ind w:left="0" w:right="0" w:hanging="964"/>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(ii)in the case of a poll taken more than 48 hours after it is demanded, be deposited as aforesaid after the poll has been demanded and not less than 24 hours before the time appointed for the taking of the poll; or </w:t>
      </w:r>
    </w:p>
    <w:p>
      <w:pPr>
        <w:pStyle w:val="TextBody"/>
        <w:spacing w:lineRule="auto" w:line="288" w:before="0" w:after="240"/>
        <w:ind w:left="0" w:right="0" w:hanging="1019"/>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(iii)where the poll is not taken forthwith but is taken not more than 48 hours after it was demanded be delivered at the meeting at which the poll was demanded to the chairman or to the secretary or to any director; </w:t>
      </w:r>
    </w:p>
    <w:p>
      <w:pPr>
        <w:pStyle w:val="TextBody"/>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provided that the Directors may in the notice convening the meeting, or in an instrument of proxy sent out by the Company, direct that the instrument appointing a proxy may be deposited at such other time (no later than the time for holding the meeting or adjourned meeting) at the Registered Office or at such other place as is specified for that purpose in the notice convening the meeting, or in any instrument of proxy sent out by the Company. The Chairman may in any event at his discretion direct that an instrument of proxy shall be deemed to have been duly deposited. An instrument of proxy that is not deposited in the manner permitted shall be invalid. </w:t>
      </w:r>
    </w:p>
    <w:p>
      <w:pPr>
        <w:pStyle w:val="TextBody"/>
        <w:spacing w:lineRule="auto" w:line="288" w:before="24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84.The instrument appointing a proxy shall be deemed to confer authority to demand or join in demanding a poll. </w:t>
      </w:r>
    </w:p>
    <w:p>
      <w:pPr>
        <w:pStyle w:val="TextBody"/>
        <w:spacing w:lineRule="auto" w:line="288" w:before="24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85.A resolution in writing signed by all the Shareholders for the time being entitled to receive notice of and to attend and vote at general meetings of the Company (or being corporations by their duly authorised representatives) shall be as valid and effective as if the same had been passed at a general meeting of the Company duly convened and held. </w:t>
      </w:r>
    </w:p>
    <w:p>
      <w:pPr>
        <w:pStyle w:val="TextBody"/>
        <w:spacing w:lineRule="auto" w:line="288" w:before="240" w:after="240"/>
        <w:jc w:val="center"/>
        <w:rPr>
          <w:rFonts w:ascii="Times New Roman;sans-serif" w:hAnsi="Times New Roman;sans-serif"/>
          <w:b/>
          <w:color w:val="000000"/>
          <w:sz w:val="20"/>
        </w:rPr>
      </w:pPr>
      <w:r>
        <w:rPr>
          <w:rFonts w:ascii="Times New Roman;sans-serif" w:hAnsi="Times New Roman;sans-serif"/>
          <w:b/>
          <w:color w:val="000000"/>
          <w:sz w:val="20"/>
        </w:rPr>
        <w:t xml:space="preserve">CORPORATIONS ACTING BY REPRESENTATIVES AT MEETINGS </w:t>
      </w:r>
    </w:p>
    <w:p>
      <w:pPr>
        <w:pStyle w:val="TextBody"/>
        <w:spacing w:lineRule="auto" w:line="288" w:before="24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86.Any corporation which is a Shareholder or a Director may by resolution of its directors or other governing body authorise such Person as it thinks fit to act as its representative at any meeting of the Company or of any meeting of holders of a Class or of the Directors or of a committee of Directors, and the Person so authorised shall be entitled to exercise the same powers on behalf of the corporation which he represents as that corporation could exercise if it were an individual Shareholder or Director. </w:t>
      </w:r>
    </w:p>
    <w:p>
      <w:pPr>
        <w:pStyle w:val="TextBody"/>
        <w:spacing w:lineRule="auto" w:line="288" w:before="240" w:after="240"/>
        <w:jc w:val="center"/>
        <w:rPr>
          <w:rFonts w:ascii="Times New Roman;sans-serif" w:hAnsi="Times New Roman;sans-serif"/>
          <w:b/>
          <w:color w:val="000000"/>
          <w:sz w:val="20"/>
        </w:rPr>
      </w:pPr>
      <w:r>
        <w:rPr>
          <w:rFonts w:ascii="Times New Roman;sans-serif" w:hAnsi="Times New Roman;sans-serif"/>
          <w:b/>
          <w:color w:val="000000"/>
          <w:sz w:val="20"/>
        </w:rPr>
        <w:t xml:space="preserve">DEPOSITARY AND CLEARING HOUSES </w:t>
      </w:r>
    </w:p>
    <w:p>
      <w:pPr>
        <w:pStyle w:val="TextBody"/>
        <w:spacing w:lineRule="auto" w:line="288" w:before="24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87.If a recognised clearing house (or its nominee(s)) or depositary (or its nominee(s)) is a Member of the Company it may, by resolution of its directors or other governing body or by power of attorney, authorise such Person(s) as it thinks fit to act as its representative(s) at any general meeting of the Company or of any Class of Shareholders provided that, if more than one Person is so authorised, the authorisation shall specify the number and Class of Shares in respect of which each such Person is so authorised. A Person so authorised pursuant to this Article shall be entitled to exercise the same powers on behalf of the recognised clearing house (or its nominee(s)) or depositary (or its nominee(s)) which he represents as that recognised clearing house (or its nominee(s)) or depositary (or its nominee(s)) could exercise if it were an individual Member holding the number and Class of Shares specified in such authorisation, including the right to vote individually on a show of hands. </w:t>
      </w:r>
    </w:p>
    <w:p>
      <w:pPr>
        <w:pStyle w:val="TextBody"/>
        <w:spacing w:lineRule="auto" w:line="288" w:before="240" w:after="240"/>
        <w:jc w:val="center"/>
        <w:rPr>
          <w:rFonts w:ascii="Times New Roman;sans-serif" w:hAnsi="Times New Roman;sans-serif"/>
          <w:b/>
          <w:color w:val="000000"/>
          <w:sz w:val="20"/>
        </w:rPr>
      </w:pPr>
      <w:r>
        <w:rPr>
          <w:rFonts w:ascii="Times New Roman;sans-serif" w:hAnsi="Times New Roman;sans-serif"/>
          <w:b/>
          <w:color w:val="000000"/>
          <w:sz w:val="20"/>
        </w:rPr>
        <w:t xml:space="preserve">DIRECTORS </w:t>
      </w:r>
    </w:p>
    <w:p>
      <w:pPr>
        <w:pStyle w:val="TextBody"/>
        <w:spacing w:lineRule="auto" w:line="288" w:before="240" w:after="240"/>
        <w:ind w:left="0" w:right="0" w:hanging="1440"/>
        <w:jc w:val="both"/>
        <w:rPr/>
      </w:pPr>
      <w:r>
        <w:rPr>
          <w:rFonts w:ascii="Times New Roman;sans-serif" w:hAnsi="Times New Roman;sans-serif"/>
          <w:b w:val="false"/>
          <w:color w:val="000000"/>
          <w:sz w:val="20"/>
        </w:rPr>
        <w:t>88.</w:t>
      </w:r>
      <w:r>
        <w:rPr>
          <w:color w:val="000000"/>
        </w:rPr>
        <w:t>    </w:t>
      </w:r>
    </w:p>
    <w:p>
      <w:pPr>
        <w:pStyle w:val="TextBody"/>
        <w:spacing w:lineRule="auto" w:line="288" w:before="0" w:after="240"/>
        <w:ind w:left="0" w:right="0" w:hanging="909"/>
        <w:jc w:val="both"/>
        <w:rPr>
          <w:rFonts w:ascii="Times New Roman;sans-serif" w:hAnsi="Times New Roman;sans-serif"/>
          <w:b w:val="false"/>
          <w:color w:val="000000"/>
          <w:sz w:val="20"/>
        </w:rPr>
      </w:pPr>
      <w:r>
        <w:rPr>
          <w:rFonts w:ascii="Times New Roman;sans-serif" w:hAnsi="Times New Roman;sans-serif"/>
          <w:b w:val="false"/>
          <w:color w:val="000000"/>
          <w:sz w:val="20"/>
        </w:rPr>
        <w:t>(i)Unless otherwise determined by the Company in general meeting, the number of Directors shall not be less than five (5) Directors, the exact number of Directors to be determined from time to time by the Board of Directors.</w:t>
      </w:r>
    </w:p>
    <w:p>
      <w:pPr>
        <w:pStyle w:val="TextBody"/>
        <w:spacing w:lineRule="auto" w:line="288" w:before="0" w:after="2"/>
        <w:ind w:left="0" w:right="0" w:hanging="1013"/>
        <w:jc w:val="both"/>
        <w:rPr/>
      </w:pPr>
      <w:r>
        <w:rPr>
          <w:rFonts w:ascii="Times New Roman;sans-serif" w:hAnsi="Times New Roman;sans-serif"/>
          <w:b w:val="false"/>
          <w:color w:val="000000"/>
          <w:sz w:val="24"/>
        </w:rPr>
        <w:t>(ii)</w:t>
      </w:r>
      <w:r>
        <w:rPr>
          <w:rFonts w:ascii="Times New Roman;sans-serif" w:hAnsi="Times New Roman;sans-serif"/>
          <w:b w:val="false"/>
          <w:color w:val="000000"/>
          <w:sz w:val="20"/>
        </w:rPr>
        <w:t xml:space="preserve">For as long as Soundscape Limited and its Affiliates collectively hold such number of Class B Ordinary Shares that constitute not less than 5% of the issued and outstanding Shares of the </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6480175" cy="146685"/>
                <wp:effectExtent l="0" t="0" r="0" b="0"/>
                <wp:wrapNone/>
                <wp:docPr id="225" name="Frame22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v:rect>
            </w:pict>
          </mc:Fallback>
        </mc:AlternateContent>
      </w:r>
    </w:p>
    <w:p>
      <w:pPr>
        <w:pStyle w:val="TextBody"/>
        <w:spacing w:lineRule="auto" w:line="288" w:before="0" w:after="2"/>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Company, Soundscape Limited shall be entitled to appoint such number of Directors as shall constitute a majority of the Directors, and to remove or replace any such Director(s) so appointed, in each case by delivering a written notice to the Company, and such appointment, removal or replacement as specified therein shall be valid and effective automatically and forthwith upon delivery of such written notice by Soundscape Limited to the Company (or upon any later effective date as may be specified in the written notice), in each case without the requirement for any further approval or consent to be given, or any further action to be taken, or any further resolution to be passed, by the Members or the Directors. </w:t>
      </w:r>
    </w:p>
    <w:p>
      <w:pPr>
        <w:pStyle w:val="TextBody"/>
        <w:spacing w:lineRule="auto" w:line="288" w:before="0" w:after="240"/>
        <w:ind w:left="0" w:right="0" w:hanging="1019"/>
        <w:jc w:val="both"/>
        <w:rPr>
          <w:rFonts w:ascii="Times New Roman;sans-serif" w:hAnsi="Times New Roman;sans-serif"/>
          <w:b w:val="false"/>
          <w:color w:val="000000"/>
          <w:sz w:val="20"/>
        </w:rPr>
      </w:pPr>
      <w:r>
        <w:rPr>
          <w:rFonts w:ascii="Times New Roman;sans-serif" w:hAnsi="Times New Roman;sans-serif"/>
          <w:b w:val="false"/>
          <w:color w:val="000000"/>
          <w:sz w:val="20"/>
        </w:rPr>
        <w:t>(iii)The Chairman shall be Mr. Bin (Tony) Zhao for as long he remains a member of the Board of Directors. If Mr. Bin (Tony) Zhao ceases to be a member of the Board of Directors, the Board of Directors shall elect and appoint a Chairman by a majority of the Directors then in office. The period for which the Chairman will hold office will also be determined by a majority of all of the Directors then in office. The Chairman shall preside as chairman at every meeting of the Board of Directors. To the extent the Chairman is not present at a meeting of the Board of Directors within fifteen minutes after the time appointed for holding the same, the attending Directors may choose one of their number to be the chairman of the meeting.</w:t>
      </w:r>
    </w:p>
    <w:p>
      <w:pPr>
        <w:pStyle w:val="TextBody"/>
        <w:spacing w:lineRule="auto" w:line="288" w:before="0" w:after="240"/>
        <w:ind w:left="0" w:right="0" w:hanging="1009"/>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(iv)Subject to Article 88(b), the Company may by Ordinary Resolution appoint any person to be a Director. </w:t>
      </w:r>
    </w:p>
    <w:p>
      <w:pPr>
        <w:pStyle w:val="TextBody"/>
        <w:spacing w:lineRule="auto" w:line="288" w:before="0" w:after="240"/>
        <w:ind w:left="0" w:right="0" w:hanging="953"/>
        <w:jc w:val="both"/>
        <w:rPr>
          <w:rFonts w:ascii="Times New Roman;sans-serif" w:hAnsi="Times New Roman;sans-serif"/>
          <w:b w:val="false"/>
          <w:color w:val="000000"/>
          <w:sz w:val="20"/>
        </w:rPr>
      </w:pPr>
      <w:r>
        <w:rPr>
          <w:rFonts w:ascii="Times New Roman;sans-serif" w:hAnsi="Times New Roman;sans-serif"/>
          <w:b w:val="false"/>
          <w:color w:val="000000"/>
          <w:sz w:val="20"/>
        </w:rPr>
        <w:t>(v)Subject to Article 88(b), the Board may, by the affirmative vote of a simple majority of the Directors present and voting at a Board meeting, appoint any person as a Director, to fill a casual vacancy on the Board or as an addition to the Board.</w:t>
      </w:r>
    </w:p>
    <w:p>
      <w:pPr>
        <w:pStyle w:val="TextBody"/>
        <w:spacing w:lineRule="auto" w:line="288" w:before="0" w:after="240"/>
        <w:ind w:left="0" w:right="0" w:hanging="1009"/>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(vi)An appointment of a Director may be on terms that the Director shall automatically retire from office (unless he has sooner vacated office) at the next or a subsequent annual general meeting or upon any specified event or after any specified period in a written agreement between the Company and the Director, if any; but no such term shall be implied in the absence of express provision. Each Director whose term of office expires shall be eligible for re-election at a meeting of the Shareholders or re-appointment by the Board. </w:t>
      </w:r>
    </w:p>
    <w:p>
      <w:pPr>
        <w:pStyle w:val="TextBody"/>
        <w:spacing w:lineRule="auto" w:line="288" w:before="24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89.A Director (other than such Director appointed pursuant to Article 88(b) may be removed from office by a resolution of the Board of Directors or by Ordinary Resolution of the Company, notwithstanding anything in these Articles or in any agreement between the Company and such Director (but without prejudice to any claim for damages under such agreement). A vacancy on the Board created by the removal of a Director under the previous sentence may be filled by Ordinary Resolution or by the affirmative vote of a simple majority of the remaining Directors present and voting at a Board meeting. The notice of any meeting at which a resolution to remove a Director shall be proposed or voted upon must contain a statement of the intention to remove that Director and such notice must be served on that Director not less than three (3) calendar days before the meeting. Such Director is entitled to attend the meeting and be heard on the motion for his removal. </w:t>
      </w:r>
    </w:p>
    <w:p>
      <w:pPr>
        <w:pStyle w:val="TextBody"/>
        <w:spacing w:lineRule="auto" w:line="288" w:before="24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90.The Board may, from time to time, and except as required by applicable law or Designated Stock Exchange Rules, adopt, institute, amend, modify or revoke the corporate governance policies or initiatives of the Company and determine on various corporate governance related matters of the Company as the Board shall determine by resolution of Directors from time to time. </w:t>
      </w:r>
    </w:p>
    <w:p>
      <w:pPr>
        <w:pStyle w:val="TextBody"/>
        <w:spacing w:lineRule="auto" w:line="288" w:before="24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91.A Director shall not be required to hold any Shares in the Company by way of qualification. A Director who is not a Member of the Company shall nevertheless be entitled to attend and speak at general meetings. </w:t>
      </w:r>
    </w:p>
    <w:p>
      <w:pPr>
        <w:pStyle w:val="TextBody"/>
        <w:spacing w:lineRule="auto" w:line="288" w:before="24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92.The remuneration of the Directors may be determined by the Directors or by Ordinary Resolution. </w:t>
      </w:r>
    </w:p>
    <w:p>
      <w:pPr>
        <w:pStyle w:val="TextBody"/>
        <w:spacing w:lineRule="auto" w:line="288" w:before="24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93.The Directors shall be entitled to be paid their travelling, hotel and other expenses properly incurred by them in going to, attending and returning from meetings of the Directors, or any committee of the Directors, or general meetings of the Company, or otherwise in connection with the business of the </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6480175" cy="146685"/>
                <wp:effectExtent l="0" t="0" r="0" b="0"/>
                <wp:wrapNone/>
                <wp:docPr id="226" name="Frame22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v:rect>
            </w:pict>
          </mc:Fallback>
        </mc:AlternateContent>
      </w:r>
    </w:p>
    <w:p>
      <w:pPr>
        <w:pStyle w:val="TextBody"/>
        <w:spacing w:lineRule="auto" w:line="288" w:before="240" w:after="2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Company, or to receive such fixed allowance in respect thereof as may be determined by the Directors from time to time, or a combination partly of one such method and partly the other. </w:t>
      </w:r>
    </w:p>
    <w:p>
      <w:pPr>
        <w:pStyle w:val="TextBody"/>
        <w:spacing w:lineRule="auto" w:line="288" w:before="240" w:after="240"/>
        <w:jc w:val="center"/>
        <w:rPr>
          <w:rFonts w:ascii="Times New Roman;sans-serif" w:hAnsi="Times New Roman;sans-serif"/>
          <w:b/>
          <w:color w:val="000000"/>
          <w:sz w:val="20"/>
        </w:rPr>
      </w:pPr>
      <w:r>
        <w:rPr>
          <w:rFonts w:ascii="Times New Roman;sans-serif" w:hAnsi="Times New Roman;sans-serif"/>
          <w:b/>
          <w:color w:val="000000"/>
          <w:sz w:val="20"/>
        </w:rPr>
        <w:t xml:space="preserve">ALTERNATE DIRECTOR OR PROXY </w:t>
      </w:r>
    </w:p>
    <w:p>
      <w:pPr>
        <w:pStyle w:val="TextBody"/>
        <w:spacing w:lineRule="auto" w:line="288" w:before="24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94.Any Director may in writing appoint another Person to be his alternate and, save to the extent provided otherwise in the form of appointment, such alternate shall have authority to sign written resolutions on behalf of the appointing Director, but shall not be required to sign such written resolutions where they have been signed by the appointing director, and to act in such Director's place at any meeting of the Directors at which the appointing Director is unable to be present. Every such alternate shall be entitled to attend and vote at meetings of the Directors as a Director when the Director appointing him is not personally present and where he is a Director to have a separate vote on behalf of the Director he is representing in addition to his own vote. A Director may at any time in writing revoke the appointment of an alternate appointed by him. Such alternate shall be deemed for all purposes to be a Director and shall not be deemed to be the agent of the Director appointing him. The remuneration of such alternate shall be payable out of the remuneration of the Director appointing him and the proportion thereof shall be agreed between them. </w:t>
      </w:r>
    </w:p>
    <w:p>
      <w:pPr>
        <w:pStyle w:val="TextBody"/>
        <w:spacing w:lineRule="auto" w:line="288" w:before="24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95.Any Director may appoint any Person, whether or not a Director, to be the proxy of that Director to attend and vote on his behalf, in accordance with instructions given by that Director, or in the absence of such instructions at the discretion of the proxy, at a meeting or meetings of the Directors which that Director is unable to attend personally. The instrument appointing the proxy shall be in writing under the hand of the appointing Director and shall be in any usual or common form or such other form as the Directors may approve, and must be lodged with the chairman of the meeting of the Directors at which such proxy is to be used, or first used, prior to the commencement of the meeting. </w:t>
      </w:r>
    </w:p>
    <w:p>
      <w:pPr>
        <w:pStyle w:val="TextBody"/>
        <w:spacing w:lineRule="auto" w:line="288" w:before="240" w:after="240"/>
        <w:jc w:val="center"/>
        <w:rPr>
          <w:rFonts w:ascii="Times New Roman;sans-serif" w:hAnsi="Times New Roman;sans-serif"/>
          <w:b/>
          <w:color w:val="000000"/>
          <w:sz w:val="20"/>
        </w:rPr>
      </w:pPr>
      <w:r>
        <w:rPr>
          <w:rFonts w:ascii="Times New Roman;sans-serif" w:hAnsi="Times New Roman;sans-serif"/>
          <w:b/>
          <w:color w:val="000000"/>
          <w:sz w:val="20"/>
        </w:rPr>
        <w:t xml:space="preserve">POWERS AND DUTIES OF DIRECTORS </w:t>
      </w:r>
    </w:p>
    <w:p>
      <w:pPr>
        <w:pStyle w:val="TextBody"/>
        <w:spacing w:lineRule="auto" w:line="288" w:before="24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96.Subject to the Companies Law, these Articles and to any resolutions passed in a general meeting, the business of the Company shall be managed by the Directors, who may pay all expenses incurred in setting up and registering the Company and may exercise all powers of the Company. No resolution passed by the Company in general meeting shall invalidate any prior act of the Directors that would have been valid if that resolution had not been passed. </w:t>
      </w:r>
    </w:p>
    <w:p>
      <w:pPr>
        <w:pStyle w:val="TextBody"/>
        <w:spacing w:lineRule="auto" w:line="288" w:before="24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97.Subject to these Articles, the Directors may from time to time appoint any natural person or corporation, whether or not a Director to hold such office in the Company as the Directors may think necessary for the administration of the Company, including but not limited to, chief executive officer, one or more other executive officers, president, one or more vice presidents, treasurer, assistant treasurer, manager or controller, and for such term and at such remuneration (whether by way of salary or commission or participation in profits or partly in one way and partly in another), and with such powers and duties as the Directors may think fit. Any natural person or corporation so appointed by the Directors may be removed by the Directors. The Directors may also appoint one or more of their number to the office of managing director upon like terms, but any such appointment shall ipso facto terminate if any managing director ceases for any cause to be a Director, or if the Company by Ordinary Resolution resolves that his tenure of office be terminated. </w:t>
      </w:r>
    </w:p>
    <w:p>
      <w:pPr>
        <w:pStyle w:val="TextBody"/>
        <w:spacing w:lineRule="auto" w:line="288" w:before="24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98.The Directors may appoint any natural person or corporation to be a Secretary (and if need be an assistant Secretary or assistant Secretaries) who shall hold office for such term, at such remuneration and upon such conditions and with such powers as they think fit. Any Secretary or assistant Secretary so appointed by the Directors may be removed by the Directors or by the Company by Ordinary Resolution. </w:t>
      </w:r>
    </w:p>
    <w:p>
      <w:pPr>
        <w:pStyle w:val="TextBody"/>
        <w:spacing w:lineRule="auto" w:line="288" w:before="240" w:after="24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 xml:space="preserve">99.The Directors may delegate any of their powers to committees consisting of such member or members of their body as they think fit; any committee so formed shall in the exercise of the powers so delegated conform to any regulations that may be imposed on it by the Directors. </w:t>
      </w:r>
    </w:p>
    <w:p>
      <w:pPr>
        <w:pStyle w:val="TextBody"/>
        <w:spacing w:lineRule="auto" w:line="288" w:before="24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100.The Directors may from time to time and at any time by power of attorney (whether under Seal or under hand) or otherwise appoint any company, firm or Person or body of Persons, whether nominated </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6480175" cy="146685"/>
                <wp:effectExtent l="0" t="0" r="0" b="0"/>
                <wp:wrapNone/>
                <wp:docPr id="227" name="Frame22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v:rect>
            </w:pict>
          </mc:Fallback>
        </mc:AlternateContent>
      </w:r>
    </w:p>
    <w:p>
      <w:pPr>
        <w:pStyle w:val="TextBody"/>
        <w:spacing w:lineRule="auto" w:line="288" w:before="240" w:after="2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directly or indirectly by the Directors, to be the attorney or attorneys or authorised signatory (any such Person being an "Attorney" or "Authorised Signatory", respectively) of the Company for such purposes and with such powers, authorities and discretion (not exceeding those vested in or exercisable by the Directors under these Articles) and for such period and subject to such conditions as they may think fit, and any such power of attorney or other appointment may contain such provisions for the protection and convenience of Persons dealing with any such Attorney or Authorised Signatory as the Directors may think fit, and may also authorise any such Attorney or Authorised Signatory to delegate all or any of the powers, authorities and discretion vested in him. </w:t>
      </w:r>
    </w:p>
    <w:p>
      <w:pPr>
        <w:pStyle w:val="TextBody"/>
        <w:spacing w:lineRule="auto" w:line="288" w:before="24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101.The Directors may from time to time provide for the management of the affairs of the Company in such manner as they shall think fit and the provisions contained in the three next following Articles shall not limit the general powers conferred by this Article. </w:t>
      </w:r>
    </w:p>
    <w:p>
      <w:pPr>
        <w:pStyle w:val="TextBody"/>
        <w:spacing w:lineRule="auto" w:line="288" w:before="24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102.The Directors from time to time and at any time may establish any committees, local boards or agencies for managing any of the affairs of the Company and may appoint any natural person or corporation to be a member of such committees or local boards and may appoint any managers or agents of the Company and may fix the remuneration of any such natural person or corporation. </w:t>
      </w:r>
    </w:p>
    <w:p>
      <w:pPr>
        <w:pStyle w:val="TextBody"/>
        <w:spacing w:lineRule="auto" w:line="288" w:before="24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103.The Directors from time to time and at any time may delegate to any such committee, local board, manager or agent any of the powers, authorities and discretions for the time being vested in the Directors and may authorise the members for the time being of any such local board, or any of them to fill any vacancies therein and to act notwithstanding vacancies and any such appointment or delegation may be made on such terms and subject to such conditions as the Directors may think fit and the Directors may at any time remove any natural person or corporation so appointed and may annul or vary any such delegation, but no Person dealing in good faith and without notice of any such annulment or variation shall be affected thereby. </w:t>
      </w:r>
    </w:p>
    <w:p>
      <w:pPr>
        <w:pStyle w:val="TextBody"/>
        <w:spacing w:lineRule="auto" w:line="288" w:before="24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104.Any such delegates as aforesaid may be authorised by the Directors to sub-delegate all or any of the powers, authorities, and discretion for the time being vested in them. </w:t>
      </w:r>
    </w:p>
    <w:p>
      <w:pPr>
        <w:pStyle w:val="TextBody"/>
        <w:spacing w:lineRule="auto" w:line="288" w:before="240" w:after="240"/>
        <w:jc w:val="center"/>
        <w:rPr>
          <w:rFonts w:ascii="Times New Roman;sans-serif" w:hAnsi="Times New Roman;sans-serif"/>
          <w:b/>
          <w:color w:val="000000"/>
          <w:sz w:val="20"/>
        </w:rPr>
      </w:pPr>
      <w:r>
        <w:rPr>
          <w:rFonts w:ascii="Times New Roman;sans-serif" w:hAnsi="Times New Roman;sans-serif"/>
          <w:b/>
          <w:color w:val="000000"/>
          <w:sz w:val="20"/>
        </w:rPr>
        <w:t xml:space="preserve">BORROWING POWERS OF DIRECTORS </w:t>
      </w:r>
    </w:p>
    <w:p>
      <w:pPr>
        <w:pStyle w:val="TextBody"/>
        <w:spacing w:lineRule="auto" w:line="288" w:before="24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105.The Directors may from time to time at their discretion exercise all the powers of the Company to raise or borrow money and to mortgage or charge its undertaking, property and assets (present and future) and uncalled capital or any part thereof, to issue debentures, debenture stock, bonds and other securities, whether outright or as collateral security for any debt, liability or obligation of the Company or of any third party. </w:t>
      </w:r>
    </w:p>
    <w:p>
      <w:pPr>
        <w:pStyle w:val="TextBody"/>
        <w:spacing w:lineRule="auto" w:line="288" w:before="240" w:after="240"/>
        <w:jc w:val="center"/>
        <w:rPr>
          <w:rFonts w:ascii="Times New Roman;sans-serif" w:hAnsi="Times New Roman;sans-serif"/>
          <w:b/>
          <w:color w:val="000000"/>
          <w:sz w:val="20"/>
        </w:rPr>
      </w:pPr>
      <w:r>
        <w:rPr>
          <w:rFonts w:ascii="Times New Roman;sans-serif" w:hAnsi="Times New Roman;sans-serif"/>
          <w:b/>
          <w:color w:val="000000"/>
          <w:sz w:val="20"/>
        </w:rPr>
        <w:t xml:space="preserve">THE SEAL </w:t>
      </w:r>
    </w:p>
    <w:p>
      <w:pPr>
        <w:pStyle w:val="TextBody"/>
        <w:spacing w:lineRule="auto" w:line="288" w:before="24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106.The Seal shall not be affixed to any instrument except by the authority of a resolution of the Directors provided always that such authority may be given prior to or after the affixing of the Seal and if given after may be in general form confirming a number of affixing of the Seal. The Seal shall be affixed in the presence of a Director or a Secretary (or an assistant Secretary) or in the presence of any one or more Persons as the Directors may appoint for the purpose and every Person as aforesaid shall sign every instrument to which the Seal is so affixed in their presence. </w:t>
      </w:r>
    </w:p>
    <w:p>
      <w:pPr>
        <w:pStyle w:val="TextBody"/>
        <w:spacing w:lineRule="auto" w:line="288" w:before="24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107.The Company may maintain a facsimile of the Seal in such countries or places as the Directors may appoint and such facsimile Seal shall not be affixed to any instrument except by the authority of a resolution of the Directors provided always that such authority may be given prior to or after the affixing of such facsimile Seal and if given after may be in general form confirming a number of affixing of such facsimile Seal. The facsimile Seal shall be affixed in the presence of such Person or Persons as the Directors shall for this purpose appoint and such Person or Persons as aforesaid shall sign every instrument to which the facsimile Seal is so affixed in their presence and such affixing of the facsimile Seal and signing as aforesaid shall have the same meaning and effect as if the Seal had been affixed in the presence of and the instrument signed by a Director or a Secretary (or an assistant Secretary) or in the presence of any one or more Persons as the Directors may appoint for the purpose. </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6480175" cy="146685"/>
                <wp:effectExtent l="0" t="0" r="0" b="0"/>
                <wp:wrapNone/>
                <wp:docPr id="228" name="Frame22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v:rect>
            </w:pict>
          </mc:Fallback>
        </mc:AlternateContent>
      </w:r>
    </w:p>
    <w:p>
      <w:pPr>
        <w:pStyle w:val="TextBody"/>
        <w:spacing w:lineRule="auto" w:line="288" w:before="24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108.Notwithstanding the foregoing, a Secretary or any assistant Secretary shall have the authority to affix the Seal, or the facsimile Seal, to any instrument for the purposes of attesting authenticity of the matter contained therein but which does not create any obligation binding on the Company. </w:t>
      </w:r>
    </w:p>
    <w:p>
      <w:pPr>
        <w:pStyle w:val="TextBody"/>
        <w:spacing w:lineRule="auto" w:line="288" w:before="240" w:after="240"/>
        <w:jc w:val="center"/>
        <w:rPr>
          <w:rFonts w:ascii="Times New Roman;sans-serif" w:hAnsi="Times New Roman;sans-serif"/>
          <w:b/>
          <w:color w:val="000000"/>
          <w:sz w:val="20"/>
        </w:rPr>
      </w:pPr>
      <w:r>
        <w:rPr>
          <w:rFonts w:ascii="Times New Roman;sans-serif" w:hAnsi="Times New Roman;sans-serif"/>
          <w:b/>
          <w:color w:val="000000"/>
          <w:sz w:val="20"/>
        </w:rPr>
        <w:t xml:space="preserve">DISQUALIFICATION OF DIRECTORS </w:t>
      </w:r>
    </w:p>
    <w:p>
      <w:pPr>
        <w:pStyle w:val="TextBody"/>
        <w:spacing w:lineRule="auto" w:line="288" w:before="24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109.The office of Director shall be vacated, if the Director: </w:t>
      </w:r>
    </w:p>
    <w:p>
      <w:pPr>
        <w:pStyle w:val="TextBody"/>
        <w:spacing w:lineRule="auto" w:line="288" w:before="0" w:after="240"/>
        <w:ind w:left="0" w:right="0" w:hanging="909"/>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(i)becomes bankrupt or makes any arrangement or composition with his creditors; </w:t>
      </w:r>
    </w:p>
    <w:p>
      <w:pPr>
        <w:pStyle w:val="TextBody"/>
        <w:spacing w:lineRule="auto" w:line="288" w:before="0" w:after="240"/>
        <w:ind w:left="0" w:right="0" w:hanging="964"/>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(ii)dies or is found to be or becomes of unsound mind; </w:t>
      </w:r>
    </w:p>
    <w:p>
      <w:pPr>
        <w:pStyle w:val="TextBody"/>
        <w:spacing w:lineRule="auto" w:line="288" w:before="0" w:after="240"/>
        <w:ind w:left="0" w:right="0" w:hanging="1019"/>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(iii)resigns his office by notice in writing to the Company; or </w:t>
      </w:r>
    </w:p>
    <w:p>
      <w:pPr>
        <w:pStyle w:val="TextBody"/>
        <w:spacing w:lineRule="auto" w:line="288" w:before="0" w:after="240"/>
        <w:ind w:left="0" w:right="0" w:hanging="1009"/>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(iv)is removed from office pursuant to any other provision of these Articles. </w:t>
      </w:r>
    </w:p>
    <w:p>
      <w:pPr>
        <w:pStyle w:val="TextBody"/>
        <w:spacing w:lineRule="auto" w:line="288" w:before="240" w:after="240"/>
        <w:jc w:val="center"/>
        <w:rPr>
          <w:rFonts w:ascii="Times New Roman;sans-serif" w:hAnsi="Times New Roman;sans-serif"/>
          <w:b/>
          <w:color w:val="000000"/>
          <w:sz w:val="20"/>
        </w:rPr>
      </w:pPr>
      <w:r>
        <w:rPr>
          <w:rFonts w:ascii="Times New Roman;sans-serif" w:hAnsi="Times New Roman;sans-serif"/>
          <w:b/>
          <w:color w:val="000000"/>
          <w:sz w:val="20"/>
        </w:rPr>
        <w:t xml:space="preserve">PROCEEDINGS OF DIRECTORS </w:t>
      </w:r>
    </w:p>
    <w:p>
      <w:pPr>
        <w:pStyle w:val="TextBody"/>
        <w:spacing w:lineRule="auto" w:line="288" w:before="24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110.The Directors may meet together (either within or outside the Cayman Islands) for the despatch of business, adjourn, and otherwise regulate their meetings and proceedings as they think fit. Questions arising at any meeting shall be decided by a majority of votes. At any meeting of the Directors, each Director present in person or represented by his proxy or alternate shall be entitled to one vote. In case of an equality of votes the Chairman shall have a second or casting vote. A Director may, and a Secretary or assistant Secretary on the requisition of a Director shall, at any time summon a meeting of the Directors. </w:t>
      </w:r>
    </w:p>
    <w:p>
      <w:pPr>
        <w:pStyle w:val="TextBody"/>
        <w:spacing w:lineRule="auto" w:line="288" w:before="24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111.A Director may participate in any meeting of the Directors, or of any committee appointed by the Directors of which such Director is a member, by means of telephone or similar communication equipment by way of which all Persons participating in such meeting can communicate with each other and such participation shall be deemed to constitute presence in person at the meeting. </w:t>
      </w:r>
    </w:p>
    <w:p>
      <w:pPr>
        <w:pStyle w:val="TextBody"/>
        <w:spacing w:lineRule="auto" w:line="288" w:before="24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112.The quorum necessary for the transaction of the business of the Board may be fixed by the Directors, and unless so fixed, the quorum shall be a majority of Directors then in office. A Director represented by proxy or by an alternate Director at any meeting shall be deemed to be present for the purposes of determining whether or not a quorum is present. </w:t>
      </w:r>
    </w:p>
    <w:p>
      <w:pPr>
        <w:pStyle w:val="TextBody"/>
        <w:spacing w:lineRule="auto" w:line="288" w:before="24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113.A Director who is in any way, whether directly or indirectly, interested in a contract or transaction or proposed contract or transaction with the Company shall declare the nature of his interest at a meeting of the Directors. A general notice given to the Directors by any Director to the effect that he is a member of any specified company or firm and is to be regarded as interested in any contract or transaction which may thereafter be made with that company or firm shall be deemed a sufficient declaration of interest in regard to any contract so made or transaction so consummated. Subject to the Designated Stock Exchange Rules and disqualification by the chairman of the relevant Board meeting, a Director may vote in respect of any contract or transaction or proposed contract or transaction notwithstanding that he may be interested therein and if he does so his vote shall be counted and he may be counted in the quorum at any meeting of the Directors at which any such contract or transaction or proposed contract or transaction shall come before the meeting for consideration. </w:t>
      </w:r>
    </w:p>
    <w:p>
      <w:pPr>
        <w:pStyle w:val="TextBody"/>
        <w:spacing w:lineRule="auto" w:line="288" w:before="24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114.A Director may hold any other office or place of profit under the Company (other than the office of auditor) in conjunction with his office of Director for such period and on such terms (as to remuneration and otherwise) as the Directors may determine and no Director or intending Director shall be disqualified by his office from contracting with the Company either with regard to his tenure of any such other office or place of profit or as vendor, purchaser or otherwise, nor shall any such contract or arrangement entered into by or on behalf of the Company in which any Director is in any way interested be liable to be avoided, nor shall any Director so contracting or being so interested be liable to account to the Company for any profit realised by any such contract or arrangement by reason of such Director holding that office or of the fiduciary relation thereby established. A Director, notwithstanding his interest, may be counted in the quorum present at any meeting of the Directors </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6480175" cy="146685"/>
                <wp:effectExtent l="0" t="0" r="0" b="0"/>
                <wp:wrapNone/>
                <wp:docPr id="229" name="Frame22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v:rect>
            </w:pict>
          </mc:Fallback>
        </mc:AlternateContent>
      </w:r>
    </w:p>
    <w:p>
      <w:pPr>
        <w:pStyle w:val="TextBody"/>
        <w:spacing w:lineRule="auto" w:line="288" w:before="240" w:after="2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whereat he or any other Director is appointed to hold any such office or place of profit under the Company or whereat the terms of any such appointment are arranged and he may vote on any such appointment or arrangement. </w:t>
      </w:r>
    </w:p>
    <w:p>
      <w:pPr>
        <w:pStyle w:val="TextBody"/>
        <w:spacing w:lineRule="auto" w:line="288" w:before="24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115.Any Director may act by himself or through his firm in a professional capacity for the Company, and he or his firm shall be entitled to remuneration for professional services as if he were not a Director; provided that nothing herein contained shall authorise a Director or his firm to act as auditor to the Company. </w:t>
      </w:r>
    </w:p>
    <w:p>
      <w:pPr>
        <w:pStyle w:val="TextBody"/>
        <w:spacing w:lineRule="auto" w:line="288" w:before="240" w:after="24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 xml:space="preserve">116.The Directors shall cause minutes to be made for the purpose of recording: </w:t>
      </w:r>
    </w:p>
    <w:p>
      <w:pPr>
        <w:pStyle w:val="TextBody"/>
        <w:spacing w:lineRule="auto" w:line="288" w:before="0" w:after="240"/>
        <w:ind w:left="0" w:right="0" w:hanging="909"/>
        <w:rPr>
          <w:rFonts w:ascii="Times New Roman;sans-serif" w:hAnsi="Times New Roman;sans-serif"/>
          <w:b w:val="false"/>
          <w:color w:val="000000"/>
          <w:sz w:val="20"/>
        </w:rPr>
      </w:pPr>
      <w:r>
        <w:rPr>
          <w:rFonts w:ascii="Times New Roman;sans-serif" w:hAnsi="Times New Roman;sans-serif"/>
          <w:b w:val="false"/>
          <w:color w:val="000000"/>
          <w:sz w:val="20"/>
        </w:rPr>
        <w:t xml:space="preserve">(i)all appointments of officers made by the Directors; </w:t>
      </w:r>
    </w:p>
    <w:p>
      <w:pPr>
        <w:pStyle w:val="TextBody"/>
        <w:spacing w:lineRule="auto" w:line="288" w:before="0" w:after="240"/>
        <w:ind w:left="0" w:right="0" w:hanging="964"/>
        <w:rPr>
          <w:rFonts w:ascii="Times New Roman;sans-serif" w:hAnsi="Times New Roman;sans-serif"/>
          <w:b w:val="false"/>
          <w:color w:val="000000"/>
          <w:sz w:val="20"/>
        </w:rPr>
      </w:pPr>
      <w:r>
        <w:rPr>
          <w:rFonts w:ascii="Times New Roman;sans-serif" w:hAnsi="Times New Roman;sans-serif"/>
          <w:b w:val="false"/>
          <w:color w:val="000000"/>
          <w:sz w:val="20"/>
        </w:rPr>
        <w:t xml:space="preserve">(ii)the names of the Directors present at each meeting of the Directors and of any committee of the Directors; and </w:t>
      </w:r>
    </w:p>
    <w:p>
      <w:pPr>
        <w:pStyle w:val="TextBody"/>
        <w:spacing w:lineRule="auto" w:line="288" w:before="0" w:after="240"/>
        <w:ind w:left="0" w:right="0" w:hanging="1019"/>
        <w:rPr>
          <w:rFonts w:ascii="Times New Roman;sans-serif" w:hAnsi="Times New Roman;sans-serif"/>
          <w:b w:val="false"/>
          <w:color w:val="000000"/>
          <w:sz w:val="20"/>
        </w:rPr>
      </w:pPr>
      <w:r>
        <w:rPr>
          <w:rFonts w:ascii="Times New Roman;sans-serif" w:hAnsi="Times New Roman;sans-serif"/>
          <w:b w:val="false"/>
          <w:color w:val="000000"/>
          <w:sz w:val="20"/>
        </w:rPr>
        <w:t xml:space="preserve">(iii)all resolutions and proceedings at all meetings of the Company, and of the Directors and of committees of Directors. </w:t>
      </w:r>
    </w:p>
    <w:p>
      <w:pPr>
        <w:pStyle w:val="TextBody"/>
        <w:spacing w:lineRule="auto" w:line="288" w:before="24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117.When the chairman of a meeting of the Directors signs the minutes of such meeting the same shall be deemed to have been duly held notwithstanding that all the Directors have not actually come together or that there may have been a technical defect in the proceedings. </w:t>
      </w:r>
    </w:p>
    <w:p>
      <w:pPr>
        <w:pStyle w:val="TextBody"/>
        <w:spacing w:lineRule="auto" w:line="288" w:before="24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118.A resolution in writing signed by all the Directors or all the members of a committee of Directors entitled to receive notice of a meeting of Directors or committee of Directors, as the case may be (an alternate Director, subject as provided otherwise in the terms of appointment of the alternate Director, being entitled to sign such a resolution on behalf of his appointer), shall be as valid and effectual as if it had been passed at a duly called and constituted meeting of Directors or committee of Directors, as the case may be. When signed a resolution may consist of several documents each signed by one or more of the Directors or his duly appointed alternate. </w:t>
      </w:r>
    </w:p>
    <w:p>
      <w:pPr>
        <w:pStyle w:val="TextBody"/>
        <w:spacing w:lineRule="auto" w:line="288" w:before="24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119.The continuing Directors may act notwithstanding any vacancy in their body but if and for so long as their number is reduced below the number fixed by or pursuant to these Articles as the necessary quorum of Directors, the continuing Directors may act for the purpose of increasing the number, or of summoning a general meeting of the Company, but for no other purpose. </w:t>
      </w:r>
    </w:p>
    <w:p>
      <w:pPr>
        <w:pStyle w:val="TextBody"/>
        <w:spacing w:lineRule="auto" w:line="288" w:before="24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120.Subject to any regulations imposed on it by the Directors, a committee appointed by the Directors may elect a chairman of its meetings. If no such chairman is elected, or if at any meeting the chairman is not present within fifteen minutes after the time appointed for holding the meeting, the committee members present may choose one of their number to be chairman of the meeting. </w:t>
      </w:r>
    </w:p>
    <w:p>
      <w:pPr>
        <w:pStyle w:val="TextBody"/>
        <w:spacing w:lineRule="auto" w:line="288" w:before="24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121.A committee appointed by the Directors may meet and adjourn as it thinks proper. Subject to any regulations imposed on it by the Directors, questions arising at any meeting shall be determined by a majority of votes of the committee members present and in case of an equality of votes the chairman shall have a second or casting vote. </w:t>
      </w:r>
    </w:p>
    <w:p>
      <w:pPr>
        <w:pStyle w:val="TextBody"/>
        <w:spacing w:lineRule="auto" w:line="288" w:before="24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122.All acts done by any meeting of the Directors or of a committee of Directors, or by any Person acting as a Director, shall notwithstanding that it be afterwards discovered that there was some defect in the appointment of any such Director or Person acting as aforesaid, or that they or any of them were disqualified, be as valid as if every such Person had been duly appointed and was qualified to be a Director. </w:t>
      </w:r>
    </w:p>
    <w:p>
      <w:pPr>
        <w:pStyle w:val="TextBody"/>
        <w:spacing w:lineRule="auto" w:line="288" w:before="240" w:after="240"/>
        <w:jc w:val="center"/>
        <w:rPr>
          <w:rFonts w:ascii="Times New Roman;sans-serif" w:hAnsi="Times New Roman;sans-serif"/>
          <w:b/>
          <w:color w:val="000000"/>
          <w:sz w:val="20"/>
        </w:rPr>
      </w:pPr>
      <w:r>
        <w:rPr>
          <w:rFonts w:ascii="Times New Roman;sans-serif" w:hAnsi="Times New Roman;sans-serif"/>
          <w:b/>
          <w:color w:val="000000"/>
          <w:sz w:val="20"/>
        </w:rPr>
        <w:t xml:space="preserve">PRESUMPTION OF ASSENT </w:t>
      </w:r>
    </w:p>
    <w:p>
      <w:pPr>
        <w:pStyle w:val="TextBody"/>
        <w:spacing w:lineRule="auto" w:line="288" w:before="24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123.A Director who is present at a meeting of the Board of Directors at which an action on any Company matter is taken shall be presumed to have assented to the action taken unless his dissent shall be entered in the minutes of the meeting or unless he shall file his written dissent from such action with the person acting as the chairman or secretary of the meeting before the adjournment thereof or shall forward such </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6480175" cy="146685"/>
                <wp:effectExtent l="0" t="0" r="0" b="0"/>
                <wp:wrapNone/>
                <wp:docPr id="230" name="Frame22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v:rect>
            </w:pict>
          </mc:Fallback>
        </mc:AlternateContent>
      </w:r>
    </w:p>
    <w:p>
      <w:pPr>
        <w:pStyle w:val="TextBody"/>
        <w:spacing w:lineRule="auto" w:line="288" w:before="240" w:after="2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dissent by registered post to such person immediately after the adjournment of the meeting. Such right to dissent shall not apply to a Director who voted in favour of such action. </w:t>
      </w:r>
    </w:p>
    <w:p>
      <w:pPr>
        <w:pStyle w:val="TextBody"/>
        <w:spacing w:lineRule="auto" w:line="288" w:before="240" w:after="240"/>
        <w:jc w:val="center"/>
        <w:rPr>
          <w:rFonts w:ascii="Times New Roman;sans-serif" w:hAnsi="Times New Roman;sans-serif"/>
          <w:b/>
          <w:color w:val="000000"/>
          <w:sz w:val="20"/>
        </w:rPr>
      </w:pPr>
      <w:r>
        <w:rPr>
          <w:rFonts w:ascii="Times New Roman;sans-serif" w:hAnsi="Times New Roman;sans-serif"/>
          <w:b/>
          <w:color w:val="000000"/>
          <w:sz w:val="20"/>
        </w:rPr>
        <w:t xml:space="preserve">DIVIDENDS </w:t>
      </w:r>
    </w:p>
    <w:p>
      <w:pPr>
        <w:pStyle w:val="TextBody"/>
        <w:spacing w:lineRule="auto" w:line="288" w:before="24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124.Subject to any rights and restrictions for the time being attached to any Shares, the Directors may from time to time declare dividends (including interim dividends) and other distributions on Shares in issue and authorise payment of the same out of the funds of the Company lawfully available therefor. </w:t>
      </w:r>
    </w:p>
    <w:p>
      <w:pPr>
        <w:pStyle w:val="TextBody"/>
        <w:spacing w:lineRule="auto" w:line="288" w:before="24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125.Subject to any rights and restrictions for the time being attached to any Shares, the Company by Ordinary Resolution may declare dividends, but no dividend shall exceed the amount recommended by the Directors. </w:t>
      </w:r>
    </w:p>
    <w:p>
      <w:pPr>
        <w:pStyle w:val="TextBody"/>
        <w:spacing w:lineRule="auto" w:line="288" w:before="24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126.The Directors may, before recommending or declaring any dividend, set aside out of the funds legally available for distribution such sums as they think proper as a reserve or reserves which shall, in the absolute discretion of the Directors, be applicable for meeting contingencies or for equalising dividends or for any other purpose to which those funds may be properly applied, and pending such application may in the absolute discretion of the Directors, either be employed in the business of the Company or be invested in such investments (other than Shares of the Company) as the Directors may from time to time think fit. </w:t>
      </w:r>
    </w:p>
    <w:p>
      <w:pPr>
        <w:pStyle w:val="TextBody"/>
        <w:spacing w:lineRule="auto" w:line="288" w:before="24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127.Any dividend payable in cash to the holder of Shares may be paid in any manner determined by the Directors. If paid by cheque it will be sent by mail addressed to the holder at his address in the Register, or addressed to such person and at such addresses as the holder may direct. Every such cheque or warrant shall, unless the holder or joint holders otherwise direct, be made payable to the order of the holder or, in the case of joint holders, to the order of the holder whose name stands first on the Register in respect of such Shares, and shall be sent at his or their risk and payment of the cheque or warrant by the bank on which it is drawn shall constitute a good discharge to the Company. </w:t>
      </w:r>
    </w:p>
    <w:p>
      <w:pPr>
        <w:pStyle w:val="TextBody"/>
        <w:spacing w:lineRule="auto" w:line="288" w:before="24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128.The Directors may determine that a dividend shall be paid wholly or partly by the distribution of specific assets (which may consist of the shares or securities of any other company) and may settle all questions concerning such distribution. Without limiting the generality of the foregoing, the Directors may fix the value of such specific assets, may determine that cash payment shall be made to some Shareholders in lieu of specific assets and may vest any such specific assets in trustees on such terms as the Directors think fit. </w:t>
      </w:r>
    </w:p>
    <w:p>
      <w:pPr>
        <w:pStyle w:val="TextBody"/>
        <w:spacing w:lineRule="auto" w:line="288" w:before="24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129.Subject to any rights and restrictions for the time being attached to any Shares, all dividends shall be declared and paid according to the amounts paid up on the Shares, but if and for so long as nothing is paid up on any of the Shares dividends may be declared and paid according to the par value of the Shares. No amount paid on a Share in advance of calls shall, while carrying interest, be treated for the purposes of this Article as paid on the Share. </w:t>
      </w:r>
    </w:p>
    <w:p>
      <w:pPr>
        <w:pStyle w:val="TextBody"/>
        <w:spacing w:lineRule="auto" w:line="288" w:before="24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130.If several Persons are registered as joint holders of any Share, any of them may give effective receipts for any dividend or other moneys payable on or in respect of the Share. </w:t>
      </w:r>
    </w:p>
    <w:p>
      <w:pPr>
        <w:pStyle w:val="TextBody"/>
        <w:spacing w:lineRule="auto" w:line="288" w:before="24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131.No dividend shall bear interest against the Company. </w:t>
      </w:r>
    </w:p>
    <w:p>
      <w:pPr>
        <w:pStyle w:val="TextBody"/>
        <w:spacing w:lineRule="auto" w:line="288" w:before="24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132.Any dividend unclaimed after a period of six calendar years from the date of declaration of such dividend may be forfeited by the Board of Directors and, if so forfeited, shall revert to the Company. </w:t>
      </w:r>
    </w:p>
    <w:p>
      <w:pPr>
        <w:pStyle w:val="TextBody"/>
        <w:spacing w:lineRule="auto" w:line="288" w:before="240" w:after="240"/>
        <w:jc w:val="center"/>
        <w:rPr>
          <w:rFonts w:ascii="Times New Roman;sans-serif" w:hAnsi="Times New Roman;sans-serif"/>
          <w:b/>
          <w:color w:val="000000"/>
          <w:sz w:val="20"/>
        </w:rPr>
      </w:pPr>
      <w:r>
        <w:rPr>
          <w:rFonts w:ascii="Times New Roman;sans-serif" w:hAnsi="Times New Roman;sans-serif"/>
          <w:b/>
          <w:color w:val="000000"/>
          <w:sz w:val="20"/>
        </w:rPr>
        <w:t xml:space="preserve">ACCOUNTS, AUDIT AND ANNUAL RETURN AND DECLARATION </w:t>
      </w:r>
    </w:p>
    <w:p>
      <w:pPr>
        <w:pStyle w:val="TextBody"/>
        <w:spacing w:lineRule="auto" w:line="288" w:before="24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133.The books of account relating to the Company's affairs shall be kept in such manner as may be determined from time to time by the Directors. </w:t>
      </w:r>
    </w:p>
    <w:p>
      <w:pPr>
        <w:pStyle w:val="TextBody"/>
        <w:spacing w:lineRule="auto" w:line="288" w:before="24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134.The books of account shall be kept at the Registered Office, or at such other place or places as the Directors think fit, and shall always be open to the inspection of the Directors. </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6480175" cy="146685"/>
                <wp:effectExtent l="0" t="0" r="0" b="0"/>
                <wp:wrapNone/>
                <wp:docPr id="231" name="Frame23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v:rect>
            </w:pict>
          </mc:Fallback>
        </mc:AlternateContent>
      </w:r>
    </w:p>
    <w:p>
      <w:pPr>
        <w:pStyle w:val="TextBody"/>
        <w:spacing w:lineRule="auto" w:line="288" w:before="24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135.The Directors may from time to time determine whether and to what extent and at what times and places and under what conditions or regulations the accounts and books of the Company or any of them shall be open to the inspection of Shareholders not being Directors, and no Shareholder (not being a Director) shall have any right to inspect any account or book or document of the Company except as conferred by law or authorised by the Directors or by Ordinary Resolution. </w:t>
      </w:r>
    </w:p>
    <w:p>
      <w:pPr>
        <w:pStyle w:val="TextBody"/>
        <w:spacing w:lineRule="auto" w:line="288" w:before="24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136.The accounts relating to the Company's affairs shall be audited in such manner and with such financial year end as may be determined from time to time by the Directors or failing any determination as aforesaid shall not be audited. </w:t>
      </w:r>
    </w:p>
    <w:p>
      <w:pPr>
        <w:pStyle w:val="TextBody"/>
        <w:spacing w:lineRule="auto" w:line="288" w:before="24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137.The Directors may appoint an auditor of the Company who shall hold office until removed from office by a resolution of the Directors and may fix his or their remuneration. </w:t>
      </w:r>
    </w:p>
    <w:p>
      <w:pPr>
        <w:pStyle w:val="TextBody"/>
        <w:spacing w:lineRule="auto" w:line="288" w:before="24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138.Every auditor of the Company shall have a right of access at all times to the books and accounts and vouchers of the Company and shall be entitled to require from the Directors and officers of the Company such information and explanation as may be necessary for the performance of the duties of the auditors. </w:t>
      </w:r>
    </w:p>
    <w:p>
      <w:pPr>
        <w:pStyle w:val="TextBody"/>
        <w:spacing w:lineRule="auto" w:line="288" w:before="24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139.The auditors shall, if so required by the Directors, make a report on the accounts of the Company during their tenure of office at the next annual general meeting following their appointment, and at any time during their term of office, upon request of the Directors or any general meeting of the Members. </w:t>
      </w:r>
    </w:p>
    <w:p>
      <w:pPr>
        <w:pStyle w:val="TextBody"/>
        <w:spacing w:lineRule="auto" w:line="288" w:before="24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140.The Directors in each calendar year shall prepare, or cause to be prepared, an annual return and declaration setting forth the particulars required by the Companies Law and deliver a copy thereof to the Registrar of Companies in the Cayman Islands. </w:t>
      </w:r>
    </w:p>
    <w:p>
      <w:pPr>
        <w:pStyle w:val="TextBody"/>
        <w:spacing w:lineRule="auto" w:line="288" w:before="240" w:after="240"/>
        <w:jc w:val="center"/>
        <w:rPr>
          <w:rFonts w:ascii="Times New Roman;sans-serif" w:hAnsi="Times New Roman;sans-serif"/>
          <w:b/>
          <w:color w:val="000000"/>
          <w:sz w:val="20"/>
        </w:rPr>
      </w:pPr>
      <w:r>
        <w:rPr>
          <w:rFonts w:ascii="Times New Roman;sans-serif" w:hAnsi="Times New Roman;sans-serif"/>
          <w:b/>
          <w:color w:val="000000"/>
          <w:sz w:val="20"/>
        </w:rPr>
        <w:t>CAPITALISATION OF RESERVES</w:t>
      </w:r>
    </w:p>
    <w:p>
      <w:pPr>
        <w:pStyle w:val="TextBody"/>
        <w:spacing w:lineRule="auto" w:line="288" w:before="24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141.Subject to the Companies Law, the Directors may: </w:t>
      </w:r>
    </w:p>
    <w:p>
      <w:pPr>
        <w:pStyle w:val="TextBody"/>
        <w:spacing w:lineRule="auto" w:line="288" w:before="0" w:after="240"/>
        <w:ind w:left="0" w:right="0" w:hanging="909"/>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(i)resolve to capitalise an amount standing to the credit of reserves (including a Share Premium Account, capital redemption reserve and profit and loss account), which is available for distribution; </w:t>
      </w:r>
    </w:p>
    <w:p>
      <w:pPr>
        <w:pStyle w:val="TextBody"/>
        <w:spacing w:lineRule="auto" w:line="288" w:before="0" w:after="240"/>
        <w:ind w:left="0" w:right="0" w:hanging="964"/>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(ii)appropriate the sum resolved to be capitalised to the Shareholders in proportion to the nominal amount of Shares (whether or not fully paid) held by them respectively and apply that sum on their behalf in or towards: </w:t>
      </w:r>
    </w:p>
    <w:p>
      <w:pPr>
        <w:pStyle w:val="TextBody"/>
        <w:spacing w:lineRule="auto" w:line="288"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(1)paying up the amounts (if any) for the time being unpaid on Shares held by them respectively, or </w:t>
      </w:r>
    </w:p>
    <w:p>
      <w:pPr>
        <w:pStyle w:val="TextBody"/>
        <w:spacing w:lineRule="auto" w:line="288"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(2)paying up in full unissued Shares or debentures of a nominal amount equal to that sum, </w:t>
      </w:r>
    </w:p>
    <w:p>
      <w:pPr>
        <w:pStyle w:val="TextBody"/>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and allot the Shares or debentures, credited as fully paid, to the Shareholders (or as they may direct) in those proportions, or partly in one way and partly in the other, but the Share Premium Account, the capital redemption reserve and profits which are not available for distribution may, for the purposes of this Article, only be applied in paying up unissued Shares to be allotted to Shareholders credited as fully paid; </w:t>
      </w:r>
    </w:p>
    <w:p>
      <w:pPr>
        <w:pStyle w:val="TextBody"/>
        <w:spacing w:lineRule="auto" w:line="288" w:before="0" w:after="240"/>
        <w:ind w:left="0" w:right="0" w:hanging="1019"/>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(iii)make any arrangements they think fit to resolve a difficulty arising in the distribution of a capitalised reserve and in particular, without limitation, where Shares or debentures become distributable in fractions the Directors may deal with the fractions as they think fit; </w:t>
      </w:r>
    </w:p>
    <w:p>
      <w:pPr>
        <w:pStyle w:val="TextBody"/>
        <w:spacing w:lineRule="auto" w:line="288" w:before="0" w:after="240"/>
        <w:ind w:left="0" w:right="0" w:hanging="1009"/>
        <w:rPr>
          <w:rFonts w:ascii="Times New Roman;sans-serif" w:hAnsi="Times New Roman;sans-serif"/>
          <w:b w:val="false"/>
          <w:color w:val="000000"/>
          <w:sz w:val="20"/>
        </w:rPr>
      </w:pPr>
      <w:r>
        <w:rPr>
          <w:rFonts w:ascii="Times New Roman;sans-serif" w:hAnsi="Times New Roman;sans-serif"/>
          <w:b w:val="false"/>
          <w:color w:val="000000"/>
          <w:sz w:val="20"/>
        </w:rPr>
        <w:t xml:space="preserve">(iv)authorise a Person to enter (on behalf of all the Shareholders concerned) into an agreement with the Company providing for either: </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6480175" cy="146685"/>
                <wp:effectExtent l="0" t="0" r="0" b="0"/>
                <wp:wrapNone/>
                <wp:docPr id="232" name="Frame23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v:rect>
            </w:pict>
          </mc:Fallback>
        </mc:AlternateContent>
      </w:r>
    </w:p>
    <w:p>
      <w:pPr>
        <w:pStyle w:val="TextBody"/>
        <w:spacing w:lineRule="auto" w:line="288" w:before="0" w:after="24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 xml:space="preserve">(1)the allotment to the Shareholders respectively, credited as fully paid, of Shares or debentures to which they may be entitled on the capitalisation, or </w:t>
      </w:r>
    </w:p>
    <w:p>
      <w:pPr>
        <w:pStyle w:val="TextBody"/>
        <w:spacing w:lineRule="auto" w:line="288" w:before="0" w:after="24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 xml:space="preserve">(2)the payment by the Company on behalf of the Shareholders (by the application of their respective proportions of the reserves resolved to be capitalised) of the amounts or part of the amounts remaining unpaid on their existing Shares, </w:t>
      </w:r>
    </w:p>
    <w:p>
      <w:pPr>
        <w:pStyle w:val="TextBody"/>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and any such agreement made under this authority being effective and binding on all those Shareholders; and </w:t>
      </w:r>
    </w:p>
    <w:p>
      <w:pPr>
        <w:pStyle w:val="TextBody"/>
        <w:spacing w:lineRule="auto" w:line="288" w:before="0" w:after="240"/>
        <w:ind w:left="0" w:right="0" w:hanging="953"/>
        <w:rPr>
          <w:rFonts w:ascii="Times New Roman;sans-serif" w:hAnsi="Times New Roman;sans-serif"/>
          <w:b w:val="false"/>
          <w:color w:val="000000"/>
          <w:sz w:val="20"/>
        </w:rPr>
      </w:pPr>
      <w:r>
        <w:rPr>
          <w:rFonts w:ascii="Times New Roman;sans-serif" w:hAnsi="Times New Roman;sans-serif"/>
          <w:b w:val="false"/>
          <w:color w:val="000000"/>
          <w:sz w:val="20"/>
        </w:rPr>
        <w:t xml:space="preserve">(v)generally do all acts and things required to give effect to the resolution. </w:t>
      </w:r>
    </w:p>
    <w:p>
      <w:pPr>
        <w:pStyle w:val="TextBody"/>
        <w:spacing w:lineRule="auto" w:line="288" w:before="240" w:after="24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142.Notwithstanding any provisions in these Articles, the Directors may resolve to capitalise an amount standing to the credit of reserves (including the share premium account, capital redemption reserve and profit and loss account) or otherwise available for distribution by applying such sum in paying up in full unissued Shares to be allotted and issued to:</w:t>
      </w:r>
    </w:p>
    <w:p>
      <w:pPr>
        <w:pStyle w:val="TextBody"/>
        <w:spacing w:lineRule="auto" w:line="288" w:before="0" w:after="240"/>
        <w:ind w:left="0" w:right="0" w:hanging="909"/>
        <w:rPr>
          <w:rFonts w:ascii="Times New Roman;sans-serif" w:hAnsi="Times New Roman;sans-serif"/>
          <w:b w:val="false"/>
          <w:color w:val="000000"/>
          <w:sz w:val="20"/>
        </w:rPr>
      </w:pPr>
      <w:r>
        <w:rPr>
          <w:rFonts w:ascii="Times New Roman;sans-serif" w:hAnsi="Times New Roman;sans-serif"/>
          <w:b w:val="false"/>
          <w:color w:val="000000"/>
          <w:sz w:val="20"/>
        </w:rPr>
        <w:t>(i)employees (including Directors) or service providers of the Company or its Affiliates upon exercise or vesting of any options or awards granted under any share incentive scheme or employee benefit scheme or other arrangement which relates to such persons that has been adopted or approved by the Directors or the Members;</w:t>
      </w:r>
    </w:p>
    <w:p>
      <w:pPr>
        <w:pStyle w:val="TextBody"/>
        <w:spacing w:lineRule="auto" w:line="288" w:before="0" w:after="240"/>
        <w:ind w:left="0" w:right="0" w:hanging="964"/>
        <w:rPr>
          <w:rFonts w:ascii="Times New Roman;sans-serif" w:hAnsi="Times New Roman;sans-serif"/>
          <w:b w:val="false"/>
          <w:color w:val="000000"/>
          <w:sz w:val="20"/>
        </w:rPr>
      </w:pPr>
      <w:r>
        <w:rPr>
          <w:rFonts w:ascii="Times New Roman;sans-serif" w:hAnsi="Times New Roman;sans-serif"/>
          <w:b w:val="false"/>
          <w:color w:val="000000"/>
          <w:sz w:val="20"/>
        </w:rPr>
        <w:t>(ii)any trustee of any trust or administrator of any share incentive scheme or employee benefit scheme to whom shares are to be allotted and issued by the Company in connection with the operation of any share incentive scheme or employee benefit scheme or other arrangement which relates to such persons that has been adopted or approved by the Directors or Members; or</w:t>
      </w:r>
    </w:p>
    <w:p>
      <w:pPr>
        <w:pStyle w:val="TextBody"/>
        <w:spacing w:lineRule="auto" w:line="288" w:before="0" w:after="240"/>
        <w:ind w:left="0" w:right="0" w:hanging="1019"/>
        <w:rPr>
          <w:rFonts w:ascii="Times New Roman;sans-serif" w:hAnsi="Times New Roman;sans-serif"/>
          <w:b w:val="false"/>
          <w:color w:val="000000"/>
          <w:sz w:val="20"/>
        </w:rPr>
      </w:pPr>
      <w:r>
        <w:rPr>
          <w:rFonts w:ascii="Times New Roman;sans-serif" w:hAnsi="Times New Roman;sans-serif"/>
          <w:b w:val="false"/>
          <w:color w:val="000000"/>
          <w:sz w:val="20"/>
        </w:rPr>
        <w:t>(iii)any depositary of the Company for the purposes of the issue, allotment and delivery by the depositary of ADSs to employees (including Directors) or service providers of the Company or its Affiliates upon exercise or vesting of any options or awards granted under any share incentive scheme or employee benefit scheme or other arrangement which relates to such persons that has been adopted or approved by the Directors or the Members.</w:t>
      </w:r>
    </w:p>
    <w:p>
      <w:pPr>
        <w:pStyle w:val="TextBody"/>
        <w:spacing w:lineRule="auto" w:line="288" w:before="240" w:after="240"/>
        <w:jc w:val="center"/>
        <w:rPr>
          <w:rFonts w:ascii="Times New Roman;sans-serif" w:hAnsi="Times New Roman;sans-serif"/>
          <w:b/>
          <w:color w:val="000000"/>
          <w:sz w:val="20"/>
        </w:rPr>
      </w:pPr>
      <w:r>
        <w:rPr>
          <w:rFonts w:ascii="Times New Roman;sans-serif" w:hAnsi="Times New Roman;sans-serif"/>
          <w:b/>
          <w:color w:val="000000"/>
          <w:sz w:val="20"/>
        </w:rPr>
        <w:t xml:space="preserve">SHARE PREMIUM ACCOUNT </w:t>
      </w:r>
    </w:p>
    <w:p>
      <w:pPr>
        <w:pStyle w:val="TextBody"/>
        <w:spacing w:lineRule="auto" w:line="288" w:before="24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143.The Directors shall in accordance with the Companies Law establish a Share Premium Account and shall carry to the credit of such account from time to time a sum equal to the amount or value of the premium paid on the issue of any Share. </w:t>
      </w:r>
    </w:p>
    <w:p>
      <w:pPr>
        <w:pStyle w:val="TextBody"/>
        <w:spacing w:lineRule="auto" w:line="288" w:before="24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144.There shall be debited to any Share Premium Account on the redemption or purchase of a Share the difference between the nominal value of such Share and the redemption or purchase price provided always that at the discretion of the Directors such sum may be paid out of the profits of the Company or, if permitted by the Companies Law, out of capital. </w:t>
      </w:r>
    </w:p>
    <w:p>
      <w:pPr>
        <w:pStyle w:val="TextBody"/>
        <w:spacing w:lineRule="auto" w:line="288" w:before="240" w:after="240"/>
        <w:jc w:val="center"/>
        <w:rPr>
          <w:rFonts w:ascii="Times New Roman;sans-serif" w:hAnsi="Times New Roman;sans-serif"/>
          <w:b/>
          <w:color w:val="000000"/>
          <w:sz w:val="20"/>
        </w:rPr>
      </w:pPr>
      <w:r>
        <w:rPr>
          <w:rFonts w:ascii="Times New Roman;sans-serif" w:hAnsi="Times New Roman;sans-serif"/>
          <w:b/>
          <w:color w:val="000000"/>
          <w:sz w:val="20"/>
        </w:rPr>
        <w:t xml:space="preserve">NOTICES </w:t>
      </w:r>
    </w:p>
    <w:p>
      <w:pPr>
        <w:pStyle w:val="TextBody"/>
        <w:spacing w:lineRule="auto" w:line="288" w:before="24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145.Except as otherwise provided in these Articles, any notice or document may be served by the Company or by the Person entitled to give notice to any Shareholder either personally, or by posting it by airmail or a recognised courier service in a prepaid letter addressed to such Shareholder at his address as appearing in the Register, or by electronic mail to any electronic mail address such Shareholder may have specified in writing for the purpose of such service of notices, or by facsimile to any facsimile number such Shareholder may have specified in writing for the purpose of such service of notices, or by placing it on the Company's Website should the Directors deem it appropriate. In the case of joint holders of a Share, all notices shall be given to that one of the joint holders whose name stands first in the Register in respect of the joint holding, and notice so given shall be sufficient notice to all the joint holders. </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6480175" cy="146685"/>
                <wp:effectExtent l="0" t="0" r="0" b="0"/>
                <wp:wrapNone/>
                <wp:docPr id="233" name="Frame23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v:rect>
            </w:pict>
          </mc:Fallback>
        </mc:AlternateContent>
      </w:r>
    </w:p>
    <w:p>
      <w:pPr>
        <w:pStyle w:val="TextBody"/>
        <w:spacing w:lineRule="auto" w:line="288" w:before="24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146.Notices sent from one country to another shall be sent or forwarded by prepaid airmail or a recognised courier service. </w:t>
      </w:r>
    </w:p>
    <w:p>
      <w:pPr>
        <w:pStyle w:val="TextBody"/>
        <w:spacing w:lineRule="auto" w:line="288" w:before="24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147.Any Shareholder Present at any meeting of the Company shall for all purposes be deemed to have received due notice of such meeting and, where requisite, of the purposes for which such meeting was convened. </w:t>
      </w:r>
    </w:p>
    <w:p>
      <w:pPr>
        <w:pStyle w:val="TextBody"/>
        <w:spacing w:lineRule="auto" w:line="288" w:before="24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148.Any notice or other document, if served by: </w:t>
      </w:r>
    </w:p>
    <w:p>
      <w:pPr>
        <w:pStyle w:val="TextBody"/>
        <w:spacing w:lineRule="auto" w:line="288" w:before="0" w:after="240"/>
        <w:ind w:left="0" w:right="0" w:hanging="909"/>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(i)post, shall be deemed to have been served five calendar days after the time when the letter containing the same is posted; </w:t>
      </w:r>
    </w:p>
    <w:p>
      <w:pPr>
        <w:pStyle w:val="TextBody"/>
        <w:spacing w:lineRule="auto" w:line="288" w:before="0" w:after="240"/>
        <w:ind w:left="0" w:right="0" w:hanging="964"/>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(ii)facsimile, shall be deemed to have been served upon production by the transmitting facsimile machine of a report confirming transmission of the facsimile in full to the facsimile number of the recipient; </w:t>
      </w:r>
    </w:p>
    <w:p>
      <w:pPr>
        <w:pStyle w:val="TextBody"/>
        <w:spacing w:lineRule="auto" w:line="288" w:before="0" w:after="240"/>
        <w:ind w:left="0" w:right="0" w:hanging="1019"/>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(iii)recognised courier service, shall be deemed to have been served 48 hours after the time when the letter containing the same is delivered to the courier service; or </w:t>
      </w:r>
    </w:p>
    <w:p>
      <w:pPr>
        <w:pStyle w:val="TextBody"/>
        <w:spacing w:lineRule="auto" w:line="288" w:before="0" w:after="240"/>
        <w:ind w:left="0" w:right="0" w:hanging="1009"/>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(iv)electronic means, shall be deemed to have been served immediately (i) upon the time of the transmission to the electronic mail address supplied by the Shareholder to the Company or (ii) upon the time of its placement on the Company's Website. </w:t>
      </w:r>
    </w:p>
    <w:p>
      <w:pPr>
        <w:pStyle w:val="TextBody"/>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proving service by post or courier service it shall be sufficient to prove that the letter containing the notice or documents was properly addressed and duly posted or delivered to the courier service. </w:t>
      </w:r>
    </w:p>
    <w:p>
      <w:pPr>
        <w:pStyle w:val="TextBody"/>
        <w:spacing w:lineRule="auto" w:line="288" w:before="24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149.Any notice or document delivered or sent by post to or left at the registered address of any Shareholder in accordance with the terms of these Articles shall notwithstanding that such Shareholder be then dead or bankrupt, and whether or not the Company has notice of his death or bankruptcy, be deemed to have been duly served in respect of any Share registered in the name of such Shareholder as sole or joint holder, unless his name shall at the time of the service of the notice or document have been removed from the Register as the holder of the Share, and such service shall for all purposes be deemed a sufficient service of such notice or document on all Persons interested (whether jointly with or as claiming through or under him) in the Share. </w:t>
      </w:r>
    </w:p>
    <w:p>
      <w:pPr>
        <w:pStyle w:val="TextBody"/>
        <w:spacing w:lineRule="auto" w:line="288" w:before="24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150.Notice of every general meeting of the Company shall be given to: </w:t>
      </w:r>
    </w:p>
    <w:p>
      <w:pPr>
        <w:pStyle w:val="TextBody"/>
        <w:spacing w:lineRule="auto" w:line="288" w:before="0" w:after="240"/>
        <w:ind w:left="0" w:right="0" w:hanging="909"/>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(i)all Shareholders holding Shares with the right to receive notice and who have supplied to the Company an address for the giving of notices to them; and </w:t>
      </w:r>
    </w:p>
    <w:p>
      <w:pPr>
        <w:pStyle w:val="TextBody"/>
        <w:spacing w:lineRule="auto" w:line="288" w:before="0" w:after="240"/>
        <w:ind w:left="0" w:right="0" w:hanging="964"/>
        <w:rPr>
          <w:rFonts w:ascii="Times New Roman;sans-serif" w:hAnsi="Times New Roman;sans-serif"/>
          <w:b w:val="false"/>
          <w:color w:val="000000"/>
          <w:sz w:val="20"/>
        </w:rPr>
      </w:pPr>
      <w:r>
        <w:rPr>
          <w:rFonts w:ascii="Times New Roman;sans-serif" w:hAnsi="Times New Roman;sans-serif"/>
          <w:b w:val="false"/>
          <w:color w:val="000000"/>
          <w:sz w:val="20"/>
        </w:rPr>
        <w:t xml:space="preserve">(ii)every Person entitled to a Share in consequence of the death or bankruptcy of a Shareholder, who but for his death or bankruptcy would be entitled to receive notice of the meeting. </w:t>
      </w:r>
    </w:p>
    <w:p>
      <w:pPr>
        <w:pStyle w:val="TextBody"/>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No other Person shall be entitled to receive notices of general meetings. </w:t>
      </w:r>
    </w:p>
    <w:p>
      <w:pPr>
        <w:pStyle w:val="TextBody"/>
        <w:spacing w:lineRule="auto" w:line="288" w:before="240" w:after="240"/>
        <w:jc w:val="center"/>
        <w:rPr>
          <w:rFonts w:ascii="Times New Roman;sans-serif" w:hAnsi="Times New Roman;sans-serif"/>
          <w:b/>
          <w:color w:val="000000"/>
          <w:sz w:val="20"/>
        </w:rPr>
      </w:pPr>
      <w:r>
        <w:rPr>
          <w:rFonts w:ascii="Times New Roman;sans-serif" w:hAnsi="Times New Roman;sans-serif"/>
          <w:b/>
          <w:color w:val="000000"/>
          <w:sz w:val="20"/>
        </w:rPr>
        <w:t xml:space="preserve">INFORMATION </w:t>
      </w:r>
    </w:p>
    <w:p>
      <w:pPr>
        <w:pStyle w:val="TextBody"/>
        <w:spacing w:lineRule="auto" w:line="288" w:before="24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151.Subject to the relevant laws, rules and regulations applicable to the Company, no Member shall be entitled to require discovery of any information in respect of any detail of the Company's trading or any information which is or may be in the nature of a trade secret or secret process which may relate to the conduct of the business of the Company and which in the opinion of the Board would not be in the interests of the Members of the Company to communicate to the public. </w:t>
      </w:r>
    </w:p>
    <w:p>
      <w:pPr>
        <w:pStyle w:val="TextBody"/>
        <w:spacing w:lineRule="auto" w:line="288" w:before="24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152.Subject to due compliance with the relevant laws, rules and regulations applicable to the Company, the Board shall be entitled to release or disclose any information in its possession, custody or control regarding the Company or its affairs to any of its Members including, without limitation, information contained in the Register and transfer books of the Company. </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6480175" cy="146685"/>
                <wp:effectExtent l="0" t="0" r="0" b="0"/>
                <wp:wrapNone/>
                <wp:docPr id="234" name="Frame23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v:rect>
            </w:pict>
          </mc:Fallback>
        </mc:AlternateContent>
      </w:r>
    </w:p>
    <w:p>
      <w:pPr>
        <w:pStyle w:val="TextBody"/>
        <w:spacing w:lineRule="auto" w:line="288" w:before="240" w:after="240"/>
        <w:jc w:val="center"/>
        <w:rPr>
          <w:rFonts w:ascii="Times New Roman;sans-serif" w:hAnsi="Times New Roman;sans-serif"/>
          <w:b/>
          <w:color w:val="000000"/>
          <w:sz w:val="20"/>
        </w:rPr>
      </w:pPr>
      <w:r>
        <w:rPr>
          <w:rFonts w:ascii="Times New Roman;sans-serif" w:hAnsi="Times New Roman;sans-serif"/>
          <w:b/>
          <w:color w:val="000000"/>
          <w:sz w:val="20"/>
        </w:rPr>
        <w:t xml:space="preserve">INDEMNITY </w:t>
      </w:r>
    </w:p>
    <w:p>
      <w:pPr>
        <w:pStyle w:val="TextBody"/>
        <w:spacing w:lineRule="auto" w:line="288" w:before="24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153.Every Director (including for the purposes of this Article any alternate Director appointed pursuant to the provisions of these Articles), Secretary, assistant Secretary, or other officer for the time being and from time to time of the Company (but not including the Company's auditors) and the personal representatives of the same (each an "Indemnified Person") shall be indemnified and secured harmless against all actions, proceedings, costs, charges, expenses, losses, damages or liabilities incurred or sustained by such Indemnified Person, other than by reason of such Indemnified Person's own dishonesty, wilful default or fraud, in or about the conduct of the Company's business or affairs (including as a result of any mistake of judgment) or in the execution or discharge of his duties, powers, authorities or discretions, including without prejudice to the generality of the foregoing, any costs, expenses, losses or liabilities incurred by such Indemnified Person in defending (whether successfully or otherwise) any civil proceedings concerning the Company or its affairs in any court whether in the Cayman Islands or elsewhere. </w:t>
      </w:r>
    </w:p>
    <w:p>
      <w:pPr>
        <w:pStyle w:val="TextBody"/>
        <w:spacing w:lineRule="auto" w:line="288" w:before="24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154.No Indemnified Person shall be liable: </w:t>
      </w:r>
    </w:p>
    <w:p>
      <w:pPr>
        <w:pStyle w:val="TextBody"/>
        <w:spacing w:lineRule="auto" w:line="288" w:before="0" w:after="240"/>
        <w:ind w:left="0" w:right="0" w:hanging="909"/>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(i)for the acts, receipts, neglects, defaults or omissions of any other Director or officer or agent of the Company; or </w:t>
      </w:r>
    </w:p>
    <w:p>
      <w:pPr>
        <w:pStyle w:val="TextBody"/>
        <w:spacing w:lineRule="auto" w:line="288" w:before="0" w:after="240"/>
        <w:ind w:left="0" w:right="0" w:hanging="964"/>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(ii)for any loss on account of defect of title to any property of the Company; or </w:t>
      </w:r>
    </w:p>
    <w:p>
      <w:pPr>
        <w:pStyle w:val="TextBody"/>
        <w:spacing w:lineRule="auto" w:line="288" w:before="0" w:after="240"/>
        <w:ind w:left="0" w:right="0" w:hanging="1019"/>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(iii)on account of the insufficiency of any security in or upon which any money of the Company shall be invested; or </w:t>
      </w:r>
    </w:p>
    <w:p>
      <w:pPr>
        <w:pStyle w:val="TextBody"/>
        <w:spacing w:lineRule="auto" w:line="288" w:before="0" w:after="240"/>
        <w:ind w:left="0" w:right="0" w:hanging="1009"/>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(iv)for any loss incurred through any bank, broker or other similar Person; or </w:t>
      </w:r>
    </w:p>
    <w:p>
      <w:pPr>
        <w:pStyle w:val="TextBody"/>
        <w:spacing w:lineRule="auto" w:line="288" w:before="0" w:after="240"/>
        <w:ind w:left="0" w:right="0" w:hanging="95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(v)for any loss occasioned by any negligence, default, breach of duty, breach of trust, error of judgement or oversight on such Indemnified Person's part; or </w:t>
      </w:r>
    </w:p>
    <w:p>
      <w:pPr>
        <w:pStyle w:val="TextBody"/>
        <w:spacing w:lineRule="auto" w:line="288" w:before="0" w:after="240"/>
        <w:ind w:left="0" w:right="0" w:hanging="1009"/>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(vi)for any loss, damage or misfortune whatsoever which may happen in or arise from the execution or discharge of the duties, powers, authorities, or discretions of such Indemnified Person's office or in relation thereto; </w:t>
      </w:r>
    </w:p>
    <w:p>
      <w:pPr>
        <w:pStyle w:val="TextBody"/>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unless the same shall happen through such Indemnified Person's own dishonesty, wilful default or fraud. </w:t>
      </w:r>
    </w:p>
    <w:p>
      <w:pPr>
        <w:pStyle w:val="TextBody"/>
        <w:spacing w:lineRule="auto" w:line="288" w:before="240" w:after="240"/>
        <w:jc w:val="center"/>
        <w:rPr>
          <w:rFonts w:ascii="Times New Roman;sans-serif" w:hAnsi="Times New Roman;sans-serif"/>
          <w:b/>
          <w:color w:val="000000"/>
          <w:sz w:val="20"/>
        </w:rPr>
      </w:pPr>
      <w:r>
        <w:rPr>
          <w:rFonts w:ascii="Times New Roman;sans-serif" w:hAnsi="Times New Roman;sans-serif"/>
          <w:b/>
          <w:color w:val="000000"/>
          <w:sz w:val="20"/>
        </w:rPr>
        <w:t xml:space="preserve">FINANCIAL YEAR </w:t>
      </w:r>
    </w:p>
    <w:p>
      <w:pPr>
        <w:pStyle w:val="TextBody"/>
        <w:spacing w:lineRule="auto" w:line="288" w:before="240" w:after="240"/>
        <w:ind w:left="0" w:right="0" w:hanging="720"/>
        <w:jc w:val="both"/>
        <w:rPr/>
      </w:pPr>
      <w:r>
        <w:rPr>
          <w:rFonts w:ascii="Times New Roman;sans-serif" w:hAnsi="Times New Roman;sans-serif"/>
          <w:b w:val="false"/>
          <w:color w:val="000000"/>
          <w:sz w:val="20"/>
        </w:rPr>
        <w:t>155.Unless the Directors otherwise prescribe, the financial year of the Company shall end on December 31</w:t>
      </w:r>
      <w:r>
        <w:rPr>
          <w:rFonts w:ascii="Times New Roman;sans-serif" w:hAnsi="Times New Roman;sans-serif"/>
          <w:b w:val="false"/>
          <w:color w:val="000000"/>
          <w:sz w:val="13"/>
        </w:rPr>
        <w:t>st</w:t>
      </w:r>
      <w:r>
        <w:rPr>
          <w:color w:val="000000"/>
        </w:rPr>
        <w:t xml:space="preserve"> </w:t>
      </w:r>
      <w:r>
        <w:rPr>
          <w:rFonts w:ascii="Times New Roman;sans-serif" w:hAnsi="Times New Roman;sans-serif"/>
          <w:b w:val="false"/>
          <w:color w:val="000000"/>
          <w:sz w:val="20"/>
        </w:rPr>
        <w:t xml:space="preserve">in each calendar year and shall begin on January 1st in each calendar year. </w:t>
      </w:r>
    </w:p>
    <w:p>
      <w:pPr>
        <w:pStyle w:val="TextBody"/>
        <w:spacing w:lineRule="auto" w:line="288" w:before="240" w:after="240"/>
        <w:jc w:val="center"/>
        <w:rPr>
          <w:rFonts w:ascii="Times New Roman;sans-serif" w:hAnsi="Times New Roman;sans-serif"/>
          <w:b/>
          <w:color w:val="000000"/>
          <w:sz w:val="20"/>
        </w:rPr>
      </w:pPr>
      <w:r>
        <w:rPr>
          <w:rFonts w:ascii="Times New Roman;sans-serif" w:hAnsi="Times New Roman;sans-serif"/>
          <w:b/>
          <w:color w:val="000000"/>
          <w:sz w:val="20"/>
        </w:rPr>
        <w:t xml:space="preserve">NON-RECOGNITION OF TRUSTS </w:t>
      </w:r>
    </w:p>
    <w:p>
      <w:pPr>
        <w:pStyle w:val="TextBody"/>
        <w:spacing w:lineRule="auto" w:line="288" w:before="24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156.No Person shall be recognised by the Company as holding any Share upon any trust and the Company shall not, unless required by law, be bound by or be compelled in any way to recognise (even when having notice thereof) any equitable, contingent, future or partial interest in any Share or (except only as otherwise provided by these Articles or as the Companies Law requires) any other right in respect of any Share except an absolute right to the entirety thereof in each Shareholder registered in the Register. </w:t>
      </w:r>
    </w:p>
    <w:p>
      <w:pPr>
        <w:pStyle w:val="TextBody"/>
        <w:spacing w:lineRule="auto" w:line="288" w:before="240" w:after="240"/>
        <w:jc w:val="center"/>
        <w:rPr>
          <w:rFonts w:ascii="Times New Roman;sans-serif" w:hAnsi="Times New Roman;sans-serif"/>
          <w:b/>
          <w:color w:val="000000"/>
          <w:sz w:val="20"/>
        </w:rPr>
      </w:pPr>
      <w:r>
        <w:rPr>
          <w:rFonts w:ascii="Times New Roman;sans-serif" w:hAnsi="Times New Roman;sans-serif"/>
          <w:b/>
          <w:color w:val="000000"/>
          <w:sz w:val="20"/>
        </w:rPr>
        <w:t xml:space="preserve">WINDING UP </w:t>
      </w:r>
    </w:p>
    <w:p>
      <w:pPr>
        <w:pStyle w:val="TextBody"/>
        <w:spacing w:lineRule="auto" w:line="288" w:before="24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157.If the Company shall be wound up the liquidator may, with the sanction of a Special Resolution of the Company and any other sanction required by the Companies Law, divide amongst the Members in species or in kind the whole or any part of the assets of the Company (whether they shall consist of property of the same kind or not) and may for that purpose value any assets and determine how the division shall be carried out as between the Members or different classes of Members. The liquidator may, with the like sanction, vest the whole or any part of such assets in trustees upon such trusts for the </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6480175" cy="146685"/>
                <wp:effectExtent l="0" t="0" r="0" b="0"/>
                <wp:wrapNone/>
                <wp:docPr id="235" name="Frame23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v:rect>
            </w:pict>
          </mc:Fallback>
        </mc:AlternateContent>
      </w:r>
    </w:p>
    <w:p>
      <w:pPr>
        <w:pStyle w:val="TextBody"/>
        <w:spacing w:lineRule="auto" w:line="288" w:before="240" w:after="2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benefit of the Members as the liquidator, with the like sanction, shall think fit, but so that no Member shall be compelled to accept any asset upon which there is a liability. </w:t>
      </w:r>
    </w:p>
    <w:p>
      <w:pPr>
        <w:pStyle w:val="TextBody"/>
        <w:spacing w:lineRule="auto" w:line="288" w:before="24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158.If the Company shall be wound up, and the assets available for distribution amongst the Members shall be insufficient to repay the whole of the share capital, such assets shall be distributed so that, as nearly as may be, the losses shall be borne by the Members in proportion to the par value of the Shares held by them. If in a winding up the assets available for distribution amongst the Members shall be more than sufficient to repay the whole of the share capital at the commencement of the winding up, the surplus shall be distributed amongst the Members in proportion to the par value of the Shares held by them at the commencement of the winding up subject to a deduction from those Shares in respect of which there are monies due, of all monies payable to the Company for unpaid calls or otherwise. This Article is without prejudice to the rights of the holders of Shares issued upon special terms and conditions. </w:t>
      </w:r>
    </w:p>
    <w:p>
      <w:pPr>
        <w:pStyle w:val="TextBody"/>
        <w:spacing w:lineRule="auto" w:line="288" w:before="240" w:after="240"/>
        <w:jc w:val="center"/>
        <w:rPr>
          <w:rFonts w:ascii="Times New Roman;sans-serif" w:hAnsi="Times New Roman;sans-serif"/>
          <w:b/>
          <w:color w:val="000000"/>
          <w:sz w:val="20"/>
        </w:rPr>
      </w:pPr>
      <w:r>
        <w:rPr>
          <w:rFonts w:ascii="Times New Roman;sans-serif" w:hAnsi="Times New Roman;sans-serif"/>
          <w:b/>
          <w:color w:val="000000"/>
          <w:sz w:val="20"/>
        </w:rPr>
        <w:t xml:space="preserve">AMENDMENT OF ARTICLES OF ASSOCIATION </w:t>
      </w:r>
    </w:p>
    <w:p>
      <w:pPr>
        <w:pStyle w:val="TextBody"/>
        <w:spacing w:lineRule="auto" w:line="288" w:before="24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159.Subject to the Companies Law, the Company may at any time and from time to time by Special Resolution alter or amend these Articles in whole or in part. </w:t>
      </w:r>
    </w:p>
    <w:p>
      <w:pPr>
        <w:pStyle w:val="TextBody"/>
        <w:spacing w:lineRule="auto" w:line="288" w:before="240" w:after="240"/>
        <w:jc w:val="center"/>
        <w:rPr>
          <w:rFonts w:ascii="Times New Roman;sans-serif" w:hAnsi="Times New Roman;sans-serif"/>
          <w:b/>
          <w:color w:val="000000"/>
          <w:sz w:val="20"/>
        </w:rPr>
      </w:pPr>
      <w:r>
        <w:rPr>
          <w:rFonts w:ascii="Times New Roman;sans-serif" w:hAnsi="Times New Roman;sans-serif"/>
          <w:b/>
          <w:color w:val="000000"/>
          <w:sz w:val="20"/>
        </w:rPr>
        <w:t xml:space="preserve">CLOSING OF REGISTER OR FIXING RECORD DATE </w:t>
      </w:r>
    </w:p>
    <w:p>
      <w:pPr>
        <w:pStyle w:val="TextBody"/>
        <w:spacing w:lineRule="auto" w:line="288" w:before="24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160.For the purpose of determining those Shareholders that are entitled to receive notice of, attend or vote at any meeting of Shareholders or any adjournment thereof, or those Shareholders that are entitled to receive payment of any dividend, or in order to make a determination as to who is a Shareholder for any other purpose, the Directors may provide that the Register shall be closed for transfers for a stated period which shall not exceed in any case thirty calendar days in any calendar year. </w:t>
      </w:r>
    </w:p>
    <w:p>
      <w:pPr>
        <w:pStyle w:val="TextBody"/>
        <w:spacing w:lineRule="auto" w:line="288" w:before="24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161.In lieu of or apart from closing the Register, the Directors may fix in advance a date as the record date for any such determination of those Shareholders that are entitled to receive notice of, attend or vote at a meeting of the Shareholders and for the purpose of determining those Shareholders that are entitled to receive payment of any dividend the Directors may, at or within ninety calendar days prior to the date of declaration of such dividend, fix a subsequent date as the record date for such determination. </w:t>
      </w:r>
    </w:p>
    <w:p>
      <w:pPr>
        <w:pStyle w:val="TextBody"/>
        <w:spacing w:lineRule="auto" w:line="288" w:before="24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162.If the Register is not so closed and no record date is fixed for the determination of those Shareholders entitled to receive notice of, attend or vote at a meeting of Shareholders or those Shareholders that are entitled to receive payment of a dividend, the date on which notice of the meeting is posted or the date on which the resolution of the Directors declaring such dividend is adopted, as the case may be, shall be the record date for such determination of Shareholders. When a determination of those Shareholders that are entitled to receive notice of, attend or vote at a meeting of Shareholders has been made as provided in this Article, such determination shall apply to any adjournment thereof. </w:t>
      </w:r>
    </w:p>
    <w:p>
      <w:pPr>
        <w:pStyle w:val="TextBody"/>
        <w:spacing w:lineRule="auto" w:line="288" w:before="240" w:after="240"/>
        <w:jc w:val="center"/>
        <w:rPr>
          <w:rFonts w:ascii="Times New Roman;sans-serif" w:hAnsi="Times New Roman;sans-serif"/>
          <w:b/>
          <w:color w:val="000000"/>
          <w:sz w:val="20"/>
        </w:rPr>
      </w:pPr>
      <w:r>
        <w:rPr>
          <w:rFonts w:ascii="Times New Roman;sans-serif" w:hAnsi="Times New Roman;sans-serif"/>
          <w:b/>
          <w:color w:val="000000"/>
          <w:sz w:val="20"/>
        </w:rPr>
        <w:t xml:space="preserve">REGISTRATION BY WAY OF CONTINUATION </w:t>
      </w:r>
    </w:p>
    <w:p>
      <w:pPr>
        <w:pStyle w:val="TextBody"/>
        <w:spacing w:lineRule="auto" w:line="288" w:before="24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163.The Company may by Special Resolution resolve to be registered by way of continuation in a jurisdiction outside the Cayman Islands or such other jurisdiction in which it is for the time being incorporated, registered or existing. In furtherance of a resolution adopted pursuant to this Article, the Directors may cause an application to be made to the Registrar of Companies to deregister the Company in the Cayman Islands or such other jurisdiction in which it is for the time being incorporated, registered or existing and may cause all such further steps as they consider appropriate to be taken to effect the transfer by way of continuation of the Company. </w:t>
      </w:r>
    </w:p>
    <w:p>
      <w:pPr>
        <w:pStyle w:val="TextBody"/>
        <w:spacing w:lineRule="auto" w:line="288" w:before="240" w:after="240"/>
        <w:jc w:val="center"/>
        <w:rPr>
          <w:rFonts w:ascii="Times New Roman;sans-serif" w:hAnsi="Times New Roman;sans-serif"/>
          <w:b/>
          <w:color w:val="000000"/>
          <w:sz w:val="20"/>
        </w:rPr>
      </w:pPr>
      <w:r>
        <w:rPr>
          <w:rFonts w:ascii="Times New Roman;sans-serif" w:hAnsi="Times New Roman;sans-serif"/>
          <w:b/>
          <w:color w:val="000000"/>
          <w:sz w:val="20"/>
        </w:rPr>
        <w:t xml:space="preserve">DISCLOSURE </w:t>
      </w:r>
    </w:p>
    <w:p>
      <w:pPr>
        <w:pStyle w:val="TextBody"/>
        <w:spacing w:lineRule="auto" w:line="288" w:before="24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164.The Directors, or any service providers (including the officers, the Secretary and the registered office provider of the Company) specifically authorised by the Directors, shall be entitled to disclose to any regulatory or judicial authority any information regarding the affairs of the Company including without limitation information contained in the Register and books of the Company. </w:t>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120" w:after="240"/>
        <w:jc w:val="right"/>
        <w:rPr/>
      </w:pPr>
      <w:r>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6480175" cy="146685"/>
                <wp:effectExtent l="0" t="0" r="0" b="0"/>
                <wp:wrapNone/>
                <wp:docPr id="236" name="Frame23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v:rect>
            </w:pict>
          </mc:Fallback>
        </mc:AlternateContent>
      </w:r>
    </w:p>
    <w:p>
      <w:pPr>
        <w:pStyle w:val="TextBody"/>
        <w:spacing w:before="0" w:after="1560"/>
        <w:jc w:val="center"/>
        <w:rPr/>
      </w:pPr>
      <w:r>
        <w:rPr/>
        <w:drawing>
          <wp:inline distT="0" distB="63500" distL="0" distR="0">
            <wp:extent cx="5486400" cy="285750"/>
            <wp:effectExtent l="0" t="0" r="0" b="0"/>
            <wp:docPr id="237"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7" name="Image2" descr=""/>
                    <pic:cNvPicPr>
                      <a:picLocks noChangeAspect="1" noChangeArrowheads="1"/>
                    </pic:cNvPicPr>
                  </pic:nvPicPr>
                  <pic:blipFill>
                    <a:blip r:embed="rId64"/>
                    <a:stretch>
                      <a:fillRect/>
                    </a:stretch>
                  </pic:blipFill>
                  <pic:spPr bwMode="auto">
                    <a:xfrm>
                      <a:off x="0" y="0"/>
                      <a:ext cx="5486400" cy="285750"/>
                    </a:xfrm>
                    <a:prstGeom prst="rect">
                      <a:avLst/>
                    </a:prstGeom>
                  </pic:spPr>
                </pic:pic>
              </a:graphicData>
            </a:graphic>
          </wp:inline>
        </w:drawing>
      </w:r>
    </w:p>
    <w:p>
      <w:pPr>
        <w:pStyle w:val="TextBody"/>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w:t>
      </w:r>
    </w:p>
    <w:p>
      <w:pPr>
        <w:pStyle w:val="TextBody"/>
        <w:spacing w:lineRule="auto" w:line="288" w:before="0" w:after="480"/>
        <w:jc w:val="center"/>
        <w:rPr>
          <w:rFonts w:ascii="Times New Roman;sans-serif" w:hAnsi="Times New Roman;sans-serif"/>
          <w:b w:val="false"/>
          <w:color w:val="000000"/>
          <w:sz w:val="24"/>
        </w:rPr>
      </w:pPr>
      <w:r>
        <w:rPr>
          <w:rFonts w:ascii="Times New Roman;sans-serif" w:hAnsi="Times New Roman;sans-serif"/>
          <w:b w:val="false"/>
          <w:color w:val="000000"/>
          <w:sz w:val="24"/>
        </w:rPr>
        <w:t>AGORA, INC.</w:t>
      </w:r>
    </w:p>
    <w:p>
      <w:pPr>
        <w:pStyle w:val="TextBody"/>
        <w:spacing w:lineRule="auto" w:line="288" w:before="0" w:after="480"/>
        <w:jc w:val="center"/>
        <w:rPr>
          <w:rFonts w:ascii="Times New Roman;sans-serif" w:hAnsi="Times New Roman;sans-serif"/>
          <w:b w:val="false"/>
          <w:color w:val="000000"/>
          <w:sz w:val="24"/>
        </w:rPr>
      </w:pPr>
      <w:r>
        <w:rPr>
          <w:rFonts w:ascii="Times New Roman;sans-serif" w:hAnsi="Times New Roman;sans-serif"/>
          <w:b w:val="false"/>
          <w:color w:val="000000"/>
          <w:sz w:val="24"/>
        </w:rPr>
        <w:t>AND</w:t>
      </w:r>
    </w:p>
    <w:p>
      <w:pPr>
        <w:pStyle w:val="TextBody"/>
        <w:spacing w:lineRule="auto" w:line="288"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THE BANK OF NEW YORK MELLON</w:t>
      </w:r>
    </w:p>
    <w:p>
      <w:pPr>
        <w:pStyle w:val="TextBody"/>
        <w:spacing w:lineRule="auto" w:line="288" w:before="0" w:after="480"/>
        <w:ind w:left="0" w:right="0" w:firstLine="5040"/>
        <w:jc w:val="center"/>
        <w:rPr>
          <w:rFonts w:ascii="Times New Roman;sans-serif" w:hAnsi="Times New Roman;sans-serif"/>
          <w:b w:val="false"/>
          <w:color w:val="000000"/>
          <w:sz w:val="24"/>
        </w:rPr>
      </w:pPr>
      <w:r>
        <w:rPr>
          <w:rFonts w:ascii="Times New Roman;sans-serif" w:hAnsi="Times New Roman;sans-serif"/>
          <w:b w:val="false"/>
          <w:color w:val="000000"/>
          <w:sz w:val="24"/>
        </w:rPr>
        <w:t>As Depositary</w:t>
      </w:r>
    </w:p>
    <w:p>
      <w:pPr>
        <w:pStyle w:val="TextBody"/>
        <w:spacing w:lineRule="auto" w:line="288" w:before="0" w:after="480"/>
        <w:jc w:val="center"/>
        <w:rPr>
          <w:rFonts w:ascii="Times New Roman;sans-serif" w:hAnsi="Times New Roman;sans-serif"/>
          <w:b w:val="false"/>
          <w:color w:val="000000"/>
          <w:sz w:val="24"/>
        </w:rPr>
      </w:pPr>
      <w:r>
        <w:rPr>
          <w:rFonts w:ascii="Times New Roman;sans-serif" w:hAnsi="Times New Roman;sans-serif"/>
          <w:b w:val="false"/>
          <w:color w:val="000000"/>
          <w:sz w:val="24"/>
        </w:rPr>
        <w:t>AND</w:t>
      </w:r>
    </w:p>
    <w:p>
      <w:pPr>
        <w:pStyle w:val="TextBody"/>
        <w:spacing w:lineRule="auto" w:line="288" w:before="0" w:after="600"/>
        <w:jc w:val="center"/>
        <w:rPr>
          <w:rFonts w:ascii="Times New Roman;sans-serif" w:hAnsi="Times New Roman;sans-serif"/>
          <w:b w:val="false"/>
          <w:color w:val="000000"/>
          <w:sz w:val="24"/>
        </w:rPr>
      </w:pPr>
      <w:r>
        <w:rPr>
          <w:rFonts w:ascii="Times New Roman;sans-serif" w:hAnsi="Times New Roman;sans-serif"/>
          <w:b w:val="false"/>
          <w:color w:val="000000"/>
          <w:sz w:val="24"/>
        </w:rPr>
        <w:t>OWNERS AND HOLDERS OF AMERICAN DEPOSITARY SHARES</w:t>
      </w:r>
    </w:p>
    <w:p>
      <w:pPr>
        <w:pStyle w:val="TextBody"/>
        <w:spacing w:lineRule="auto" w:line="288" w:before="0" w:after="600"/>
        <w:jc w:val="center"/>
        <w:rPr>
          <w:rFonts w:ascii="Times New Roman;sans-serif" w:hAnsi="Times New Roman;sans-serif"/>
          <w:b w:val="false"/>
          <w:color w:val="000000"/>
          <w:sz w:val="24"/>
        </w:rPr>
      </w:pPr>
      <w:r>
        <w:rPr>
          <w:rFonts w:ascii="Times New Roman;sans-serif" w:hAnsi="Times New Roman;sans-serif"/>
          <w:b w:val="false"/>
          <w:color w:val="000000"/>
          <w:sz w:val="24"/>
        </w:rPr>
        <w:t>Deposit Agreement</w:t>
      </w:r>
    </w:p>
    <w:p>
      <w:pPr>
        <w:pStyle w:val="TextBody"/>
        <w:spacing w:lineRule="auto" w:line="288" w:before="0" w:after="1560"/>
        <w:jc w:val="center"/>
        <w:rPr>
          <w:rFonts w:ascii="Times New Roman;sans-serif" w:hAnsi="Times New Roman;sans-serif"/>
          <w:b w:val="false"/>
          <w:color w:val="000000"/>
          <w:sz w:val="24"/>
        </w:rPr>
      </w:pPr>
      <w:r>
        <w:rPr>
          <w:rFonts w:ascii="Times New Roman;sans-serif" w:hAnsi="Times New Roman;sans-serif"/>
          <w:b w:val="false"/>
          <w:color w:val="000000"/>
          <w:sz w:val="24"/>
        </w:rPr>
        <w:t>June 25, 2020</w:t>
      </w:r>
    </w:p>
    <w:p>
      <w:pPr>
        <w:pStyle w:val="TextBody"/>
        <w:spacing w:lineRule="auto" w:line="288" w:before="0" w:after="0"/>
        <w:rPr>
          <w:rFonts w:ascii="Times New Roman;sans-serif" w:hAnsi="Times New Roman;sans-serif"/>
          <w:b w:val="false"/>
          <w:color w:val="000000"/>
          <w:sz w:val="24"/>
        </w:rPr>
      </w:pPr>
      <w:r>
        <w:rPr>
          <w:rFonts w:ascii="Times New Roman;sans-serif" w:hAnsi="Times New Roman;sans-serif"/>
          <w:b w:val="false"/>
          <w:color w:val="000000"/>
          <w:sz w:val="24"/>
        </w:rPr>
        <w:t>===============================================================</w:t>
      </w:r>
    </w:p>
    <w:p>
      <w:pPr>
        <w:pStyle w:val="TextBody"/>
        <w:spacing w:before="0" w:after="0"/>
        <w:rPr/>
      </w:pPr>
      <w:r>
        <w:rPr/>
      </w:r>
    </w:p>
    <w:p>
      <w:pPr>
        <w:pStyle w:val="TextBody"/>
        <w:spacing w:before="0" w:after="0"/>
        <w:jc w:val="both"/>
        <w:rPr/>
      </w:pPr>
      <w:r>
        <w:rPr/>
      </w:r>
    </w:p>
    <w:p>
      <w:pPr>
        <w:pStyle w:val="TextBody"/>
        <w:spacing w:before="0" w:after="0"/>
        <w:jc w:val="both"/>
        <w:rPr/>
      </w:pPr>
      <w:r>
        <w:rPr/>
      </w:r>
    </w:p>
    <w:p>
      <w:pPr>
        <w:pStyle w:val="TextBody"/>
        <w:spacing w:lineRule="auto" w:line="288" w:before="0" w:after="0"/>
        <w:jc w:val="both"/>
        <w:rPr>
          <w:color w:val="000000"/>
        </w:rPr>
      </w:pPr>
      <w:r>
        <w:rPr>
          <w:color w:val="000000"/>
        </w:rPr>
        <w:t>    </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120" w:after="240"/>
        <w:jc w:val="center"/>
        <w:rPr/>
      </w:pPr>
      <w:r>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6480175" cy="327660"/>
                <wp:effectExtent l="0" t="0" r="0" b="0"/>
                <wp:wrapNone/>
                <wp:docPr id="238" name="Frame236"/>
                <a:graphic xmlns:a="http://schemas.openxmlformats.org/drawingml/2006/main">
                  <a:graphicData uri="http://schemas.microsoft.com/office/word/2010/wordprocessingShape">
                    <wps:wsp>
                      <wps:cNvSpPr txBox="1"/>
                      <wps:spPr>
                        <a:xfrm>
                          <a:off x="0" y="0"/>
                          <a:ext cx="6480175" cy="327660"/>
                        </a:xfrm>
                        <a:prstGeom prst="rect"/>
                      </wps:spPr>
                      <wps:txbx>
                        <w:txbxContent>
                          <w:p>
                            <w:pPr>
                              <w:pStyle w:val="TextBody"/>
                              <w:spacing w:before="240" w:after="283"/>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spacing w:before="240" w:after="283"/>
                        <w:jc w:val="both"/>
                        <w:rPr/>
                      </w:pPr>
                      <w:r>
                        <w:rPr/>
                      </w:r>
                    </w:p>
                  </w:txbxContent>
                </v:textbox>
              </v:rect>
            </w:pict>
          </mc:Fallback>
        </mc:AlternateContent>
      </w:r>
    </w:p>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TABLE OF CONTENTS</w:t>
      </w:r>
    </w:p>
    <w:tbl>
      <w:tblPr>
        <w:tblW w:w="10205" w:type="dxa"/>
        <w:jc w:val="left"/>
        <w:tblInd w:w="0" w:type="dxa"/>
        <w:tblCellMar>
          <w:top w:w="28" w:type="dxa"/>
          <w:left w:w="28" w:type="dxa"/>
          <w:bottom w:w="28" w:type="dxa"/>
          <w:right w:w="28" w:type="dxa"/>
        </w:tblCellMar>
      </w:tblPr>
      <w:tblGrid>
        <w:gridCol w:w="3553"/>
        <w:gridCol w:w="3127"/>
        <w:gridCol w:w="3133"/>
        <w:gridCol w:w="114"/>
        <w:gridCol w:w="114"/>
        <w:gridCol w:w="164"/>
      </w:tblGrid>
      <w:tr>
        <w:trPr/>
        <w:tc>
          <w:tcPr>
            <w:tcW w:w="3553" w:type="dxa"/>
            <w:tcBorders/>
            <w:shd w:fill="auto" w:val="clear"/>
            <w:vAlign w:val="center"/>
          </w:tcPr>
          <w:p>
            <w:pPr>
              <w:pStyle w:val="TableContents"/>
              <w:spacing w:before="0" w:after="283"/>
              <w:rPr>
                <w:sz w:val="4"/>
                <w:szCs w:val="4"/>
              </w:rPr>
            </w:pPr>
            <w:r>
              <w:rPr>
                <w:sz w:val="4"/>
                <w:szCs w:val="4"/>
              </w:rPr>
            </w:r>
          </w:p>
        </w:tc>
        <w:tc>
          <w:tcPr>
            <w:tcW w:w="3127" w:type="dxa"/>
            <w:tcBorders/>
            <w:shd w:fill="auto" w:val="clear"/>
            <w:vAlign w:val="center"/>
          </w:tcPr>
          <w:p>
            <w:pPr>
              <w:pStyle w:val="TableContents"/>
              <w:spacing w:before="0" w:after="283"/>
              <w:rPr>
                <w:sz w:val="4"/>
                <w:szCs w:val="4"/>
              </w:rPr>
            </w:pPr>
            <w:r>
              <w:rPr>
                <w:sz w:val="4"/>
                <w:szCs w:val="4"/>
              </w:rPr>
            </w:r>
          </w:p>
        </w:tc>
        <w:tc>
          <w:tcPr>
            <w:tcW w:w="3133"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r>
      <w:tr>
        <w:trPr/>
        <w:tc>
          <w:tcPr>
            <w:tcW w:w="9813"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w:anchor="i6d608e9565d54a498549808fb965121b_7">
              <w:r>
                <w:rPr>
                  <w:rStyle w:val="InternetLink"/>
                  <w:rFonts w:ascii="Times New Roman;sans-serif" w:hAnsi="Times New Roman;sans-serif"/>
                  <w:b w:val="false"/>
                  <w:strike w:val="false"/>
                  <w:dstrike w:val="false"/>
                  <w:color w:val="000000"/>
                  <w:sz w:val="24"/>
                  <w:u w:val="none"/>
                  <w:effect w:val="none"/>
                </w:rPr>
                <w:t>ARTICLE 1.</w:t>
              </w:r>
            </w:hyperlink>
            <w:hyperlink w:anchor="i6d608e9565d54a498549808fb965121b_7">
              <w:r>
                <w:rPr>
                  <w:rStyle w:val="InternetLink"/>
                  <w:strike w:val="false"/>
                  <w:dstrike w:val="false"/>
                  <w:color w:val="000000"/>
                  <w:u w:val="none"/>
                  <w:effect w:val="none"/>
                </w:rPr>
                <w:t>    </w:t>
              </w:r>
            </w:hyperlink>
            <w:hyperlink w:anchor="i6d608e9565d54a498549808fb965121b_7">
              <w:r>
                <w:rPr>
                  <w:rStyle w:val="InternetLink"/>
                  <w:rFonts w:ascii="Times New Roman;sans-serif" w:hAnsi="Times New Roman;sans-serif"/>
                  <w:b w:val="false"/>
                  <w:strike w:val="false"/>
                  <w:dstrike w:val="false"/>
                  <w:color w:val="000000"/>
                  <w:sz w:val="24"/>
                  <w:u w:val="none"/>
                  <w:effect w:val="none"/>
                </w:rPr>
                <w:t>DEFINITIONS</w:t>
              </w:r>
            </w:hyperlink>
          </w:p>
        </w:tc>
        <w:tc>
          <w:tcPr>
            <w:tcW w:w="392"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w:anchor="i6d608e9565d54a498549808fb965121b_7">
              <w:r>
                <w:rPr>
                  <w:rStyle w:val="InternetLink"/>
                  <w:rFonts w:ascii="Times New Roman;sans-serif" w:hAnsi="Times New Roman;sans-serif"/>
                  <w:b w:val="false"/>
                  <w:color w:val="000000"/>
                  <w:sz w:val="24"/>
                  <w:u w:val="single"/>
                </w:rPr>
                <w:t>1</w:t>
              </w:r>
            </w:hyperlink>
          </w:p>
        </w:tc>
      </w:tr>
      <w:tr>
        <w:trPr/>
        <w:tc>
          <w:tcPr>
            <w:tcW w:w="9813"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w:anchor="i6d608e9565d54a498549808fb965121b_7">
              <w:r>
                <w:rPr>
                  <w:rStyle w:val="InternetLink"/>
                </w:rPr>
                <w:t xml:space="preserve">SECTION </w:t>
              </w:r>
            </w:hyperlink>
            <w:hyperlink w:anchor="i6d608e9565d54a498549808fb965121b_7">
              <w:r>
                <w:rPr>
                  <w:rStyle w:val="InternetLink"/>
                </w:rPr>
                <w:t>1.1</w:t>
              </w:r>
            </w:hyperlink>
            <w:hyperlink w:anchor="i6d608e9565d54a498549808fb965121b_7">
              <w:r>
                <w:rPr>
                  <w:rStyle w:val="InternetLink"/>
                </w:rPr>
                <w:t>.</w:t>
              </w:r>
            </w:hyperlink>
            <w:hyperlink w:anchor="i6d608e9565d54a498549808fb965121b_7">
              <w:r>
                <w:rPr>
                  <w:rStyle w:val="InternetLink"/>
                  <w:strike w:val="false"/>
                  <w:dstrike w:val="false"/>
                  <w:color w:val="000000"/>
                  <w:u w:val="none"/>
                  <w:effect w:val="none"/>
                </w:rPr>
                <w:t>    </w:t>
              </w:r>
            </w:hyperlink>
            <w:hyperlink w:anchor="i6d608e9565d54a498549808fb965121b_7">
              <w:r>
                <w:rPr>
                  <w:rStyle w:val="InternetLink"/>
                  <w:rFonts w:ascii="Times New Roman;sans-serif" w:hAnsi="Times New Roman;sans-serif"/>
                  <w:b w:val="false"/>
                  <w:strike w:val="false"/>
                  <w:dstrike w:val="false"/>
                  <w:color w:val="000000"/>
                  <w:sz w:val="24"/>
                  <w:u w:val="none"/>
                  <w:effect w:val="none"/>
                </w:rPr>
                <w:t>American Depositary Shares.</w:t>
              </w:r>
            </w:hyperlink>
          </w:p>
        </w:tc>
        <w:tc>
          <w:tcPr>
            <w:tcW w:w="392"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w:anchor="i6d608e9565d54a498549808fb965121b_7">
              <w:r>
                <w:rPr>
                  <w:rStyle w:val="InternetLink"/>
                  <w:rFonts w:ascii="Times New Roman;sans-serif" w:hAnsi="Times New Roman;sans-serif"/>
                  <w:b w:val="false"/>
                  <w:color w:val="000000"/>
                  <w:sz w:val="24"/>
                  <w:u w:val="single"/>
                </w:rPr>
                <w:t>1</w:t>
              </w:r>
            </w:hyperlink>
          </w:p>
        </w:tc>
      </w:tr>
      <w:tr>
        <w:trPr/>
        <w:tc>
          <w:tcPr>
            <w:tcW w:w="9813"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w:anchor="i6d608e9565d54a498549808fb965121b_7">
              <w:r>
                <w:rPr>
                  <w:rStyle w:val="InternetLink"/>
                </w:rPr>
                <w:t xml:space="preserve">SECTION </w:t>
              </w:r>
            </w:hyperlink>
            <w:hyperlink w:anchor="i6d608e9565d54a498549808fb965121b_7">
              <w:r>
                <w:rPr>
                  <w:rStyle w:val="InternetLink"/>
                </w:rPr>
                <w:t>1.2</w:t>
              </w:r>
            </w:hyperlink>
            <w:hyperlink w:anchor="i6d608e9565d54a498549808fb965121b_7">
              <w:r>
                <w:rPr>
                  <w:rStyle w:val="InternetLink"/>
                </w:rPr>
                <w:t>.</w:t>
              </w:r>
            </w:hyperlink>
            <w:hyperlink w:anchor="i6d608e9565d54a498549808fb965121b_7">
              <w:r>
                <w:rPr>
                  <w:rStyle w:val="InternetLink"/>
                  <w:strike w:val="false"/>
                  <w:dstrike w:val="false"/>
                  <w:color w:val="000000"/>
                  <w:u w:val="none"/>
                  <w:effect w:val="none"/>
                </w:rPr>
                <w:t>    </w:t>
              </w:r>
            </w:hyperlink>
            <w:hyperlink w:anchor="i6d608e9565d54a498549808fb965121b_7">
              <w:r>
                <w:rPr>
                  <w:rStyle w:val="InternetLink"/>
                  <w:rFonts w:ascii="Times New Roman;sans-serif" w:hAnsi="Times New Roman;sans-serif"/>
                  <w:b w:val="false"/>
                  <w:strike w:val="false"/>
                  <w:dstrike w:val="false"/>
                  <w:color w:val="000000"/>
                  <w:sz w:val="24"/>
                  <w:u w:val="none"/>
                  <w:effect w:val="none"/>
                </w:rPr>
                <w:t>Commission.</w:t>
              </w:r>
            </w:hyperlink>
          </w:p>
        </w:tc>
        <w:tc>
          <w:tcPr>
            <w:tcW w:w="392"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w:anchor="i6d608e9565d54a498549808fb965121b_7">
              <w:r>
                <w:rPr>
                  <w:rStyle w:val="InternetLink"/>
                  <w:rFonts w:ascii="Times New Roman;sans-serif" w:hAnsi="Times New Roman;sans-serif"/>
                  <w:b w:val="false"/>
                  <w:color w:val="000000"/>
                  <w:sz w:val="24"/>
                  <w:u w:val="single"/>
                </w:rPr>
                <w:t>2</w:t>
              </w:r>
            </w:hyperlink>
          </w:p>
        </w:tc>
      </w:tr>
      <w:tr>
        <w:trPr/>
        <w:tc>
          <w:tcPr>
            <w:tcW w:w="9813"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w:anchor="i6d608e9565d54a498549808fb965121b_7">
              <w:r>
                <w:rPr>
                  <w:rStyle w:val="InternetLink"/>
                </w:rPr>
                <w:t xml:space="preserve">SECTION </w:t>
              </w:r>
            </w:hyperlink>
            <w:hyperlink w:anchor="i6d608e9565d54a498549808fb965121b_7">
              <w:r>
                <w:rPr>
                  <w:rStyle w:val="InternetLink"/>
                </w:rPr>
                <w:t>1.3.</w:t>
              </w:r>
            </w:hyperlink>
            <w:hyperlink w:anchor="i6d608e9565d54a498549808fb965121b_7">
              <w:r>
                <w:rPr>
                  <w:rStyle w:val="InternetLink"/>
                  <w:strike w:val="false"/>
                  <w:dstrike w:val="false"/>
                  <w:color w:val="000000"/>
                  <w:u w:val="none"/>
                  <w:effect w:val="none"/>
                </w:rPr>
                <w:t>    </w:t>
              </w:r>
            </w:hyperlink>
            <w:hyperlink w:anchor="i6d608e9565d54a498549808fb965121b_7">
              <w:r>
                <w:rPr>
                  <w:rStyle w:val="InternetLink"/>
                  <w:rFonts w:ascii="Times New Roman;sans-serif" w:hAnsi="Times New Roman;sans-serif"/>
                  <w:b w:val="false"/>
                  <w:strike w:val="false"/>
                  <w:dstrike w:val="false"/>
                  <w:color w:val="000000"/>
                  <w:sz w:val="24"/>
                  <w:u w:val="none"/>
                  <w:effect w:val="none"/>
                </w:rPr>
                <w:t>Company.</w:t>
              </w:r>
            </w:hyperlink>
          </w:p>
        </w:tc>
        <w:tc>
          <w:tcPr>
            <w:tcW w:w="392"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w:anchor="i6d608e9565d54a498549808fb965121b_7">
              <w:r>
                <w:rPr>
                  <w:rStyle w:val="InternetLink"/>
                  <w:rFonts w:ascii="Times New Roman;sans-serif" w:hAnsi="Times New Roman;sans-serif"/>
                  <w:b w:val="false"/>
                  <w:color w:val="000000"/>
                  <w:sz w:val="24"/>
                  <w:u w:val="single"/>
                </w:rPr>
                <w:t>2</w:t>
              </w:r>
            </w:hyperlink>
          </w:p>
        </w:tc>
      </w:tr>
      <w:tr>
        <w:trPr/>
        <w:tc>
          <w:tcPr>
            <w:tcW w:w="9813"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w:anchor="i6d608e9565d54a498549808fb965121b_7">
              <w:r>
                <w:rPr>
                  <w:rStyle w:val="InternetLink"/>
                </w:rPr>
                <w:t xml:space="preserve">SECTION </w:t>
              </w:r>
            </w:hyperlink>
            <w:hyperlink w:anchor="i6d608e9565d54a498549808fb965121b_7">
              <w:r>
                <w:rPr>
                  <w:rStyle w:val="InternetLink"/>
                </w:rPr>
                <w:t>1.4</w:t>
              </w:r>
            </w:hyperlink>
            <w:hyperlink w:anchor="i6d608e9565d54a498549808fb965121b_7">
              <w:r>
                <w:rPr>
                  <w:rStyle w:val="InternetLink"/>
                </w:rPr>
                <w:t>.</w:t>
              </w:r>
            </w:hyperlink>
            <w:hyperlink w:anchor="i6d608e9565d54a498549808fb965121b_7">
              <w:r>
                <w:rPr>
                  <w:rStyle w:val="InternetLink"/>
                  <w:strike w:val="false"/>
                  <w:dstrike w:val="false"/>
                  <w:color w:val="000000"/>
                  <w:u w:val="none"/>
                  <w:effect w:val="none"/>
                </w:rPr>
                <w:t>    </w:t>
              </w:r>
            </w:hyperlink>
            <w:hyperlink w:anchor="i6d608e9565d54a498549808fb965121b_7">
              <w:r>
                <w:rPr>
                  <w:rStyle w:val="InternetLink"/>
                  <w:rFonts w:ascii="Times New Roman;sans-serif" w:hAnsi="Times New Roman;sans-serif"/>
                  <w:b w:val="false"/>
                  <w:strike w:val="false"/>
                  <w:dstrike w:val="false"/>
                  <w:color w:val="000000"/>
                  <w:sz w:val="24"/>
                  <w:u w:val="none"/>
                  <w:effect w:val="none"/>
                </w:rPr>
                <w:t>Custodian.</w:t>
              </w:r>
            </w:hyperlink>
          </w:p>
        </w:tc>
        <w:tc>
          <w:tcPr>
            <w:tcW w:w="392"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w:anchor="i6d608e9565d54a498549808fb965121b_7">
              <w:r>
                <w:rPr>
                  <w:rStyle w:val="InternetLink"/>
                  <w:rFonts w:ascii="Times New Roman;sans-serif" w:hAnsi="Times New Roman;sans-serif"/>
                  <w:b w:val="false"/>
                  <w:color w:val="000000"/>
                  <w:sz w:val="24"/>
                  <w:u w:val="single"/>
                </w:rPr>
                <w:t>2</w:t>
              </w:r>
            </w:hyperlink>
          </w:p>
        </w:tc>
      </w:tr>
      <w:tr>
        <w:trPr/>
        <w:tc>
          <w:tcPr>
            <w:tcW w:w="9813"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w:anchor="i6d608e9565d54a498549808fb965121b_7">
              <w:r>
                <w:rPr>
                  <w:rStyle w:val="InternetLink"/>
                  <w:rFonts w:ascii="Times New Roman;sans-serif" w:hAnsi="Times New Roman;sans-serif"/>
                  <w:b w:val="false"/>
                  <w:strike w:val="false"/>
                  <w:dstrike w:val="false"/>
                  <w:color w:val="000000"/>
                  <w:sz w:val="24"/>
                  <w:u w:val="none"/>
                  <w:effect w:val="none"/>
                </w:rPr>
                <w:t>SECTION 1.5.</w:t>
              </w:r>
            </w:hyperlink>
            <w:hyperlink w:anchor="i6d608e9565d54a498549808fb965121b_7">
              <w:r>
                <w:rPr>
                  <w:rStyle w:val="InternetLink"/>
                  <w:strike w:val="false"/>
                  <w:dstrike w:val="false"/>
                  <w:color w:val="000000"/>
                  <w:u w:val="none"/>
                  <w:effect w:val="none"/>
                </w:rPr>
                <w:t>    </w:t>
              </w:r>
            </w:hyperlink>
            <w:hyperlink w:anchor="i6d608e9565d54a498549808fb965121b_7">
              <w:r>
                <w:rPr>
                  <w:rStyle w:val="InternetLink"/>
                  <w:rFonts w:ascii="Times New Roman;sans-serif" w:hAnsi="Times New Roman;sans-serif"/>
                  <w:b w:val="false"/>
                  <w:strike w:val="false"/>
                  <w:dstrike w:val="false"/>
                  <w:color w:val="000000"/>
                  <w:sz w:val="24"/>
                  <w:u w:val="none"/>
                  <w:effect w:val="none"/>
                </w:rPr>
                <w:t>Deliver; Surrender.</w:t>
              </w:r>
            </w:hyperlink>
          </w:p>
        </w:tc>
        <w:tc>
          <w:tcPr>
            <w:tcW w:w="392"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w:anchor="i6d608e9565d54a498549808fb965121b_7">
              <w:r>
                <w:rPr>
                  <w:rStyle w:val="InternetLink"/>
                  <w:rFonts w:ascii="Times New Roman;sans-serif" w:hAnsi="Times New Roman;sans-serif"/>
                  <w:b w:val="false"/>
                  <w:color w:val="000000"/>
                  <w:sz w:val="24"/>
                  <w:u w:val="single"/>
                </w:rPr>
                <w:t>2</w:t>
              </w:r>
            </w:hyperlink>
          </w:p>
        </w:tc>
      </w:tr>
      <w:tr>
        <w:trPr/>
        <w:tc>
          <w:tcPr>
            <w:tcW w:w="9813"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w:anchor="i6d608e9565d54a498549808fb965121b_7">
              <w:r>
                <w:rPr>
                  <w:rStyle w:val="InternetLink"/>
                  <w:rFonts w:ascii="Times New Roman;sans-serif" w:hAnsi="Times New Roman;sans-serif"/>
                  <w:b w:val="false"/>
                  <w:strike w:val="false"/>
                  <w:dstrike w:val="false"/>
                  <w:color w:val="000000"/>
                  <w:sz w:val="24"/>
                  <w:u w:val="none"/>
                  <w:effect w:val="none"/>
                </w:rPr>
                <w:t>SECTION 1.6.</w:t>
              </w:r>
            </w:hyperlink>
            <w:hyperlink w:anchor="i6d608e9565d54a498549808fb965121b_7">
              <w:r>
                <w:rPr>
                  <w:rStyle w:val="InternetLink"/>
                  <w:strike w:val="false"/>
                  <w:dstrike w:val="false"/>
                  <w:color w:val="000000"/>
                  <w:u w:val="none"/>
                  <w:effect w:val="none"/>
                </w:rPr>
                <w:t>    </w:t>
              </w:r>
            </w:hyperlink>
            <w:hyperlink w:anchor="i6d608e9565d54a498549808fb965121b_7">
              <w:r>
                <w:rPr>
                  <w:rStyle w:val="InternetLink"/>
                  <w:rFonts w:ascii="Times New Roman;sans-serif" w:hAnsi="Times New Roman;sans-serif"/>
                  <w:b w:val="false"/>
                  <w:strike w:val="false"/>
                  <w:dstrike w:val="false"/>
                  <w:color w:val="000000"/>
                  <w:sz w:val="24"/>
                  <w:u w:val="none"/>
                  <w:effect w:val="none"/>
                </w:rPr>
                <w:t>Deposit Agreement.</w:t>
              </w:r>
            </w:hyperlink>
          </w:p>
        </w:tc>
        <w:tc>
          <w:tcPr>
            <w:tcW w:w="392"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w:anchor="i6d608e9565d54a498549808fb965121b_7">
              <w:r>
                <w:rPr>
                  <w:rStyle w:val="InternetLink"/>
                  <w:rFonts w:ascii="Times New Roman;sans-serif" w:hAnsi="Times New Roman;sans-serif"/>
                  <w:b w:val="false"/>
                  <w:color w:val="000000"/>
                  <w:sz w:val="24"/>
                  <w:u w:val="single"/>
                </w:rPr>
                <w:t>3</w:t>
              </w:r>
            </w:hyperlink>
          </w:p>
        </w:tc>
      </w:tr>
      <w:tr>
        <w:trPr/>
        <w:tc>
          <w:tcPr>
            <w:tcW w:w="9813"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w:anchor="i6d608e9565d54a498549808fb965121b_7">
              <w:r>
                <w:rPr>
                  <w:rStyle w:val="InternetLink"/>
                  <w:rFonts w:ascii="Times New Roman;sans-serif" w:hAnsi="Times New Roman;sans-serif"/>
                  <w:b w:val="false"/>
                  <w:strike w:val="false"/>
                  <w:dstrike w:val="false"/>
                  <w:color w:val="000000"/>
                  <w:sz w:val="24"/>
                  <w:u w:val="none"/>
                  <w:effect w:val="none"/>
                </w:rPr>
                <w:t>SECTION 1.7.</w:t>
              </w:r>
            </w:hyperlink>
            <w:hyperlink w:anchor="i6d608e9565d54a498549808fb965121b_7">
              <w:r>
                <w:rPr>
                  <w:rStyle w:val="InternetLink"/>
                  <w:strike w:val="false"/>
                  <w:dstrike w:val="false"/>
                  <w:color w:val="000000"/>
                  <w:u w:val="none"/>
                  <w:effect w:val="none"/>
                </w:rPr>
                <w:t>    </w:t>
              </w:r>
            </w:hyperlink>
            <w:hyperlink w:anchor="i6d608e9565d54a498549808fb965121b_7">
              <w:r>
                <w:rPr>
                  <w:rStyle w:val="InternetLink"/>
                  <w:rFonts w:ascii="Times New Roman;sans-serif" w:hAnsi="Times New Roman;sans-serif"/>
                  <w:b w:val="false"/>
                  <w:strike w:val="false"/>
                  <w:dstrike w:val="false"/>
                  <w:color w:val="000000"/>
                  <w:sz w:val="24"/>
                  <w:u w:val="none"/>
                  <w:effect w:val="none"/>
                </w:rPr>
                <w:t>Depositary; Depositary’s Office.</w:t>
              </w:r>
            </w:hyperlink>
          </w:p>
        </w:tc>
        <w:tc>
          <w:tcPr>
            <w:tcW w:w="392"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w:anchor="i6d608e9565d54a498549808fb965121b_7">
              <w:r>
                <w:rPr>
                  <w:rStyle w:val="InternetLink"/>
                  <w:rFonts w:ascii="Times New Roman;sans-serif" w:hAnsi="Times New Roman;sans-serif"/>
                  <w:b w:val="false"/>
                  <w:color w:val="000000"/>
                  <w:sz w:val="24"/>
                  <w:u w:val="single"/>
                </w:rPr>
                <w:t>3</w:t>
              </w:r>
            </w:hyperlink>
          </w:p>
        </w:tc>
      </w:tr>
      <w:tr>
        <w:trPr/>
        <w:tc>
          <w:tcPr>
            <w:tcW w:w="9813"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w:anchor="i6d608e9565d54a498549808fb965121b_7">
              <w:r>
                <w:rPr>
                  <w:rStyle w:val="InternetLink"/>
                  <w:rFonts w:ascii="Times New Roman;sans-serif" w:hAnsi="Times New Roman;sans-serif"/>
                  <w:b w:val="false"/>
                  <w:strike w:val="false"/>
                  <w:dstrike w:val="false"/>
                  <w:color w:val="000000"/>
                  <w:sz w:val="24"/>
                  <w:u w:val="none"/>
                  <w:effect w:val="none"/>
                </w:rPr>
                <w:t>SECTION 1.8.</w:t>
              </w:r>
            </w:hyperlink>
            <w:hyperlink w:anchor="i6d608e9565d54a498549808fb965121b_7">
              <w:r>
                <w:rPr>
                  <w:rStyle w:val="InternetLink"/>
                  <w:strike w:val="false"/>
                  <w:dstrike w:val="false"/>
                  <w:color w:val="000000"/>
                  <w:u w:val="none"/>
                  <w:effect w:val="none"/>
                </w:rPr>
                <w:t>    </w:t>
              </w:r>
            </w:hyperlink>
            <w:hyperlink w:anchor="i6d608e9565d54a498549808fb965121b_7">
              <w:r>
                <w:rPr>
                  <w:rStyle w:val="InternetLink"/>
                  <w:rFonts w:ascii="Times New Roman;sans-serif" w:hAnsi="Times New Roman;sans-serif"/>
                  <w:b w:val="false"/>
                  <w:strike w:val="false"/>
                  <w:dstrike w:val="false"/>
                  <w:color w:val="000000"/>
                  <w:sz w:val="24"/>
                  <w:u w:val="none"/>
                  <w:effect w:val="none"/>
                </w:rPr>
                <w:t>Deposited Securities.</w:t>
              </w:r>
            </w:hyperlink>
          </w:p>
        </w:tc>
        <w:tc>
          <w:tcPr>
            <w:tcW w:w="392"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w:anchor="i6d608e9565d54a498549808fb965121b_7">
              <w:r>
                <w:rPr>
                  <w:rStyle w:val="InternetLink"/>
                  <w:rFonts w:ascii="Times New Roman;sans-serif" w:hAnsi="Times New Roman;sans-serif"/>
                  <w:b w:val="false"/>
                  <w:color w:val="000000"/>
                  <w:sz w:val="24"/>
                  <w:u w:val="single"/>
                </w:rPr>
                <w:t>3</w:t>
              </w:r>
            </w:hyperlink>
          </w:p>
        </w:tc>
      </w:tr>
      <w:tr>
        <w:trPr/>
        <w:tc>
          <w:tcPr>
            <w:tcW w:w="9813"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w:anchor="i6d608e9565d54a498549808fb965121b_7">
              <w:r>
                <w:rPr>
                  <w:rStyle w:val="InternetLink"/>
                  <w:rFonts w:ascii="Times New Roman;sans-serif" w:hAnsi="Times New Roman;sans-serif"/>
                  <w:b w:val="false"/>
                  <w:strike w:val="false"/>
                  <w:dstrike w:val="false"/>
                  <w:color w:val="000000"/>
                  <w:sz w:val="24"/>
                  <w:u w:val="none"/>
                  <w:effect w:val="none"/>
                </w:rPr>
                <w:t>SECTION 1.9.</w:t>
              </w:r>
            </w:hyperlink>
            <w:hyperlink w:anchor="i6d608e9565d54a498549808fb965121b_7">
              <w:r>
                <w:rPr>
                  <w:rStyle w:val="InternetLink"/>
                  <w:strike w:val="false"/>
                  <w:dstrike w:val="false"/>
                  <w:color w:val="000000"/>
                  <w:u w:val="none"/>
                  <w:effect w:val="none"/>
                </w:rPr>
                <w:t>    </w:t>
              </w:r>
            </w:hyperlink>
            <w:hyperlink w:anchor="i6d608e9565d54a498549808fb965121b_7">
              <w:r>
                <w:rPr>
                  <w:rStyle w:val="InternetLink"/>
                  <w:rFonts w:ascii="Times New Roman;sans-serif" w:hAnsi="Times New Roman;sans-serif"/>
                  <w:b w:val="false"/>
                  <w:strike w:val="false"/>
                  <w:dstrike w:val="false"/>
                  <w:color w:val="000000"/>
                  <w:sz w:val="24"/>
                  <w:u w:val="none"/>
                  <w:effect w:val="none"/>
                </w:rPr>
                <w:t>Disseminate.</w:t>
              </w:r>
            </w:hyperlink>
          </w:p>
        </w:tc>
        <w:tc>
          <w:tcPr>
            <w:tcW w:w="392"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w:anchor="i6d608e9565d54a498549808fb965121b_7">
              <w:r>
                <w:rPr>
                  <w:rStyle w:val="InternetLink"/>
                  <w:rFonts w:ascii="Times New Roman;sans-serif" w:hAnsi="Times New Roman;sans-serif"/>
                  <w:b w:val="false"/>
                  <w:color w:val="000000"/>
                  <w:sz w:val="24"/>
                  <w:u w:val="single"/>
                </w:rPr>
                <w:t>3</w:t>
              </w:r>
            </w:hyperlink>
          </w:p>
        </w:tc>
      </w:tr>
      <w:tr>
        <w:trPr/>
        <w:tc>
          <w:tcPr>
            <w:tcW w:w="9813"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w:anchor="i6d608e9565d54a498549808fb965121b_7">
              <w:r>
                <w:rPr>
                  <w:rStyle w:val="InternetLink"/>
                  <w:rFonts w:ascii="Times New Roman;sans-serif" w:hAnsi="Times New Roman;sans-serif"/>
                  <w:b w:val="false"/>
                  <w:strike w:val="false"/>
                  <w:dstrike w:val="false"/>
                  <w:color w:val="000000"/>
                  <w:sz w:val="24"/>
                  <w:u w:val="none"/>
                  <w:effect w:val="none"/>
                </w:rPr>
                <w:t>SECTION 1.10.</w:t>
              </w:r>
            </w:hyperlink>
            <w:hyperlink w:anchor="i6d608e9565d54a498549808fb965121b_7">
              <w:r>
                <w:rPr>
                  <w:rStyle w:val="InternetLink"/>
                  <w:strike w:val="false"/>
                  <w:dstrike w:val="false"/>
                  <w:color w:val="000000"/>
                  <w:u w:val="none"/>
                  <w:effect w:val="none"/>
                </w:rPr>
                <w:t>    </w:t>
              </w:r>
            </w:hyperlink>
            <w:hyperlink w:anchor="i6d608e9565d54a498549808fb965121b_7">
              <w:r>
                <w:rPr>
                  <w:rStyle w:val="InternetLink"/>
                  <w:rFonts w:ascii="Times New Roman;sans-serif" w:hAnsi="Times New Roman;sans-serif"/>
                  <w:b w:val="false"/>
                  <w:strike w:val="false"/>
                  <w:dstrike w:val="false"/>
                  <w:color w:val="000000"/>
                  <w:sz w:val="24"/>
                  <w:u w:val="none"/>
                  <w:effect w:val="none"/>
                </w:rPr>
                <w:t>Dollars.</w:t>
              </w:r>
            </w:hyperlink>
          </w:p>
        </w:tc>
        <w:tc>
          <w:tcPr>
            <w:tcW w:w="392"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w:anchor="i6d608e9565d54a498549808fb965121b_7">
              <w:r>
                <w:rPr>
                  <w:rStyle w:val="InternetLink"/>
                  <w:rFonts w:ascii="Times New Roman;sans-serif" w:hAnsi="Times New Roman;sans-serif"/>
                  <w:b w:val="false"/>
                  <w:color w:val="000000"/>
                  <w:sz w:val="24"/>
                  <w:u w:val="single"/>
                </w:rPr>
                <w:t>3</w:t>
              </w:r>
            </w:hyperlink>
          </w:p>
        </w:tc>
      </w:tr>
      <w:tr>
        <w:trPr/>
        <w:tc>
          <w:tcPr>
            <w:tcW w:w="9813"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w:anchor="i6d608e9565d54a498549808fb965121b_7">
              <w:r>
                <w:rPr>
                  <w:rStyle w:val="InternetLink"/>
                  <w:rFonts w:ascii="Times New Roman;sans-serif" w:hAnsi="Times New Roman;sans-serif"/>
                  <w:b w:val="false"/>
                  <w:strike w:val="false"/>
                  <w:dstrike w:val="false"/>
                  <w:color w:val="000000"/>
                  <w:sz w:val="24"/>
                  <w:u w:val="none"/>
                  <w:effect w:val="none"/>
                </w:rPr>
                <w:t>SECTION 1.11.</w:t>
              </w:r>
            </w:hyperlink>
            <w:hyperlink w:anchor="i6d608e9565d54a498549808fb965121b_7">
              <w:r>
                <w:rPr>
                  <w:rStyle w:val="InternetLink"/>
                  <w:strike w:val="false"/>
                  <w:dstrike w:val="false"/>
                  <w:color w:val="000000"/>
                  <w:u w:val="none"/>
                  <w:effect w:val="none"/>
                </w:rPr>
                <w:t>    </w:t>
              </w:r>
            </w:hyperlink>
            <w:hyperlink w:anchor="i6d608e9565d54a498549808fb965121b_7">
              <w:r>
                <w:rPr>
                  <w:rStyle w:val="InternetLink"/>
                  <w:rFonts w:ascii="Times New Roman;sans-serif" w:hAnsi="Times New Roman;sans-serif"/>
                  <w:b w:val="false"/>
                  <w:strike w:val="false"/>
                  <w:dstrike w:val="false"/>
                  <w:color w:val="000000"/>
                  <w:sz w:val="24"/>
                  <w:u w:val="none"/>
                  <w:effect w:val="none"/>
                </w:rPr>
                <w:t>DTC.</w:t>
              </w:r>
            </w:hyperlink>
          </w:p>
        </w:tc>
        <w:tc>
          <w:tcPr>
            <w:tcW w:w="392"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w:anchor="i6d608e9565d54a498549808fb965121b_7">
              <w:r>
                <w:rPr>
                  <w:rStyle w:val="InternetLink"/>
                  <w:rFonts w:ascii="Times New Roman;sans-serif" w:hAnsi="Times New Roman;sans-serif"/>
                  <w:b w:val="false"/>
                  <w:color w:val="000000"/>
                  <w:sz w:val="24"/>
                  <w:u w:val="single"/>
                </w:rPr>
                <w:t>4</w:t>
              </w:r>
            </w:hyperlink>
          </w:p>
        </w:tc>
      </w:tr>
      <w:tr>
        <w:trPr/>
        <w:tc>
          <w:tcPr>
            <w:tcW w:w="9813"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w:anchor="i6d608e9565d54a498549808fb965121b_7">
              <w:r>
                <w:rPr>
                  <w:rStyle w:val="InternetLink"/>
                  <w:rFonts w:ascii="Times New Roman;sans-serif" w:hAnsi="Times New Roman;sans-serif"/>
                  <w:b w:val="false"/>
                  <w:strike w:val="false"/>
                  <w:dstrike w:val="false"/>
                  <w:color w:val="000000"/>
                  <w:sz w:val="24"/>
                  <w:u w:val="none"/>
                  <w:effect w:val="none"/>
                </w:rPr>
                <w:t>SECTION 1.12.</w:t>
              </w:r>
            </w:hyperlink>
            <w:hyperlink w:anchor="i6d608e9565d54a498549808fb965121b_7">
              <w:r>
                <w:rPr>
                  <w:rStyle w:val="InternetLink"/>
                  <w:strike w:val="false"/>
                  <w:dstrike w:val="false"/>
                  <w:color w:val="000000"/>
                  <w:u w:val="none"/>
                  <w:effect w:val="none"/>
                </w:rPr>
                <w:t>    </w:t>
              </w:r>
            </w:hyperlink>
            <w:hyperlink w:anchor="i6d608e9565d54a498549808fb965121b_7">
              <w:r>
                <w:rPr>
                  <w:rStyle w:val="InternetLink"/>
                  <w:rFonts w:ascii="Times New Roman;sans-serif" w:hAnsi="Times New Roman;sans-serif"/>
                  <w:b w:val="false"/>
                  <w:strike w:val="false"/>
                  <w:dstrike w:val="false"/>
                  <w:color w:val="000000"/>
                  <w:sz w:val="24"/>
                  <w:u w:val="none"/>
                  <w:effect w:val="none"/>
                </w:rPr>
                <w:t>Foreign Registrar.</w:t>
              </w:r>
            </w:hyperlink>
          </w:p>
        </w:tc>
        <w:tc>
          <w:tcPr>
            <w:tcW w:w="392"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w:anchor="i6d608e9565d54a498549808fb965121b_7">
              <w:r>
                <w:rPr>
                  <w:rStyle w:val="InternetLink"/>
                  <w:rFonts w:ascii="Times New Roman;sans-serif" w:hAnsi="Times New Roman;sans-serif"/>
                  <w:b w:val="false"/>
                  <w:color w:val="000000"/>
                  <w:sz w:val="24"/>
                  <w:u w:val="single"/>
                </w:rPr>
                <w:t>4</w:t>
              </w:r>
            </w:hyperlink>
          </w:p>
        </w:tc>
      </w:tr>
      <w:tr>
        <w:trPr/>
        <w:tc>
          <w:tcPr>
            <w:tcW w:w="9813"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w:anchor="i6d608e9565d54a498549808fb965121b_7">
              <w:r>
                <w:rPr>
                  <w:rStyle w:val="InternetLink"/>
                  <w:rFonts w:ascii="Times New Roman;sans-serif" w:hAnsi="Times New Roman;sans-serif"/>
                  <w:b w:val="false"/>
                  <w:strike w:val="false"/>
                  <w:dstrike w:val="false"/>
                  <w:color w:val="000000"/>
                  <w:sz w:val="24"/>
                  <w:u w:val="none"/>
                  <w:effect w:val="none"/>
                </w:rPr>
                <w:t>SECTION 1.13.</w:t>
              </w:r>
            </w:hyperlink>
            <w:hyperlink w:anchor="i6d608e9565d54a498549808fb965121b_7">
              <w:r>
                <w:rPr>
                  <w:rStyle w:val="InternetLink"/>
                  <w:strike w:val="false"/>
                  <w:dstrike w:val="false"/>
                  <w:color w:val="000000"/>
                  <w:u w:val="none"/>
                  <w:effect w:val="none"/>
                </w:rPr>
                <w:t>    </w:t>
              </w:r>
            </w:hyperlink>
            <w:hyperlink w:anchor="i6d608e9565d54a498549808fb965121b_7">
              <w:r>
                <w:rPr>
                  <w:rStyle w:val="InternetLink"/>
                  <w:rFonts w:ascii="Times New Roman;sans-serif" w:hAnsi="Times New Roman;sans-serif"/>
                  <w:b w:val="false"/>
                  <w:strike w:val="false"/>
                  <w:dstrike w:val="false"/>
                  <w:color w:val="000000"/>
                  <w:sz w:val="24"/>
                  <w:u w:val="none"/>
                  <w:effect w:val="none"/>
                </w:rPr>
                <w:t>Holder.</w:t>
              </w:r>
            </w:hyperlink>
          </w:p>
        </w:tc>
        <w:tc>
          <w:tcPr>
            <w:tcW w:w="392"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w:anchor="i6d608e9565d54a498549808fb965121b_7">
              <w:r>
                <w:rPr>
                  <w:rStyle w:val="InternetLink"/>
                  <w:rFonts w:ascii="Times New Roman;sans-serif" w:hAnsi="Times New Roman;sans-serif"/>
                  <w:b w:val="false"/>
                  <w:color w:val="000000"/>
                  <w:sz w:val="24"/>
                  <w:u w:val="single"/>
                </w:rPr>
                <w:t>4</w:t>
              </w:r>
            </w:hyperlink>
          </w:p>
        </w:tc>
      </w:tr>
      <w:tr>
        <w:trPr/>
        <w:tc>
          <w:tcPr>
            <w:tcW w:w="9813"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w:anchor="i6d608e9565d54a498549808fb965121b_7">
              <w:r>
                <w:rPr>
                  <w:rStyle w:val="InternetLink"/>
                  <w:rFonts w:ascii="Times New Roman;sans-serif" w:hAnsi="Times New Roman;sans-serif"/>
                  <w:b w:val="false"/>
                  <w:strike w:val="false"/>
                  <w:dstrike w:val="false"/>
                  <w:color w:val="000000"/>
                  <w:sz w:val="24"/>
                  <w:u w:val="none"/>
                  <w:effect w:val="none"/>
                </w:rPr>
                <w:t>SECTION 1.14.</w:t>
              </w:r>
            </w:hyperlink>
            <w:hyperlink w:anchor="i6d608e9565d54a498549808fb965121b_7">
              <w:r>
                <w:rPr>
                  <w:rStyle w:val="InternetLink"/>
                  <w:strike w:val="false"/>
                  <w:dstrike w:val="false"/>
                  <w:color w:val="000000"/>
                  <w:u w:val="none"/>
                  <w:effect w:val="none"/>
                </w:rPr>
                <w:t>    </w:t>
              </w:r>
            </w:hyperlink>
            <w:hyperlink w:anchor="i6d608e9565d54a498549808fb965121b_7">
              <w:r>
                <w:rPr>
                  <w:rStyle w:val="InternetLink"/>
                  <w:rFonts w:ascii="Times New Roman;sans-serif" w:hAnsi="Times New Roman;sans-serif"/>
                  <w:b w:val="false"/>
                  <w:strike w:val="false"/>
                  <w:dstrike w:val="false"/>
                  <w:color w:val="000000"/>
                  <w:sz w:val="24"/>
                  <w:u w:val="none"/>
                  <w:effect w:val="none"/>
                </w:rPr>
                <w:t>Owner.</w:t>
              </w:r>
            </w:hyperlink>
          </w:p>
        </w:tc>
        <w:tc>
          <w:tcPr>
            <w:tcW w:w="392"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w:anchor="i6d608e9565d54a498549808fb965121b_7">
              <w:r>
                <w:rPr>
                  <w:rStyle w:val="InternetLink"/>
                  <w:rFonts w:ascii="Times New Roman;sans-serif" w:hAnsi="Times New Roman;sans-serif"/>
                  <w:b w:val="false"/>
                  <w:color w:val="000000"/>
                  <w:sz w:val="24"/>
                  <w:u w:val="single"/>
                </w:rPr>
                <w:t>4</w:t>
              </w:r>
            </w:hyperlink>
          </w:p>
        </w:tc>
      </w:tr>
      <w:tr>
        <w:trPr/>
        <w:tc>
          <w:tcPr>
            <w:tcW w:w="9813"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w:anchor="i6d608e9565d54a498549808fb965121b_7">
              <w:r>
                <w:rPr>
                  <w:rStyle w:val="InternetLink"/>
                  <w:rFonts w:ascii="Times New Roman;sans-serif" w:hAnsi="Times New Roman;sans-serif"/>
                  <w:b w:val="false"/>
                  <w:strike w:val="false"/>
                  <w:dstrike w:val="false"/>
                  <w:color w:val="000000"/>
                  <w:sz w:val="24"/>
                  <w:u w:val="none"/>
                  <w:effect w:val="none"/>
                </w:rPr>
                <w:t>SECTION 1.15.</w:t>
              </w:r>
            </w:hyperlink>
            <w:hyperlink w:anchor="i6d608e9565d54a498549808fb965121b_7">
              <w:r>
                <w:rPr>
                  <w:rStyle w:val="InternetLink"/>
                  <w:strike w:val="false"/>
                  <w:dstrike w:val="false"/>
                  <w:color w:val="000000"/>
                  <w:u w:val="none"/>
                  <w:effect w:val="none"/>
                </w:rPr>
                <w:t>    </w:t>
              </w:r>
            </w:hyperlink>
            <w:hyperlink w:anchor="i6d608e9565d54a498549808fb965121b_7">
              <w:r>
                <w:rPr>
                  <w:rStyle w:val="InternetLink"/>
                  <w:rFonts w:ascii="Times New Roman;sans-serif" w:hAnsi="Times New Roman;sans-serif"/>
                  <w:b w:val="false"/>
                  <w:strike w:val="false"/>
                  <w:dstrike w:val="false"/>
                  <w:color w:val="000000"/>
                  <w:sz w:val="24"/>
                  <w:u w:val="none"/>
                  <w:effect w:val="none"/>
                </w:rPr>
                <w:t>Receipts.</w:t>
              </w:r>
            </w:hyperlink>
          </w:p>
        </w:tc>
        <w:tc>
          <w:tcPr>
            <w:tcW w:w="392"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w:anchor="i6d608e9565d54a498549808fb965121b_7">
              <w:r>
                <w:rPr>
                  <w:rStyle w:val="InternetLink"/>
                  <w:rFonts w:ascii="Times New Roman;sans-serif" w:hAnsi="Times New Roman;sans-serif"/>
                  <w:b w:val="false"/>
                  <w:color w:val="000000"/>
                  <w:sz w:val="24"/>
                  <w:u w:val="single"/>
                </w:rPr>
                <w:t>4</w:t>
              </w:r>
            </w:hyperlink>
          </w:p>
        </w:tc>
      </w:tr>
      <w:tr>
        <w:trPr/>
        <w:tc>
          <w:tcPr>
            <w:tcW w:w="9813"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w:anchor="i6d608e9565d54a498549808fb965121b_7">
              <w:r>
                <w:rPr>
                  <w:rStyle w:val="InternetLink"/>
                  <w:rFonts w:ascii="Times New Roman;sans-serif" w:hAnsi="Times New Roman;sans-serif"/>
                  <w:b w:val="false"/>
                  <w:strike w:val="false"/>
                  <w:dstrike w:val="false"/>
                  <w:color w:val="000000"/>
                  <w:sz w:val="24"/>
                  <w:u w:val="none"/>
                  <w:effect w:val="none"/>
                </w:rPr>
                <w:t>SECTION 1.16.</w:t>
              </w:r>
            </w:hyperlink>
            <w:hyperlink w:anchor="i6d608e9565d54a498549808fb965121b_7">
              <w:r>
                <w:rPr>
                  <w:rStyle w:val="InternetLink"/>
                  <w:strike w:val="false"/>
                  <w:dstrike w:val="false"/>
                  <w:color w:val="000000"/>
                  <w:u w:val="none"/>
                  <w:effect w:val="none"/>
                </w:rPr>
                <w:t>    </w:t>
              </w:r>
            </w:hyperlink>
            <w:hyperlink w:anchor="i6d608e9565d54a498549808fb965121b_7">
              <w:r>
                <w:rPr>
                  <w:rStyle w:val="InternetLink"/>
                  <w:rFonts w:ascii="Times New Roman;sans-serif" w:hAnsi="Times New Roman;sans-serif"/>
                  <w:b w:val="false"/>
                  <w:strike w:val="false"/>
                  <w:dstrike w:val="false"/>
                  <w:color w:val="000000"/>
                  <w:sz w:val="24"/>
                  <w:u w:val="none"/>
                  <w:effect w:val="none"/>
                </w:rPr>
                <w:t>Registrar.</w:t>
              </w:r>
            </w:hyperlink>
          </w:p>
        </w:tc>
        <w:tc>
          <w:tcPr>
            <w:tcW w:w="392"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w:anchor="i6d608e9565d54a498549808fb965121b_7">
              <w:r>
                <w:rPr>
                  <w:rStyle w:val="InternetLink"/>
                  <w:rFonts w:ascii="Times New Roman;sans-serif" w:hAnsi="Times New Roman;sans-serif"/>
                  <w:b w:val="false"/>
                  <w:color w:val="000000"/>
                  <w:sz w:val="24"/>
                  <w:u w:val="single"/>
                </w:rPr>
                <w:t>4</w:t>
              </w:r>
            </w:hyperlink>
          </w:p>
        </w:tc>
      </w:tr>
      <w:tr>
        <w:trPr/>
        <w:tc>
          <w:tcPr>
            <w:tcW w:w="9813"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w:anchor="i6d608e9565d54a498549808fb965121b_7">
              <w:r>
                <w:rPr>
                  <w:rStyle w:val="InternetLink"/>
                  <w:rFonts w:ascii="Times New Roman;sans-serif" w:hAnsi="Times New Roman;sans-serif"/>
                  <w:b w:val="false"/>
                  <w:strike w:val="false"/>
                  <w:dstrike w:val="false"/>
                  <w:color w:val="000000"/>
                  <w:sz w:val="24"/>
                  <w:u w:val="none"/>
                  <w:effect w:val="none"/>
                </w:rPr>
                <w:t>SECTION 1.17.</w:t>
              </w:r>
            </w:hyperlink>
            <w:hyperlink w:anchor="i6d608e9565d54a498549808fb965121b_7">
              <w:r>
                <w:rPr>
                  <w:rStyle w:val="InternetLink"/>
                  <w:strike w:val="false"/>
                  <w:dstrike w:val="false"/>
                  <w:color w:val="000000"/>
                  <w:u w:val="none"/>
                  <w:effect w:val="none"/>
                </w:rPr>
                <w:t>    </w:t>
              </w:r>
            </w:hyperlink>
            <w:hyperlink w:anchor="i6d608e9565d54a498549808fb965121b_7">
              <w:r>
                <w:rPr>
                  <w:rStyle w:val="InternetLink"/>
                  <w:rFonts w:ascii="Times New Roman;sans-serif" w:hAnsi="Times New Roman;sans-serif"/>
                  <w:b w:val="false"/>
                  <w:strike w:val="false"/>
                  <w:dstrike w:val="false"/>
                  <w:color w:val="000000"/>
                  <w:sz w:val="24"/>
                  <w:u w:val="none"/>
                  <w:effect w:val="none"/>
                </w:rPr>
                <w:t>Replacement.</w:t>
              </w:r>
            </w:hyperlink>
          </w:p>
        </w:tc>
        <w:tc>
          <w:tcPr>
            <w:tcW w:w="392"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w:anchor="i6d608e9565d54a498549808fb965121b_7">
              <w:r>
                <w:rPr>
                  <w:rStyle w:val="InternetLink"/>
                  <w:rFonts w:ascii="Times New Roman;sans-serif" w:hAnsi="Times New Roman;sans-serif"/>
                  <w:b w:val="false"/>
                  <w:color w:val="000000"/>
                  <w:sz w:val="24"/>
                  <w:u w:val="single"/>
                </w:rPr>
                <w:t>4</w:t>
              </w:r>
            </w:hyperlink>
          </w:p>
        </w:tc>
      </w:tr>
      <w:tr>
        <w:trPr/>
        <w:tc>
          <w:tcPr>
            <w:tcW w:w="9813"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w:anchor="i6d608e9565d54a498549808fb965121b_7">
              <w:r>
                <w:rPr>
                  <w:rStyle w:val="InternetLink"/>
                  <w:rFonts w:ascii="Times New Roman;sans-serif" w:hAnsi="Times New Roman;sans-serif"/>
                  <w:b w:val="false"/>
                  <w:strike w:val="false"/>
                  <w:dstrike w:val="false"/>
                  <w:color w:val="000000"/>
                  <w:sz w:val="24"/>
                  <w:u w:val="none"/>
                  <w:effect w:val="none"/>
                </w:rPr>
                <w:t>SECTION 1.18.</w:t>
              </w:r>
            </w:hyperlink>
            <w:hyperlink w:anchor="i6d608e9565d54a498549808fb965121b_7">
              <w:r>
                <w:rPr>
                  <w:rStyle w:val="InternetLink"/>
                  <w:strike w:val="false"/>
                  <w:dstrike w:val="false"/>
                  <w:color w:val="000000"/>
                  <w:u w:val="none"/>
                  <w:effect w:val="none"/>
                </w:rPr>
                <w:t>    </w:t>
              </w:r>
            </w:hyperlink>
            <w:hyperlink w:anchor="i6d608e9565d54a498549808fb965121b_7">
              <w:r>
                <w:rPr>
                  <w:rStyle w:val="InternetLink"/>
                  <w:rFonts w:ascii="Times New Roman;sans-serif" w:hAnsi="Times New Roman;sans-serif"/>
                  <w:b w:val="false"/>
                  <w:strike w:val="false"/>
                  <w:dstrike w:val="false"/>
                  <w:color w:val="000000"/>
                  <w:sz w:val="24"/>
                  <w:u w:val="none"/>
                  <w:effect w:val="none"/>
                </w:rPr>
                <w:t>Restricted Securities.</w:t>
              </w:r>
            </w:hyperlink>
          </w:p>
        </w:tc>
        <w:tc>
          <w:tcPr>
            <w:tcW w:w="392"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w:anchor="i6d608e9565d54a498549808fb965121b_7">
              <w:r>
                <w:rPr>
                  <w:rStyle w:val="InternetLink"/>
                  <w:rFonts w:ascii="Times New Roman;sans-serif" w:hAnsi="Times New Roman;sans-serif"/>
                  <w:b w:val="false"/>
                  <w:color w:val="000000"/>
                  <w:sz w:val="24"/>
                  <w:u w:val="single"/>
                </w:rPr>
                <w:t>5</w:t>
              </w:r>
            </w:hyperlink>
          </w:p>
        </w:tc>
      </w:tr>
      <w:tr>
        <w:trPr/>
        <w:tc>
          <w:tcPr>
            <w:tcW w:w="9813"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w:anchor="i6d608e9565d54a498549808fb965121b_7">
              <w:r>
                <w:rPr>
                  <w:rStyle w:val="InternetLink"/>
                  <w:rFonts w:ascii="Times New Roman;sans-serif" w:hAnsi="Times New Roman;sans-serif"/>
                  <w:b w:val="false"/>
                  <w:strike w:val="false"/>
                  <w:dstrike w:val="false"/>
                  <w:color w:val="000000"/>
                  <w:sz w:val="24"/>
                  <w:u w:val="none"/>
                  <w:effect w:val="none"/>
                </w:rPr>
                <w:t>SECTION 1.19.</w:t>
              </w:r>
            </w:hyperlink>
            <w:hyperlink w:anchor="i6d608e9565d54a498549808fb965121b_7">
              <w:r>
                <w:rPr>
                  <w:rStyle w:val="InternetLink"/>
                  <w:strike w:val="false"/>
                  <w:dstrike w:val="false"/>
                  <w:color w:val="000000"/>
                  <w:u w:val="none"/>
                  <w:effect w:val="none"/>
                </w:rPr>
                <w:t>    </w:t>
              </w:r>
            </w:hyperlink>
            <w:hyperlink w:anchor="i6d608e9565d54a498549808fb965121b_7">
              <w:r>
                <w:rPr>
                  <w:rStyle w:val="InternetLink"/>
                  <w:rFonts w:ascii="Times New Roman;sans-serif" w:hAnsi="Times New Roman;sans-serif"/>
                  <w:b w:val="false"/>
                  <w:strike w:val="false"/>
                  <w:dstrike w:val="false"/>
                  <w:color w:val="000000"/>
                  <w:sz w:val="24"/>
                  <w:u w:val="none"/>
                  <w:effect w:val="none"/>
                </w:rPr>
                <w:t>Securities Act of 1933.</w:t>
              </w:r>
            </w:hyperlink>
          </w:p>
        </w:tc>
        <w:tc>
          <w:tcPr>
            <w:tcW w:w="392"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w:anchor="i6d608e9565d54a498549808fb965121b_7">
              <w:r>
                <w:rPr>
                  <w:rStyle w:val="InternetLink"/>
                  <w:rFonts w:ascii="Times New Roman;sans-serif" w:hAnsi="Times New Roman;sans-serif"/>
                  <w:b w:val="false"/>
                  <w:color w:val="000000"/>
                  <w:sz w:val="24"/>
                  <w:u w:val="single"/>
                </w:rPr>
                <w:t>5</w:t>
              </w:r>
            </w:hyperlink>
          </w:p>
        </w:tc>
      </w:tr>
      <w:tr>
        <w:trPr/>
        <w:tc>
          <w:tcPr>
            <w:tcW w:w="9813"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w:anchor="i6d608e9565d54a498549808fb965121b_7">
              <w:r>
                <w:rPr>
                  <w:rStyle w:val="InternetLink"/>
                  <w:rFonts w:ascii="Times New Roman;sans-serif" w:hAnsi="Times New Roman;sans-serif"/>
                  <w:b w:val="false"/>
                  <w:strike w:val="false"/>
                  <w:dstrike w:val="false"/>
                  <w:color w:val="000000"/>
                  <w:sz w:val="24"/>
                  <w:u w:val="none"/>
                  <w:effect w:val="none"/>
                </w:rPr>
                <w:t>SECTION 1.20.</w:t>
              </w:r>
            </w:hyperlink>
            <w:hyperlink w:anchor="i6d608e9565d54a498549808fb965121b_7">
              <w:r>
                <w:rPr>
                  <w:rStyle w:val="InternetLink"/>
                  <w:strike w:val="false"/>
                  <w:dstrike w:val="false"/>
                  <w:color w:val="000000"/>
                  <w:u w:val="none"/>
                  <w:effect w:val="none"/>
                </w:rPr>
                <w:t>    </w:t>
              </w:r>
            </w:hyperlink>
            <w:hyperlink w:anchor="i6d608e9565d54a498549808fb965121b_7">
              <w:r>
                <w:rPr>
                  <w:rStyle w:val="InternetLink"/>
                  <w:rFonts w:ascii="Times New Roman;sans-serif" w:hAnsi="Times New Roman;sans-serif"/>
                  <w:b w:val="false"/>
                  <w:strike w:val="false"/>
                  <w:dstrike w:val="false"/>
                  <w:color w:val="000000"/>
                  <w:sz w:val="24"/>
                  <w:u w:val="none"/>
                  <w:effect w:val="none"/>
                </w:rPr>
                <w:t>Shares.</w:t>
              </w:r>
            </w:hyperlink>
          </w:p>
        </w:tc>
        <w:tc>
          <w:tcPr>
            <w:tcW w:w="392"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w:anchor="i6d608e9565d54a498549808fb965121b_7">
              <w:r>
                <w:rPr>
                  <w:rStyle w:val="InternetLink"/>
                  <w:rFonts w:ascii="Times New Roman;sans-serif" w:hAnsi="Times New Roman;sans-serif"/>
                  <w:b w:val="false"/>
                  <w:color w:val="000000"/>
                  <w:sz w:val="24"/>
                  <w:u w:val="single"/>
                </w:rPr>
                <w:t>5</w:t>
              </w:r>
            </w:hyperlink>
          </w:p>
        </w:tc>
      </w:tr>
      <w:tr>
        <w:trPr/>
        <w:tc>
          <w:tcPr>
            <w:tcW w:w="9813"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w:anchor="i6d608e9565d54a498549808fb965121b_7">
              <w:r>
                <w:rPr>
                  <w:rStyle w:val="InternetLink"/>
                  <w:rFonts w:ascii="Times New Roman;sans-serif" w:hAnsi="Times New Roman;sans-serif"/>
                  <w:b w:val="false"/>
                  <w:strike w:val="false"/>
                  <w:dstrike w:val="false"/>
                  <w:color w:val="000000"/>
                  <w:sz w:val="24"/>
                  <w:u w:val="none"/>
                  <w:effect w:val="none"/>
                </w:rPr>
                <w:t>SECTION 1.21.</w:t>
              </w:r>
            </w:hyperlink>
            <w:hyperlink w:anchor="i6d608e9565d54a498549808fb965121b_7">
              <w:r>
                <w:rPr>
                  <w:rStyle w:val="InternetLink"/>
                  <w:strike w:val="false"/>
                  <w:dstrike w:val="false"/>
                  <w:color w:val="000000"/>
                  <w:u w:val="none"/>
                  <w:effect w:val="none"/>
                </w:rPr>
                <w:t>    </w:t>
              </w:r>
            </w:hyperlink>
            <w:hyperlink w:anchor="i6d608e9565d54a498549808fb965121b_7">
              <w:r>
                <w:rPr>
                  <w:rStyle w:val="InternetLink"/>
                  <w:rFonts w:ascii="Times New Roman;sans-serif" w:hAnsi="Times New Roman;sans-serif"/>
                  <w:b w:val="false"/>
                  <w:strike w:val="false"/>
                  <w:dstrike w:val="false"/>
                  <w:color w:val="000000"/>
                  <w:sz w:val="24"/>
                  <w:u w:val="none"/>
                  <w:effect w:val="none"/>
                </w:rPr>
                <w:t>SWIFT.</w:t>
              </w:r>
            </w:hyperlink>
          </w:p>
        </w:tc>
        <w:tc>
          <w:tcPr>
            <w:tcW w:w="392"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w:anchor="i6d608e9565d54a498549808fb965121b_7">
              <w:r>
                <w:rPr>
                  <w:rStyle w:val="InternetLink"/>
                  <w:rFonts w:ascii="Times New Roman;sans-serif" w:hAnsi="Times New Roman;sans-serif"/>
                  <w:b w:val="false"/>
                  <w:color w:val="000000"/>
                  <w:sz w:val="24"/>
                  <w:u w:val="single"/>
                </w:rPr>
                <w:t>5</w:t>
              </w:r>
            </w:hyperlink>
          </w:p>
        </w:tc>
      </w:tr>
      <w:tr>
        <w:trPr/>
        <w:tc>
          <w:tcPr>
            <w:tcW w:w="9813"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w:anchor="i6d608e9565d54a498549808fb965121b_7">
              <w:r>
                <w:rPr>
                  <w:rStyle w:val="InternetLink"/>
                  <w:rFonts w:ascii="Times New Roman;sans-serif" w:hAnsi="Times New Roman;sans-serif"/>
                  <w:b w:val="false"/>
                  <w:strike w:val="false"/>
                  <w:dstrike w:val="false"/>
                  <w:color w:val="000000"/>
                  <w:sz w:val="24"/>
                  <w:u w:val="none"/>
                  <w:effect w:val="none"/>
                </w:rPr>
                <w:t>SECTION 1.22.</w:t>
              </w:r>
            </w:hyperlink>
            <w:hyperlink w:anchor="i6d608e9565d54a498549808fb965121b_7">
              <w:r>
                <w:rPr>
                  <w:rStyle w:val="InternetLink"/>
                  <w:strike w:val="false"/>
                  <w:dstrike w:val="false"/>
                  <w:color w:val="000000"/>
                  <w:u w:val="none"/>
                  <w:effect w:val="none"/>
                </w:rPr>
                <w:t>    </w:t>
              </w:r>
            </w:hyperlink>
            <w:hyperlink w:anchor="i6d608e9565d54a498549808fb965121b_7">
              <w:r>
                <w:rPr>
                  <w:rStyle w:val="InternetLink"/>
                  <w:rFonts w:ascii="Times New Roman;sans-serif" w:hAnsi="Times New Roman;sans-serif"/>
                  <w:b w:val="false"/>
                  <w:strike w:val="false"/>
                  <w:dstrike w:val="false"/>
                  <w:color w:val="000000"/>
                  <w:sz w:val="24"/>
                  <w:u w:val="none"/>
                  <w:effect w:val="none"/>
                </w:rPr>
                <w:t>Termination Option Event.</w:t>
              </w:r>
            </w:hyperlink>
          </w:p>
        </w:tc>
        <w:tc>
          <w:tcPr>
            <w:tcW w:w="392"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w:anchor="i6d608e9565d54a498549808fb965121b_7">
              <w:r>
                <w:rPr>
                  <w:rStyle w:val="InternetLink"/>
                  <w:rFonts w:ascii="Times New Roman;sans-serif" w:hAnsi="Times New Roman;sans-serif"/>
                  <w:b w:val="false"/>
                  <w:color w:val="000000"/>
                  <w:sz w:val="24"/>
                  <w:u w:val="single"/>
                </w:rPr>
                <w:t>5</w:t>
              </w:r>
            </w:hyperlink>
          </w:p>
        </w:tc>
      </w:tr>
      <w:tr>
        <w:trPr/>
        <w:tc>
          <w:tcPr>
            <w:tcW w:w="9813"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w:anchor="i6d608e9565d54a498549808fb965121b_7">
              <w:r>
                <w:rPr>
                  <w:rStyle w:val="InternetLink"/>
                  <w:rFonts w:ascii="Times New Roman;sans-serif" w:hAnsi="Times New Roman;sans-serif"/>
                  <w:b w:val="false"/>
                  <w:strike w:val="false"/>
                  <w:dstrike w:val="false"/>
                  <w:color w:val="000000"/>
                  <w:sz w:val="24"/>
                  <w:u w:val="none"/>
                  <w:effect w:val="none"/>
                </w:rPr>
                <w:t>ARTICLE 2.</w:t>
              </w:r>
            </w:hyperlink>
            <w:hyperlink w:anchor="i6d608e9565d54a498549808fb965121b_7">
              <w:r>
                <w:rPr>
                  <w:rStyle w:val="InternetLink"/>
                  <w:strike w:val="false"/>
                  <w:dstrike w:val="false"/>
                  <w:color w:val="000000"/>
                  <w:u w:val="none"/>
                  <w:effect w:val="none"/>
                </w:rPr>
                <w:t>    </w:t>
              </w:r>
            </w:hyperlink>
            <w:hyperlink w:anchor="i6d608e9565d54a498549808fb965121b_7">
              <w:r>
                <w:rPr>
                  <w:rStyle w:val="InternetLink"/>
                  <w:rFonts w:ascii="Times New Roman;sans-serif" w:hAnsi="Times New Roman;sans-serif"/>
                  <w:b w:val="false"/>
                  <w:strike w:val="false"/>
                  <w:dstrike w:val="false"/>
                  <w:color w:val="000000"/>
                  <w:sz w:val="24"/>
                  <w:u w:val="none"/>
                  <w:effect w:val="none"/>
                </w:rPr>
                <w:t>FORM OF RECEIPTS, DEPOSIT OF SHARES, DELIVERY, TRANSFER AND SURRENDER OF AMERICAN DEPOSITARY SHARES</w:t>
              </w:r>
            </w:hyperlink>
          </w:p>
        </w:tc>
        <w:tc>
          <w:tcPr>
            <w:tcW w:w="392"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w:anchor="i6d608e9565d54a498549808fb965121b_7">
              <w:r>
                <w:rPr>
                  <w:rStyle w:val="InternetLink"/>
                  <w:rFonts w:ascii="Times New Roman;sans-serif" w:hAnsi="Times New Roman;sans-serif"/>
                  <w:b w:val="false"/>
                  <w:color w:val="000000"/>
                  <w:sz w:val="24"/>
                  <w:u w:val="single"/>
                </w:rPr>
                <w:t>6</w:t>
              </w:r>
            </w:hyperlink>
          </w:p>
        </w:tc>
      </w:tr>
      <w:tr>
        <w:trPr/>
        <w:tc>
          <w:tcPr>
            <w:tcW w:w="9813"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w:anchor="i6d608e9565d54a498549808fb965121b_7">
              <w:r>
                <w:rPr>
                  <w:rStyle w:val="InternetLink"/>
                  <w:rFonts w:ascii="Times New Roman;sans-serif" w:hAnsi="Times New Roman;sans-serif"/>
                  <w:b w:val="false"/>
                  <w:strike w:val="false"/>
                  <w:dstrike w:val="false"/>
                  <w:color w:val="000000"/>
                  <w:sz w:val="24"/>
                  <w:u w:val="none"/>
                  <w:effect w:val="none"/>
                </w:rPr>
                <w:t>SECTION 2.1.</w:t>
              </w:r>
            </w:hyperlink>
            <w:hyperlink w:anchor="i6d608e9565d54a498549808fb965121b_7">
              <w:r>
                <w:rPr>
                  <w:rStyle w:val="InternetLink"/>
                  <w:strike w:val="false"/>
                  <w:dstrike w:val="false"/>
                  <w:color w:val="000000"/>
                  <w:u w:val="none"/>
                  <w:effect w:val="none"/>
                </w:rPr>
                <w:t>    </w:t>
              </w:r>
            </w:hyperlink>
            <w:hyperlink w:anchor="i6d608e9565d54a498549808fb965121b_7">
              <w:r>
                <w:rPr>
                  <w:rStyle w:val="InternetLink"/>
                  <w:rFonts w:ascii="Times New Roman;sans-serif" w:hAnsi="Times New Roman;sans-serif"/>
                  <w:b w:val="false"/>
                  <w:strike w:val="false"/>
                  <w:dstrike w:val="false"/>
                  <w:color w:val="000000"/>
                  <w:sz w:val="24"/>
                  <w:u w:val="none"/>
                  <w:effect w:val="none"/>
                </w:rPr>
                <w:t>Form of Receipts; Registration and Transferability of American Depositary Shares.</w:t>
              </w:r>
            </w:hyperlink>
          </w:p>
        </w:tc>
        <w:tc>
          <w:tcPr>
            <w:tcW w:w="392"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w:anchor="i6d608e9565d54a498549808fb965121b_7">
              <w:r>
                <w:rPr>
                  <w:rStyle w:val="InternetLink"/>
                  <w:rFonts w:ascii="Times New Roman;sans-serif" w:hAnsi="Times New Roman;sans-serif"/>
                  <w:b w:val="false"/>
                  <w:color w:val="000000"/>
                  <w:sz w:val="24"/>
                  <w:u w:val="single"/>
                </w:rPr>
                <w:t>6</w:t>
              </w:r>
            </w:hyperlink>
          </w:p>
        </w:tc>
      </w:tr>
      <w:tr>
        <w:trPr/>
        <w:tc>
          <w:tcPr>
            <w:tcW w:w="9813"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w:anchor="i6d608e9565d54a498549808fb965121b_7">
              <w:r>
                <w:rPr>
                  <w:rStyle w:val="InternetLink"/>
                  <w:rFonts w:ascii="Times New Roman;sans-serif" w:hAnsi="Times New Roman;sans-serif"/>
                  <w:b w:val="false"/>
                  <w:strike w:val="false"/>
                  <w:dstrike w:val="false"/>
                  <w:color w:val="000000"/>
                  <w:sz w:val="24"/>
                  <w:u w:val="none"/>
                  <w:effect w:val="none"/>
                </w:rPr>
                <w:t>SECTION 2.2.</w:t>
              </w:r>
            </w:hyperlink>
            <w:hyperlink w:anchor="i6d608e9565d54a498549808fb965121b_7">
              <w:r>
                <w:rPr>
                  <w:rStyle w:val="InternetLink"/>
                  <w:strike w:val="false"/>
                  <w:dstrike w:val="false"/>
                  <w:color w:val="000000"/>
                  <w:u w:val="none"/>
                  <w:effect w:val="none"/>
                </w:rPr>
                <w:t>    </w:t>
              </w:r>
            </w:hyperlink>
            <w:hyperlink w:anchor="i6d608e9565d54a498549808fb965121b_7">
              <w:r>
                <w:rPr>
                  <w:rStyle w:val="InternetLink"/>
                  <w:rFonts w:ascii="Times New Roman;sans-serif" w:hAnsi="Times New Roman;sans-serif"/>
                  <w:b w:val="false"/>
                  <w:strike w:val="false"/>
                  <w:dstrike w:val="false"/>
                  <w:color w:val="000000"/>
                  <w:sz w:val="24"/>
                  <w:u w:val="none"/>
                  <w:effect w:val="none"/>
                </w:rPr>
                <w:t>Deposit of Shares.</w:t>
              </w:r>
            </w:hyperlink>
          </w:p>
        </w:tc>
        <w:tc>
          <w:tcPr>
            <w:tcW w:w="392"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w:anchor="i6d608e9565d54a498549808fb965121b_7">
              <w:r>
                <w:rPr>
                  <w:rStyle w:val="InternetLink"/>
                  <w:rFonts w:ascii="Times New Roman;sans-serif" w:hAnsi="Times New Roman;sans-serif"/>
                  <w:b w:val="false"/>
                  <w:color w:val="000000"/>
                  <w:sz w:val="24"/>
                  <w:u w:val="single"/>
                </w:rPr>
                <w:t>7</w:t>
              </w:r>
            </w:hyperlink>
          </w:p>
        </w:tc>
      </w:tr>
      <w:tr>
        <w:trPr/>
        <w:tc>
          <w:tcPr>
            <w:tcW w:w="9813"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w:anchor="i6d608e9565d54a498549808fb965121b_7">
              <w:r>
                <w:rPr>
                  <w:rStyle w:val="InternetLink"/>
                  <w:rFonts w:ascii="Times New Roman;sans-serif" w:hAnsi="Times New Roman;sans-serif"/>
                  <w:b w:val="false"/>
                  <w:strike w:val="false"/>
                  <w:dstrike w:val="false"/>
                  <w:color w:val="000000"/>
                  <w:sz w:val="24"/>
                  <w:u w:val="none"/>
                  <w:effect w:val="none"/>
                </w:rPr>
                <w:t>SECTION 2.3.</w:t>
              </w:r>
            </w:hyperlink>
            <w:hyperlink w:anchor="i6d608e9565d54a498549808fb965121b_7">
              <w:r>
                <w:rPr>
                  <w:rStyle w:val="InternetLink"/>
                  <w:strike w:val="false"/>
                  <w:dstrike w:val="false"/>
                  <w:color w:val="000000"/>
                  <w:u w:val="none"/>
                  <w:effect w:val="none"/>
                </w:rPr>
                <w:t>    </w:t>
              </w:r>
            </w:hyperlink>
            <w:hyperlink w:anchor="i6d608e9565d54a498549808fb965121b_7">
              <w:r>
                <w:rPr>
                  <w:rStyle w:val="InternetLink"/>
                  <w:rFonts w:ascii="Times New Roman;sans-serif" w:hAnsi="Times New Roman;sans-serif"/>
                  <w:b w:val="false"/>
                  <w:strike w:val="false"/>
                  <w:dstrike w:val="false"/>
                  <w:color w:val="000000"/>
                  <w:sz w:val="24"/>
                  <w:u w:val="none"/>
                  <w:effect w:val="none"/>
                </w:rPr>
                <w:t>Delivery of American Depositary Shares.</w:t>
              </w:r>
            </w:hyperlink>
          </w:p>
        </w:tc>
        <w:tc>
          <w:tcPr>
            <w:tcW w:w="392"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w:anchor="i6d608e9565d54a498549808fb965121b_7">
              <w:r>
                <w:rPr>
                  <w:rStyle w:val="InternetLink"/>
                  <w:rFonts w:ascii="Times New Roman;sans-serif" w:hAnsi="Times New Roman;sans-serif"/>
                  <w:b w:val="false"/>
                  <w:color w:val="000000"/>
                  <w:sz w:val="24"/>
                  <w:u w:val="single"/>
                </w:rPr>
                <w:t>8</w:t>
              </w:r>
            </w:hyperlink>
          </w:p>
        </w:tc>
      </w:tr>
      <w:tr>
        <w:trPr/>
        <w:tc>
          <w:tcPr>
            <w:tcW w:w="9813"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w:anchor="i6d608e9565d54a498549808fb965121b_7">
              <w:r>
                <w:rPr>
                  <w:rStyle w:val="InternetLink"/>
                  <w:rFonts w:ascii="Times New Roman;sans-serif" w:hAnsi="Times New Roman;sans-serif"/>
                  <w:b w:val="false"/>
                  <w:strike w:val="false"/>
                  <w:dstrike w:val="false"/>
                  <w:color w:val="000000"/>
                  <w:sz w:val="24"/>
                  <w:u w:val="none"/>
                  <w:effect w:val="none"/>
                </w:rPr>
                <w:t>SECTION 2.4.</w:t>
              </w:r>
            </w:hyperlink>
            <w:hyperlink w:anchor="i6d608e9565d54a498549808fb965121b_7">
              <w:r>
                <w:rPr>
                  <w:rStyle w:val="InternetLink"/>
                  <w:strike w:val="false"/>
                  <w:dstrike w:val="false"/>
                  <w:color w:val="000000"/>
                  <w:u w:val="none"/>
                  <w:effect w:val="none"/>
                </w:rPr>
                <w:t>    </w:t>
              </w:r>
            </w:hyperlink>
            <w:hyperlink w:anchor="i6d608e9565d54a498549808fb965121b_7">
              <w:r>
                <w:rPr>
                  <w:rStyle w:val="InternetLink"/>
                  <w:rFonts w:ascii="Times New Roman;sans-serif" w:hAnsi="Times New Roman;sans-serif"/>
                  <w:b w:val="false"/>
                  <w:strike w:val="false"/>
                  <w:dstrike w:val="false"/>
                  <w:color w:val="000000"/>
                  <w:sz w:val="24"/>
                  <w:u w:val="none"/>
                  <w:effect w:val="none"/>
                </w:rPr>
                <w:t>Registration of Transfer of American Depositary Shares; Combination and Split-up of Receipts; Interchange of Certificated and Uncertificated American Depositary Shares.</w:t>
              </w:r>
            </w:hyperlink>
          </w:p>
        </w:tc>
        <w:tc>
          <w:tcPr>
            <w:tcW w:w="392"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w:anchor="i6d608e9565d54a498549808fb965121b_7">
              <w:r>
                <w:rPr>
                  <w:rStyle w:val="InternetLink"/>
                  <w:rFonts w:ascii="Times New Roman;sans-serif" w:hAnsi="Times New Roman;sans-serif"/>
                  <w:b w:val="false"/>
                  <w:color w:val="000000"/>
                  <w:sz w:val="24"/>
                  <w:u w:val="single"/>
                </w:rPr>
                <w:t>8</w:t>
              </w:r>
            </w:hyperlink>
          </w:p>
        </w:tc>
      </w:tr>
      <w:tr>
        <w:trPr/>
        <w:tc>
          <w:tcPr>
            <w:tcW w:w="9813"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w:anchor="i6d608e9565d54a498549808fb965121b_7">
              <w:r>
                <w:rPr>
                  <w:rStyle w:val="InternetLink"/>
                  <w:rFonts w:ascii="Times New Roman;sans-serif" w:hAnsi="Times New Roman;sans-serif"/>
                  <w:b w:val="false"/>
                  <w:strike w:val="false"/>
                  <w:dstrike w:val="false"/>
                  <w:color w:val="000000"/>
                  <w:sz w:val="24"/>
                  <w:u w:val="none"/>
                  <w:effect w:val="none"/>
                </w:rPr>
                <w:t>SECTION 2.5.</w:t>
              </w:r>
            </w:hyperlink>
            <w:hyperlink w:anchor="i6d608e9565d54a498549808fb965121b_7">
              <w:r>
                <w:rPr>
                  <w:rStyle w:val="InternetLink"/>
                  <w:strike w:val="false"/>
                  <w:dstrike w:val="false"/>
                  <w:color w:val="000000"/>
                  <w:u w:val="none"/>
                  <w:effect w:val="none"/>
                </w:rPr>
                <w:t>    </w:t>
              </w:r>
            </w:hyperlink>
            <w:hyperlink w:anchor="i6d608e9565d54a498549808fb965121b_7">
              <w:r>
                <w:rPr>
                  <w:rStyle w:val="InternetLink"/>
                  <w:rFonts w:ascii="Times New Roman;sans-serif" w:hAnsi="Times New Roman;sans-serif"/>
                  <w:b w:val="false"/>
                  <w:strike w:val="false"/>
                  <w:dstrike w:val="false"/>
                  <w:color w:val="000000"/>
                  <w:sz w:val="24"/>
                  <w:u w:val="none"/>
                  <w:effect w:val="none"/>
                </w:rPr>
                <w:t>Surrender of American Depositary Shares and Withdrawal of Deposited Securities.</w:t>
              </w:r>
            </w:hyperlink>
          </w:p>
        </w:tc>
        <w:tc>
          <w:tcPr>
            <w:tcW w:w="392"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w:anchor="i6d608e9565d54a498549808fb965121b_7">
              <w:r>
                <w:rPr>
                  <w:rStyle w:val="InternetLink"/>
                  <w:rFonts w:ascii="Times New Roman;sans-serif" w:hAnsi="Times New Roman;sans-serif"/>
                  <w:b w:val="false"/>
                  <w:color w:val="000000"/>
                  <w:sz w:val="24"/>
                  <w:u w:val="single"/>
                </w:rPr>
                <w:t>9</w:t>
              </w:r>
            </w:hyperlink>
          </w:p>
        </w:tc>
      </w:tr>
      <w:tr>
        <w:trPr/>
        <w:tc>
          <w:tcPr>
            <w:tcW w:w="9813"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w:anchor="i6d608e9565d54a498549808fb965121b_7">
              <w:r>
                <w:rPr>
                  <w:rStyle w:val="InternetLink"/>
                  <w:rFonts w:ascii="Times New Roman;sans-serif" w:hAnsi="Times New Roman;sans-serif"/>
                  <w:b w:val="false"/>
                  <w:strike w:val="false"/>
                  <w:dstrike w:val="false"/>
                  <w:color w:val="000000"/>
                  <w:sz w:val="24"/>
                  <w:u w:val="none"/>
                  <w:effect w:val="none"/>
                </w:rPr>
                <w:t>SECTION 2.6.</w:t>
              </w:r>
            </w:hyperlink>
            <w:hyperlink w:anchor="i6d608e9565d54a498549808fb965121b_7">
              <w:r>
                <w:rPr>
                  <w:rStyle w:val="InternetLink"/>
                  <w:strike w:val="false"/>
                  <w:dstrike w:val="false"/>
                  <w:color w:val="000000"/>
                  <w:u w:val="none"/>
                  <w:effect w:val="none"/>
                </w:rPr>
                <w:t>    </w:t>
              </w:r>
            </w:hyperlink>
            <w:hyperlink w:anchor="i6d608e9565d54a498549808fb965121b_7">
              <w:r>
                <w:rPr>
                  <w:rStyle w:val="InternetLink"/>
                  <w:rFonts w:ascii="Times New Roman;sans-serif" w:hAnsi="Times New Roman;sans-serif"/>
                  <w:b w:val="false"/>
                  <w:strike w:val="false"/>
                  <w:dstrike w:val="false"/>
                  <w:color w:val="000000"/>
                  <w:sz w:val="24"/>
                  <w:u w:val="none"/>
                  <w:effect w:val="none"/>
                </w:rPr>
                <w:t>Limitations on Delivery, Registration of Transfer and Surrender of American Depositary Shares.</w:t>
              </w:r>
            </w:hyperlink>
          </w:p>
        </w:tc>
        <w:tc>
          <w:tcPr>
            <w:tcW w:w="392"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w:anchor="i6d608e9565d54a498549808fb965121b_7">
              <w:r>
                <w:rPr>
                  <w:rStyle w:val="InternetLink"/>
                  <w:rFonts w:ascii="Times New Roman;sans-serif" w:hAnsi="Times New Roman;sans-serif"/>
                  <w:b w:val="false"/>
                  <w:color w:val="000000"/>
                  <w:sz w:val="24"/>
                  <w:u w:val="single"/>
                </w:rPr>
                <w:t>10</w:t>
              </w:r>
            </w:hyperlink>
          </w:p>
        </w:tc>
      </w:tr>
      <w:tr>
        <w:trPr/>
        <w:tc>
          <w:tcPr>
            <w:tcW w:w="9813"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w:anchor="i6d608e9565d54a498549808fb965121b_7">
              <w:r>
                <w:rPr>
                  <w:rStyle w:val="InternetLink"/>
                  <w:rFonts w:ascii="Times New Roman;sans-serif" w:hAnsi="Times New Roman;sans-serif"/>
                  <w:b w:val="false"/>
                  <w:strike w:val="false"/>
                  <w:dstrike w:val="false"/>
                  <w:color w:val="000000"/>
                  <w:sz w:val="24"/>
                  <w:u w:val="none"/>
                  <w:effect w:val="none"/>
                </w:rPr>
                <w:t>SECTION 2.7.</w:t>
              </w:r>
            </w:hyperlink>
            <w:hyperlink w:anchor="i6d608e9565d54a498549808fb965121b_7">
              <w:r>
                <w:rPr>
                  <w:rStyle w:val="InternetLink"/>
                  <w:strike w:val="false"/>
                  <w:dstrike w:val="false"/>
                  <w:color w:val="000000"/>
                  <w:u w:val="none"/>
                  <w:effect w:val="none"/>
                </w:rPr>
                <w:t>    </w:t>
              </w:r>
            </w:hyperlink>
            <w:hyperlink w:anchor="i6d608e9565d54a498549808fb965121b_7">
              <w:r>
                <w:rPr>
                  <w:rStyle w:val="InternetLink"/>
                  <w:rFonts w:ascii="Times New Roman;sans-serif" w:hAnsi="Times New Roman;sans-serif"/>
                  <w:b w:val="false"/>
                  <w:strike w:val="false"/>
                  <w:dstrike w:val="false"/>
                  <w:color w:val="000000"/>
                  <w:sz w:val="24"/>
                  <w:u w:val="none"/>
                  <w:effect w:val="none"/>
                </w:rPr>
                <w:t>Lost Receipts, etc.</w:t>
              </w:r>
            </w:hyperlink>
          </w:p>
        </w:tc>
        <w:tc>
          <w:tcPr>
            <w:tcW w:w="392"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w:anchor="i6d608e9565d54a498549808fb965121b_7">
              <w:r>
                <w:rPr>
                  <w:rStyle w:val="InternetLink"/>
                  <w:rFonts w:ascii="Times New Roman;sans-serif" w:hAnsi="Times New Roman;sans-serif"/>
                  <w:b w:val="false"/>
                  <w:color w:val="000000"/>
                  <w:sz w:val="24"/>
                  <w:u w:val="single"/>
                </w:rPr>
                <w:t>11</w:t>
              </w:r>
            </w:hyperlink>
          </w:p>
        </w:tc>
      </w:tr>
      <w:tr>
        <w:trPr/>
        <w:tc>
          <w:tcPr>
            <w:tcW w:w="9813"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w:anchor="i6d608e9565d54a498549808fb965121b_7">
              <w:r>
                <w:rPr>
                  <w:rStyle w:val="InternetLink"/>
                  <w:rFonts w:ascii="Times New Roman;sans-serif" w:hAnsi="Times New Roman;sans-serif"/>
                  <w:b w:val="false"/>
                  <w:strike w:val="false"/>
                  <w:dstrike w:val="false"/>
                  <w:color w:val="000000"/>
                  <w:sz w:val="24"/>
                  <w:u w:val="none"/>
                  <w:effect w:val="none"/>
                </w:rPr>
                <w:t>SECTION 2.8.</w:t>
              </w:r>
            </w:hyperlink>
            <w:hyperlink w:anchor="i6d608e9565d54a498549808fb965121b_7">
              <w:r>
                <w:rPr>
                  <w:rStyle w:val="InternetLink"/>
                  <w:strike w:val="false"/>
                  <w:dstrike w:val="false"/>
                  <w:color w:val="000000"/>
                  <w:u w:val="none"/>
                  <w:effect w:val="none"/>
                </w:rPr>
                <w:t>    </w:t>
              </w:r>
            </w:hyperlink>
            <w:hyperlink w:anchor="i6d608e9565d54a498549808fb965121b_7">
              <w:r>
                <w:rPr>
                  <w:rStyle w:val="InternetLink"/>
                </w:rPr>
                <w:t>Cancellation and Destruction of Surrendered Receipts.</w:t>
              </w:r>
            </w:hyperlink>
            <w:hyperlink w:anchor="i6d608e9565d54a498549808fb965121b_7">
              <w:r>
                <w:rPr>
                  <w:rStyle w:val="InternetLink"/>
                </w:rPr>
                <w:t>    </w:t>
              </w:r>
            </w:hyperlink>
          </w:p>
        </w:tc>
        <w:tc>
          <w:tcPr>
            <w:tcW w:w="392"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w:anchor="i6d608e9565d54a498549808fb965121b_7">
              <w:r>
                <w:rPr>
                  <w:rStyle w:val="InternetLink"/>
                  <w:rFonts w:ascii="Times New Roman;sans-serif" w:hAnsi="Times New Roman;sans-serif"/>
                  <w:b w:val="false"/>
                  <w:color w:val="000000"/>
                  <w:sz w:val="24"/>
                  <w:u w:val="single"/>
                </w:rPr>
                <w:t>11</w:t>
              </w:r>
            </w:hyperlink>
          </w:p>
        </w:tc>
      </w:tr>
    </w:tbl>
    <w:p>
      <w:pPr>
        <w:pStyle w:val="TextBody"/>
        <w:spacing w:before="120" w:after="240"/>
        <w:jc w:val="center"/>
        <w:rPr/>
      </w:pPr>
      <w:r>
        <w:br w:type="page"/>
      </w:r>
      <w:r>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6480175" cy="869950"/>
                <wp:effectExtent l="0" t="0" r="0" b="0"/>
                <wp:wrapNone/>
                <wp:docPr id="239" name="Frame237"/>
                <a:graphic xmlns:a="http://schemas.openxmlformats.org/drawingml/2006/main">
                  <a:graphicData uri="http://schemas.microsoft.com/office/word/2010/wordprocessingShape">
                    <wps:wsp>
                      <wps:cNvSpPr txBox="1"/>
                      <wps:spPr>
                        <a:xfrm>
                          <a:off x="0" y="0"/>
                          <a:ext cx="6480175" cy="869950"/>
                        </a:xfrm>
                        <a:prstGeom prst="rect"/>
                      </wps:spPr>
                      <wps:txbx>
                        <w:txbxContent>
                          <w:p>
                            <w:pPr>
                              <w:pStyle w:val="TextBody"/>
                              <w:spacing w:lineRule="auto" w:line="288"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-1-</w:t>
                            </w:r>
                          </w:p>
                          <w:p>
                            <w:pPr>
                              <w:pStyle w:val="TextBody"/>
                              <w:spacing w:before="24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8.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spacing w:lineRule="auto" w:line="288"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-1-</w:t>
                      </w:r>
                    </w:p>
                    <w:p>
                      <w:pPr>
                        <w:pStyle w:val="TextBody"/>
                        <w:spacing w:before="240" w:after="283"/>
                        <w:jc w:val="center"/>
                        <w:rPr/>
                      </w:pPr>
                      <w:r>
                        <w:rPr/>
                      </w:r>
                    </w:p>
                  </w:txbxContent>
                </v:textbox>
              </v:rect>
            </w:pict>
          </mc:Fallback>
        </mc:AlternateContent>
      </w:r>
    </w:p>
    <w:tbl>
      <w:tblPr>
        <w:tblW w:w="10205" w:type="dxa"/>
        <w:jc w:val="left"/>
        <w:tblInd w:w="0" w:type="dxa"/>
        <w:tblCellMar>
          <w:top w:w="28" w:type="dxa"/>
          <w:left w:w="28" w:type="dxa"/>
          <w:bottom w:w="28" w:type="dxa"/>
          <w:right w:w="28" w:type="dxa"/>
        </w:tblCellMar>
      </w:tblPr>
      <w:tblGrid>
        <w:gridCol w:w="3720"/>
        <w:gridCol w:w="3039"/>
        <w:gridCol w:w="3053"/>
        <w:gridCol w:w="114"/>
        <w:gridCol w:w="114"/>
        <w:gridCol w:w="165"/>
      </w:tblGrid>
      <w:tr>
        <w:trPr/>
        <w:tc>
          <w:tcPr>
            <w:tcW w:w="3720" w:type="dxa"/>
            <w:tcBorders/>
            <w:shd w:fill="auto" w:val="clear"/>
            <w:vAlign w:val="center"/>
          </w:tcPr>
          <w:p>
            <w:pPr>
              <w:pStyle w:val="TableContents"/>
              <w:spacing w:before="0" w:after="283"/>
              <w:rPr>
                <w:sz w:val="4"/>
                <w:szCs w:val="4"/>
              </w:rPr>
            </w:pPr>
            <w:r>
              <w:rPr>
                <w:sz w:val="4"/>
                <w:szCs w:val="4"/>
              </w:rPr>
            </w:r>
          </w:p>
        </w:tc>
        <w:tc>
          <w:tcPr>
            <w:tcW w:w="3039" w:type="dxa"/>
            <w:tcBorders/>
            <w:shd w:fill="auto" w:val="clear"/>
            <w:vAlign w:val="center"/>
          </w:tcPr>
          <w:p>
            <w:pPr>
              <w:pStyle w:val="TableContents"/>
              <w:spacing w:before="0" w:after="283"/>
              <w:rPr>
                <w:sz w:val="4"/>
                <w:szCs w:val="4"/>
              </w:rPr>
            </w:pPr>
            <w:r>
              <w:rPr>
                <w:sz w:val="4"/>
                <w:szCs w:val="4"/>
              </w:rPr>
            </w:r>
          </w:p>
        </w:tc>
        <w:tc>
          <w:tcPr>
            <w:tcW w:w="3053"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r>
      <w:tr>
        <w:trPr/>
        <w:tc>
          <w:tcPr>
            <w:tcW w:w="9812"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w:anchor="i6d608e9565d54a498549808fb965121b_7">
              <w:r>
                <w:rPr>
                  <w:rStyle w:val="InternetLink"/>
                  <w:rFonts w:ascii="Times New Roman;sans-serif" w:hAnsi="Times New Roman;sans-serif"/>
                  <w:b w:val="false"/>
                  <w:strike w:val="false"/>
                  <w:dstrike w:val="false"/>
                  <w:color w:val="000000"/>
                  <w:sz w:val="24"/>
                  <w:u w:val="none"/>
                  <w:effect w:val="none"/>
                </w:rPr>
                <w:t>SECTION 2.9.</w:t>
              </w:r>
            </w:hyperlink>
            <w:hyperlink w:anchor="i6d608e9565d54a498549808fb965121b_7">
              <w:r>
                <w:rPr>
                  <w:rStyle w:val="InternetLink"/>
                  <w:strike w:val="false"/>
                  <w:dstrike w:val="false"/>
                  <w:color w:val="000000"/>
                  <w:u w:val="none"/>
                  <w:effect w:val="none"/>
                </w:rPr>
                <w:t>    </w:t>
              </w:r>
            </w:hyperlink>
            <w:hyperlink w:anchor="i6d608e9565d54a498549808fb965121b_7">
              <w:r>
                <w:rPr>
                  <w:rStyle w:val="InternetLink"/>
                  <w:rFonts w:ascii="Times New Roman;sans-serif" w:hAnsi="Times New Roman;sans-serif"/>
                  <w:b w:val="false"/>
                  <w:strike w:val="false"/>
                  <w:dstrike w:val="false"/>
                  <w:color w:val="000000"/>
                  <w:sz w:val="24"/>
                  <w:u w:val="none"/>
                  <w:effect w:val="none"/>
                </w:rPr>
                <w:t>DTC Direct Registration System and Profile Modification System.</w:t>
              </w:r>
            </w:hyperlink>
          </w:p>
        </w:tc>
        <w:tc>
          <w:tcPr>
            <w:tcW w:w="393"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w:anchor="i6d608e9565d54a498549808fb965121b_7">
              <w:r>
                <w:rPr>
                  <w:rStyle w:val="InternetLink"/>
                  <w:rFonts w:ascii="Times New Roman;sans-serif" w:hAnsi="Times New Roman;sans-serif"/>
                  <w:b w:val="false"/>
                  <w:color w:val="000000"/>
                  <w:sz w:val="24"/>
                  <w:u w:val="single"/>
                </w:rPr>
                <w:t>12</w:t>
              </w:r>
            </w:hyperlink>
          </w:p>
        </w:tc>
      </w:tr>
      <w:tr>
        <w:trPr/>
        <w:tc>
          <w:tcPr>
            <w:tcW w:w="9812"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w:anchor="i6d608e9565d54a498549808fb965121b_7">
              <w:r>
                <w:rPr>
                  <w:rStyle w:val="InternetLink"/>
                  <w:rFonts w:ascii="Times New Roman;sans-serif" w:hAnsi="Times New Roman;sans-serif"/>
                  <w:b w:val="false"/>
                  <w:strike w:val="false"/>
                  <w:dstrike w:val="false"/>
                  <w:color w:val="000000"/>
                  <w:sz w:val="24"/>
                  <w:u w:val="none"/>
                  <w:effect w:val="none"/>
                </w:rPr>
                <w:t>ARTICLE 3.</w:t>
              </w:r>
            </w:hyperlink>
            <w:hyperlink w:anchor="i6d608e9565d54a498549808fb965121b_7">
              <w:r>
                <w:rPr>
                  <w:rStyle w:val="InternetLink"/>
                  <w:strike w:val="false"/>
                  <w:dstrike w:val="false"/>
                  <w:color w:val="000000"/>
                  <w:u w:val="none"/>
                  <w:effect w:val="none"/>
                </w:rPr>
                <w:t>    </w:t>
              </w:r>
            </w:hyperlink>
            <w:hyperlink w:anchor="i6d608e9565d54a498549808fb965121b_7">
              <w:r>
                <w:rPr>
                  <w:rStyle w:val="InternetLink"/>
                  <w:rFonts w:ascii="Times New Roman;sans-serif" w:hAnsi="Times New Roman;sans-serif"/>
                  <w:b w:val="false"/>
                  <w:strike w:val="false"/>
                  <w:dstrike w:val="false"/>
                  <w:color w:val="000000"/>
                  <w:sz w:val="24"/>
                  <w:u w:val="none"/>
                  <w:effect w:val="none"/>
                </w:rPr>
                <w:t>CERTAIN OBLIGATIONS OF OWNERS AND HOLDERS OF AMERICAN DEPOSITARY SHARES</w:t>
              </w:r>
            </w:hyperlink>
          </w:p>
        </w:tc>
        <w:tc>
          <w:tcPr>
            <w:tcW w:w="393"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w:anchor="i6d608e9565d54a498549808fb965121b_7">
              <w:r>
                <w:rPr>
                  <w:rStyle w:val="InternetLink"/>
                  <w:rFonts w:ascii="Times New Roman;sans-serif" w:hAnsi="Times New Roman;sans-serif"/>
                  <w:b w:val="false"/>
                  <w:color w:val="000000"/>
                  <w:sz w:val="24"/>
                  <w:u w:val="single"/>
                </w:rPr>
                <w:t>12</w:t>
              </w:r>
            </w:hyperlink>
          </w:p>
        </w:tc>
      </w:tr>
      <w:tr>
        <w:trPr/>
        <w:tc>
          <w:tcPr>
            <w:tcW w:w="9812"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w:anchor="i6d608e9565d54a498549808fb965121b_7">
              <w:r>
                <w:rPr>
                  <w:rStyle w:val="InternetLink"/>
                  <w:rFonts w:ascii="Times New Roman;sans-serif" w:hAnsi="Times New Roman;sans-serif"/>
                  <w:b w:val="false"/>
                  <w:strike w:val="false"/>
                  <w:dstrike w:val="false"/>
                  <w:color w:val="000000"/>
                  <w:sz w:val="24"/>
                  <w:u w:val="none"/>
                  <w:effect w:val="none"/>
                </w:rPr>
                <w:t>SECTION 3.1.</w:t>
              </w:r>
            </w:hyperlink>
            <w:hyperlink w:anchor="i6d608e9565d54a498549808fb965121b_7">
              <w:r>
                <w:rPr>
                  <w:rStyle w:val="InternetLink"/>
                  <w:strike w:val="false"/>
                  <w:dstrike w:val="false"/>
                  <w:color w:val="000000"/>
                  <w:u w:val="none"/>
                  <w:effect w:val="none"/>
                </w:rPr>
                <w:t>    </w:t>
              </w:r>
            </w:hyperlink>
            <w:hyperlink w:anchor="i6d608e9565d54a498549808fb965121b_7">
              <w:r>
                <w:rPr>
                  <w:rStyle w:val="InternetLink"/>
                  <w:rFonts w:ascii="Times New Roman;sans-serif" w:hAnsi="Times New Roman;sans-serif"/>
                  <w:b w:val="false"/>
                  <w:strike w:val="false"/>
                  <w:dstrike w:val="false"/>
                  <w:color w:val="000000"/>
                  <w:sz w:val="24"/>
                  <w:u w:val="none"/>
                  <w:effect w:val="none"/>
                </w:rPr>
                <w:t>Filing Proofs, Certificates and Other Information.</w:t>
              </w:r>
            </w:hyperlink>
          </w:p>
        </w:tc>
        <w:tc>
          <w:tcPr>
            <w:tcW w:w="393"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w:anchor="i6d608e9565d54a498549808fb965121b_7">
              <w:r>
                <w:rPr>
                  <w:rStyle w:val="InternetLink"/>
                  <w:rFonts w:ascii="Times New Roman;sans-serif" w:hAnsi="Times New Roman;sans-serif"/>
                  <w:b w:val="false"/>
                  <w:color w:val="000000"/>
                  <w:sz w:val="24"/>
                  <w:u w:val="single"/>
                </w:rPr>
                <w:t>12</w:t>
              </w:r>
            </w:hyperlink>
          </w:p>
        </w:tc>
      </w:tr>
      <w:tr>
        <w:trPr/>
        <w:tc>
          <w:tcPr>
            <w:tcW w:w="9812"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w:anchor="i6d608e9565d54a498549808fb965121b_7">
              <w:r>
                <w:rPr>
                  <w:rStyle w:val="InternetLink"/>
                  <w:rFonts w:ascii="Times New Roman;sans-serif" w:hAnsi="Times New Roman;sans-serif"/>
                  <w:b w:val="false"/>
                  <w:strike w:val="false"/>
                  <w:dstrike w:val="false"/>
                  <w:color w:val="000000"/>
                  <w:sz w:val="24"/>
                  <w:u w:val="none"/>
                  <w:effect w:val="none"/>
                </w:rPr>
                <w:t>SECTION 3.2.</w:t>
              </w:r>
            </w:hyperlink>
            <w:hyperlink w:anchor="i6d608e9565d54a498549808fb965121b_7">
              <w:r>
                <w:rPr>
                  <w:rStyle w:val="InternetLink"/>
                  <w:strike w:val="false"/>
                  <w:dstrike w:val="false"/>
                  <w:color w:val="000000"/>
                  <w:u w:val="none"/>
                  <w:effect w:val="none"/>
                </w:rPr>
                <w:t>    </w:t>
              </w:r>
            </w:hyperlink>
            <w:hyperlink w:anchor="i6d608e9565d54a498549808fb965121b_7">
              <w:r>
                <w:rPr>
                  <w:rStyle w:val="InternetLink"/>
                  <w:rFonts w:ascii="Times New Roman;sans-serif" w:hAnsi="Times New Roman;sans-serif"/>
                  <w:b w:val="false"/>
                  <w:strike w:val="false"/>
                  <w:dstrike w:val="false"/>
                  <w:color w:val="000000"/>
                  <w:sz w:val="24"/>
                  <w:u w:val="none"/>
                  <w:effect w:val="none"/>
                </w:rPr>
                <w:t>Liability of Owner for Taxes.</w:t>
              </w:r>
            </w:hyperlink>
          </w:p>
        </w:tc>
        <w:tc>
          <w:tcPr>
            <w:tcW w:w="393"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w:anchor="i6d608e9565d54a498549808fb965121b_7">
              <w:r>
                <w:rPr>
                  <w:rStyle w:val="InternetLink"/>
                  <w:rFonts w:ascii="Times New Roman;sans-serif" w:hAnsi="Times New Roman;sans-serif"/>
                  <w:b w:val="false"/>
                  <w:color w:val="000000"/>
                  <w:sz w:val="24"/>
                  <w:u w:val="single"/>
                </w:rPr>
                <w:t>13</w:t>
              </w:r>
            </w:hyperlink>
          </w:p>
        </w:tc>
      </w:tr>
      <w:tr>
        <w:trPr/>
        <w:tc>
          <w:tcPr>
            <w:tcW w:w="9812"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w:anchor="i6d608e9565d54a498549808fb965121b_7">
              <w:r>
                <w:rPr>
                  <w:rStyle w:val="InternetLink"/>
                  <w:rFonts w:ascii="Times New Roman;sans-serif" w:hAnsi="Times New Roman;sans-serif"/>
                  <w:b w:val="false"/>
                  <w:strike w:val="false"/>
                  <w:dstrike w:val="false"/>
                  <w:color w:val="000000"/>
                  <w:sz w:val="24"/>
                  <w:u w:val="none"/>
                  <w:effect w:val="none"/>
                </w:rPr>
                <w:t>SECTION 3.3.</w:t>
              </w:r>
            </w:hyperlink>
            <w:hyperlink w:anchor="i6d608e9565d54a498549808fb965121b_7">
              <w:r>
                <w:rPr>
                  <w:rStyle w:val="InternetLink"/>
                  <w:strike w:val="false"/>
                  <w:dstrike w:val="false"/>
                  <w:color w:val="000000"/>
                  <w:u w:val="none"/>
                  <w:effect w:val="none"/>
                </w:rPr>
                <w:t>    </w:t>
              </w:r>
            </w:hyperlink>
            <w:hyperlink w:anchor="i6d608e9565d54a498549808fb965121b_7">
              <w:r>
                <w:rPr>
                  <w:rStyle w:val="InternetLink"/>
                  <w:rFonts w:ascii="Times New Roman;sans-serif" w:hAnsi="Times New Roman;sans-serif"/>
                  <w:b w:val="false"/>
                  <w:strike w:val="false"/>
                  <w:dstrike w:val="false"/>
                  <w:color w:val="000000"/>
                  <w:sz w:val="24"/>
                  <w:u w:val="none"/>
                  <w:effect w:val="none"/>
                </w:rPr>
                <w:t>Warranties on Deposit of Shares.</w:t>
              </w:r>
            </w:hyperlink>
          </w:p>
        </w:tc>
        <w:tc>
          <w:tcPr>
            <w:tcW w:w="393"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w:anchor="i6d608e9565d54a498549808fb965121b_7">
              <w:r>
                <w:rPr>
                  <w:rStyle w:val="InternetLink"/>
                  <w:rFonts w:ascii="Times New Roman;sans-serif" w:hAnsi="Times New Roman;sans-serif"/>
                  <w:b w:val="false"/>
                  <w:color w:val="000000"/>
                  <w:sz w:val="24"/>
                  <w:u w:val="single"/>
                </w:rPr>
                <w:t>13</w:t>
              </w:r>
            </w:hyperlink>
          </w:p>
        </w:tc>
      </w:tr>
      <w:tr>
        <w:trPr/>
        <w:tc>
          <w:tcPr>
            <w:tcW w:w="9812"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w:anchor="i6d608e9565d54a498549808fb965121b_7">
              <w:r>
                <w:rPr>
                  <w:rStyle w:val="InternetLink"/>
                  <w:rFonts w:ascii="Times New Roman;sans-serif" w:hAnsi="Times New Roman;sans-serif"/>
                  <w:b w:val="false"/>
                  <w:strike w:val="false"/>
                  <w:dstrike w:val="false"/>
                  <w:color w:val="000000"/>
                  <w:sz w:val="24"/>
                  <w:u w:val="none"/>
                  <w:effect w:val="none"/>
                </w:rPr>
                <w:t>SECTION 3.4.</w:t>
              </w:r>
            </w:hyperlink>
            <w:hyperlink w:anchor="i6d608e9565d54a498549808fb965121b_7">
              <w:r>
                <w:rPr>
                  <w:rStyle w:val="InternetLink"/>
                  <w:strike w:val="false"/>
                  <w:dstrike w:val="false"/>
                  <w:color w:val="000000"/>
                  <w:u w:val="none"/>
                  <w:effect w:val="none"/>
                </w:rPr>
                <w:t>    </w:t>
              </w:r>
            </w:hyperlink>
            <w:hyperlink w:anchor="i6d608e9565d54a498549808fb965121b_7">
              <w:r>
                <w:rPr>
                  <w:rStyle w:val="InternetLink"/>
                  <w:rFonts w:ascii="Times New Roman;sans-serif" w:hAnsi="Times New Roman;sans-serif"/>
                  <w:b w:val="false"/>
                  <w:strike w:val="false"/>
                  <w:dstrike w:val="false"/>
                  <w:color w:val="000000"/>
                  <w:sz w:val="24"/>
                  <w:u w:val="none"/>
                  <w:effect w:val="none"/>
                </w:rPr>
                <w:t>Disclosure of Interests.</w:t>
              </w:r>
            </w:hyperlink>
          </w:p>
        </w:tc>
        <w:tc>
          <w:tcPr>
            <w:tcW w:w="393"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w:anchor="i6d608e9565d54a498549808fb965121b_7">
              <w:r>
                <w:rPr>
                  <w:rStyle w:val="InternetLink"/>
                  <w:rFonts w:ascii="Times New Roman;sans-serif" w:hAnsi="Times New Roman;sans-serif"/>
                  <w:b w:val="false"/>
                  <w:color w:val="000000"/>
                  <w:sz w:val="24"/>
                  <w:u w:val="single"/>
                </w:rPr>
                <w:t>13</w:t>
              </w:r>
            </w:hyperlink>
          </w:p>
        </w:tc>
      </w:tr>
      <w:tr>
        <w:trPr/>
        <w:tc>
          <w:tcPr>
            <w:tcW w:w="9812"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w:anchor="i6d608e9565d54a498549808fb965121b_7">
              <w:r>
                <w:rPr>
                  <w:rStyle w:val="InternetLink"/>
                  <w:rFonts w:ascii="Times New Roman;sans-serif" w:hAnsi="Times New Roman;sans-serif"/>
                  <w:b w:val="false"/>
                  <w:strike w:val="false"/>
                  <w:dstrike w:val="false"/>
                  <w:color w:val="000000"/>
                  <w:sz w:val="24"/>
                  <w:u w:val="none"/>
                  <w:effect w:val="none"/>
                </w:rPr>
                <w:t>ARTICLE 4.</w:t>
              </w:r>
            </w:hyperlink>
            <w:hyperlink w:anchor="i6d608e9565d54a498549808fb965121b_7">
              <w:r>
                <w:rPr>
                  <w:rStyle w:val="InternetLink"/>
                  <w:strike w:val="false"/>
                  <w:dstrike w:val="false"/>
                  <w:color w:val="000000"/>
                  <w:u w:val="none"/>
                  <w:effect w:val="none"/>
                </w:rPr>
                <w:t>    </w:t>
              </w:r>
            </w:hyperlink>
            <w:hyperlink w:anchor="i6d608e9565d54a498549808fb965121b_7">
              <w:r>
                <w:rPr>
                  <w:rStyle w:val="InternetLink"/>
                  <w:rFonts w:ascii="Times New Roman;sans-serif" w:hAnsi="Times New Roman;sans-serif"/>
                  <w:b w:val="false"/>
                  <w:strike w:val="false"/>
                  <w:dstrike w:val="false"/>
                  <w:color w:val="000000"/>
                  <w:sz w:val="24"/>
                  <w:u w:val="none"/>
                  <w:effect w:val="none"/>
                </w:rPr>
                <w:t>THE DEPOSITED SECURITIES</w:t>
              </w:r>
            </w:hyperlink>
          </w:p>
        </w:tc>
        <w:tc>
          <w:tcPr>
            <w:tcW w:w="393"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w:anchor="i6d608e9565d54a498549808fb965121b_7">
              <w:r>
                <w:rPr>
                  <w:rStyle w:val="InternetLink"/>
                  <w:rFonts w:ascii="Times New Roman;sans-serif" w:hAnsi="Times New Roman;sans-serif"/>
                  <w:b w:val="false"/>
                  <w:color w:val="000000"/>
                  <w:sz w:val="24"/>
                  <w:u w:val="single"/>
                </w:rPr>
                <w:t>14</w:t>
              </w:r>
            </w:hyperlink>
          </w:p>
        </w:tc>
      </w:tr>
      <w:tr>
        <w:trPr/>
        <w:tc>
          <w:tcPr>
            <w:tcW w:w="9812"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w:anchor="i6d608e9565d54a498549808fb965121b_7">
              <w:r>
                <w:rPr>
                  <w:rStyle w:val="InternetLink"/>
                  <w:rFonts w:ascii="Times New Roman;sans-serif" w:hAnsi="Times New Roman;sans-serif"/>
                  <w:b w:val="false"/>
                  <w:strike w:val="false"/>
                  <w:dstrike w:val="false"/>
                  <w:color w:val="000000"/>
                  <w:sz w:val="24"/>
                  <w:u w:val="none"/>
                  <w:effect w:val="none"/>
                </w:rPr>
                <w:t>SECTION 4.1.</w:t>
              </w:r>
            </w:hyperlink>
            <w:hyperlink w:anchor="i6d608e9565d54a498549808fb965121b_7">
              <w:r>
                <w:rPr>
                  <w:rStyle w:val="InternetLink"/>
                  <w:strike w:val="false"/>
                  <w:dstrike w:val="false"/>
                  <w:color w:val="000000"/>
                  <w:u w:val="none"/>
                  <w:effect w:val="none"/>
                </w:rPr>
                <w:t>    </w:t>
              </w:r>
            </w:hyperlink>
            <w:hyperlink w:anchor="i6d608e9565d54a498549808fb965121b_7">
              <w:r>
                <w:rPr>
                  <w:rStyle w:val="InternetLink"/>
                  <w:rFonts w:ascii="Times New Roman;sans-serif" w:hAnsi="Times New Roman;sans-serif"/>
                  <w:b w:val="false"/>
                  <w:strike w:val="false"/>
                  <w:dstrike w:val="false"/>
                  <w:color w:val="000000"/>
                  <w:sz w:val="24"/>
                  <w:u w:val="none"/>
                  <w:effect w:val="none"/>
                </w:rPr>
                <w:t>Cash Distributions.</w:t>
              </w:r>
            </w:hyperlink>
          </w:p>
        </w:tc>
        <w:tc>
          <w:tcPr>
            <w:tcW w:w="393"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w:anchor="i6d608e9565d54a498549808fb965121b_7">
              <w:r>
                <w:rPr>
                  <w:rStyle w:val="InternetLink"/>
                  <w:rFonts w:ascii="Times New Roman;sans-serif" w:hAnsi="Times New Roman;sans-serif"/>
                  <w:b w:val="false"/>
                  <w:color w:val="000000"/>
                  <w:sz w:val="24"/>
                  <w:u w:val="single"/>
                </w:rPr>
                <w:t>14</w:t>
              </w:r>
            </w:hyperlink>
          </w:p>
        </w:tc>
      </w:tr>
      <w:tr>
        <w:trPr/>
        <w:tc>
          <w:tcPr>
            <w:tcW w:w="9812"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w:anchor="i6d608e9565d54a498549808fb965121b_7">
              <w:r>
                <w:rPr>
                  <w:rStyle w:val="InternetLink"/>
                  <w:rFonts w:ascii="Times New Roman;sans-serif" w:hAnsi="Times New Roman;sans-serif"/>
                  <w:b w:val="false"/>
                  <w:strike w:val="false"/>
                  <w:dstrike w:val="false"/>
                  <w:color w:val="000000"/>
                  <w:sz w:val="24"/>
                  <w:u w:val="none"/>
                  <w:effect w:val="none"/>
                </w:rPr>
                <w:t>SECTION 4.2.</w:t>
              </w:r>
            </w:hyperlink>
            <w:hyperlink w:anchor="i6d608e9565d54a498549808fb965121b_7">
              <w:r>
                <w:rPr>
                  <w:rStyle w:val="InternetLink"/>
                  <w:strike w:val="false"/>
                  <w:dstrike w:val="false"/>
                  <w:color w:val="000000"/>
                  <w:u w:val="none"/>
                  <w:effect w:val="none"/>
                </w:rPr>
                <w:t>    </w:t>
              </w:r>
            </w:hyperlink>
            <w:hyperlink w:anchor="i6d608e9565d54a498549808fb965121b_7">
              <w:r>
                <w:rPr>
                  <w:rStyle w:val="InternetLink"/>
                  <w:rFonts w:ascii="Times New Roman;sans-serif" w:hAnsi="Times New Roman;sans-serif"/>
                  <w:b w:val="false"/>
                  <w:strike w:val="false"/>
                  <w:dstrike w:val="false"/>
                  <w:color w:val="000000"/>
                  <w:sz w:val="24"/>
                  <w:u w:val="none"/>
                  <w:effect w:val="none"/>
                </w:rPr>
                <w:t>Distributions Other Than Cash, Shares or Rights.</w:t>
              </w:r>
            </w:hyperlink>
          </w:p>
        </w:tc>
        <w:tc>
          <w:tcPr>
            <w:tcW w:w="393"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w:anchor="i6d608e9565d54a498549808fb965121b_7">
              <w:r>
                <w:rPr>
                  <w:rStyle w:val="InternetLink"/>
                  <w:rFonts w:ascii="Times New Roman;sans-serif" w:hAnsi="Times New Roman;sans-serif"/>
                  <w:b w:val="false"/>
                  <w:color w:val="000000"/>
                  <w:sz w:val="24"/>
                  <w:u w:val="single"/>
                </w:rPr>
                <w:t>14</w:t>
              </w:r>
            </w:hyperlink>
          </w:p>
        </w:tc>
      </w:tr>
      <w:tr>
        <w:trPr/>
        <w:tc>
          <w:tcPr>
            <w:tcW w:w="9812"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w:anchor="i6d608e9565d54a498549808fb965121b_7">
              <w:r>
                <w:rPr>
                  <w:rStyle w:val="InternetLink"/>
                  <w:rFonts w:ascii="Times New Roman;sans-serif" w:hAnsi="Times New Roman;sans-serif"/>
                  <w:b w:val="false"/>
                  <w:strike w:val="false"/>
                  <w:dstrike w:val="false"/>
                  <w:color w:val="000000"/>
                  <w:sz w:val="24"/>
                  <w:u w:val="none"/>
                  <w:effect w:val="none"/>
                </w:rPr>
                <w:t>SECTION 4.3.</w:t>
              </w:r>
            </w:hyperlink>
            <w:hyperlink w:anchor="i6d608e9565d54a498549808fb965121b_7">
              <w:r>
                <w:rPr>
                  <w:rStyle w:val="InternetLink"/>
                  <w:strike w:val="false"/>
                  <w:dstrike w:val="false"/>
                  <w:color w:val="000000"/>
                  <w:u w:val="none"/>
                  <w:effect w:val="none"/>
                </w:rPr>
                <w:t>    </w:t>
              </w:r>
            </w:hyperlink>
            <w:hyperlink w:anchor="i6d608e9565d54a498549808fb965121b_7">
              <w:r>
                <w:rPr>
                  <w:rStyle w:val="InternetLink"/>
                  <w:rFonts w:ascii="Times New Roman;sans-serif" w:hAnsi="Times New Roman;sans-serif"/>
                  <w:b w:val="false"/>
                  <w:strike w:val="false"/>
                  <w:dstrike w:val="false"/>
                  <w:color w:val="000000"/>
                  <w:sz w:val="24"/>
                  <w:u w:val="none"/>
                  <w:effect w:val="none"/>
                </w:rPr>
                <w:t>Distributions in Shares.</w:t>
              </w:r>
            </w:hyperlink>
          </w:p>
        </w:tc>
        <w:tc>
          <w:tcPr>
            <w:tcW w:w="393"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w:anchor="i6d608e9565d54a498549808fb965121b_7">
              <w:r>
                <w:rPr>
                  <w:rStyle w:val="InternetLink"/>
                  <w:rFonts w:ascii="Times New Roman;sans-serif" w:hAnsi="Times New Roman;sans-serif"/>
                  <w:b w:val="false"/>
                  <w:color w:val="000000"/>
                  <w:sz w:val="24"/>
                  <w:u w:val="single"/>
                </w:rPr>
                <w:t>15</w:t>
              </w:r>
            </w:hyperlink>
          </w:p>
        </w:tc>
      </w:tr>
      <w:tr>
        <w:trPr/>
        <w:tc>
          <w:tcPr>
            <w:tcW w:w="9812"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w:anchor="i6d608e9565d54a498549808fb965121b_7">
              <w:r>
                <w:rPr>
                  <w:rStyle w:val="InternetLink"/>
                  <w:rFonts w:ascii="Times New Roman;sans-serif" w:hAnsi="Times New Roman;sans-serif"/>
                  <w:b w:val="false"/>
                  <w:strike w:val="false"/>
                  <w:dstrike w:val="false"/>
                  <w:color w:val="000000"/>
                  <w:sz w:val="24"/>
                  <w:u w:val="none"/>
                  <w:effect w:val="none"/>
                </w:rPr>
                <w:t>SECTION 4.4.</w:t>
              </w:r>
            </w:hyperlink>
            <w:hyperlink w:anchor="i6d608e9565d54a498549808fb965121b_7">
              <w:r>
                <w:rPr>
                  <w:rStyle w:val="InternetLink"/>
                  <w:strike w:val="false"/>
                  <w:dstrike w:val="false"/>
                  <w:color w:val="000000"/>
                  <w:u w:val="none"/>
                  <w:effect w:val="none"/>
                </w:rPr>
                <w:t>    </w:t>
              </w:r>
            </w:hyperlink>
            <w:hyperlink w:anchor="i6d608e9565d54a498549808fb965121b_7">
              <w:r>
                <w:rPr>
                  <w:rStyle w:val="InternetLink"/>
                  <w:rFonts w:ascii="Times New Roman;sans-serif" w:hAnsi="Times New Roman;sans-serif"/>
                  <w:b w:val="false"/>
                  <w:strike w:val="false"/>
                  <w:dstrike w:val="false"/>
                  <w:color w:val="000000"/>
                  <w:sz w:val="24"/>
                  <w:u w:val="none"/>
                  <w:effect w:val="none"/>
                </w:rPr>
                <w:t>Rights.</w:t>
              </w:r>
            </w:hyperlink>
          </w:p>
        </w:tc>
        <w:tc>
          <w:tcPr>
            <w:tcW w:w="393"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w:anchor="i6d608e9565d54a498549808fb965121b_7">
              <w:r>
                <w:rPr>
                  <w:rStyle w:val="InternetLink"/>
                  <w:rFonts w:ascii="Times New Roman;sans-serif" w:hAnsi="Times New Roman;sans-serif"/>
                  <w:b w:val="false"/>
                  <w:color w:val="000000"/>
                  <w:sz w:val="24"/>
                  <w:u w:val="single"/>
                </w:rPr>
                <w:t>16</w:t>
              </w:r>
            </w:hyperlink>
          </w:p>
        </w:tc>
      </w:tr>
      <w:tr>
        <w:trPr/>
        <w:tc>
          <w:tcPr>
            <w:tcW w:w="9812"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w:anchor="i6d608e9565d54a498549808fb965121b_7">
              <w:r>
                <w:rPr>
                  <w:rStyle w:val="InternetLink"/>
                  <w:rFonts w:ascii="Times New Roman;sans-serif" w:hAnsi="Times New Roman;sans-serif"/>
                  <w:b w:val="false"/>
                  <w:strike w:val="false"/>
                  <w:dstrike w:val="false"/>
                  <w:color w:val="000000"/>
                  <w:sz w:val="24"/>
                  <w:u w:val="none"/>
                  <w:effect w:val="none"/>
                </w:rPr>
                <w:t>SECTION 4.5.</w:t>
              </w:r>
            </w:hyperlink>
            <w:hyperlink w:anchor="i6d608e9565d54a498549808fb965121b_7">
              <w:r>
                <w:rPr>
                  <w:rStyle w:val="InternetLink"/>
                  <w:strike w:val="false"/>
                  <w:dstrike w:val="false"/>
                  <w:color w:val="000000"/>
                  <w:u w:val="none"/>
                  <w:effect w:val="none"/>
                </w:rPr>
                <w:t>    </w:t>
              </w:r>
            </w:hyperlink>
            <w:hyperlink w:anchor="i6d608e9565d54a498549808fb965121b_7">
              <w:r>
                <w:rPr>
                  <w:rStyle w:val="InternetLink"/>
                  <w:rFonts w:ascii="Times New Roman;sans-serif" w:hAnsi="Times New Roman;sans-serif"/>
                  <w:b w:val="false"/>
                  <w:strike w:val="false"/>
                  <w:dstrike w:val="false"/>
                  <w:color w:val="000000"/>
                  <w:sz w:val="24"/>
                  <w:u w:val="none"/>
                  <w:effect w:val="none"/>
                </w:rPr>
                <w:t>Conversion of Foreign Currency.</w:t>
              </w:r>
            </w:hyperlink>
          </w:p>
        </w:tc>
        <w:tc>
          <w:tcPr>
            <w:tcW w:w="393"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w:anchor="i6d608e9565d54a498549808fb965121b_7">
              <w:r>
                <w:rPr>
                  <w:rStyle w:val="InternetLink"/>
                  <w:rFonts w:ascii="Times New Roman;sans-serif" w:hAnsi="Times New Roman;sans-serif"/>
                  <w:b w:val="false"/>
                  <w:color w:val="000000"/>
                  <w:sz w:val="24"/>
                  <w:u w:val="single"/>
                </w:rPr>
                <w:t>17</w:t>
              </w:r>
            </w:hyperlink>
          </w:p>
        </w:tc>
      </w:tr>
      <w:tr>
        <w:trPr/>
        <w:tc>
          <w:tcPr>
            <w:tcW w:w="9812"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w:anchor="i6d608e9565d54a498549808fb965121b_7">
              <w:r>
                <w:rPr>
                  <w:rStyle w:val="InternetLink"/>
                  <w:rFonts w:ascii="Times New Roman;sans-serif" w:hAnsi="Times New Roman;sans-serif"/>
                  <w:b w:val="false"/>
                  <w:strike w:val="false"/>
                  <w:dstrike w:val="false"/>
                  <w:color w:val="000000"/>
                  <w:sz w:val="24"/>
                  <w:u w:val="none"/>
                  <w:effect w:val="none"/>
                </w:rPr>
                <w:t>SECTION 4.6.</w:t>
              </w:r>
            </w:hyperlink>
            <w:hyperlink w:anchor="i6d608e9565d54a498549808fb965121b_7">
              <w:r>
                <w:rPr>
                  <w:rStyle w:val="InternetLink"/>
                  <w:strike w:val="false"/>
                  <w:dstrike w:val="false"/>
                  <w:color w:val="000000"/>
                  <w:u w:val="none"/>
                  <w:effect w:val="none"/>
                </w:rPr>
                <w:t>    </w:t>
              </w:r>
            </w:hyperlink>
            <w:hyperlink w:anchor="i6d608e9565d54a498549808fb965121b_7">
              <w:r>
                <w:rPr>
                  <w:rStyle w:val="InternetLink"/>
                  <w:rFonts w:ascii="Times New Roman;sans-serif" w:hAnsi="Times New Roman;sans-serif"/>
                  <w:b w:val="false"/>
                  <w:strike w:val="false"/>
                  <w:dstrike w:val="false"/>
                  <w:color w:val="000000"/>
                  <w:sz w:val="24"/>
                  <w:u w:val="none"/>
                  <w:effect w:val="none"/>
                </w:rPr>
                <w:t>Fixing of Record Date.</w:t>
              </w:r>
            </w:hyperlink>
          </w:p>
        </w:tc>
        <w:tc>
          <w:tcPr>
            <w:tcW w:w="393"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w:anchor="i6d608e9565d54a498549808fb965121b_7">
              <w:r>
                <w:rPr>
                  <w:rStyle w:val="InternetLink"/>
                  <w:rFonts w:ascii="Times New Roman;sans-serif" w:hAnsi="Times New Roman;sans-serif"/>
                  <w:b w:val="false"/>
                  <w:color w:val="000000"/>
                  <w:sz w:val="24"/>
                  <w:u w:val="single"/>
                </w:rPr>
                <w:t>19</w:t>
              </w:r>
            </w:hyperlink>
          </w:p>
        </w:tc>
      </w:tr>
      <w:tr>
        <w:trPr/>
        <w:tc>
          <w:tcPr>
            <w:tcW w:w="9812"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w:anchor="i6d608e9565d54a498549808fb965121b_7">
              <w:r>
                <w:rPr>
                  <w:rStyle w:val="InternetLink"/>
                  <w:rFonts w:ascii="Times New Roman;sans-serif" w:hAnsi="Times New Roman;sans-serif"/>
                  <w:b w:val="false"/>
                  <w:strike w:val="false"/>
                  <w:dstrike w:val="false"/>
                  <w:color w:val="000000"/>
                  <w:sz w:val="24"/>
                  <w:u w:val="none"/>
                  <w:effect w:val="none"/>
                </w:rPr>
                <w:t>SECTION 4.7.</w:t>
              </w:r>
            </w:hyperlink>
            <w:hyperlink w:anchor="i6d608e9565d54a498549808fb965121b_7">
              <w:r>
                <w:rPr>
                  <w:rStyle w:val="InternetLink"/>
                  <w:strike w:val="false"/>
                  <w:dstrike w:val="false"/>
                  <w:color w:val="000000"/>
                  <w:u w:val="none"/>
                  <w:effect w:val="none"/>
                </w:rPr>
                <w:t>    </w:t>
              </w:r>
            </w:hyperlink>
            <w:hyperlink w:anchor="i6d608e9565d54a498549808fb965121b_7">
              <w:r>
                <w:rPr>
                  <w:rStyle w:val="InternetLink"/>
                  <w:rFonts w:ascii="Times New Roman;sans-serif" w:hAnsi="Times New Roman;sans-serif"/>
                  <w:b w:val="false"/>
                  <w:strike w:val="false"/>
                  <w:dstrike w:val="false"/>
                  <w:color w:val="000000"/>
                  <w:sz w:val="24"/>
                  <w:u w:val="none"/>
                  <w:effect w:val="none"/>
                </w:rPr>
                <w:t>Voting of Deposited Shares.</w:t>
              </w:r>
            </w:hyperlink>
          </w:p>
        </w:tc>
        <w:tc>
          <w:tcPr>
            <w:tcW w:w="393"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w:anchor="i6d608e9565d54a498549808fb965121b_7">
              <w:r>
                <w:rPr>
                  <w:rStyle w:val="InternetLink"/>
                  <w:rFonts w:ascii="Times New Roman;sans-serif" w:hAnsi="Times New Roman;sans-serif"/>
                  <w:b w:val="false"/>
                  <w:color w:val="000000"/>
                  <w:sz w:val="24"/>
                  <w:u w:val="single"/>
                </w:rPr>
                <w:t>19</w:t>
              </w:r>
            </w:hyperlink>
          </w:p>
        </w:tc>
      </w:tr>
      <w:tr>
        <w:trPr/>
        <w:tc>
          <w:tcPr>
            <w:tcW w:w="9812"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w:anchor="i6d608e9565d54a498549808fb965121b_7">
              <w:r>
                <w:rPr>
                  <w:rStyle w:val="InternetLink"/>
                  <w:rFonts w:ascii="Times New Roman;sans-serif" w:hAnsi="Times New Roman;sans-serif"/>
                  <w:b w:val="false"/>
                  <w:strike w:val="false"/>
                  <w:dstrike w:val="false"/>
                  <w:color w:val="000000"/>
                  <w:sz w:val="24"/>
                  <w:u w:val="none"/>
                  <w:effect w:val="none"/>
                </w:rPr>
                <w:t>SECTION 4.8.</w:t>
              </w:r>
            </w:hyperlink>
            <w:hyperlink w:anchor="i6d608e9565d54a498549808fb965121b_7">
              <w:r>
                <w:rPr>
                  <w:rStyle w:val="InternetLink"/>
                  <w:strike w:val="false"/>
                  <w:dstrike w:val="false"/>
                  <w:color w:val="000000"/>
                  <w:u w:val="none"/>
                  <w:effect w:val="none"/>
                </w:rPr>
                <w:t>    </w:t>
              </w:r>
            </w:hyperlink>
            <w:hyperlink w:anchor="i6d608e9565d54a498549808fb965121b_7">
              <w:r>
                <w:rPr>
                  <w:rStyle w:val="InternetLink"/>
                  <w:rFonts w:ascii="Times New Roman;sans-serif" w:hAnsi="Times New Roman;sans-serif"/>
                  <w:b w:val="false"/>
                  <w:strike w:val="false"/>
                  <w:dstrike w:val="false"/>
                  <w:color w:val="000000"/>
                  <w:sz w:val="24"/>
                  <w:u w:val="none"/>
                  <w:effect w:val="none"/>
                </w:rPr>
                <w:t>Tender and Exchange Offers; Redemption, Replacement or Cancellation of Deposited Securities.</w:t>
              </w:r>
            </w:hyperlink>
          </w:p>
        </w:tc>
        <w:tc>
          <w:tcPr>
            <w:tcW w:w="393"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w:anchor="i6d608e9565d54a498549808fb965121b_7">
              <w:r>
                <w:rPr>
                  <w:rStyle w:val="InternetLink"/>
                  <w:rFonts w:ascii="Times New Roman;sans-serif" w:hAnsi="Times New Roman;sans-serif"/>
                  <w:b w:val="false"/>
                  <w:color w:val="000000"/>
                  <w:sz w:val="24"/>
                  <w:u w:val="single"/>
                </w:rPr>
                <w:t>21</w:t>
              </w:r>
            </w:hyperlink>
          </w:p>
        </w:tc>
      </w:tr>
      <w:tr>
        <w:trPr/>
        <w:tc>
          <w:tcPr>
            <w:tcW w:w="9812"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w:anchor="i6d608e9565d54a498549808fb965121b_7">
              <w:r>
                <w:rPr>
                  <w:rStyle w:val="InternetLink"/>
                  <w:rFonts w:ascii="Times New Roman;sans-serif" w:hAnsi="Times New Roman;sans-serif"/>
                  <w:b w:val="false"/>
                  <w:strike w:val="false"/>
                  <w:dstrike w:val="false"/>
                  <w:color w:val="000000"/>
                  <w:sz w:val="24"/>
                  <w:u w:val="none"/>
                  <w:effect w:val="none"/>
                </w:rPr>
                <w:t>SECTION 4.9.</w:t>
              </w:r>
            </w:hyperlink>
            <w:hyperlink w:anchor="i6d608e9565d54a498549808fb965121b_7">
              <w:r>
                <w:rPr>
                  <w:rStyle w:val="InternetLink"/>
                  <w:strike w:val="false"/>
                  <w:dstrike w:val="false"/>
                  <w:color w:val="000000"/>
                  <w:u w:val="none"/>
                  <w:effect w:val="none"/>
                </w:rPr>
                <w:t>    </w:t>
              </w:r>
            </w:hyperlink>
            <w:hyperlink w:anchor="i6d608e9565d54a498549808fb965121b_7">
              <w:r>
                <w:rPr>
                  <w:rStyle w:val="InternetLink"/>
                  <w:rFonts w:ascii="Times New Roman;sans-serif" w:hAnsi="Times New Roman;sans-serif"/>
                  <w:b w:val="false"/>
                  <w:strike w:val="false"/>
                  <w:dstrike w:val="false"/>
                  <w:color w:val="000000"/>
                  <w:sz w:val="24"/>
                  <w:u w:val="none"/>
                  <w:effect w:val="none"/>
                </w:rPr>
                <w:t>Reports.</w:t>
              </w:r>
            </w:hyperlink>
          </w:p>
        </w:tc>
        <w:tc>
          <w:tcPr>
            <w:tcW w:w="393"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w:anchor="i6d608e9565d54a498549808fb965121b_7">
              <w:r>
                <w:rPr>
                  <w:rStyle w:val="InternetLink"/>
                  <w:rFonts w:ascii="Times New Roman;sans-serif" w:hAnsi="Times New Roman;sans-serif"/>
                  <w:b w:val="false"/>
                  <w:color w:val="000000"/>
                  <w:sz w:val="24"/>
                  <w:u w:val="single"/>
                </w:rPr>
                <w:t>22</w:t>
              </w:r>
            </w:hyperlink>
          </w:p>
        </w:tc>
      </w:tr>
      <w:tr>
        <w:trPr/>
        <w:tc>
          <w:tcPr>
            <w:tcW w:w="9812"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w:anchor="i6d608e9565d54a498549808fb965121b_7">
              <w:r>
                <w:rPr>
                  <w:rStyle w:val="InternetLink"/>
                  <w:rFonts w:ascii="Times New Roman;sans-serif" w:hAnsi="Times New Roman;sans-serif"/>
                  <w:b w:val="false"/>
                  <w:strike w:val="false"/>
                  <w:dstrike w:val="false"/>
                  <w:color w:val="000000"/>
                  <w:sz w:val="24"/>
                  <w:u w:val="none"/>
                  <w:effect w:val="none"/>
                </w:rPr>
                <w:t>SECTION 4.10.</w:t>
              </w:r>
            </w:hyperlink>
            <w:hyperlink w:anchor="i6d608e9565d54a498549808fb965121b_7">
              <w:r>
                <w:rPr>
                  <w:rStyle w:val="InternetLink"/>
                  <w:strike w:val="false"/>
                  <w:dstrike w:val="false"/>
                  <w:color w:val="000000"/>
                  <w:u w:val="none"/>
                  <w:effect w:val="none"/>
                </w:rPr>
                <w:t>    </w:t>
              </w:r>
            </w:hyperlink>
            <w:hyperlink w:anchor="i6d608e9565d54a498549808fb965121b_7">
              <w:r>
                <w:rPr>
                  <w:rStyle w:val="InternetLink"/>
                  <w:rFonts w:ascii="Times New Roman;sans-serif" w:hAnsi="Times New Roman;sans-serif"/>
                  <w:b w:val="false"/>
                  <w:strike w:val="false"/>
                  <w:dstrike w:val="false"/>
                  <w:color w:val="000000"/>
                  <w:sz w:val="24"/>
                  <w:u w:val="none"/>
                  <w:effect w:val="none"/>
                </w:rPr>
                <w:t>Lists of Owners.</w:t>
              </w:r>
            </w:hyperlink>
          </w:p>
        </w:tc>
        <w:tc>
          <w:tcPr>
            <w:tcW w:w="393"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w:anchor="i6d608e9565d54a498549808fb965121b_7">
              <w:r>
                <w:rPr>
                  <w:rStyle w:val="InternetLink"/>
                  <w:rFonts w:ascii="Times New Roman;sans-serif" w:hAnsi="Times New Roman;sans-serif"/>
                  <w:b w:val="false"/>
                  <w:color w:val="000000"/>
                  <w:sz w:val="24"/>
                  <w:u w:val="single"/>
                </w:rPr>
                <w:t>23</w:t>
              </w:r>
            </w:hyperlink>
          </w:p>
        </w:tc>
      </w:tr>
      <w:tr>
        <w:trPr/>
        <w:tc>
          <w:tcPr>
            <w:tcW w:w="9812"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w:anchor="i6d608e9565d54a498549808fb965121b_7">
              <w:r>
                <w:rPr>
                  <w:rStyle w:val="InternetLink"/>
                  <w:rFonts w:ascii="Times New Roman;sans-serif" w:hAnsi="Times New Roman;sans-serif"/>
                  <w:b w:val="false"/>
                  <w:strike w:val="false"/>
                  <w:dstrike w:val="false"/>
                  <w:color w:val="000000"/>
                  <w:sz w:val="24"/>
                  <w:u w:val="none"/>
                  <w:effect w:val="none"/>
                </w:rPr>
                <w:t>SECTION 4.11.</w:t>
              </w:r>
            </w:hyperlink>
            <w:hyperlink w:anchor="i6d608e9565d54a498549808fb965121b_7">
              <w:r>
                <w:rPr>
                  <w:rStyle w:val="InternetLink"/>
                  <w:strike w:val="false"/>
                  <w:dstrike w:val="false"/>
                  <w:color w:val="000000"/>
                  <w:u w:val="none"/>
                  <w:effect w:val="none"/>
                </w:rPr>
                <w:t>    </w:t>
              </w:r>
            </w:hyperlink>
            <w:hyperlink w:anchor="i6d608e9565d54a498549808fb965121b_7">
              <w:r>
                <w:rPr>
                  <w:rStyle w:val="InternetLink"/>
                  <w:rFonts w:ascii="Times New Roman;sans-serif" w:hAnsi="Times New Roman;sans-serif"/>
                  <w:b w:val="false"/>
                  <w:strike w:val="false"/>
                  <w:dstrike w:val="false"/>
                  <w:color w:val="000000"/>
                  <w:sz w:val="24"/>
                  <w:u w:val="none"/>
                  <w:effect w:val="none"/>
                </w:rPr>
                <w:t>Withholding.</w:t>
              </w:r>
            </w:hyperlink>
          </w:p>
        </w:tc>
        <w:tc>
          <w:tcPr>
            <w:tcW w:w="393"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w:anchor="i6d608e9565d54a498549808fb965121b_7">
              <w:r>
                <w:rPr>
                  <w:rStyle w:val="InternetLink"/>
                  <w:rFonts w:ascii="Times New Roman;sans-serif" w:hAnsi="Times New Roman;sans-serif"/>
                  <w:b w:val="false"/>
                  <w:color w:val="000000"/>
                  <w:sz w:val="24"/>
                  <w:u w:val="single"/>
                </w:rPr>
                <w:t>23</w:t>
              </w:r>
            </w:hyperlink>
          </w:p>
        </w:tc>
      </w:tr>
      <w:tr>
        <w:trPr/>
        <w:tc>
          <w:tcPr>
            <w:tcW w:w="9812"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w:anchor="i6d608e9565d54a498549808fb965121b_7">
              <w:r>
                <w:rPr>
                  <w:rStyle w:val="InternetLink"/>
                  <w:rFonts w:ascii="Times New Roman;sans-serif" w:hAnsi="Times New Roman;sans-serif"/>
                  <w:b w:val="false"/>
                  <w:strike w:val="false"/>
                  <w:dstrike w:val="false"/>
                  <w:color w:val="000000"/>
                  <w:sz w:val="24"/>
                  <w:u w:val="none"/>
                  <w:effect w:val="none"/>
                </w:rPr>
                <w:t>ARTICLE 5.</w:t>
              </w:r>
            </w:hyperlink>
            <w:hyperlink w:anchor="i6d608e9565d54a498549808fb965121b_7">
              <w:r>
                <w:rPr>
                  <w:rStyle w:val="InternetLink"/>
                  <w:strike w:val="false"/>
                  <w:dstrike w:val="false"/>
                  <w:color w:val="000000"/>
                  <w:u w:val="none"/>
                  <w:effect w:val="none"/>
                </w:rPr>
                <w:t>    </w:t>
              </w:r>
            </w:hyperlink>
            <w:hyperlink w:anchor="i6d608e9565d54a498549808fb965121b_7">
              <w:r>
                <w:rPr>
                  <w:rStyle w:val="InternetLink"/>
                </w:rPr>
                <w:t>THE DEPOSITARY, THE CUSTODIANS AND THE COMPANY</w:t>
              </w:r>
            </w:hyperlink>
            <w:hyperlink w:anchor="i6d608e9565d54a498549808fb965121b_7">
              <w:r>
                <w:rPr>
                  <w:rStyle w:val="InternetLink"/>
                </w:rPr>
                <w:t>    </w:t>
              </w:r>
            </w:hyperlink>
          </w:p>
        </w:tc>
        <w:tc>
          <w:tcPr>
            <w:tcW w:w="393"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w:anchor="i6d608e9565d54a498549808fb965121b_7">
              <w:r>
                <w:rPr>
                  <w:rStyle w:val="InternetLink"/>
                  <w:rFonts w:ascii="Times New Roman;sans-serif" w:hAnsi="Times New Roman;sans-serif"/>
                  <w:b w:val="false"/>
                  <w:color w:val="000000"/>
                  <w:sz w:val="24"/>
                  <w:u w:val="single"/>
                </w:rPr>
                <w:t>23</w:t>
              </w:r>
            </w:hyperlink>
          </w:p>
        </w:tc>
      </w:tr>
      <w:tr>
        <w:trPr/>
        <w:tc>
          <w:tcPr>
            <w:tcW w:w="9812"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w:anchor="i6d608e9565d54a498549808fb965121b_7">
              <w:r>
                <w:rPr>
                  <w:rStyle w:val="InternetLink"/>
                  <w:rFonts w:ascii="Times New Roman;sans-serif" w:hAnsi="Times New Roman;sans-serif"/>
                  <w:b w:val="false"/>
                  <w:strike w:val="false"/>
                  <w:dstrike w:val="false"/>
                  <w:color w:val="000000"/>
                  <w:sz w:val="24"/>
                  <w:u w:val="none"/>
                  <w:effect w:val="none"/>
                </w:rPr>
                <w:t>SECTION 5.1.</w:t>
              </w:r>
            </w:hyperlink>
            <w:hyperlink w:anchor="i6d608e9565d54a498549808fb965121b_7">
              <w:r>
                <w:rPr>
                  <w:rStyle w:val="InternetLink"/>
                  <w:strike w:val="false"/>
                  <w:dstrike w:val="false"/>
                  <w:color w:val="000000"/>
                  <w:u w:val="none"/>
                  <w:effect w:val="none"/>
                </w:rPr>
                <w:t>    </w:t>
              </w:r>
            </w:hyperlink>
            <w:hyperlink w:anchor="i6d608e9565d54a498549808fb965121b_7">
              <w:r>
                <w:rPr>
                  <w:rStyle w:val="InternetLink"/>
                </w:rPr>
                <w:t>Maintenance of Office and Register by the Depositary.</w:t>
              </w:r>
            </w:hyperlink>
            <w:hyperlink w:anchor="i6d608e9565d54a498549808fb965121b_7">
              <w:r>
                <w:rPr>
                  <w:rStyle w:val="InternetLink"/>
                </w:rPr>
                <w:t>    </w:t>
              </w:r>
            </w:hyperlink>
          </w:p>
        </w:tc>
        <w:tc>
          <w:tcPr>
            <w:tcW w:w="393"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w:anchor="i6d608e9565d54a498549808fb965121b_7">
              <w:r>
                <w:rPr>
                  <w:rStyle w:val="InternetLink"/>
                  <w:rFonts w:ascii="Times New Roman;sans-serif" w:hAnsi="Times New Roman;sans-serif"/>
                  <w:b w:val="false"/>
                  <w:color w:val="000000"/>
                  <w:sz w:val="24"/>
                  <w:u w:val="single"/>
                </w:rPr>
                <w:t>23</w:t>
              </w:r>
            </w:hyperlink>
          </w:p>
        </w:tc>
      </w:tr>
      <w:tr>
        <w:trPr/>
        <w:tc>
          <w:tcPr>
            <w:tcW w:w="9812"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w:anchor="i6d608e9565d54a498549808fb965121b_7">
              <w:r>
                <w:rPr>
                  <w:rStyle w:val="InternetLink"/>
                  <w:rFonts w:ascii="Times New Roman;sans-serif" w:hAnsi="Times New Roman;sans-serif"/>
                  <w:b w:val="false"/>
                  <w:strike w:val="false"/>
                  <w:dstrike w:val="false"/>
                  <w:color w:val="000000"/>
                  <w:sz w:val="24"/>
                  <w:u w:val="none"/>
                  <w:effect w:val="none"/>
                </w:rPr>
                <w:t>SECTION 5.2.</w:t>
              </w:r>
            </w:hyperlink>
            <w:hyperlink w:anchor="i6d608e9565d54a498549808fb965121b_7">
              <w:r>
                <w:rPr>
                  <w:rStyle w:val="InternetLink"/>
                  <w:strike w:val="false"/>
                  <w:dstrike w:val="false"/>
                  <w:color w:val="000000"/>
                  <w:u w:val="none"/>
                  <w:effect w:val="none"/>
                </w:rPr>
                <w:t>    </w:t>
              </w:r>
            </w:hyperlink>
            <w:hyperlink w:anchor="i6d608e9565d54a498549808fb965121b_7">
              <w:r>
                <w:rPr>
                  <w:rStyle w:val="InternetLink"/>
                  <w:rFonts w:ascii="Times New Roman;sans-serif" w:hAnsi="Times New Roman;sans-serif"/>
                  <w:b w:val="false"/>
                  <w:strike w:val="false"/>
                  <w:dstrike w:val="false"/>
                  <w:color w:val="000000"/>
                  <w:sz w:val="24"/>
                  <w:u w:val="none"/>
                  <w:effect w:val="none"/>
                </w:rPr>
                <w:t>Prevention or Delay of Performance by the Company or the Depositary.</w:t>
              </w:r>
            </w:hyperlink>
          </w:p>
        </w:tc>
        <w:tc>
          <w:tcPr>
            <w:tcW w:w="393"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w:anchor="i6d608e9565d54a498549808fb965121b_7">
              <w:r>
                <w:rPr>
                  <w:rStyle w:val="InternetLink"/>
                  <w:rFonts w:ascii="Times New Roman;sans-serif" w:hAnsi="Times New Roman;sans-serif"/>
                  <w:b w:val="false"/>
                  <w:color w:val="000000"/>
                  <w:sz w:val="24"/>
                  <w:u w:val="single"/>
                </w:rPr>
                <w:t>24</w:t>
              </w:r>
            </w:hyperlink>
          </w:p>
        </w:tc>
      </w:tr>
      <w:tr>
        <w:trPr/>
        <w:tc>
          <w:tcPr>
            <w:tcW w:w="9812"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w:anchor="i6d608e9565d54a498549808fb965121b_7">
              <w:r>
                <w:rPr>
                  <w:rStyle w:val="InternetLink"/>
                  <w:rFonts w:ascii="Times New Roman;sans-serif" w:hAnsi="Times New Roman;sans-serif"/>
                  <w:b w:val="false"/>
                  <w:strike w:val="false"/>
                  <w:dstrike w:val="false"/>
                  <w:color w:val="000000"/>
                  <w:sz w:val="24"/>
                  <w:u w:val="none"/>
                  <w:effect w:val="none"/>
                </w:rPr>
                <w:t>SECTION 5.3.</w:t>
              </w:r>
            </w:hyperlink>
            <w:hyperlink w:anchor="i6d608e9565d54a498549808fb965121b_7">
              <w:r>
                <w:rPr>
                  <w:rStyle w:val="InternetLink"/>
                  <w:strike w:val="false"/>
                  <w:dstrike w:val="false"/>
                  <w:color w:val="000000"/>
                  <w:u w:val="none"/>
                  <w:effect w:val="none"/>
                </w:rPr>
                <w:t>    </w:t>
              </w:r>
            </w:hyperlink>
            <w:hyperlink w:anchor="i6d608e9565d54a498549808fb965121b_7">
              <w:r>
                <w:rPr>
                  <w:rStyle w:val="InternetLink"/>
                  <w:rFonts w:ascii="Times New Roman;sans-serif" w:hAnsi="Times New Roman;sans-serif"/>
                  <w:b w:val="false"/>
                  <w:strike w:val="false"/>
                  <w:dstrike w:val="false"/>
                  <w:color w:val="000000"/>
                  <w:sz w:val="24"/>
                  <w:u w:val="none"/>
                  <w:effect w:val="none"/>
                </w:rPr>
                <w:t>Obligations of the Depositary and the Company.</w:t>
              </w:r>
            </w:hyperlink>
          </w:p>
        </w:tc>
        <w:tc>
          <w:tcPr>
            <w:tcW w:w="393"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w:anchor="i6d608e9565d54a498549808fb965121b_7">
              <w:r>
                <w:rPr>
                  <w:rStyle w:val="InternetLink"/>
                  <w:rFonts w:ascii="Times New Roman;sans-serif" w:hAnsi="Times New Roman;sans-serif"/>
                  <w:b w:val="false"/>
                  <w:color w:val="000000"/>
                  <w:sz w:val="24"/>
                  <w:u w:val="single"/>
                </w:rPr>
                <w:t>25</w:t>
              </w:r>
            </w:hyperlink>
          </w:p>
        </w:tc>
      </w:tr>
      <w:tr>
        <w:trPr/>
        <w:tc>
          <w:tcPr>
            <w:tcW w:w="9812"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w:anchor="i6d608e9565d54a498549808fb965121b_7">
              <w:r>
                <w:rPr>
                  <w:rStyle w:val="InternetLink"/>
                  <w:rFonts w:ascii="Times New Roman;sans-serif" w:hAnsi="Times New Roman;sans-serif"/>
                  <w:b w:val="false"/>
                  <w:strike w:val="false"/>
                  <w:dstrike w:val="false"/>
                  <w:color w:val="000000"/>
                  <w:sz w:val="24"/>
                  <w:u w:val="none"/>
                  <w:effect w:val="none"/>
                </w:rPr>
                <w:t>SECTION 5.4.</w:t>
              </w:r>
            </w:hyperlink>
            <w:hyperlink w:anchor="i6d608e9565d54a498549808fb965121b_7">
              <w:r>
                <w:rPr>
                  <w:rStyle w:val="InternetLink"/>
                  <w:strike w:val="false"/>
                  <w:dstrike w:val="false"/>
                  <w:color w:val="000000"/>
                  <w:u w:val="none"/>
                  <w:effect w:val="none"/>
                </w:rPr>
                <w:t>    </w:t>
              </w:r>
            </w:hyperlink>
            <w:hyperlink w:anchor="i6d608e9565d54a498549808fb965121b_7">
              <w:r>
                <w:rPr>
                  <w:rStyle w:val="InternetLink"/>
                  <w:rFonts w:ascii="Times New Roman;sans-serif" w:hAnsi="Times New Roman;sans-serif"/>
                  <w:b w:val="false"/>
                  <w:strike w:val="false"/>
                  <w:dstrike w:val="false"/>
                  <w:color w:val="000000"/>
                  <w:sz w:val="24"/>
                  <w:u w:val="none"/>
                  <w:effect w:val="none"/>
                </w:rPr>
                <w:t>Resignation and Removal of the Depositary.</w:t>
              </w:r>
            </w:hyperlink>
          </w:p>
        </w:tc>
        <w:tc>
          <w:tcPr>
            <w:tcW w:w="393"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w:anchor="i6d608e9565d54a498549808fb965121b_7">
              <w:r>
                <w:rPr>
                  <w:rStyle w:val="InternetLink"/>
                  <w:rFonts w:ascii="Times New Roman;sans-serif" w:hAnsi="Times New Roman;sans-serif"/>
                  <w:b w:val="false"/>
                  <w:color w:val="000000"/>
                  <w:sz w:val="24"/>
                  <w:u w:val="single"/>
                </w:rPr>
                <w:t>26</w:t>
              </w:r>
            </w:hyperlink>
          </w:p>
        </w:tc>
      </w:tr>
      <w:tr>
        <w:trPr/>
        <w:tc>
          <w:tcPr>
            <w:tcW w:w="9812"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w:anchor="i6d608e9565d54a498549808fb965121b_7">
              <w:r>
                <w:rPr>
                  <w:rStyle w:val="InternetLink"/>
                  <w:rFonts w:ascii="Times New Roman;sans-serif" w:hAnsi="Times New Roman;sans-serif"/>
                  <w:b w:val="false"/>
                  <w:strike w:val="false"/>
                  <w:dstrike w:val="false"/>
                  <w:color w:val="000000"/>
                  <w:sz w:val="24"/>
                  <w:u w:val="none"/>
                  <w:effect w:val="none"/>
                </w:rPr>
                <w:t>SECTION 5.5.</w:t>
              </w:r>
            </w:hyperlink>
            <w:hyperlink w:anchor="i6d608e9565d54a498549808fb965121b_7">
              <w:r>
                <w:rPr>
                  <w:rStyle w:val="InternetLink"/>
                  <w:strike w:val="false"/>
                  <w:dstrike w:val="false"/>
                  <w:color w:val="000000"/>
                  <w:u w:val="none"/>
                  <w:effect w:val="none"/>
                </w:rPr>
                <w:t>    </w:t>
              </w:r>
            </w:hyperlink>
            <w:hyperlink w:anchor="i6d608e9565d54a498549808fb965121b_7">
              <w:r>
                <w:rPr>
                  <w:rStyle w:val="InternetLink"/>
                  <w:rFonts w:ascii="Times New Roman;sans-serif" w:hAnsi="Times New Roman;sans-serif"/>
                  <w:b w:val="false"/>
                  <w:strike w:val="false"/>
                  <w:dstrike w:val="false"/>
                  <w:color w:val="000000"/>
                  <w:sz w:val="24"/>
                  <w:u w:val="none"/>
                  <w:effect w:val="none"/>
                </w:rPr>
                <w:t>The Custodians.</w:t>
              </w:r>
            </w:hyperlink>
          </w:p>
        </w:tc>
        <w:tc>
          <w:tcPr>
            <w:tcW w:w="393"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w:anchor="i6d608e9565d54a498549808fb965121b_7">
              <w:r>
                <w:rPr>
                  <w:rStyle w:val="InternetLink"/>
                  <w:rFonts w:ascii="Times New Roman;sans-serif" w:hAnsi="Times New Roman;sans-serif"/>
                  <w:b w:val="false"/>
                  <w:color w:val="000000"/>
                  <w:sz w:val="24"/>
                  <w:u w:val="single"/>
                </w:rPr>
                <w:t>27</w:t>
              </w:r>
            </w:hyperlink>
          </w:p>
        </w:tc>
      </w:tr>
      <w:tr>
        <w:trPr/>
        <w:tc>
          <w:tcPr>
            <w:tcW w:w="9812"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w:anchor="i6d608e9565d54a498549808fb965121b_7">
              <w:r>
                <w:rPr>
                  <w:rStyle w:val="InternetLink"/>
                  <w:rFonts w:ascii="Times New Roman;sans-serif" w:hAnsi="Times New Roman;sans-serif"/>
                  <w:b w:val="false"/>
                  <w:strike w:val="false"/>
                  <w:dstrike w:val="false"/>
                  <w:color w:val="000000"/>
                  <w:sz w:val="24"/>
                  <w:u w:val="none"/>
                  <w:effect w:val="none"/>
                </w:rPr>
                <w:t>SECTION 5.6.</w:t>
              </w:r>
            </w:hyperlink>
            <w:hyperlink w:anchor="i6d608e9565d54a498549808fb965121b_7">
              <w:r>
                <w:rPr>
                  <w:rStyle w:val="InternetLink"/>
                  <w:strike w:val="false"/>
                  <w:dstrike w:val="false"/>
                  <w:color w:val="000000"/>
                  <w:u w:val="none"/>
                  <w:effect w:val="none"/>
                </w:rPr>
                <w:t>    </w:t>
              </w:r>
            </w:hyperlink>
            <w:hyperlink w:anchor="i6d608e9565d54a498549808fb965121b_7">
              <w:r>
                <w:rPr>
                  <w:rStyle w:val="InternetLink"/>
                  <w:rFonts w:ascii="Times New Roman;sans-serif" w:hAnsi="Times New Roman;sans-serif"/>
                  <w:b w:val="false"/>
                  <w:strike w:val="false"/>
                  <w:dstrike w:val="false"/>
                  <w:color w:val="000000"/>
                  <w:sz w:val="24"/>
                  <w:u w:val="none"/>
                  <w:effect w:val="none"/>
                </w:rPr>
                <w:t>Notices and Reports.</w:t>
              </w:r>
            </w:hyperlink>
          </w:p>
        </w:tc>
        <w:tc>
          <w:tcPr>
            <w:tcW w:w="393"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w:anchor="i6d608e9565d54a498549808fb965121b_7">
              <w:r>
                <w:rPr>
                  <w:rStyle w:val="InternetLink"/>
                  <w:rFonts w:ascii="Times New Roman;sans-serif" w:hAnsi="Times New Roman;sans-serif"/>
                  <w:b w:val="false"/>
                  <w:color w:val="000000"/>
                  <w:sz w:val="24"/>
                  <w:u w:val="single"/>
                </w:rPr>
                <w:t>27</w:t>
              </w:r>
            </w:hyperlink>
          </w:p>
        </w:tc>
      </w:tr>
      <w:tr>
        <w:trPr/>
        <w:tc>
          <w:tcPr>
            <w:tcW w:w="9812"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w:anchor="i6d608e9565d54a498549808fb965121b_7">
              <w:r>
                <w:rPr>
                  <w:rStyle w:val="InternetLink"/>
                  <w:rFonts w:ascii="Times New Roman;sans-serif" w:hAnsi="Times New Roman;sans-serif"/>
                  <w:b w:val="false"/>
                  <w:strike w:val="false"/>
                  <w:dstrike w:val="false"/>
                  <w:color w:val="000000"/>
                  <w:sz w:val="24"/>
                  <w:u w:val="none"/>
                  <w:effect w:val="none"/>
                </w:rPr>
                <w:t>SECTION 5.7.</w:t>
              </w:r>
            </w:hyperlink>
            <w:hyperlink w:anchor="i6d608e9565d54a498549808fb965121b_7">
              <w:r>
                <w:rPr>
                  <w:rStyle w:val="InternetLink"/>
                  <w:strike w:val="false"/>
                  <w:dstrike w:val="false"/>
                  <w:color w:val="000000"/>
                  <w:u w:val="none"/>
                  <w:effect w:val="none"/>
                </w:rPr>
                <w:t>    </w:t>
              </w:r>
            </w:hyperlink>
            <w:hyperlink w:anchor="i6d608e9565d54a498549808fb965121b_7">
              <w:r>
                <w:rPr>
                  <w:rStyle w:val="InternetLink"/>
                  <w:rFonts w:ascii="Times New Roman;sans-serif" w:hAnsi="Times New Roman;sans-serif"/>
                  <w:b w:val="false"/>
                  <w:strike w:val="false"/>
                  <w:dstrike w:val="false"/>
                  <w:color w:val="000000"/>
                  <w:sz w:val="24"/>
                  <w:u w:val="none"/>
                  <w:effect w:val="none"/>
                </w:rPr>
                <w:t>Distribution of Additional Shares, Rights, etc.</w:t>
              </w:r>
            </w:hyperlink>
          </w:p>
        </w:tc>
        <w:tc>
          <w:tcPr>
            <w:tcW w:w="393"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w:anchor="i6d608e9565d54a498549808fb965121b_7">
              <w:r>
                <w:rPr>
                  <w:rStyle w:val="InternetLink"/>
                  <w:rFonts w:ascii="Times New Roman;sans-serif" w:hAnsi="Times New Roman;sans-serif"/>
                  <w:b w:val="false"/>
                  <w:color w:val="000000"/>
                  <w:sz w:val="24"/>
                  <w:u w:val="single"/>
                </w:rPr>
                <w:t>28</w:t>
              </w:r>
            </w:hyperlink>
          </w:p>
        </w:tc>
      </w:tr>
      <w:tr>
        <w:trPr/>
        <w:tc>
          <w:tcPr>
            <w:tcW w:w="9812"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w:anchor="i6d608e9565d54a498549808fb965121b_7">
              <w:r>
                <w:rPr>
                  <w:rStyle w:val="InternetLink"/>
                  <w:rFonts w:ascii="Times New Roman;sans-serif" w:hAnsi="Times New Roman;sans-serif"/>
                  <w:b w:val="false"/>
                  <w:strike w:val="false"/>
                  <w:dstrike w:val="false"/>
                  <w:color w:val="000000"/>
                  <w:sz w:val="24"/>
                  <w:u w:val="none"/>
                  <w:effect w:val="none"/>
                </w:rPr>
                <w:t>SECTION 5.8.</w:t>
              </w:r>
            </w:hyperlink>
            <w:hyperlink w:anchor="i6d608e9565d54a498549808fb965121b_7">
              <w:r>
                <w:rPr>
                  <w:rStyle w:val="InternetLink"/>
                  <w:strike w:val="false"/>
                  <w:dstrike w:val="false"/>
                  <w:color w:val="000000"/>
                  <w:u w:val="none"/>
                  <w:effect w:val="none"/>
                </w:rPr>
                <w:t>    </w:t>
              </w:r>
            </w:hyperlink>
            <w:hyperlink w:anchor="i6d608e9565d54a498549808fb965121b_7">
              <w:r>
                <w:rPr>
                  <w:rStyle w:val="InternetLink"/>
                  <w:rFonts w:ascii="Times New Roman;sans-serif" w:hAnsi="Times New Roman;sans-serif"/>
                  <w:b w:val="false"/>
                  <w:strike w:val="false"/>
                  <w:dstrike w:val="false"/>
                  <w:color w:val="000000"/>
                  <w:sz w:val="24"/>
                  <w:u w:val="none"/>
                  <w:effect w:val="none"/>
                </w:rPr>
                <w:t>Indemnification.</w:t>
              </w:r>
            </w:hyperlink>
          </w:p>
        </w:tc>
        <w:tc>
          <w:tcPr>
            <w:tcW w:w="393"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w:anchor="i6d608e9565d54a498549808fb965121b_7">
              <w:r>
                <w:rPr>
                  <w:rStyle w:val="InternetLink"/>
                  <w:rFonts w:ascii="Times New Roman;sans-serif" w:hAnsi="Times New Roman;sans-serif"/>
                  <w:b w:val="false"/>
                  <w:color w:val="000000"/>
                  <w:sz w:val="24"/>
                  <w:u w:val="single"/>
                </w:rPr>
                <w:t>28</w:t>
              </w:r>
            </w:hyperlink>
          </w:p>
        </w:tc>
      </w:tr>
      <w:tr>
        <w:trPr/>
        <w:tc>
          <w:tcPr>
            <w:tcW w:w="9812"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w:anchor="i6d608e9565d54a498549808fb965121b_7">
              <w:r>
                <w:rPr>
                  <w:rStyle w:val="InternetLink"/>
                  <w:rFonts w:ascii="Times New Roman;sans-serif" w:hAnsi="Times New Roman;sans-serif"/>
                  <w:b w:val="false"/>
                  <w:strike w:val="false"/>
                  <w:dstrike w:val="false"/>
                  <w:color w:val="000000"/>
                  <w:sz w:val="24"/>
                  <w:u w:val="none"/>
                  <w:effect w:val="none"/>
                </w:rPr>
                <w:t>SECTION 5.9.</w:t>
              </w:r>
            </w:hyperlink>
            <w:hyperlink w:anchor="i6d608e9565d54a498549808fb965121b_7">
              <w:r>
                <w:rPr>
                  <w:rStyle w:val="InternetLink"/>
                  <w:strike w:val="false"/>
                  <w:dstrike w:val="false"/>
                  <w:color w:val="000000"/>
                  <w:u w:val="none"/>
                  <w:effect w:val="none"/>
                </w:rPr>
                <w:t>    </w:t>
              </w:r>
            </w:hyperlink>
            <w:hyperlink w:anchor="i6d608e9565d54a498549808fb965121b_7">
              <w:r>
                <w:rPr>
                  <w:rStyle w:val="InternetLink"/>
                  <w:rFonts w:ascii="Times New Roman;sans-serif" w:hAnsi="Times New Roman;sans-serif"/>
                  <w:b w:val="false"/>
                  <w:strike w:val="false"/>
                  <w:dstrike w:val="false"/>
                  <w:color w:val="000000"/>
                  <w:sz w:val="24"/>
                  <w:u w:val="none"/>
                  <w:effect w:val="none"/>
                </w:rPr>
                <w:t>Charges of Depositary.</w:t>
              </w:r>
            </w:hyperlink>
          </w:p>
        </w:tc>
        <w:tc>
          <w:tcPr>
            <w:tcW w:w="393"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w:anchor="i6d608e9565d54a498549808fb965121b_7">
              <w:r>
                <w:rPr>
                  <w:rStyle w:val="InternetLink"/>
                  <w:rFonts w:ascii="Times New Roman;sans-serif" w:hAnsi="Times New Roman;sans-serif"/>
                  <w:b w:val="false"/>
                  <w:color w:val="000000"/>
                  <w:sz w:val="24"/>
                  <w:u w:val="single"/>
                </w:rPr>
                <w:t>29</w:t>
              </w:r>
            </w:hyperlink>
          </w:p>
        </w:tc>
      </w:tr>
      <w:tr>
        <w:trPr/>
        <w:tc>
          <w:tcPr>
            <w:tcW w:w="9812"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w:anchor="i6d608e9565d54a498549808fb965121b_7">
              <w:r>
                <w:rPr>
                  <w:rStyle w:val="InternetLink"/>
                  <w:rFonts w:ascii="Times New Roman;sans-serif" w:hAnsi="Times New Roman;sans-serif"/>
                  <w:b w:val="false"/>
                  <w:strike w:val="false"/>
                  <w:dstrike w:val="false"/>
                  <w:color w:val="000000"/>
                  <w:sz w:val="24"/>
                  <w:u w:val="none"/>
                  <w:effect w:val="none"/>
                </w:rPr>
                <w:t>SECTION 5.10.</w:t>
              </w:r>
            </w:hyperlink>
            <w:hyperlink w:anchor="i6d608e9565d54a498549808fb965121b_7">
              <w:r>
                <w:rPr>
                  <w:rStyle w:val="InternetLink"/>
                  <w:strike w:val="false"/>
                  <w:dstrike w:val="false"/>
                  <w:color w:val="000000"/>
                  <w:u w:val="none"/>
                  <w:effect w:val="none"/>
                </w:rPr>
                <w:t>    </w:t>
              </w:r>
            </w:hyperlink>
            <w:hyperlink w:anchor="i6d608e9565d54a498549808fb965121b_7">
              <w:r>
                <w:rPr>
                  <w:rStyle w:val="InternetLink"/>
                  <w:rFonts w:ascii="Times New Roman;sans-serif" w:hAnsi="Times New Roman;sans-serif"/>
                  <w:b w:val="false"/>
                  <w:strike w:val="false"/>
                  <w:dstrike w:val="false"/>
                  <w:color w:val="000000"/>
                  <w:sz w:val="24"/>
                  <w:u w:val="none"/>
                  <w:effect w:val="none"/>
                </w:rPr>
                <w:t>Retention of Depositary Documents.</w:t>
              </w:r>
            </w:hyperlink>
          </w:p>
        </w:tc>
        <w:tc>
          <w:tcPr>
            <w:tcW w:w="393"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w:anchor="i6d608e9565d54a498549808fb965121b_7">
              <w:r>
                <w:rPr>
                  <w:rStyle w:val="InternetLink"/>
                  <w:rFonts w:ascii="Times New Roman;sans-serif" w:hAnsi="Times New Roman;sans-serif"/>
                  <w:b w:val="false"/>
                  <w:color w:val="000000"/>
                  <w:sz w:val="24"/>
                  <w:u w:val="single"/>
                </w:rPr>
                <w:t>30</w:t>
              </w:r>
            </w:hyperlink>
          </w:p>
        </w:tc>
      </w:tr>
      <w:tr>
        <w:trPr/>
        <w:tc>
          <w:tcPr>
            <w:tcW w:w="9812"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w:anchor="i6d608e9565d54a498549808fb965121b_7">
              <w:r>
                <w:rPr>
                  <w:rStyle w:val="InternetLink"/>
                  <w:rFonts w:ascii="Times New Roman;sans-serif" w:hAnsi="Times New Roman;sans-serif"/>
                  <w:b w:val="false"/>
                  <w:strike w:val="false"/>
                  <w:dstrike w:val="false"/>
                  <w:color w:val="000000"/>
                  <w:sz w:val="24"/>
                  <w:u w:val="none"/>
                  <w:effect w:val="none"/>
                </w:rPr>
                <w:t>SECTION 5.11.</w:t>
              </w:r>
            </w:hyperlink>
            <w:hyperlink w:anchor="i6d608e9565d54a498549808fb965121b_7">
              <w:r>
                <w:rPr>
                  <w:rStyle w:val="InternetLink"/>
                  <w:strike w:val="false"/>
                  <w:dstrike w:val="false"/>
                  <w:color w:val="000000"/>
                  <w:u w:val="none"/>
                  <w:effect w:val="none"/>
                </w:rPr>
                <w:t>    </w:t>
              </w:r>
            </w:hyperlink>
            <w:hyperlink w:anchor="i6d608e9565d54a498549808fb965121b_7">
              <w:r>
                <w:rPr>
                  <w:rStyle w:val="InternetLink"/>
                  <w:rFonts w:ascii="Times New Roman;sans-serif" w:hAnsi="Times New Roman;sans-serif"/>
                  <w:b w:val="false"/>
                  <w:strike w:val="false"/>
                  <w:dstrike w:val="false"/>
                  <w:color w:val="000000"/>
                  <w:sz w:val="24"/>
                  <w:u w:val="none"/>
                  <w:effect w:val="none"/>
                </w:rPr>
                <w:t>Exclusivity.</w:t>
              </w:r>
            </w:hyperlink>
          </w:p>
        </w:tc>
        <w:tc>
          <w:tcPr>
            <w:tcW w:w="393"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w:anchor="i6d608e9565d54a498549808fb965121b_7">
              <w:r>
                <w:rPr>
                  <w:rStyle w:val="InternetLink"/>
                  <w:rFonts w:ascii="Times New Roman;sans-serif" w:hAnsi="Times New Roman;sans-serif"/>
                  <w:b w:val="false"/>
                  <w:color w:val="000000"/>
                  <w:sz w:val="24"/>
                  <w:u w:val="single"/>
                </w:rPr>
                <w:t>30</w:t>
              </w:r>
            </w:hyperlink>
          </w:p>
        </w:tc>
      </w:tr>
      <w:tr>
        <w:trPr/>
        <w:tc>
          <w:tcPr>
            <w:tcW w:w="9812"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w:anchor="i6d608e9565d54a498549808fb965121b_7">
              <w:r>
                <w:rPr>
                  <w:rStyle w:val="InternetLink"/>
                  <w:rFonts w:ascii="Times New Roman;sans-serif" w:hAnsi="Times New Roman;sans-serif"/>
                  <w:b w:val="false"/>
                  <w:strike w:val="false"/>
                  <w:dstrike w:val="false"/>
                  <w:color w:val="000000"/>
                  <w:sz w:val="24"/>
                  <w:u w:val="none"/>
                  <w:effect w:val="none"/>
                </w:rPr>
                <w:t>SECTION 5.12.</w:t>
              </w:r>
            </w:hyperlink>
            <w:hyperlink w:anchor="i6d608e9565d54a498549808fb965121b_7">
              <w:r>
                <w:rPr>
                  <w:rStyle w:val="InternetLink"/>
                  <w:strike w:val="false"/>
                  <w:dstrike w:val="false"/>
                  <w:color w:val="000000"/>
                  <w:u w:val="none"/>
                  <w:effect w:val="none"/>
                </w:rPr>
                <w:t>    </w:t>
              </w:r>
            </w:hyperlink>
            <w:hyperlink w:anchor="i6d608e9565d54a498549808fb965121b_7">
              <w:r>
                <w:rPr>
                  <w:rStyle w:val="InternetLink"/>
                  <w:rFonts w:ascii="Times New Roman;sans-serif" w:hAnsi="Times New Roman;sans-serif"/>
                  <w:b w:val="false"/>
                  <w:strike w:val="false"/>
                  <w:dstrike w:val="false"/>
                  <w:color w:val="000000"/>
                  <w:sz w:val="24"/>
                  <w:u w:val="none"/>
                  <w:effect w:val="none"/>
                </w:rPr>
                <w:t>Information for Regulatory Compliance.</w:t>
              </w:r>
            </w:hyperlink>
          </w:p>
        </w:tc>
        <w:tc>
          <w:tcPr>
            <w:tcW w:w="393"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w:anchor="i6d608e9565d54a498549808fb965121b_7">
              <w:r>
                <w:rPr>
                  <w:rStyle w:val="InternetLink"/>
                  <w:rFonts w:ascii="Times New Roman;sans-serif" w:hAnsi="Times New Roman;sans-serif"/>
                  <w:b w:val="false"/>
                  <w:color w:val="000000"/>
                  <w:sz w:val="24"/>
                  <w:u w:val="single"/>
                </w:rPr>
                <w:t>30</w:t>
              </w:r>
            </w:hyperlink>
          </w:p>
        </w:tc>
      </w:tr>
      <w:tr>
        <w:trPr/>
        <w:tc>
          <w:tcPr>
            <w:tcW w:w="9812"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w:anchor="i6d608e9565d54a498549808fb965121b_7">
              <w:r>
                <w:rPr>
                  <w:rStyle w:val="InternetLink"/>
                  <w:rFonts w:ascii="Times New Roman;sans-serif" w:hAnsi="Times New Roman;sans-serif"/>
                  <w:b w:val="false"/>
                  <w:strike w:val="false"/>
                  <w:dstrike w:val="false"/>
                  <w:color w:val="000000"/>
                  <w:sz w:val="24"/>
                  <w:u w:val="none"/>
                  <w:effect w:val="none"/>
                </w:rPr>
                <w:t>ARTICLE 6.</w:t>
              </w:r>
            </w:hyperlink>
            <w:hyperlink w:anchor="i6d608e9565d54a498549808fb965121b_7">
              <w:r>
                <w:rPr>
                  <w:rStyle w:val="InternetLink"/>
                  <w:strike w:val="false"/>
                  <w:dstrike w:val="false"/>
                  <w:color w:val="000000"/>
                  <w:u w:val="none"/>
                  <w:effect w:val="none"/>
                </w:rPr>
                <w:t>    </w:t>
              </w:r>
            </w:hyperlink>
            <w:hyperlink w:anchor="i6d608e9565d54a498549808fb965121b_7">
              <w:r>
                <w:rPr>
                  <w:rStyle w:val="InternetLink"/>
                  <w:rFonts w:ascii="Times New Roman;sans-serif" w:hAnsi="Times New Roman;sans-serif"/>
                  <w:b w:val="false"/>
                  <w:strike w:val="false"/>
                  <w:dstrike w:val="false"/>
                  <w:color w:val="000000"/>
                  <w:sz w:val="24"/>
                  <w:u w:val="none"/>
                  <w:effect w:val="none"/>
                </w:rPr>
                <w:t>AMENDMENT AND TERMINATION</w:t>
              </w:r>
            </w:hyperlink>
          </w:p>
        </w:tc>
        <w:tc>
          <w:tcPr>
            <w:tcW w:w="393"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w:anchor="i6d608e9565d54a498549808fb965121b_7">
              <w:r>
                <w:rPr>
                  <w:rStyle w:val="InternetLink"/>
                  <w:rFonts w:ascii="Times New Roman;sans-serif" w:hAnsi="Times New Roman;sans-serif"/>
                  <w:b w:val="false"/>
                  <w:color w:val="000000"/>
                  <w:sz w:val="24"/>
                  <w:u w:val="single"/>
                </w:rPr>
                <w:t>31</w:t>
              </w:r>
            </w:hyperlink>
          </w:p>
        </w:tc>
      </w:tr>
      <w:tr>
        <w:trPr/>
        <w:tc>
          <w:tcPr>
            <w:tcW w:w="9812"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w:anchor="i6d608e9565d54a498549808fb965121b_7">
              <w:r>
                <w:rPr>
                  <w:rStyle w:val="InternetLink"/>
                  <w:rFonts w:ascii="Times New Roman;sans-serif" w:hAnsi="Times New Roman;sans-serif"/>
                  <w:b w:val="false"/>
                  <w:strike w:val="false"/>
                  <w:dstrike w:val="false"/>
                  <w:color w:val="000000"/>
                  <w:sz w:val="24"/>
                  <w:u w:val="none"/>
                  <w:effect w:val="none"/>
                </w:rPr>
                <w:t>SECTION 6.1.</w:t>
              </w:r>
            </w:hyperlink>
            <w:hyperlink w:anchor="i6d608e9565d54a498549808fb965121b_7">
              <w:r>
                <w:rPr>
                  <w:rStyle w:val="InternetLink"/>
                  <w:strike w:val="false"/>
                  <w:dstrike w:val="false"/>
                  <w:color w:val="000000"/>
                  <w:u w:val="none"/>
                  <w:effect w:val="none"/>
                </w:rPr>
                <w:t>    </w:t>
              </w:r>
            </w:hyperlink>
            <w:hyperlink w:anchor="i6d608e9565d54a498549808fb965121b_7">
              <w:r>
                <w:rPr>
                  <w:rStyle w:val="InternetLink"/>
                  <w:rFonts w:ascii="Times New Roman;sans-serif" w:hAnsi="Times New Roman;sans-serif"/>
                  <w:b w:val="false"/>
                  <w:strike w:val="false"/>
                  <w:dstrike w:val="false"/>
                  <w:color w:val="000000"/>
                  <w:sz w:val="24"/>
                  <w:u w:val="none"/>
                  <w:effect w:val="none"/>
                </w:rPr>
                <w:t>Amendment.</w:t>
              </w:r>
            </w:hyperlink>
          </w:p>
        </w:tc>
        <w:tc>
          <w:tcPr>
            <w:tcW w:w="393"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w:anchor="i6d608e9565d54a498549808fb965121b_7">
              <w:r>
                <w:rPr>
                  <w:rStyle w:val="InternetLink"/>
                  <w:rFonts w:ascii="Times New Roman;sans-serif" w:hAnsi="Times New Roman;sans-serif"/>
                  <w:b w:val="false"/>
                  <w:color w:val="000000"/>
                  <w:sz w:val="24"/>
                  <w:u w:val="single"/>
                </w:rPr>
                <w:t>31</w:t>
              </w:r>
            </w:hyperlink>
          </w:p>
        </w:tc>
      </w:tr>
      <w:tr>
        <w:trPr/>
        <w:tc>
          <w:tcPr>
            <w:tcW w:w="9812"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w:anchor="i6d608e9565d54a498549808fb965121b_7">
              <w:r>
                <w:rPr>
                  <w:rStyle w:val="InternetLink"/>
                  <w:rFonts w:ascii="Times New Roman;sans-serif" w:hAnsi="Times New Roman;sans-serif"/>
                  <w:b w:val="false"/>
                  <w:strike w:val="false"/>
                  <w:dstrike w:val="false"/>
                  <w:color w:val="000000"/>
                  <w:sz w:val="24"/>
                  <w:u w:val="none"/>
                  <w:effect w:val="none"/>
                </w:rPr>
                <w:t>SECTION 6.2.</w:t>
              </w:r>
            </w:hyperlink>
            <w:hyperlink w:anchor="i6d608e9565d54a498549808fb965121b_7">
              <w:r>
                <w:rPr>
                  <w:rStyle w:val="InternetLink"/>
                  <w:strike w:val="false"/>
                  <w:dstrike w:val="false"/>
                  <w:color w:val="000000"/>
                  <w:u w:val="none"/>
                  <w:effect w:val="none"/>
                </w:rPr>
                <w:t>    </w:t>
              </w:r>
            </w:hyperlink>
            <w:hyperlink w:anchor="i6d608e9565d54a498549808fb965121b_7">
              <w:r>
                <w:rPr>
                  <w:rStyle w:val="InternetLink"/>
                  <w:rFonts w:ascii="Times New Roman;sans-serif" w:hAnsi="Times New Roman;sans-serif"/>
                  <w:b w:val="false"/>
                  <w:strike w:val="false"/>
                  <w:dstrike w:val="false"/>
                  <w:color w:val="000000"/>
                  <w:sz w:val="24"/>
                  <w:u w:val="none"/>
                  <w:effect w:val="none"/>
                </w:rPr>
                <w:t>Termination.</w:t>
              </w:r>
            </w:hyperlink>
          </w:p>
        </w:tc>
        <w:tc>
          <w:tcPr>
            <w:tcW w:w="393"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w:anchor="i6d608e9565d54a498549808fb965121b_7">
              <w:r>
                <w:rPr>
                  <w:rStyle w:val="InternetLink"/>
                  <w:rFonts w:ascii="Times New Roman;sans-serif" w:hAnsi="Times New Roman;sans-serif"/>
                  <w:b w:val="false"/>
                  <w:color w:val="000000"/>
                  <w:sz w:val="24"/>
                  <w:u w:val="single"/>
                </w:rPr>
                <w:t>31</w:t>
              </w:r>
            </w:hyperlink>
          </w:p>
        </w:tc>
      </w:tr>
      <w:tr>
        <w:trPr/>
        <w:tc>
          <w:tcPr>
            <w:tcW w:w="9812"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w:anchor="i6d608e9565d54a498549808fb965121b_7">
              <w:r>
                <w:rPr>
                  <w:rStyle w:val="InternetLink"/>
                  <w:rFonts w:ascii="Times New Roman;sans-serif" w:hAnsi="Times New Roman;sans-serif"/>
                  <w:b w:val="false"/>
                  <w:strike w:val="false"/>
                  <w:dstrike w:val="false"/>
                  <w:color w:val="000000"/>
                  <w:sz w:val="24"/>
                  <w:u w:val="none"/>
                  <w:effect w:val="none"/>
                </w:rPr>
                <w:t>ARTICLE 7.</w:t>
              </w:r>
            </w:hyperlink>
            <w:hyperlink w:anchor="i6d608e9565d54a498549808fb965121b_7">
              <w:r>
                <w:rPr>
                  <w:rStyle w:val="InternetLink"/>
                  <w:strike w:val="false"/>
                  <w:dstrike w:val="false"/>
                  <w:color w:val="000000"/>
                  <w:u w:val="none"/>
                  <w:effect w:val="none"/>
                </w:rPr>
                <w:t>    </w:t>
              </w:r>
            </w:hyperlink>
            <w:hyperlink w:anchor="i6d608e9565d54a498549808fb965121b_7">
              <w:r>
                <w:rPr>
                  <w:rStyle w:val="InternetLink"/>
                  <w:rFonts w:ascii="Times New Roman;sans-serif" w:hAnsi="Times New Roman;sans-serif"/>
                  <w:b w:val="false"/>
                  <w:strike w:val="false"/>
                  <w:dstrike w:val="false"/>
                  <w:color w:val="000000"/>
                  <w:sz w:val="24"/>
                  <w:u w:val="none"/>
                  <w:effect w:val="none"/>
                </w:rPr>
                <w:t>MISCELLANEOUS</w:t>
              </w:r>
            </w:hyperlink>
          </w:p>
        </w:tc>
        <w:tc>
          <w:tcPr>
            <w:tcW w:w="393"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w:anchor="i6d608e9565d54a498549808fb965121b_7">
              <w:r>
                <w:rPr>
                  <w:rStyle w:val="InternetLink"/>
                  <w:rFonts w:ascii="Times New Roman;sans-serif" w:hAnsi="Times New Roman;sans-serif"/>
                  <w:b w:val="false"/>
                  <w:color w:val="000000"/>
                  <w:sz w:val="24"/>
                  <w:u w:val="single"/>
                </w:rPr>
                <w:t>32</w:t>
              </w:r>
            </w:hyperlink>
          </w:p>
        </w:tc>
      </w:tr>
      <w:tr>
        <w:trPr/>
        <w:tc>
          <w:tcPr>
            <w:tcW w:w="9812"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w:anchor="i6d608e9565d54a498549808fb965121b_7">
              <w:r>
                <w:rPr>
                  <w:rStyle w:val="InternetLink"/>
                  <w:rFonts w:ascii="Times New Roman;sans-serif" w:hAnsi="Times New Roman;sans-serif"/>
                  <w:b w:val="false"/>
                  <w:strike w:val="false"/>
                  <w:dstrike w:val="false"/>
                  <w:color w:val="000000"/>
                  <w:sz w:val="24"/>
                  <w:u w:val="none"/>
                  <w:effect w:val="none"/>
                </w:rPr>
                <w:t>SECTION 7.1.</w:t>
              </w:r>
            </w:hyperlink>
            <w:hyperlink w:anchor="i6d608e9565d54a498549808fb965121b_7">
              <w:r>
                <w:rPr>
                  <w:rStyle w:val="InternetLink"/>
                  <w:strike w:val="false"/>
                  <w:dstrike w:val="false"/>
                  <w:color w:val="000000"/>
                  <w:u w:val="none"/>
                  <w:effect w:val="none"/>
                </w:rPr>
                <w:t>    </w:t>
              </w:r>
            </w:hyperlink>
            <w:hyperlink w:anchor="i6d608e9565d54a498549808fb965121b_7">
              <w:r>
                <w:rPr>
                  <w:rStyle w:val="InternetLink"/>
                  <w:rFonts w:ascii="Times New Roman;sans-serif" w:hAnsi="Times New Roman;sans-serif"/>
                  <w:b w:val="false"/>
                  <w:strike w:val="false"/>
                  <w:dstrike w:val="false"/>
                  <w:color w:val="000000"/>
                  <w:sz w:val="24"/>
                  <w:u w:val="none"/>
                  <w:effect w:val="none"/>
                </w:rPr>
                <w:t>Counterparts; Signatures; Delivery.</w:t>
              </w:r>
            </w:hyperlink>
          </w:p>
        </w:tc>
        <w:tc>
          <w:tcPr>
            <w:tcW w:w="393"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w:anchor="i6d608e9565d54a498549808fb965121b_7">
              <w:r>
                <w:rPr>
                  <w:rStyle w:val="InternetLink"/>
                  <w:rFonts w:ascii="Times New Roman;sans-serif" w:hAnsi="Times New Roman;sans-serif"/>
                  <w:b w:val="false"/>
                  <w:color w:val="000000"/>
                  <w:sz w:val="24"/>
                  <w:u w:val="single"/>
                </w:rPr>
                <w:t>32</w:t>
              </w:r>
            </w:hyperlink>
          </w:p>
        </w:tc>
      </w:tr>
    </w:tbl>
    <w:p>
      <w:pPr>
        <w:pStyle w:val="TextBody"/>
        <w:spacing w:before="120" w:after="240"/>
        <w:jc w:val="center"/>
        <w:rPr/>
      </w:pPr>
      <w:r>
        <w:br w:type="page"/>
      </w:r>
      <w:r>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6480175" cy="869950"/>
                <wp:effectExtent l="0" t="0" r="0" b="0"/>
                <wp:wrapNone/>
                <wp:docPr id="240" name="Frame238"/>
                <a:graphic xmlns:a="http://schemas.openxmlformats.org/drawingml/2006/main">
                  <a:graphicData uri="http://schemas.microsoft.com/office/word/2010/wordprocessingShape">
                    <wps:wsp>
                      <wps:cNvSpPr txBox="1"/>
                      <wps:spPr>
                        <a:xfrm>
                          <a:off x="0" y="0"/>
                          <a:ext cx="6480175" cy="869950"/>
                        </a:xfrm>
                        <a:prstGeom prst="rect"/>
                      </wps:spPr>
                      <wps:txbx>
                        <w:txbxContent>
                          <w:p>
                            <w:pPr>
                              <w:pStyle w:val="TextBody"/>
                              <w:spacing w:lineRule="auto" w:line="288"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-2-</w:t>
                            </w:r>
                          </w:p>
                          <w:p>
                            <w:pPr>
                              <w:pStyle w:val="TextBody"/>
                              <w:spacing w:before="24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8.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spacing w:lineRule="auto" w:line="288"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-2-</w:t>
                      </w:r>
                    </w:p>
                    <w:p>
                      <w:pPr>
                        <w:pStyle w:val="TextBody"/>
                        <w:spacing w:before="240" w:after="283"/>
                        <w:jc w:val="center"/>
                        <w:rPr/>
                      </w:pPr>
                      <w:r>
                        <w:rPr/>
                      </w:r>
                    </w:p>
                  </w:txbxContent>
                </v:textbox>
              </v:rect>
            </w:pict>
          </mc:Fallback>
        </mc:AlternateContent>
      </w:r>
    </w:p>
    <w:tbl>
      <w:tblPr>
        <w:tblW w:w="10205" w:type="dxa"/>
        <w:jc w:val="left"/>
        <w:tblInd w:w="0" w:type="dxa"/>
        <w:tblCellMar>
          <w:top w:w="28" w:type="dxa"/>
          <w:left w:w="28" w:type="dxa"/>
          <w:bottom w:w="28" w:type="dxa"/>
          <w:right w:w="28" w:type="dxa"/>
        </w:tblCellMar>
      </w:tblPr>
      <w:tblGrid>
        <w:gridCol w:w="3568"/>
        <w:gridCol w:w="3115"/>
        <w:gridCol w:w="3130"/>
        <w:gridCol w:w="114"/>
        <w:gridCol w:w="114"/>
        <w:gridCol w:w="164"/>
      </w:tblGrid>
      <w:tr>
        <w:trPr/>
        <w:tc>
          <w:tcPr>
            <w:tcW w:w="3568" w:type="dxa"/>
            <w:tcBorders/>
            <w:shd w:fill="auto" w:val="clear"/>
            <w:vAlign w:val="center"/>
          </w:tcPr>
          <w:p>
            <w:pPr>
              <w:pStyle w:val="TableContents"/>
              <w:spacing w:before="0" w:after="283"/>
              <w:rPr>
                <w:sz w:val="4"/>
                <w:szCs w:val="4"/>
              </w:rPr>
            </w:pPr>
            <w:r>
              <w:rPr>
                <w:sz w:val="4"/>
                <w:szCs w:val="4"/>
              </w:rPr>
            </w:r>
          </w:p>
        </w:tc>
        <w:tc>
          <w:tcPr>
            <w:tcW w:w="3115" w:type="dxa"/>
            <w:tcBorders/>
            <w:shd w:fill="auto" w:val="clear"/>
            <w:vAlign w:val="center"/>
          </w:tcPr>
          <w:p>
            <w:pPr>
              <w:pStyle w:val="TableContents"/>
              <w:spacing w:before="0" w:after="283"/>
              <w:rPr>
                <w:sz w:val="4"/>
                <w:szCs w:val="4"/>
              </w:rPr>
            </w:pPr>
            <w:r>
              <w:rPr>
                <w:sz w:val="4"/>
                <w:szCs w:val="4"/>
              </w:rPr>
            </w:r>
          </w:p>
        </w:tc>
        <w:tc>
          <w:tcPr>
            <w:tcW w:w="3130"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r>
      <w:tr>
        <w:trPr/>
        <w:tc>
          <w:tcPr>
            <w:tcW w:w="9813"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w:anchor="i6d608e9565d54a498549808fb965121b_7">
              <w:r>
                <w:rPr>
                  <w:rStyle w:val="InternetLink"/>
                  <w:rFonts w:ascii="Times New Roman;sans-serif" w:hAnsi="Times New Roman;sans-serif"/>
                  <w:b w:val="false"/>
                  <w:strike w:val="false"/>
                  <w:dstrike w:val="false"/>
                  <w:color w:val="000000"/>
                  <w:sz w:val="24"/>
                  <w:u w:val="none"/>
                  <w:effect w:val="none"/>
                </w:rPr>
                <w:t>SECTION 7.2.</w:t>
              </w:r>
            </w:hyperlink>
            <w:hyperlink w:anchor="i6d608e9565d54a498549808fb965121b_7">
              <w:r>
                <w:rPr>
                  <w:rStyle w:val="InternetLink"/>
                  <w:strike w:val="false"/>
                  <w:dstrike w:val="false"/>
                  <w:color w:val="000000"/>
                  <w:u w:val="none"/>
                  <w:effect w:val="none"/>
                </w:rPr>
                <w:t>    </w:t>
              </w:r>
            </w:hyperlink>
            <w:hyperlink w:anchor="i6d608e9565d54a498549808fb965121b_7">
              <w:r>
                <w:rPr>
                  <w:rStyle w:val="InternetLink"/>
                  <w:rFonts w:ascii="Times New Roman;sans-serif" w:hAnsi="Times New Roman;sans-serif"/>
                  <w:b w:val="false"/>
                  <w:strike w:val="false"/>
                  <w:dstrike w:val="false"/>
                  <w:color w:val="000000"/>
                  <w:sz w:val="24"/>
                  <w:u w:val="none"/>
                  <w:effect w:val="none"/>
                </w:rPr>
                <w:t>No Third Party Beneficiaries.</w:t>
              </w:r>
            </w:hyperlink>
          </w:p>
        </w:tc>
        <w:tc>
          <w:tcPr>
            <w:tcW w:w="392"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w:anchor="i6d608e9565d54a498549808fb965121b_7">
              <w:r>
                <w:rPr>
                  <w:rStyle w:val="InternetLink"/>
                  <w:rFonts w:ascii="Times New Roman;sans-serif" w:hAnsi="Times New Roman;sans-serif"/>
                  <w:b w:val="false"/>
                  <w:color w:val="000000"/>
                  <w:sz w:val="24"/>
                  <w:u w:val="single"/>
                </w:rPr>
                <w:t>33</w:t>
              </w:r>
            </w:hyperlink>
          </w:p>
        </w:tc>
      </w:tr>
      <w:tr>
        <w:trPr/>
        <w:tc>
          <w:tcPr>
            <w:tcW w:w="9813"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w:anchor="i6d608e9565d54a498549808fb965121b_7">
              <w:r>
                <w:rPr>
                  <w:rStyle w:val="InternetLink"/>
                  <w:rFonts w:ascii="Times New Roman;sans-serif" w:hAnsi="Times New Roman;sans-serif"/>
                  <w:b w:val="false"/>
                  <w:strike w:val="false"/>
                  <w:dstrike w:val="false"/>
                  <w:color w:val="000000"/>
                  <w:sz w:val="24"/>
                  <w:u w:val="none"/>
                  <w:effect w:val="none"/>
                </w:rPr>
                <w:t>SECTION 7.3.</w:t>
              </w:r>
            </w:hyperlink>
            <w:hyperlink w:anchor="i6d608e9565d54a498549808fb965121b_7">
              <w:r>
                <w:rPr>
                  <w:rStyle w:val="InternetLink"/>
                  <w:strike w:val="false"/>
                  <w:dstrike w:val="false"/>
                  <w:color w:val="000000"/>
                  <w:u w:val="none"/>
                  <w:effect w:val="none"/>
                </w:rPr>
                <w:t>    </w:t>
              </w:r>
            </w:hyperlink>
            <w:hyperlink w:anchor="i6d608e9565d54a498549808fb965121b_7">
              <w:r>
                <w:rPr>
                  <w:rStyle w:val="InternetLink"/>
                  <w:rFonts w:ascii="Times New Roman;sans-serif" w:hAnsi="Times New Roman;sans-serif"/>
                  <w:b w:val="false"/>
                  <w:strike w:val="false"/>
                  <w:dstrike w:val="false"/>
                  <w:color w:val="000000"/>
                  <w:sz w:val="24"/>
                  <w:u w:val="none"/>
                  <w:effect w:val="none"/>
                </w:rPr>
                <w:t>Severability.</w:t>
              </w:r>
            </w:hyperlink>
          </w:p>
        </w:tc>
        <w:tc>
          <w:tcPr>
            <w:tcW w:w="392"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w:anchor="i6d608e9565d54a498549808fb965121b_7">
              <w:r>
                <w:rPr>
                  <w:rStyle w:val="InternetLink"/>
                  <w:rFonts w:ascii="Times New Roman;sans-serif" w:hAnsi="Times New Roman;sans-serif"/>
                  <w:b w:val="false"/>
                  <w:color w:val="000000"/>
                  <w:sz w:val="24"/>
                  <w:u w:val="single"/>
                </w:rPr>
                <w:t>33</w:t>
              </w:r>
            </w:hyperlink>
          </w:p>
        </w:tc>
      </w:tr>
      <w:tr>
        <w:trPr/>
        <w:tc>
          <w:tcPr>
            <w:tcW w:w="9813"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w:anchor="i6d608e9565d54a498549808fb965121b_7">
              <w:r>
                <w:rPr>
                  <w:rStyle w:val="InternetLink"/>
                  <w:rFonts w:ascii="Times New Roman;sans-serif" w:hAnsi="Times New Roman;sans-serif"/>
                  <w:b w:val="false"/>
                  <w:strike w:val="false"/>
                  <w:dstrike w:val="false"/>
                  <w:color w:val="000000"/>
                  <w:sz w:val="24"/>
                  <w:u w:val="none"/>
                  <w:effect w:val="none"/>
                </w:rPr>
                <w:t>SECTION 7.4.</w:t>
              </w:r>
            </w:hyperlink>
            <w:hyperlink w:anchor="i6d608e9565d54a498549808fb965121b_7">
              <w:r>
                <w:rPr>
                  <w:rStyle w:val="InternetLink"/>
                  <w:strike w:val="false"/>
                  <w:dstrike w:val="false"/>
                  <w:color w:val="000000"/>
                  <w:u w:val="none"/>
                  <w:effect w:val="none"/>
                </w:rPr>
                <w:t>    </w:t>
              </w:r>
            </w:hyperlink>
            <w:hyperlink w:anchor="i6d608e9565d54a498549808fb965121b_7">
              <w:r>
                <w:rPr>
                  <w:rStyle w:val="InternetLink"/>
                  <w:rFonts w:ascii="Times New Roman;sans-serif" w:hAnsi="Times New Roman;sans-serif"/>
                  <w:b w:val="false"/>
                  <w:strike w:val="false"/>
                  <w:dstrike w:val="false"/>
                  <w:color w:val="000000"/>
                  <w:sz w:val="24"/>
                  <w:u w:val="none"/>
                  <w:effect w:val="none"/>
                </w:rPr>
                <w:t>Owners and Holders as Parties; Binding Effect.</w:t>
              </w:r>
            </w:hyperlink>
          </w:p>
        </w:tc>
        <w:tc>
          <w:tcPr>
            <w:tcW w:w="392"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w:anchor="i6d608e9565d54a498549808fb965121b_7">
              <w:r>
                <w:rPr>
                  <w:rStyle w:val="InternetLink"/>
                  <w:rFonts w:ascii="Times New Roman;sans-serif" w:hAnsi="Times New Roman;sans-serif"/>
                  <w:b w:val="false"/>
                  <w:color w:val="000000"/>
                  <w:sz w:val="24"/>
                  <w:u w:val="single"/>
                </w:rPr>
                <w:t>33</w:t>
              </w:r>
            </w:hyperlink>
          </w:p>
        </w:tc>
      </w:tr>
      <w:tr>
        <w:trPr/>
        <w:tc>
          <w:tcPr>
            <w:tcW w:w="9813"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w:anchor="i6d608e9565d54a498549808fb965121b_7">
              <w:r>
                <w:rPr>
                  <w:rStyle w:val="InternetLink"/>
                  <w:rFonts w:ascii="Times New Roman;sans-serif" w:hAnsi="Times New Roman;sans-serif"/>
                  <w:b w:val="false"/>
                  <w:strike w:val="false"/>
                  <w:dstrike w:val="false"/>
                  <w:color w:val="000000"/>
                  <w:sz w:val="24"/>
                  <w:u w:val="none"/>
                  <w:effect w:val="none"/>
                </w:rPr>
                <w:t>SECTION 7.5.</w:t>
              </w:r>
            </w:hyperlink>
            <w:hyperlink w:anchor="i6d608e9565d54a498549808fb965121b_7">
              <w:r>
                <w:rPr>
                  <w:rStyle w:val="InternetLink"/>
                  <w:strike w:val="false"/>
                  <w:dstrike w:val="false"/>
                  <w:color w:val="000000"/>
                  <w:u w:val="none"/>
                  <w:effect w:val="none"/>
                </w:rPr>
                <w:t>    </w:t>
              </w:r>
            </w:hyperlink>
            <w:hyperlink w:anchor="i6d608e9565d54a498549808fb965121b_7">
              <w:r>
                <w:rPr>
                  <w:rStyle w:val="InternetLink"/>
                  <w:rFonts w:ascii="Times New Roman;sans-serif" w:hAnsi="Times New Roman;sans-serif"/>
                  <w:b w:val="false"/>
                  <w:strike w:val="false"/>
                  <w:dstrike w:val="false"/>
                  <w:color w:val="000000"/>
                  <w:sz w:val="24"/>
                  <w:u w:val="none"/>
                  <w:effect w:val="none"/>
                </w:rPr>
                <w:t>Notices.</w:t>
              </w:r>
            </w:hyperlink>
          </w:p>
        </w:tc>
        <w:tc>
          <w:tcPr>
            <w:tcW w:w="392"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w:anchor="i6d608e9565d54a498549808fb965121b_7">
              <w:r>
                <w:rPr>
                  <w:rStyle w:val="InternetLink"/>
                  <w:rFonts w:ascii="Times New Roman;sans-serif" w:hAnsi="Times New Roman;sans-serif"/>
                  <w:b w:val="false"/>
                  <w:color w:val="000000"/>
                  <w:sz w:val="24"/>
                  <w:u w:val="single"/>
                </w:rPr>
                <w:t>33</w:t>
              </w:r>
            </w:hyperlink>
          </w:p>
        </w:tc>
      </w:tr>
      <w:tr>
        <w:trPr/>
        <w:tc>
          <w:tcPr>
            <w:tcW w:w="9813"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w:anchor="i6d608e9565d54a498549808fb965121b_7">
              <w:r>
                <w:rPr>
                  <w:rStyle w:val="InternetLink"/>
                  <w:rFonts w:ascii="Times New Roman;sans-serif" w:hAnsi="Times New Roman;sans-serif"/>
                  <w:b w:val="false"/>
                  <w:strike w:val="false"/>
                  <w:dstrike w:val="false"/>
                  <w:color w:val="000000"/>
                  <w:sz w:val="24"/>
                  <w:u w:val="none"/>
                  <w:effect w:val="none"/>
                </w:rPr>
                <w:t>SECTION 7.6.</w:t>
              </w:r>
            </w:hyperlink>
            <w:hyperlink w:anchor="i6d608e9565d54a498549808fb965121b_7">
              <w:r>
                <w:rPr>
                  <w:rStyle w:val="InternetLink"/>
                  <w:strike w:val="false"/>
                  <w:dstrike w:val="false"/>
                  <w:color w:val="000000"/>
                  <w:u w:val="none"/>
                  <w:effect w:val="none"/>
                </w:rPr>
                <w:t>    </w:t>
              </w:r>
            </w:hyperlink>
            <w:hyperlink w:anchor="i6d608e9565d54a498549808fb965121b_7">
              <w:r>
                <w:rPr>
                  <w:rStyle w:val="InternetLink"/>
                  <w:rFonts w:ascii="Times New Roman;sans-serif" w:hAnsi="Times New Roman;sans-serif"/>
                  <w:b w:val="false"/>
                  <w:strike w:val="false"/>
                  <w:dstrike w:val="false"/>
                  <w:color w:val="000000"/>
                  <w:sz w:val="24"/>
                  <w:u w:val="none"/>
                  <w:effect w:val="none"/>
                </w:rPr>
                <w:t>Appointment of Agent for Service of Process; Submission to Jurisdiction; Jury Trial Waiver.</w:t>
              </w:r>
            </w:hyperlink>
          </w:p>
        </w:tc>
        <w:tc>
          <w:tcPr>
            <w:tcW w:w="392"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w:anchor="i6d608e9565d54a498549808fb965121b_7">
              <w:r>
                <w:rPr>
                  <w:rStyle w:val="InternetLink"/>
                  <w:rFonts w:ascii="Times New Roman;sans-serif" w:hAnsi="Times New Roman;sans-serif"/>
                  <w:b w:val="false"/>
                  <w:color w:val="000000"/>
                  <w:sz w:val="24"/>
                  <w:u w:val="single"/>
                </w:rPr>
                <w:t>35</w:t>
              </w:r>
            </w:hyperlink>
          </w:p>
        </w:tc>
      </w:tr>
      <w:tr>
        <w:trPr/>
        <w:tc>
          <w:tcPr>
            <w:tcW w:w="9813"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w:anchor="i6d608e9565d54a498549808fb965121b_7">
              <w:r>
                <w:rPr>
                  <w:rStyle w:val="InternetLink"/>
                  <w:rFonts w:ascii="Times New Roman;sans-serif" w:hAnsi="Times New Roman;sans-serif"/>
                  <w:b w:val="false"/>
                  <w:strike w:val="false"/>
                  <w:dstrike w:val="false"/>
                  <w:color w:val="000000"/>
                  <w:sz w:val="24"/>
                  <w:u w:val="none"/>
                  <w:effect w:val="none"/>
                </w:rPr>
                <w:t>SECTION 7.7.</w:t>
              </w:r>
            </w:hyperlink>
            <w:hyperlink w:anchor="i6d608e9565d54a498549808fb965121b_7">
              <w:r>
                <w:rPr>
                  <w:rStyle w:val="InternetLink"/>
                  <w:strike w:val="false"/>
                  <w:dstrike w:val="false"/>
                  <w:color w:val="000000"/>
                  <w:u w:val="none"/>
                  <w:effect w:val="none"/>
                </w:rPr>
                <w:t>    </w:t>
              </w:r>
            </w:hyperlink>
            <w:hyperlink w:anchor="i6d608e9565d54a498549808fb965121b_7">
              <w:r>
                <w:rPr>
                  <w:rStyle w:val="InternetLink"/>
                  <w:rFonts w:ascii="Times New Roman;sans-serif" w:hAnsi="Times New Roman;sans-serif"/>
                  <w:b w:val="false"/>
                  <w:strike w:val="false"/>
                  <w:dstrike w:val="false"/>
                  <w:color w:val="000000"/>
                  <w:sz w:val="24"/>
                  <w:u w:val="none"/>
                  <w:effect w:val="none"/>
                </w:rPr>
                <w:t>Waiver of Immunities.</w:t>
              </w:r>
            </w:hyperlink>
          </w:p>
        </w:tc>
        <w:tc>
          <w:tcPr>
            <w:tcW w:w="392"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w:anchor="i6d608e9565d54a498549808fb965121b_7">
              <w:r>
                <w:rPr>
                  <w:rStyle w:val="InternetLink"/>
                  <w:rFonts w:ascii="Times New Roman;sans-serif" w:hAnsi="Times New Roman;sans-serif"/>
                  <w:b w:val="false"/>
                  <w:color w:val="000000"/>
                  <w:sz w:val="24"/>
                  <w:u w:val="single"/>
                </w:rPr>
                <w:t>36</w:t>
              </w:r>
            </w:hyperlink>
          </w:p>
        </w:tc>
      </w:tr>
      <w:tr>
        <w:trPr/>
        <w:tc>
          <w:tcPr>
            <w:tcW w:w="9813"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w:anchor="i6d608e9565d54a498549808fb965121b_7">
              <w:r>
                <w:rPr>
                  <w:rStyle w:val="InternetLink"/>
                  <w:rFonts w:ascii="Times New Roman;sans-serif" w:hAnsi="Times New Roman;sans-serif"/>
                  <w:b w:val="false"/>
                  <w:strike w:val="false"/>
                  <w:dstrike w:val="false"/>
                  <w:color w:val="000000"/>
                  <w:sz w:val="24"/>
                  <w:u w:val="none"/>
                  <w:effect w:val="none"/>
                </w:rPr>
                <w:t>SECTION 7.8.</w:t>
              </w:r>
            </w:hyperlink>
            <w:hyperlink w:anchor="i6d608e9565d54a498549808fb965121b_7">
              <w:r>
                <w:rPr>
                  <w:rStyle w:val="InternetLink"/>
                  <w:strike w:val="false"/>
                  <w:dstrike w:val="false"/>
                  <w:color w:val="000000"/>
                  <w:u w:val="none"/>
                  <w:effect w:val="none"/>
                </w:rPr>
                <w:t>    </w:t>
              </w:r>
            </w:hyperlink>
            <w:hyperlink w:anchor="i6d608e9565d54a498549808fb965121b_7">
              <w:r>
                <w:rPr>
                  <w:rStyle w:val="InternetLink"/>
                  <w:rFonts w:ascii="Times New Roman;sans-serif" w:hAnsi="Times New Roman;sans-serif"/>
                  <w:b w:val="false"/>
                  <w:strike w:val="false"/>
                  <w:dstrike w:val="false"/>
                  <w:color w:val="000000"/>
                  <w:sz w:val="24"/>
                  <w:u w:val="none"/>
                  <w:effect w:val="none"/>
                </w:rPr>
                <w:t>Governing Law.</w:t>
              </w:r>
            </w:hyperlink>
          </w:p>
        </w:tc>
        <w:tc>
          <w:tcPr>
            <w:tcW w:w="392"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w:anchor="i6d608e9565d54a498549808fb965121b_7">
              <w:r>
                <w:rPr>
                  <w:rStyle w:val="InternetLink"/>
                  <w:rFonts w:ascii="Times New Roman;sans-serif" w:hAnsi="Times New Roman;sans-serif"/>
                  <w:b w:val="false"/>
                  <w:color w:val="000000"/>
                  <w:sz w:val="24"/>
                  <w:u w:val="single"/>
                </w:rPr>
                <w:t>36</w:t>
              </w:r>
            </w:hyperlink>
          </w:p>
        </w:tc>
      </w:tr>
    </w:tbl>
    <w:p>
      <w:pPr>
        <w:pStyle w:val="TextBody"/>
        <w:spacing w:before="0" w:after="0"/>
        <w:ind w:left="0" w:right="0" w:hanging="720"/>
        <w:jc w:val="both"/>
        <w:rPr/>
      </w:pPr>
      <w:r>
        <w:rPr/>
      </w:r>
    </w:p>
    <w:p>
      <w:pPr>
        <w:pStyle w:val="TextBody"/>
        <w:spacing w:before="0" w:after="48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6480175" cy="869950"/>
                <wp:effectExtent l="0" t="0" r="0" b="0"/>
                <wp:wrapNone/>
                <wp:docPr id="241" name="Frame239"/>
                <a:graphic xmlns:a="http://schemas.openxmlformats.org/drawingml/2006/main">
                  <a:graphicData uri="http://schemas.microsoft.com/office/word/2010/wordprocessingShape">
                    <wps:wsp>
                      <wps:cNvSpPr txBox="1"/>
                      <wps:spPr>
                        <a:xfrm>
                          <a:off x="0" y="0"/>
                          <a:ext cx="6480175" cy="869950"/>
                        </a:xfrm>
                        <a:prstGeom prst="rect"/>
                      </wps:spPr>
                      <wps:txbx>
                        <w:txbxContent>
                          <w:p>
                            <w:pPr>
                              <w:pStyle w:val="TextBody"/>
                              <w:spacing w:lineRule="auto" w:line="288"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-3-</w:t>
                            </w:r>
                          </w:p>
                          <w:p>
                            <w:pPr>
                              <w:pStyle w:val="TextBody"/>
                              <w:spacing w:before="24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-3-</w:t>
                      </w:r>
                    </w:p>
                    <w:p>
                      <w:pPr>
                        <w:pStyle w:val="TextBody"/>
                        <w:spacing w:before="240" w:after="283"/>
                        <w:jc w:val="center"/>
                        <w:rPr/>
                      </w:pPr>
                      <w:r>
                        <w:rPr/>
                      </w:r>
                    </w:p>
                  </w:txbxContent>
                </v:textbox>
              </v:rect>
            </w:pict>
          </mc:Fallback>
        </mc:AlternateContent>
      </w:r>
    </w:p>
    <w:p>
      <w:pPr>
        <w:pStyle w:val="TextBody"/>
        <w:spacing w:lineRule="auto" w:line="288"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DEPOSIT AGREEMENT</w:t>
      </w:r>
    </w:p>
    <w:p>
      <w:pPr>
        <w:pStyle w:val="TextBody"/>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DEPOSIT AGREEMENT dated as of June 25, 2020 among AGORA, INC., a company incorporated under the laws of the Cayman Islands (herein called the Company), THE BANK OF NEW YORK MELLON, a New York banking corporation (herein called the Depositary), and all Owners and Holders (each as hereinafter defined) from time to time of American Depositary Shares issued hereunder.</w:t>
      </w:r>
    </w:p>
    <w:p>
      <w:pPr>
        <w:pStyle w:val="TextBody"/>
        <w:spacing w:lineRule="auto" w:line="288"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W I T N E S S E T H:</w:t>
      </w:r>
    </w:p>
    <w:p>
      <w:pPr>
        <w:pStyle w:val="TextBody"/>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WHEREAS, the Company desires to provide, as set forth in this Deposit Agreement, for the deposit of Shares (as hereinafter defined) of the Company from time to time with the Depositary or with the Custodian (as hereinafter defined) under this Deposit Agreement, for the creation of American Depositary Shares representing the Shares so deposited and for the execution and delivery of American Depositary Receipts evidencing the American Depositary Shares; and </w:t>
      </w:r>
    </w:p>
    <w:p>
      <w:pPr>
        <w:pStyle w:val="TextBody"/>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WHEREAS, the American Depositary Receipts are to be substantially in the form of Exhibit A annexed to this Deposit Agreement, with appropriate insertions, modifications and omissions, as set forth in this Deposit Agreement;</w:t>
      </w:r>
    </w:p>
    <w:p>
      <w:pPr>
        <w:pStyle w:val="TextBody"/>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NOW, THEREFORE, in consideration of the premises, it is agreed by and between the parties hereto as follows:</w:t>
      </w:r>
    </w:p>
    <w:p>
      <w:pPr>
        <w:pStyle w:val="TextBody"/>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ARTICLE 1.DEFINITIONS</w:t>
      </w:r>
    </w:p>
    <w:p>
      <w:pPr>
        <w:pStyle w:val="TextBody"/>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The following definitions shall for all purposes, unless otherwise clearly indicated, apply to the respective terms used in this Deposit Agreement:</w:t>
      </w:r>
    </w:p>
    <w:p>
      <w:pPr>
        <w:pStyle w:val="TextBody"/>
        <w:spacing w:lineRule="auto" w:line="288" w:before="0" w:after="240"/>
        <w:ind w:left="0" w:right="0" w:firstLine="1080"/>
        <w:jc w:val="both"/>
        <w:rPr/>
      </w:pPr>
      <w:r>
        <w:rPr>
          <w:rFonts w:ascii="Times New Roman;sans-serif" w:hAnsi="Times New Roman;sans-serif"/>
          <w:b w:val="false"/>
          <w:color w:val="000000"/>
          <w:sz w:val="24"/>
        </w:rPr>
        <w:t>SECTION 1.1        </w:t>
      </w:r>
      <w:r>
        <w:rPr>
          <w:rFonts w:ascii="Times New Roman;sans-serif" w:hAnsi="Times New Roman;sans-serif"/>
          <w:b w:val="false"/>
          <w:color w:val="000000"/>
          <w:sz w:val="24"/>
          <w:u w:val="single"/>
        </w:rPr>
        <w:t>American Depositary Shares.</w:t>
      </w:r>
    </w:p>
    <w:p>
      <w:pPr>
        <w:pStyle w:val="TextBody"/>
        <w:spacing w:lineRule="auto" w:line="288" w:before="0" w:after="240"/>
        <w:ind w:left="0" w:right="0" w:firstLine="1440"/>
        <w:jc w:val="both"/>
        <w:rPr/>
      </w:pPr>
      <w:r>
        <w:rPr>
          <w:rFonts w:ascii="Times New Roman;sans-serif" w:hAnsi="Times New Roman;sans-serif"/>
          <w:b w:val="false"/>
          <w:color w:val="000000"/>
          <w:sz w:val="24"/>
        </w:rPr>
        <w:t>The term “</w:t>
      </w:r>
      <w:r>
        <w:rPr>
          <w:rFonts w:ascii="Times New Roman;sans-serif" w:hAnsi="Times New Roman;sans-serif"/>
          <w:b w:val="false"/>
          <w:color w:val="000000"/>
          <w:sz w:val="24"/>
          <w:u w:val="single"/>
        </w:rPr>
        <w:t>American Depositary Shares</w:t>
      </w:r>
      <w:r>
        <w:rPr>
          <w:color w:val="000000"/>
        </w:rPr>
        <w:t xml:space="preserve">” </w:t>
      </w:r>
      <w:r>
        <w:rPr>
          <w:rFonts w:ascii="Times New Roman;sans-serif" w:hAnsi="Times New Roman;sans-serif"/>
          <w:b w:val="false"/>
          <w:color w:val="000000"/>
          <w:sz w:val="24"/>
        </w:rPr>
        <w:t xml:space="preserve">shall mean the securities created under this Deposit Agreement representing rights with respect to the Deposited Securities. American Depositary Shares may be certificated securities evidenced by Receipts or uncertificated securities. The form of Receipt annexed as Exhibit A to this Deposit Agreement shall be the prospectus required under the Securities Act of 1933 for sales of both certificated and uncertificated American Depositary Shares. Except for those provisions of this Deposit Agreement that refer specifically to Receipts, all the provisions of this Deposit Agreement shall apply to both certificated and uncertificated American Depositary Shares. </w:t>
      </w:r>
    </w:p>
    <w:p>
      <w:pPr>
        <w:pStyle w:val="TextBody"/>
        <w:spacing w:lineRule="auto" w:line="288" w:before="0" w:after="240"/>
        <w:ind w:left="0" w:right="0" w:firstLine="1440"/>
        <w:jc w:val="both"/>
        <w:rPr/>
      </w:pPr>
      <w:r>
        <w:rPr>
          <w:rFonts w:ascii="Times New Roman;sans-serif" w:hAnsi="Times New Roman;sans-serif"/>
          <w:b w:val="false"/>
          <w:color w:val="000000"/>
          <w:sz w:val="24"/>
        </w:rPr>
        <w:t xml:space="preserve">Each American Depositary Share shall represent the number of Shares specified in Exhibit A to this Deposit Agreement, </w:t>
      </w:r>
      <w:r>
        <w:rPr>
          <w:rFonts w:ascii="Times New Roman;sans-serif" w:hAnsi="Times New Roman;sans-serif"/>
          <w:b w:val="false"/>
          <w:color w:val="000000"/>
          <w:sz w:val="24"/>
          <w:u w:val="single"/>
        </w:rPr>
        <w:t>except that</w:t>
      </w:r>
      <w:r>
        <w:rPr>
          <w:rFonts w:ascii="Times New Roman;sans-serif" w:hAnsi="Times New Roman;sans-serif"/>
          <w:b w:val="false"/>
          <w:color w:val="000000"/>
          <w:sz w:val="24"/>
        </w:rPr>
        <w:t xml:space="preserve">, if there is a distribution upon Deposited Securities covered by Section 4.3, a change in Deposited Securities </w:t>
      </w:r>
      <w:r>
        <w:br w:type="page"/>
      </w:r>
    </w:p>
    <w:p>
      <w:pPr>
        <w:pStyle w:val="TextBody"/>
        <w:spacing w:before="120" w:after="240"/>
        <w:jc w:val="center"/>
        <w:rPr/>
      </w:pPr>
      <w:r>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6480175" cy="327660"/>
                <wp:effectExtent l="0" t="0" r="0" b="0"/>
                <wp:wrapNone/>
                <wp:docPr id="242" name="Frame240"/>
                <a:graphic xmlns:a="http://schemas.openxmlformats.org/drawingml/2006/main">
                  <a:graphicData uri="http://schemas.microsoft.com/office/word/2010/wordprocessingShape">
                    <wps:wsp>
                      <wps:cNvSpPr txBox="1"/>
                      <wps:spPr>
                        <a:xfrm>
                          <a:off x="0" y="0"/>
                          <a:ext cx="6480175" cy="327660"/>
                        </a:xfrm>
                        <a:prstGeom prst="rect"/>
                      </wps:spPr>
                      <wps:txbx>
                        <w:txbxContent>
                          <w:p>
                            <w:pPr>
                              <w:pStyle w:val="TextBody"/>
                              <w:spacing w:lineRule="auto" w:line="288" w:before="24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- 1 -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spacing w:lineRule="auto" w:line="288" w:before="24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- 1 -</w:t>
                      </w:r>
                    </w:p>
                  </w:txbxContent>
                </v:textbox>
              </v:rect>
            </w:pict>
          </mc:Fallback>
        </mc:AlternateContent>
      </w:r>
    </w:p>
    <w:p>
      <w:pPr>
        <w:pStyle w:val="TextBody"/>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covered by Section 4.8 with respect to which additional American Depositary Shares are not delivered or a sale of Deposited Securities under Section 3.2 or 4.8, each American Depositary Share shall thereafter represent the amount of Shares or other Deposited Securities that are then on deposit per American Depositary Share after giving effect to that distribution, change or sale.</w:t>
      </w:r>
    </w:p>
    <w:p>
      <w:pPr>
        <w:pStyle w:val="TextBody"/>
        <w:spacing w:lineRule="auto" w:line="288" w:before="0" w:after="240"/>
        <w:ind w:left="0" w:right="0" w:firstLine="1080"/>
        <w:jc w:val="both"/>
        <w:rPr/>
      </w:pPr>
      <w:r>
        <w:rPr>
          <w:rFonts w:ascii="Times New Roman;sans-serif" w:hAnsi="Times New Roman;sans-serif"/>
          <w:b w:val="false"/>
          <w:color w:val="000000"/>
          <w:sz w:val="24"/>
        </w:rPr>
        <w:t>SECTION 1.2        </w:t>
      </w:r>
      <w:r>
        <w:rPr>
          <w:rFonts w:ascii="Times New Roman;sans-serif" w:hAnsi="Times New Roman;sans-serif"/>
          <w:b w:val="false"/>
          <w:color w:val="000000"/>
          <w:sz w:val="24"/>
          <w:u w:val="single"/>
        </w:rPr>
        <w:t>Commission.</w:t>
      </w:r>
    </w:p>
    <w:p>
      <w:pPr>
        <w:pStyle w:val="TextBody"/>
        <w:spacing w:lineRule="auto" w:line="288" w:before="0" w:after="240"/>
        <w:ind w:left="0" w:right="0" w:firstLine="1440"/>
        <w:jc w:val="both"/>
        <w:rPr/>
      </w:pPr>
      <w:r>
        <w:rPr>
          <w:rFonts w:ascii="Times New Roman;sans-serif" w:hAnsi="Times New Roman;sans-serif"/>
          <w:b w:val="false"/>
          <w:color w:val="000000"/>
          <w:sz w:val="24"/>
        </w:rPr>
        <w:t>The term “</w:t>
      </w:r>
      <w:r>
        <w:rPr>
          <w:rFonts w:ascii="Times New Roman;sans-serif" w:hAnsi="Times New Roman;sans-serif"/>
          <w:b w:val="false"/>
          <w:color w:val="000000"/>
          <w:sz w:val="24"/>
          <w:u w:val="single"/>
        </w:rPr>
        <w:t>Commission</w:t>
      </w:r>
      <w:r>
        <w:rPr>
          <w:color w:val="000000"/>
        </w:rPr>
        <w:t xml:space="preserve">” </w:t>
      </w:r>
      <w:r>
        <w:rPr>
          <w:rFonts w:ascii="Times New Roman;sans-serif" w:hAnsi="Times New Roman;sans-serif"/>
          <w:b w:val="false"/>
          <w:color w:val="000000"/>
          <w:sz w:val="24"/>
        </w:rPr>
        <w:t>shall mean the Securities and Exchange Commission of the United States or any successor governmental agency in the United States.</w:t>
      </w:r>
    </w:p>
    <w:p>
      <w:pPr>
        <w:pStyle w:val="TextBody"/>
        <w:spacing w:lineRule="auto" w:line="288" w:before="0" w:after="240"/>
        <w:ind w:left="0" w:right="0" w:firstLine="1080"/>
        <w:jc w:val="both"/>
        <w:rPr/>
      </w:pPr>
      <w:r>
        <w:rPr>
          <w:rFonts w:ascii="Times New Roman;sans-serif" w:hAnsi="Times New Roman;sans-serif"/>
          <w:b w:val="false"/>
          <w:color w:val="000000"/>
          <w:sz w:val="24"/>
        </w:rPr>
        <w:t>SECTION 1.3        </w:t>
      </w:r>
      <w:r>
        <w:rPr>
          <w:rFonts w:ascii="Times New Roman;sans-serif" w:hAnsi="Times New Roman;sans-serif"/>
          <w:b w:val="false"/>
          <w:color w:val="000000"/>
          <w:sz w:val="24"/>
          <w:u w:val="single"/>
        </w:rPr>
        <w:t>Company.</w:t>
      </w:r>
    </w:p>
    <w:p>
      <w:pPr>
        <w:pStyle w:val="TextBody"/>
        <w:spacing w:lineRule="auto" w:line="288" w:before="0" w:after="240"/>
        <w:ind w:left="0" w:right="0" w:firstLine="1440"/>
        <w:jc w:val="both"/>
        <w:rPr/>
      </w:pPr>
      <w:r>
        <w:rPr>
          <w:rFonts w:ascii="Times New Roman;sans-serif" w:hAnsi="Times New Roman;sans-serif"/>
          <w:b w:val="false"/>
          <w:color w:val="000000"/>
          <w:sz w:val="24"/>
        </w:rPr>
        <w:t>The term “</w:t>
      </w:r>
      <w:r>
        <w:rPr>
          <w:rFonts w:ascii="Times New Roman;sans-serif" w:hAnsi="Times New Roman;sans-serif"/>
          <w:b w:val="false"/>
          <w:color w:val="000000"/>
          <w:sz w:val="24"/>
          <w:u w:val="single"/>
        </w:rPr>
        <w:t>Company</w:t>
      </w:r>
      <w:r>
        <w:rPr>
          <w:color w:val="000000"/>
        </w:rPr>
        <w:t xml:space="preserve">” </w:t>
      </w:r>
      <w:r>
        <w:rPr>
          <w:rFonts w:ascii="Times New Roman;sans-serif" w:hAnsi="Times New Roman;sans-serif"/>
          <w:b w:val="false"/>
          <w:color w:val="000000"/>
          <w:sz w:val="24"/>
        </w:rPr>
        <w:t>shall mean Agora, Inc., a company incorporated under the laws of the Cayman Islands, and its successors.</w:t>
      </w:r>
    </w:p>
    <w:p>
      <w:pPr>
        <w:pStyle w:val="TextBody"/>
        <w:spacing w:lineRule="auto" w:line="288" w:before="0" w:after="240"/>
        <w:ind w:left="0" w:right="0" w:firstLine="1080"/>
        <w:jc w:val="both"/>
        <w:rPr/>
      </w:pPr>
      <w:r>
        <w:rPr>
          <w:rFonts w:ascii="Times New Roman;sans-serif" w:hAnsi="Times New Roman;sans-serif"/>
          <w:b w:val="false"/>
          <w:color w:val="000000"/>
          <w:sz w:val="24"/>
        </w:rPr>
        <w:t>SECTION 1.4        </w:t>
      </w:r>
      <w:r>
        <w:rPr>
          <w:rFonts w:ascii="Times New Roman;sans-serif" w:hAnsi="Times New Roman;sans-serif"/>
          <w:b w:val="false"/>
          <w:color w:val="000000"/>
          <w:sz w:val="24"/>
          <w:u w:val="single"/>
        </w:rPr>
        <w:t>Custodian.</w:t>
      </w:r>
    </w:p>
    <w:p>
      <w:pPr>
        <w:pStyle w:val="TextBody"/>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The term “Custodian” shall mean The Hongkong and Shanghai Banking Corporation Limited, as custodian for the Depositary in Hong Kong for the purposes of this Deposit Agreement, and any other firm or corporation the Depositary appoints under Section 5.5 as a substitute or additional custodian under this Deposit Agreement, and shall also mean all of them collectively.</w:t>
      </w:r>
    </w:p>
    <w:p>
      <w:pPr>
        <w:pStyle w:val="TextBody"/>
        <w:spacing w:lineRule="auto" w:line="288" w:before="0" w:after="240"/>
        <w:ind w:left="0" w:right="0" w:firstLine="1080"/>
        <w:jc w:val="both"/>
        <w:rPr/>
      </w:pPr>
      <w:r>
        <w:rPr>
          <w:rFonts w:ascii="Times New Roman;sans-serif" w:hAnsi="Times New Roman;sans-serif"/>
          <w:b w:val="false"/>
          <w:color w:val="000000"/>
          <w:sz w:val="24"/>
        </w:rPr>
        <w:t>SECTION 1.5        </w:t>
      </w:r>
      <w:r>
        <w:rPr>
          <w:rFonts w:ascii="Times New Roman;sans-serif" w:hAnsi="Times New Roman;sans-serif"/>
          <w:b w:val="false"/>
          <w:color w:val="000000"/>
          <w:sz w:val="24"/>
          <w:u w:val="single"/>
        </w:rPr>
        <w:t>Deliver; Surrender.</w:t>
      </w:r>
    </w:p>
    <w:p>
      <w:pPr>
        <w:pStyle w:val="TextBody"/>
        <w:spacing w:lineRule="auto" w:line="288" w:before="0" w:after="240"/>
        <w:ind w:left="0" w:right="0" w:firstLine="1440"/>
        <w:jc w:val="both"/>
        <w:rPr/>
      </w:pPr>
      <w:r>
        <w:rPr>
          <w:rFonts w:ascii="Times New Roman;sans-serif" w:hAnsi="Times New Roman;sans-serif"/>
          <w:b w:val="false"/>
          <w:color w:val="000000"/>
          <w:sz w:val="24"/>
        </w:rPr>
        <w:t>(a)    The term “</w:t>
      </w:r>
      <w:r>
        <w:rPr>
          <w:rFonts w:ascii="Times New Roman;sans-serif" w:hAnsi="Times New Roman;sans-serif"/>
          <w:b w:val="false"/>
          <w:color w:val="000000"/>
          <w:sz w:val="24"/>
          <w:u w:val="single"/>
        </w:rPr>
        <w:t>deliver</w:t>
      </w:r>
      <w:r>
        <w:rPr>
          <w:color w:val="000000"/>
        </w:rPr>
        <w:t>”</w:t>
      </w:r>
      <w:r>
        <w:rPr>
          <w:rFonts w:ascii="Times New Roman;sans-serif" w:hAnsi="Times New Roman;sans-serif"/>
          <w:b w:val="false"/>
          <w:color w:val="000000"/>
          <w:sz w:val="24"/>
        </w:rPr>
        <w:t>, or its noun form, when used with respect to Shares or other Deposited Securities, shall mean (i) book-entry transfer of those Shares or other Deposited Securities to an account maintained by an institution authorized under applicable law to effect transfers of such securities designated by the person entitled to that delivery or (ii) physical transfer of certificates evidencing those Shares or other Deposited Securities registered in the name of, or duly endorsed or accompanied by proper instruments of transfer to, the person entitled to that delivery.</w:t>
      </w:r>
    </w:p>
    <w:p>
      <w:pPr>
        <w:pStyle w:val="TextBody"/>
        <w:spacing w:lineRule="auto" w:line="288" w:before="0" w:after="240"/>
        <w:ind w:left="0" w:right="0" w:firstLine="1440"/>
        <w:jc w:val="both"/>
        <w:rPr/>
      </w:pPr>
      <w:r>
        <w:rPr>
          <w:rFonts w:ascii="Times New Roman;sans-serif" w:hAnsi="Times New Roman;sans-serif"/>
          <w:b w:val="false"/>
          <w:color w:val="000000"/>
          <w:sz w:val="24"/>
        </w:rPr>
        <w:t>(b)    The term “</w:t>
      </w:r>
      <w:r>
        <w:rPr>
          <w:rFonts w:ascii="Times New Roman;sans-serif" w:hAnsi="Times New Roman;sans-serif"/>
          <w:b w:val="false"/>
          <w:color w:val="000000"/>
          <w:sz w:val="24"/>
          <w:u w:val="single"/>
        </w:rPr>
        <w:t>deliver</w:t>
      </w:r>
      <w:r>
        <w:rPr>
          <w:color w:val="000000"/>
        </w:rPr>
        <w:t>”</w:t>
      </w:r>
      <w:r>
        <w:rPr>
          <w:rFonts w:ascii="Times New Roman;sans-serif" w:hAnsi="Times New Roman;sans-serif"/>
          <w:b w:val="false"/>
          <w:color w:val="000000"/>
          <w:sz w:val="24"/>
        </w:rPr>
        <w:t xml:space="preserve">, or its noun form, when used with respect to American Depositary Shares, shall mean (i) registration of those American Depositary Shares in the name of DTC or its nominee and book-entry transfer of those American Depositary Shares to an account at DTC designated by the person entitled to that delivery, (ii) registration of those American Depositary Shares not evidenced by a Receipt on the books of the Depositary in the name requested by the person entitled to that delivery and mailing to that person of a statement confirming that registration or (iii) if requested by the person entitled to that delivery, execution and delivery at the Depositary’s Office to the person entitled to that delivery of one or more Receipts </w:t>
      </w:r>
      <w:r>
        <w:br w:type="page"/>
      </w:r>
    </w:p>
    <w:p>
      <w:pPr>
        <w:pStyle w:val="TextBody"/>
        <w:spacing w:before="120" w:after="240"/>
        <w:jc w:val="center"/>
        <w:rPr/>
      </w:pPr>
      <w:r>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6480175" cy="869950"/>
                <wp:effectExtent l="0" t="0" r="0" b="0"/>
                <wp:wrapNone/>
                <wp:docPr id="243" name="Frame241"/>
                <a:graphic xmlns:a="http://schemas.openxmlformats.org/drawingml/2006/main">
                  <a:graphicData uri="http://schemas.microsoft.com/office/word/2010/wordprocessingShape">
                    <wps:wsp>
                      <wps:cNvSpPr txBox="1"/>
                      <wps:spPr>
                        <a:xfrm>
                          <a:off x="0" y="0"/>
                          <a:ext cx="6480175" cy="869950"/>
                        </a:xfrm>
                        <a:prstGeom prst="rect"/>
                      </wps:spPr>
                      <wps:txbx>
                        <w:txbxContent>
                          <w:p>
                            <w:pPr>
                              <w:pStyle w:val="TextBody"/>
                              <w:spacing w:lineRule="auto" w:line="288"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-2-</w:t>
                            </w:r>
                          </w:p>
                          <w:p>
                            <w:pPr>
                              <w:pStyle w:val="TextBody"/>
                              <w:spacing w:before="24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8.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spacing w:lineRule="auto" w:line="288"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-2-</w:t>
                      </w:r>
                    </w:p>
                    <w:p>
                      <w:pPr>
                        <w:pStyle w:val="TextBody"/>
                        <w:spacing w:before="240" w:after="283"/>
                        <w:jc w:val="center"/>
                        <w:rPr/>
                      </w:pPr>
                      <w:r>
                        <w:rPr/>
                      </w:r>
                    </w:p>
                  </w:txbxContent>
                </v:textbox>
              </v:rect>
            </w:pict>
          </mc:Fallback>
        </mc:AlternateContent>
      </w:r>
    </w:p>
    <w:p>
      <w:pPr>
        <w:pStyle w:val="TextBody"/>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evidencing those American Depositary Shares registered in the name requested by that person.</w:t>
      </w:r>
    </w:p>
    <w:p>
      <w:pPr>
        <w:pStyle w:val="TextBody"/>
        <w:spacing w:lineRule="auto" w:line="288" w:before="0" w:after="240"/>
        <w:ind w:left="0" w:right="0" w:firstLine="1440"/>
        <w:jc w:val="both"/>
        <w:rPr/>
      </w:pPr>
      <w:r>
        <w:rPr>
          <w:rFonts w:ascii="Times New Roman;sans-serif" w:hAnsi="Times New Roman;sans-serif"/>
          <w:b w:val="false"/>
          <w:color w:val="000000"/>
          <w:sz w:val="24"/>
        </w:rPr>
        <w:t>(c)    The term “</w:t>
      </w:r>
      <w:r>
        <w:rPr>
          <w:rFonts w:ascii="Times New Roman;sans-serif" w:hAnsi="Times New Roman;sans-serif"/>
          <w:b w:val="false"/>
          <w:color w:val="000000"/>
          <w:sz w:val="24"/>
          <w:u w:val="single"/>
        </w:rPr>
        <w:t>surrender</w:t>
      </w:r>
      <w:r>
        <w:rPr>
          <w:color w:val="000000"/>
        </w:rPr>
        <w:t>”</w:t>
      </w:r>
      <w:r>
        <w:rPr>
          <w:rFonts w:ascii="Times New Roman;sans-serif" w:hAnsi="Times New Roman;sans-serif"/>
          <w:b w:val="false"/>
          <w:color w:val="000000"/>
          <w:sz w:val="24"/>
        </w:rPr>
        <w:t xml:space="preserve">, when used with respect to American Depositary Shares, shall mean (i) one or more book-entry transfers of American Depositary Shares to the DTC account of the Depositary, (ii) delivery to the Depositary at its Office of an instruction to surrender American Depositary Shares not evidenced by a Receipt or (iii) surrender to the Depositary at its Office of one or more Receipts evidencing American Depositary Shares. </w:t>
      </w:r>
    </w:p>
    <w:p>
      <w:pPr>
        <w:pStyle w:val="TextBody"/>
        <w:spacing w:lineRule="auto" w:line="288" w:before="0" w:after="240"/>
        <w:ind w:left="0" w:right="0" w:firstLine="1080"/>
        <w:jc w:val="both"/>
        <w:rPr/>
      </w:pPr>
      <w:r>
        <w:rPr>
          <w:rFonts w:ascii="Times New Roman;sans-serif" w:hAnsi="Times New Roman;sans-serif"/>
          <w:b w:val="false"/>
          <w:color w:val="000000"/>
          <w:sz w:val="24"/>
        </w:rPr>
        <w:t>SECTION 1.6        </w:t>
      </w:r>
      <w:r>
        <w:rPr>
          <w:rFonts w:ascii="Times New Roman;sans-serif" w:hAnsi="Times New Roman;sans-serif"/>
          <w:b w:val="false"/>
          <w:color w:val="000000"/>
          <w:sz w:val="24"/>
          <w:u w:val="single"/>
        </w:rPr>
        <w:t>Deposit Agreement.</w:t>
      </w:r>
    </w:p>
    <w:p>
      <w:pPr>
        <w:pStyle w:val="TextBody"/>
        <w:spacing w:lineRule="auto" w:line="288" w:before="0" w:after="240"/>
        <w:ind w:left="0" w:right="0" w:firstLine="1440"/>
        <w:jc w:val="both"/>
        <w:rPr/>
      </w:pPr>
      <w:r>
        <w:rPr>
          <w:rFonts w:ascii="Times New Roman;sans-serif" w:hAnsi="Times New Roman;sans-serif"/>
          <w:b w:val="false"/>
          <w:color w:val="000000"/>
          <w:sz w:val="24"/>
        </w:rPr>
        <w:t>The term “</w:t>
      </w:r>
      <w:r>
        <w:rPr>
          <w:rFonts w:ascii="Times New Roman;sans-serif" w:hAnsi="Times New Roman;sans-serif"/>
          <w:b w:val="false"/>
          <w:color w:val="000000"/>
          <w:sz w:val="24"/>
          <w:u w:val="single"/>
        </w:rPr>
        <w:t>Deposit Agreement</w:t>
      </w:r>
      <w:r>
        <w:rPr>
          <w:color w:val="000000"/>
        </w:rPr>
        <w:t xml:space="preserve">” </w:t>
      </w:r>
      <w:r>
        <w:rPr>
          <w:rFonts w:ascii="Times New Roman;sans-serif" w:hAnsi="Times New Roman;sans-serif"/>
          <w:b w:val="false"/>
          <w:color w:val="000000"/>
          <w:sz w:val="24"/>
        </w:rPr>
        <w:t>shall mean this Deposit Agreement, as it may be amended from time to time in accordance with the provisions of this Deposit Agreement.</w:t>
      </w:r>
    </w:p>
    <w:p>
      <w:pPr>
        <w:pStyle w:val="TextBody"/>
        <w:spacing w:lineRule="auto" w:line="288" w:before="0" w:after="240"/>
        <w:ind w:left="0" w:right="0" w:firstLine="1080"/>
        <w:jc w:val="both"/>
        <w:rPr/>
      </w:pPr>
      <w:r>
        <w:rPr>
          <w:rFonts w:ascii="Times New Roman;sans-serif" w:hAnsi="Times New Roman;sans-serif"/>
          <w:b w:val="false"/>
          <w:color w:val="000000"/>
          <w:sz w:val="24"/>
        </w:rPr>
        <w:t>SECTION 1.7        </w:t>
      </w:r>
      <w:r>
        <w:rPr>
          <w:rFonts w:ascii="Times New Roman;sans-serif" w:hAnsi="Times New Roman;sans-serif"/>
          <w:b w:val="false"/>
          <w:color w:val="000000"/>
          <w:sz w:val="24"/>
          <w:u w:val="single"/>
        </w:rPr>
        <w:t>Depositary; Depositary’s Office.</w:t>
      </w:r>
    </w:p>
    <w:p>
      <w:pPr>
        <w:pStyle w:val="TextBody"/>
        <w:spacing w:lineRule="auto" w:line="288" w:before="0" w:after="240"/>
        <w:ind w:left="0" w:right="0" w:firstLine="1440"/>
        <w:jc w:val="both"/>
        <w:rPr/>
      </w:pPr>
      <w:r>
        <w:rPr>
          <w:rFonts w:ascii="Times New Roman;sans-serif" w:hAnsi="Times New Roman;sans-serif"/>
          <w:b w:val="false"/>
          <w:color w:val="000000"/>
          <w:sz w:val="24"/>
        </w:rPr>
        <w:t>The term “</w:t>
      </w:r>
      <w:r>
        <w:rPr>
          <w:rFonts w:ascii="Times New Roman;sans-serif" w:hAnsi="Times New Roman;sans-serif"/>
          <w:b w:val="false"/>
          <w:color w:val="000000"/>
          <w:sz w:val="24"/>
          <w:u w:val="single"/>
        </w:rPr>
        <w:t>Depositary</w:t>
      </w:r>
      <w:r>
        <w:rPr>
          <w:color w:val="000000"/>
        </w:rPr>
        <w:t xml:space="preserve">” </w:t>
      </w:r>
      <w:r>
        <w:rPr>
          <w:rFonts w:ascii="Times New Roman;sans-serif" w:hAnsi="Times New Roman;sans-serif"/>
          <w:b w:val="false"/>
          <w:color w:val="000000"/>
          <w:sz w:val="24"/>
        </w:rPr>
        <w:t>shall mean The Bank of New York Mellon, a New York banking corporation, and any successor as depositary under this Deposit Agreement. The term “</w:t>
      </w:r>
      <w:r>
        <w:rPr>
          <w:rFonts w:ascii="Times New Roman;sans-serif" w:hAnsi="Times New Roman;sans-serif"/>
          <w:b w:val="false"/>
          <w:color w:val="000000"/>
          <w:sz w:val="24"/>
          <w:u w:val="single"/>
        </w:rPr>
        <w:t>Office</w:t>
      </w:r>
      <w:r>
        <w:rPr>
          <w:color w:val="000000"/>
        </w:rPr>
        <w:t>”</w:t>
      </w:r>
      <w:r>
        <w:rPr>
          <w:rFonts w:ascii="Times New Roman;sans-serif" w:hAnsi="Times New Roman;sans-serif"/>
          <w:b w:val="false"/>
          <w:color w:val="000000"/>
          <w:sz w:val="24"/>
        </w:rPr>
        <w:t>, when used with respect to the Depositary, shall mean the office at which its depositary receipts business is administered, which, at the date of this Deposit Agreement, is located at 240 Greenwich Street, New York, New York 10286.</w:t>
      </w:r>
    </w:p>
    <w:p>
      <w:pPr>
        <w:pStyle w:val="TextBody"/>
        <w:spacing w:lineRule="auto" w:line="288" w:before="0" w:after="240"/>
        <w:ind w:left="0" w:right="0" w:firstLine="1080"/>
        <w:jc w:val="both"/>
        <w:rPr/>
      </w:pPr>
      <w:r>
        <w:rPr>
          <w:rFonts w:ascii="Times New Roman;sans-serif" w:hAnsi="Times New Roman;sans-serif"/>
          <w:b w:val="false"/>
          <w:color w:val="000000"/>
          <w:sz w:val="24"/>
        </w:rPr>
        <w:t>SECTION 1.8        </w:t>
      </w:r>
      <w:r>
        <w:rPr>
          <w:rFonts w:ascii="Times New Roman;sans-serif" w:hAnsi="Times New Roman;sans-serif"/>
          <w:b w:val="false"/>
          <w:color w:val="000000"/>
          <w:sz w:val="24"/>
          <w:u w:val="single"/>
        </w:rPr>
        <w:t>Deposited Securities.</w:t>
      </w:r>
    </w:p>
    <w:p>
      <w:pPr>
        <w:pStyle w:val="TextBody"/>
        <w:spacing w:lineRule="auto" w:line="288" w:before="0" w:after="240"/>
        <w:ind w:left="0" w:right="0" w:firstLine="1440"/>
        <w:jc w:val="both"/>
        <w:rPr/>
      </w:pPr>
      <w:r>
        <w:rPr>
          <w:rFonts w:ascii="Times New Roman;sans-serif" w:hAnsi="Times New Roman;sans-serif"/>
          <w:b w:val="false"/>
          <w:color w:val="000000"/>
          <w:sz w:val="24"/>
        </w:rPr>
        <w:t>The term “</w:t>
      </w:r>
      <w:r>
        <w:rPr>
          <w:rFonts w:ascii="Times New Roman;sans-serif" w:hAnsi="Times New Roman;sans-serif"/>
          <w:b w:val="false"/>
          <w:color w:val="000000"/>
          <w:sz w:val="24"/>
          <w:u w:val="single"/>
        </w:rPr>
        <w:t>Deposited Securities</w:t>
      </w:r>
      <w:r>
        <w:rPr>
          <w:color w:val="000000"/>
        </w:rPr>
        <w:t xml:space="preserve">” </w:t>
      </w:r>
      <w:r>
        <w:rPr>
          <w:rFonts w:ascii="Times New Roman;sans-serif" w:hAnsi="Times New Roman;sans-serif"/>
          <w:b w:val="false"/>
          <w:color w:val="000000"/>
          <w:sz w:val="24"/>
        </w:rPr>
        <w:t>as of any time shall mean Shares at such time deposited or deemed to be deposited under this Deposit Agreement, including without limitation, Shares that have not been successfully delivered upon surrender of American Depositary Shares, and any and all other securities, property and cash received by the Depositary or the Custodian in respect of Deposited Securities and at that time held under this Deposit Agreement.</w:t>
      </w:r>
    </w:p>
    <w:p>
      <w:pPr>
        <w:pStyle w:val="TextBody"/>
        <w:spacing w:lineRule="auto" w:line="288" w:before="0" w:after="240"/>
        <w:ind w:left="0" w:right="0" w:firstLine="1080"/>
        <w:jc w:val="both"/>
        <w:rPr/>
      </w:pPr>
      <w:r>
        <w:rPr>
          <w:rFonts w:ascii="Times New Roman;sans-serif" w:hAnsi="Times New Roman;sans-serif"/>
          <w:b w:val="false"/>
          <w:color w:val="000000"/>
          <w:sz w:val="24"/>
        </w:rPr>
        <w:t>SECTION 1.9        </w:t>
      </w:r>
      <w:r>
        <w:rPr>
          <w:rFonts w:ascii="Times New Roman;sans-serif" w:hAnsi="Times New Roman;sans-serif"/>
          <w:b w:val="false"/>
          <w:color w:val="000000"/>
          <w:sz w:val="24"/>
          <w:u w:val="single"/>
        </w:rPr>
        <w:t>Disseminate.</w:t>
      </w:r>
    </w:p>
    <w:p>
      <w:pPr>
        <w:pStyle w:val="TextBody"/>
        <w:spacing w:lineRule="auto" w:line="288" w:before="0" w:after="240"/>
        <w:ind w:left="0" w:right="0" w:firstLine="1440"/>
        <w:jc w:val="both"/>
        <w:rPr/>
      </w:pPr>
      <w:r>
        <w:rPr>
          <w:rFonts w:ascii="Times New Roman;sans-serif" w:hAnsi="Times New Roman;sans-serif"/>
          <w:b w:val="false"/>
          <w:color w:val="000000"/>
          <w:sz w:val="24"/>
        </w:rPr>
        <w:t>The term “</w:t>
      </w:r>
      <w:r>
        <w:rPr>
          <w:rFonts w:ascii="Times New Roman;sans-serif" w:hAnsi="Times New Roman;sans-serif"/>
          <w:b w:val="false"/>
          <w:color w:val="000000"/>
          <w:sz w:val="24"/>
          <w:u w:val="single"/>
        </w:rPr>
        <w:t>Disseminate</w:t>
      </w:r>
      <w:r>
        <w:rPr>
          <w:rFonts w:ascii="Times New Roman;sans-serif" w:hAnsi="Times New Roman;sans-serif"/>
          <w:b w:val="false"/>
          <w:color w:val="000000"/>
          <w:sz w:val="24"/>
        </w:rPr>
        <w:t>,” when referring to a notice or other information to be sent by the Depositary to Owners, shall mean (i) sending that information to Owners in paper form by mail or another means or (ii) with the consent of Owners, another procedure that has the effect of making the information available to Owners, which may include (A) sending the information by electronic mail or electronic messaging or (B) sending in paper form or by electronic mail or messaging a statement that the information is available and may be accessed by the Owner on an Internet website and that it will be sent in paper form upon request by the Owner, when that information is so available and is sent in paper form as promptly as practicable upon request.</w:t>
      </w:r>
      <w:r>
        <w:br w:type="page"/>
      </w:r>
    </w:p>
    <w:p>
      <w:pPr>
        <w:pStyle w:val="TextBody"/>
        <w:spacing w:before="120" w:after="240"/>
        <w:jc w:val="center"/>
        <w:rPr/>
      </w:pPr>
      <w:r>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6480175" cy="869950"/>
                <wp:effectExtent l="0" t="0" r="0" b="0"/>
                <wp:wrapNone/>
                <wp:docPr id="244" name="Frame242"/>
                <a:graphic xmlns:a="http://schemas.openxmlformats.org/drawingml/2006/main">
                  <a:graphicData uri="http://schemas.microsoft.com/office/word/2010/wordprocessingShape">
                    <wps:wsp>
                      <wps:cNvSpPr txBox="1"/>
                      <wps:spPr>
                        <a:xfrm>
                          <a:off x="0" y="0"/>
                          <a:ext cx="6480175" cy="869950"/>
                        </a:xfrm>
                        <a:prstGeom prst="rect"/>
                      </wps:spPr>
                      <wps:txbx>
                        <w:txbxContent>
                          <w:p>
                            <w:pPr>
                              <w:pStyle w:val="TextBody"/>
                              <w:spacing w:lineRule="auto" w:line="288"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-3-</w:t>
                            </w:r>
                          </w:p>
                          <w:p>
                            <w:pPr>
                              <w:pStyle w:val="TextBody"/>
                              <w:spacing w:before="24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8.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spacing w:lineRule="auto" w:line="288"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-3-</w:t>
                      </w:r>
                    </w:p>
                    <w:p>
                      <w:pPr>
                        <w:pStyle w:val="TextBody"/>
                        <w:spacing w:before="240" w:after="283"/>
                        <w:jc w:val="center"/>
                        <w:rPr/>
                      </w:pPr>
                      <w:r>
                        <w:rPr/>
                      </w:r>
                    </w:p>
                  </w:txbxContent>
                </v:textbox>
              </v:rect>
            </w:pict>
          </mc:Fallback>
        </mc:AlternateContent>
      </w:r>
    </w:p>
    <w:p>
      <w:pPr>
        <w:pStyle w:val="TextBody"/>
        <w:spacing w:lineRule="auto" w:line="288" w:before="0" w:after="240"/>
        <w:ind w:left="0" w:right="0" w:firstLine="1080"/>
        <w:jc w:val="both"/>
        <w:rPr/>
      </w:pPr>
      <w:r>
        <w:rPr>
          <w:rFonts w:ascii="Times New Roman;sans-serif" w:hAnsi="Times New Roman;sans-serif"/>
          <w:b w:val="false"/>
          <w:color w:val="000000"/>
          <w:sz w:val="24"/>
        </w:rPr>
        <w:t>SECTION 1.10        </w:t>
      </w:r>
      <w:r>
        <w:rPr>
          <w:rFonts w:ascii="Times New Roman;sans-serif" w:hAnsi="Times New Roman;sans-serif"/>
          <w:b w:val="false"/>
          <w:color w:val="000000"/>
          <w:sz w:val="24"/>
          <w:u w:val="single"/>
        </w:rPr>
        <w:t>Dollars.</w:t>
      </w:r>
    </w:p>
    <w:p>
      <w:pPr>
        <w:pStyle w:val="TextBody"/>
        <w:spacing w:lineRule="auto" w:line="288" w:before="0" w:after="240"/>
        <w:ind w:left="0" w:right="0" w:firstLine="1440"/>
        <w:jc w:val="both"/>
        <w:rPr/>
      </w:pPr>
      <w:r>
        <w:rPr>
          <w:rFonts w:ascii="Times New Roman;sans-serif" w:hAnsi="Times New Roman;sans-serif"/>
          <w:b w:val="false"/>
          <w:color w:val="000000"/>
          <w:sz w:val="24"/>
        </w:rPr>
        <w:t>The term “</w:t>
      </w:r>
      <w:r>
        <w:rPr>
          <w:rFonts w:ascii="Times New Roman;sans-serif" w:hAnsi="Times New Roman;sans-serif"/>
          <w:b w:val="false"/>
          <w:color w:val="000000"/>
          <w:sz w:val="24"/>
          <w:u w:val="single"/>
        </w:rPr>
        <w:t>Dollars</w:t>
      </w:r>
      <w:r>
        <w:rPr>
          <w:color w:val="000000"/>
        </w:rPr>
        <w:t xml:space="preserve">” </w:t>
      </w:r>
      <w:r>
        <w:rPr>
          <w:rFonts w:ascii="Times New Roman;sans-serif" w:hAnsi="Times New Roman;sans-serif"/>
          <w:b w:val="false"/>
          <w:color w:val="000000"/>
          <w:sz w:val="24"/>
        </w:rPr>
        <w:t>shall mean United States dollars.</w:t>
      </w:r>
    </w:p>
    <w:p>
      <w:pPr>
        <w:pStyle w:val="TextBody"/>
        <w:spacing w:lineRule="auto" w:line="288" w:before="0" w:after="240"/>
        <w:ind w:left="0" w:right="0" w:firstLine="1080"/>
        <w:jc w:val="both"/>
        <w:rPr/>
      </w:pPr>
      <w:r>
        <w:rPr>
          <w:rFonts w:ascii="Times New Roman;sans-serif" w:hAnsi="Times New Roman;sans-serif"/>
          <w:b w:val="false"/>
          <w:color w:val="000000"/>
          <w:sz w:val="24"/>
        </w:rPr>
        <w:t>SECTION 1.11        </w:t>
      </w:r>
      <w:r>
        <w:rPr>
          <w:rFonts w:ascii="Times New Roman;sans-serif" w:hAnsi="Times New Roman;sans-serif"/>
          <w:b w:val="false"/>
          <w:color w:val="000000"/>
          <w:sz w:val="24"/>
          <w:u w:val="single"/>
        </w:rPr>
        <w:t>DTC.</w:t>
      </w:r>
    </w:p>
    <w:p>
      <w:pPr>
        <w:pStyle w:val="TextBody"/>
        <w:spacing w:lineRule="auto" w:line="288" w:before="0" w:after="240"/>
        <w:ind w:left="0" w:right="0" w:firstLine="1440"/>
        <w:jc w:val="both"/>
        <w:rPr/>
      </w:pPr>
      <w:r>
        <w:rPr>
          <w:rFonts w:ascii="Times New Roman;sans-serif" w:hAnsi="Times New Roman;sans-serif"/>
          <w:b w:val="false"/>
          <w:color w:val="000000"/>
          <w:sz w:val="24"/>
        </w:rPr>
        <w:t>The term “</w:t>
      </w:r>
      <w:r>
        <w:rPr>
          <w:rFonts w:ascii="Times New Roman;sans-serif" w:hAnsi="Times New Roman;sans-serif"/>
          <w:b w:val="false"/>
          <w:color w:val="000000"/>
          <w:sz w:val="24"/>
          <w:u w:val="single"/>
        </w:rPr>
        <w:t>DTC</w:t>
      </w:r>
      <w:r>
        <w:rPr>
          <w:color w:val="000000"/>
        </w:rPr>
        <w:t xml:space="preserve">” </w:t>
      </w:r>
      <w:r>
        <w:rPr>
          <w:rFonts w:ascii="Times New Roman;sans-serif" w:hAnsi="Times New Roman;sans-serif"/>
          <w:b w:val="false"/>
          <w:color w:val="000000"/>
          <w:sz w:val="24"/>
        </w:rPr>
        <w:t>shall mean The Depository Trust Company or its successor.</w:t>
      </w:r>
    </w:p>
    <w:p>
      <w:pPr>
        <w:pStyle w:val="TextBody"/>
        <w:spacing w:lineRule="auto" w:line="288" w:before="0" w:after="240"/>
        <w:ind w:left="0" w:right="0" w:firstLine="1080"/>
        <w:jc w:val="both"/>
        <w:rPr/>
      </w:pPr>
      <w:r>
        <w:rPr>
          <w:rFonts w:ascii="Times New Roman;sans-serif" w:hAnsi="Times New Roman;sans-serif"/>
          <w:b w:val="false"/>
          <w:color w:val="000000"/>
          <w:sz w:val="24"/>
        </w:rPr>
        <w:t>SECTION 1.12        </w:t>
      </w:r>
      <w:r>
        <w:rPr>
          <w:rFonts w:ascii="Times New Roman;sans-serif" w:hAnsi="Times New Roman;sans-serif"/>
          <w:b w:val="false"/>
          <w:color w:val="000000"/>
          <w:sz w:val="24"/>
          <w:u w:val="single"/>
        </w:rPr>
        <w:t>Foreign Registrar.</w:t>
      </w:r>
    </w:p>
    <w:p>
      <w:pPr>
        <w:pStyle w:val="TextBody"/>
        <w:spacing w:lineRule="auto" w:line="288" w:before="0" w:after="240"/>
        <w:ind w:left="0" w:right="0" w:firstLine="1440"/>
        <w:jc w:val="both"/>
        <w:rPr/>
      </w:pPr>
      <w:r>
        <w:rPr>
          <w:rFonts w:ascii="Times New Roman;sans-serif" w:hAnsi="Times New Roman;sans-serif"/>
          <w:b w:val="false"/>
          <w:color w:val="000000"/>
          <w:sz w:val="24"/>
        </w:rPr>
        <w:t>The term “</w:t>
      </w:r>
      <w:r>
        <w:rPr>
          <w:rFonts w:ascii="Times New Roman;sans-serif" w:hAnsi="Times New Roman;sans-serif"/>
          <w:b w:val="false"/>
          <w:color w:val="000000"/>
          <w:sz w:val="24"/>
          <w:u w:val="single"/>
        </w:rPr>
        <w:t>Foreign Registrar</w:t>
      </w:r>
      <w:r>
        <w:rPr>
          <w:color w:val="000000"/>
        </w:rPr>
        <w:t xml:space="preserve">” </w:t>
      </w:r>
      <w:r>
        <w:rPr>
          <w:rFonts w:ascii="Times New Roman;sans-serif" w:hAnsi="Times New Roman;sans-serif"/>
          <w:b w:val="false"/>
          <w:color w:val="000000"/>
          <w:sz w:val="24"/>
        </w:rPr>
        <w:t>shall mean the entity that carries out the duties of registrar for the Shares and any other agent of the Company for the transfer and registration of Shares, including, without limitation, any securities depository for the Shares.</w:t>
      </w:r>
    </w:p>
    <w:p>
      <w:pPr>
        <w:pStyle w:val="TextBody"/>
        <w:spacing w:lineRule="auto" w:line="288" w:before="0" w:after="240"/>
        <w:ind w:left="0" w:right="0" w:firstLine="1080"/>
        <w:jc w:val="both"/>
        <w:rPr/>
      </w:pPr>
      <w:r>
        <w:rPr>
          <w:rFonts w:ascii="Times New Roman;sans-serif" w:hAnsi="Times New Roman;sans-serif"/>
          <w:b w:val="false"/>
          <w:color w:val="000000"/>
          <w:sz w:val="24"/>
        </w:rPr>
        <w:t>SECTION 1.13        </w:t>
      </w:r>
      <w:r>
        <w:rPr>
          <w:rFonts w:ascii="Times New Roman;sans-serif" w:hAnsi="Times New Roman;sans-serif"/>
          <w:b w:val="false"/>
          <w:color w:val="000000"/>
          <w:sz w:val="24"/>
          <w:u w:val="single"/>
        </w:rPr>
        <w:t>Holder.</w:t>
      </w:r>
    </w:p>
    <w:p>
      <w:pPr>
        <w:pStyle w:val="TextBody"/>
        <w:spacing w:lineRule="auto" w:line="288" w:before="0" w:after="240"/>
        <w:ind w:left="0" w:right="0" w:firstLine="1440"/>
        <w:jc w:val="both"/>
        <w:rPr/>
      </w:pPr>
      <w:r>
        <w:rPr>
          <w:rFonts w:ascii="Times New Roman;sans-serif" w:hAnsi="Times New Roman;sans-serif"/>
          <w:b w:val="false"/>
          <w:color w:val="000000"/>
          <w:sz w:val="24"/>
        </w:rPr>
        <w:t>The term “</w:t>
      </w:r>
      <w:r>
        <w:rPr>
          <w:rFonts w:ascii="Times New Roman;sans-serif" w:hAnsi="Times New Roman;sans-serif"/>
          <w:b w:val="false"/>
          <w:color w:val="000000"/>
          <w:sz w:val="24"/>
          <w:u w:val="single"/>
        </w:rPr>
        <w:t>Holder</w:t>
      </w:r>
      <w:r>
        <w:rPr>
          <w:color w:val="000000"/>
        </w:rPr>
        <w:t xml:space="preserve">” </w:t>
      </w:r>
      <w:r>
        <w:rPr>
          <w:rFonts w:ascii="Times New Roman;sans-serif" w:hAnsi="Times New Roman;sans-serif"/>
          <w:b w:val="false"/>
          <w:color w:val="000000"/>
          <w:sz w:val="24"/>
        </w:rPr>
        <w:t>shall mean any person holding a Receipt or a security entitlement or other interest in American Depositary Shares, whether for its own account or for the account of another person, but that is not the Owner of that Receipt or those American Depositary Shares.</w:t>
      </w:r>
    </w:p>
    <w:p>
      <w:pPr>
        <w:pStyle w:val="TextBody"/>
        <w:spacing w:lineRule="auto" w:line="288" w:before="0" w:after="240"/>
        <w:ind w:left="0" w:right="0" w:firstLine="1080"/>
        <w:jc w:val="both"/>
        <w:rPr/>
      </w:pPr>
      <w:r>
        <w:rPr>
          <w:rFonts w:ascii="Times New Roman;sans-serif" w:hAnsi="Times New Roman;sans-serif"/>
          <w:b w:val="false"/>
          <w:color w:val="000000"/>
          <w:sz w:val="24"/>
        </w:rPr>
        <w:t>SECTION 1.14        </w:t>
      </w:r>
      <w:r>
        <w:rPr>
          <w:rFonts w:ascii="Times New Roman;sans-serif" w:hAnsi="Times New Roman;sans-serif"/>
          <w:b w:val="false"/>
          <w:color w:val="000000"/>
          <w:sz w:val="24"/>
          <w:u w:val="single"/>
        </w:rPr>
        <w:t>Owner.</w:t>
      </w:r>
    </w:p>
    <w:p>
      <w:pPr>
        <w:pStyle w:val="TextBody"/>
        <w:spacing w:lineRule="auto" w:line="288" w:before="0" w:after="240"/>
        <w:ind w:left="0" w:right="0" w:firstLine="1440"/>
        <w:jc w:val="both"/>
        <w:rPr/>
      </w:pPr>
      <w:r>
        <w:rPr>
          <w:rFonts w:ascii="Times New Roman;sans-serif" w:hAnsi="Times New Roman;sans-serif"/>
          <w:b w:val="false"/>
          <w:color w:val="000000"/>
          <w:sz w:val="24"/>
        </w:rPr>
        <w:t>The term “</w:t>
      </w:r>
      <w:r>
        <w:rPr>
          <w:rFonts w:ascii="Times New Roman;sans-serif" w:hAnsi="Times New Roman;sans-serif"/>
          <w:b w:val="false"/>
          <w:color w:val="000000"/>
          <w:sz w:val="24"/>
          <w:u w:val="single"/>
        </w:rPr>
        <w:t>Owner</w:t>
      </w:r>
      <w:r>
        <w:rPr>
          <w:color w:val="000000"/>
        </w:rPr>
        <w:t xml:space="preserve">” </w:t>
      </w:r>
      <w:r>
        <w:rPr>
          <w:rFonts w:ascii="Times New Roman;sans-serif" w:hAnsi="Times New Roman;sans-serif"/>
          <w:b w:val="false"/>
          <w:color w:val="000000"/>
          <w:sz w:val="24"/>
        </w:rPr>
        <w:t>shall mean the person in whose name American Depositary Shares are registered on the books of the Depositary maintained for that purpose.</w:t>
      </w:r>
    </w:p>
    <w:p>
      <w:pPr>
        <w:pStyle w:val="TextBody"/>
        <w:spacing w:lineRule="auto" w:line="288" w:before="0" w:after="240"/>
        <w:ind w:left="0" w:right="0" w:firstLine="1080"/>
        <w:jc w:val="both"/>
        <w:rPr/>
      </w:pPr>
      <w:r>
        <w:rPr>
          <w:rFonts w:ascii="Times New Roman;sans-serif" w:hAnsi="Times New Roman;sans-serif"/>
          <w:b w:val="false"/>
          <w:color w:val="000000"/>
          <w:sz w:val="24"/>
        </w:rPr>
        <w:t>SECTION 1.15        </w:t>
      </w:r>
      <w:r>
        <w:rPr>
          <w:rFonts w:ascii="Times New Roman;sans-serif" w:hAnsi="Times New Roman;sans-serif"/>
          <w:b w:val="false"/>
          <w:color w:val="000000"/>
          <w:sz w:val="24"/>
          <w:u w:val="single"/>
        </w:rPr>
        <w:t>Receipts.</w:t>
      </w:r>
    </w:p>
    <w:p>
      <w:pPr>
        <w:pStyle w:val="TextBody"/>
        <w:spacing w:lineRule="auto" w:line="288" w:before="0" w:after="240"/>
        <w:ind w:left="0" w:right="0" w:firstLine="1440"/>
        <w:jc w:val="both"/>
        <w:rPr/>
      </w:pPr>
      <w:r>
        <w:rPr>
          <w:rFonts w:ascii="Times New Roman;sans-serif" w:hAnsi="Times New Roman;sans-serif"/>
          <w:b w:val="false"/>
          <w:color w:val="000000"/>
          <w:sz w:val="24"/>
        </w:rPr>
        <w:t>The term “</w:t>
      </w:r>
      <w:r>
        <w:rPr>
          <w:rFonts w:ascii="Times New Roman;sans-serif" w:hAnsi="Times New Roman;sans-serif"/>
          <w:b w:val="false"/>
          <w:color w:val="000000"/>
          <w:sz w:val="24"/>
          <w:u w:val="single"/>
        </w:rPr>
        <w:t>Receipts</w:t>
      </w:r>
      <w:r>
        <w:rPr>
          <w:color w:val="000000"/>
        </w:rPr>
        <w:t xml:space="preserve">” </w:t>
      </w:r>
      <w:r>
        <w:rPr>
          <w:rFonts w:ascii="Times New Roman;sans-serif" w:hAnsi="Times New Roman;sans-serif"/>
          <w:b w:val="false"/>
          <w:color w:val="000000"/>
          <w:sz w:val="24"/>
        </w:rPr>
        <w:t>shall mean the American Depositary Receipts issued under this Deposit Agreement evidencing certificated American Depositary Shares, as the same may be amended from time to time in accordance with the provisions of this Deposit Agreement.</w:t>
      </w:r>
    </w:p>
    <w:p>
      <w:pPr>
        <w:pStyle w:val="TextBody"/>
        <w:spacing w:lineRule="auto" w:line="288" w:before="0" w:after="240"/>
        <w:ind w:left="0" w:right="0" w:firstLine="1080"/>
        <w:jc w:val="both"/>
        <w:rPr/>
      </w:pPr>
      <w:r>
        <w:rPr>
          <w:rFonts w:ascii="Times New Roman;sans-serif" w:hAnsi="Times New Roman;sans-serif"/>
          <w:b w:val="false"/>
          <w:color w:val="000000"/>
          <w:sz w:val="24"/>
        </w:rPr>
        <w:t>SECTION 1.16        </w:t>
      </w:r>
      <w:r>
        <w:rPr>
          <w:rFonts w:ascii="Times New Roman;sans-serif" w:hAnsi="Times New Roman;sans-serif"/>
          <w:b w:val="false"/>
          <w:color w:val="000000"/>
          <w:sz w:val="24"/>
          <w:u w:val="single"/>
        </w:rPr>
        <w:t>Registrar.</w:t>
      </w:r>
    </w:p>
    <w:p>
      <w:pPr>
        <w:pStyle w:val="TextBody"/>
        <w:spacing w:lineRule="auto" w:line="288" w:before="0" w:after="240"/>
        <w:ind w:left="0" w:right="0" w:firstLine="1440"/>
        <w:jc w:val="both"/>
        <w:rPr/>
      </w:pPr>
      <w:r>
        <w:rPr>
          <w:rFonts w:ascii="Times New Roman;sans-serif" w:hAnsi="Times New Roman;sans-serif"/>
          <w:b w:val="false"/>
          <w:color w:val="000000"/>
          <w:sz w:val="24"/>
        </w:rPr>
        <w:t>The term “</w:t>
      </w:r>
      <w:r>
        <w:rPr>
          <w:rFonts w:ascii="Times New Roman;sans-serif" w:hAnsi="Times New Roman;sans-serif"/>
          <w:b w:val="false"/>
          <w:color w:val="000000"/>
          <w:sz w:val="24"/>
          <w:u w:val="single"/>
        </w:rPr>
        <w:t>Registrar</w:t>
      </w:r>
      <w:r>
        <w:rPr>
          <w:color w:val="000000"/>
        </w:rPr>
        <w:t xml:space="preserve">” </w:t>
      </w:r>
      <w:r>
        <w:rPr>
          <w:rFonts w:ascii="Times New Roman;sans-serif" w:hAnsi="Times New Roman;sans-serif"/>
          <w:b w:val="false"/>
          <w:color w:val="000000"/>
          <w:sz w:val="24"/>
        </w:rPr>
        <w:t xml:space="preserve">shall mean any corporation or other entity that is appointed by the Depositary to register American Depositary Shares and transfers of American Depositary Shares as provided in this Deposit Agreement. </w:t>
      </w:r>
      <w:r>
        <w:br w:type="page"/>
      </w:r>
    </w:p>
    <w:p>
      <w:pPr>
        <w:pStyle w:val="TextBody"/>
        <w:spacing w:before="120" w:after="240"/>
        <w:jc w:val="center"/>
        <w:rPr/>
      </w:pPr>
      <w:r>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6480175" cy="869950"/>
                <wp:effectExtent l="0" t="0" r="0" b="0"/>
                <wp:wrapNone/>
                <wp:docPr id="245" name="Frame243"/>
                <a:graphic xmlns:a="http://schemas.openxmlformats.org/drawingml/2006/main">
                  <a:graphicData uri="http://schemas.microsoft.com/office/word/2010/wordprocessingShape">
                    <wps:wsp>
                      <wps:cNvSpPr txBox="1"/>
                      <wps:spPr>
                        <a:xfrm>
                          <a:off x="0" y="0"/>
                          <a:ext cx="6480175" cy="869950"/>
                        </a:xfrm>
                        <a:prstGeom prst="rect"/>
                      </wps:spPr>
                      <wps:txbx>
                        <w:txbxContent>
                          <w:p>
                            <w:pPr>
                              <w:pStyle w:val="TextBody"/>
                              <w:spacing w:lineRule="auto" w:line="288"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-4-</w:t>
                            </w:r>
                          </w:p>
                          <w:p>
                            <w:pPr>
                              <w:pStyle w:val="TextBody"/>
                              <w:spacing w:before="24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8.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spacing w:lineRule="auto" w:line="288"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-4-</w:t>
                      </w:r>
                    </w:p>
                    <w:p>
                      <w:pPr>
                        <w:pStyle w:val="TextBody"/>
                        <w:spacing w:before="240" w:after="283"/>
                        <w:jc w:val="center"/>
                        <w:rPr/>
                      </w:pPr>
                      <w:r>
                        <w:rPr/>
                      </w:r>
                    </w:p>
                  </w:txbxContent>
                </v:textbox>
              </v:rect>
            </w:pict>
          </mc:Fallback>
        </mc:AlternateContent>
      </w:r>
    </w:p>
    <w:p>
      <w:pPr>
        <w:pStyle w:val="TextBody"/>
        <w:spacing w:lineRule="auto" w:line="288" w:before="0" w:after="240"/>
        <w:ind w:left="0" w:right="0" w:firstLine="1080"/>
        <w:jc w:val="both"/>
        <w:rPr/>
      </w:pPr>
      <w:r>
        <w:rPr>
          <w:rFonts w:ascii="Times New Roman;sans-serif" w:hAnsi="Times New Roman;sans-serif"/>
          <w:b w:val="false"/>
          <w:color w:val="000000"/>
          <w:sz w:val="24"/>
        </w:rPr>
        <w:t>SECTION 1.17        </w:t>
      </w:r>
      <w:r>
        <w:rPr>
          <w:rFonts w:ascii="Times New Roman;sans-serif" w:hAnsi="Times New Roman;sans-serif"/>
          <w:b w:val="false"/>
          <w:color w:val="000000"/>
          <w:sz w:val="24"/>
          <w:u w:val="single"/>
        </w:rPr>
        <w:t>Replacement.</w:t>
      </w:r>
    </w:p>
    <w:p>
      <w:pPr>
        <w:pStyle w:val="TextBody"/>
        <w:spacing w:lineRule="auto" w:line="288" w:before="0" w:after="240"/>
        <w:ind w:left="0" w:right="0" w:firstLine="1440"/>
        <w:jc w:val="both"/>
        <w:rPr/>
      </w:pPr>
      <w:r>
        <w:rPr>
          <w:rFonts w:ascii="Times New Roman;sans-serif" w:hAnsi="Times New Roman;sans-serif"/>
          <w:b w:val="false"/>
          <w:color w:val="000000"/>
          <w:sz w:val="24"/>
        </w:rPr>
        <w:t>The term “</w:t>
      </w:r>
      <w:r>
        <w:rPr>
          <w:rFonts w:ascii="Times New Roman;sans-serif" w:hAnsi="Times New Roman;sans-serif"/>
          <w:b w:val="false"/>
          <w:color w:val="000000"/>
          <w:sz w:val="24"/>
          <w:u w:val="single"/>
        </w:rPr>
        <w:t>Replacement</w:t>
      </w:r>
      <w:r>
        <w:rPr>
          <w:color w:val="000000"/>
        </w:rPr>
        <w:t xml:space="preserve">” </w:t>
      </w:r>
      <w:r>
        <w:rPr>
          <w:rFonts w:ascii="Times New Roman;sans-serif" w:hAnsi="Times New Roman;sans-serif"/>
          <w:b w:val="false"/>
          <w:color w:val="000000"/>
          <w:sz w:val="24"/>
        </w:rPr>
        <w:t xml:space="preserve">shall have the meaning assigned to it in Section 4.8. </w:t>
      </w:r>
    </w:p>
    <w:p>
      <w:pPr>
        <w:pStyle w:val="TextBody"/>
        <w:spacing w:lineRule="auto" w:line="288" w:before="0" w:after="240"/>
        <w:ind w:left="0" w:right="0" w:firstLine="1080"/>
        <w:jc w:val="both"/>
        <w:rPr/>
      </w:pPr>
      <w:r>
        <w:rPr>
          <w:rFonts w:ascii="Times New Roman;sans-serif" w:hAnsi="Times New Roman;sans-serif"/>
          <w:b w:val="false"/>
          <w:color w:val="000000"/>
          <w:sz w:val="24"/>
        </w:rPr>
        <w:t>SECTION 1.18        </w:t>
      </w:r>
      <w:r>
        <w:rPr>
          <w:rFonts w:ascii="Times New Roman;sans-serif" w:hAnsi="Times New Roman;sans-serif"/>
          <w:b w:val="false"/>
          <w:color w:val="000000"/>
          <w:sz w:val="24"/>
          <w:u w:val="single"/>
        </w:rPr>
        <w:t>Restricted Securities.</w:t>
      </w:r>
    </w:p>
    <w:p>
      <w:pPr>
        <w:pStyle w:val="TextBody"/>
        <w:spacing w:lineRule="auto" w:line="288" w:before="0" w:after="240"/>
        <w:ind w:left="0" w:right="0" w:firstLine="1440"/>
        <w:jc w:val="both"/>
        <w:rPr/>
      </w:pPr>
      <w:r>
        <w:rPr>
          <w:rFonts w:ascii="Times New Roman;sans-serif" w:hAnsi="Times New Roman;sans-serif"/>
          <w:b w:val="false"/>
          <w:color w:val="000000"/>
          <w:sz w:val="24"/>
        </w:rPr>
        <w:t>The term “</w:t>
      </w:r>
      <w:r>
        <w:rPr>
          <w:rFonts w:ascii="Times New Roman;sans-serif" w:hAnsi="Times New Roman;sans-serif"/>
          <w:b w:val="false"/>
          <w:color w:val="000000"/>
          <w:sz w:val="24"/>
          <w:u w:val="single"/>
        </w:rPr>
        <w:t>Restricted Securities</w:t>
      </w:r>
      <w:r>
        <w:rPr>
          <w:color w:val="000000"/>
        </w:rPr>
        <w:t xml:space="preserve">” </w:t>
      </w:r>
      <w:r>
        <w:rPr>
          <w:rFonts w:ascii="Times New Roman;sans-serif" w:hAnsi="Times New Roman;sans-serif"/>
          <w:b w:val="false"/>
          <w:color w:val="000000"/>
          <w:sz w:val="24"/>
        </w:rPr>
        <w:t>shall mean Shares that (i) are “restricted securities,” as defined in Rule 144 under the Securities Act of 1933, except for Shares that could be resold in reliance on Rule 144 without any conditions, (ii) are beneficially owned by an officer, director (or person performing similar functions) or other affiliate of the Company, (iii) otherwise would require registration under the Securities Act of 1933 in connection with the public offer and sale thereof in the United States or (iv) are subject to other restrictions on sale or deposit under the laws of the Cayman Islands, a shareholder agreement or the articles of association or similar document of the Company.</w:t>
      </w:r>
    </w:p>
    <w:p>
      <w:pPr>
        <w:pStyle w:val="TextBody"/>
        <w:spacing w:lineRule="auto" w:line="288" w:before="0" w:after="240"/>
        <w:ind w:left="0" w:right="0" w:firstLine="1080"/>
        <w:jc w:val="both"/>
        <w:rPr/>
      </w:pPr>
      <w:r>
        <w:rPr>
          <w:rFonts w:ascii="Times New Roman;sans-serif" w:hAnsi="Times New Roman;sans-serif"/>
          <w:b w:val="false"/>
          <w:color w:val="000000"/>
          <w:sz w:val="24"/>
        </w:rPr>
        <w:t>SECTION 1.19        </w:t>
      </w:r>
      <w:r>
        <w:rPr>
          <w:rFonts w:ascii="Times New Roman;sans-serif" w:hAnsi="Times New Roman;sans-serif"/>
          <w:b w:val="false"/>
          <w:color w:val="000000"/>
          <w:sz w:val="24"/>
          <w:u w:val="single"/>
        </w:rPr>
        <w:t>Securities Act of 1933.</w:t>
      </w:r>
    </w:p>
    <w:p>
      <w:pPr>
        <w:pStyle w:val="TextBody"/>
        <w:spacing w:lineRule="auto" w:line="288" w:before="0" w:after="240"/>
        <w:ind w:left="0" w:right="0" w:firstLine="1440"/>
        <w:jc w:val="both"/>
        <w:rPr/>
      </w:pPr>
      <w:r>
        <w:rPr>
          <w:rFonts w:ascii="Times New Roman;sans-serif" w:hAnsi="Times New Roman;sans-serif"/>
          <w:b w:val="false"/>
          <w:color w:val="000000"/>
          <w:sz w:val="24"/>
        </w:rPr>
        <w:t>The term “</w:t>
      </w:r>
      <w:r>
        <w:rPr>
          <w:rFonts w:ascii="Times New Roman;sans-serif" w:hAnsi="Times New Roman;sans-serif"/>
          <w:b w:val="false"/>
          <w:color w:val="000000"/>
          <w:sz w:val="24"/>
          <w:u w:val="single"/>
        </w:rPr>
        <w:t>Securities Act of 1933</w:t>
      </w:r>
      <w:r>
        <w:rPr>
          <w:color w:val="000000"/>
        </w:rPr>
        <w:t xml:space="preserve">” </w:t>
      </w:r>
      <w:r>
        <w:rPr>
          <w:rFonts w:ascii="Times New Roman;sans-serif" w:hAnsi="Times New Roman;sans-serif"/>
          <w:b w:val="false"/>
          <w:color w:val="000000"/>
          <w:sz w:val="24"/>
        </w:rPr>
        <w:t>shall mean the United States Securities Act of 1933, as from time to time amended.</w:t>
      </w:r>
    </w:p>
    <w:p>
      <w:pPr>
        <w:pStyle w:val="TextBody"/>
        <w:spacing w:lineRule="auto" w:line="288" w:before="0" w:after="240"/>
        <w:ind w:left="0" w:right="0" w:firstLine="1080"/>
        <w:jc w:val="both"/>
        <w:rPr/>
      </w:pPr>
      <w:r>
        <w:rPr>
          <w:rFonts w:ascii="Times New Roman;sans-serif" w:hAnsi="Times New Roman;sans-serif"/>
          <w:b w:val="false"/>
          <w:color w:val="000000"/>
          <w:sz w:val="24"/>
        </w:rPr>
        <w:t>SECTION 1.20        </w:t>
      </w:r>
      <w:r>
        <w:rPr>
          <w:rFonts w:ascii="Times New Roman;sans-serif" w:hAnsi="Times New Roman;sans-serif"/>
          <w:b w:val="false"/>
          <w:color w:val="000000"/>
          <w:sz w:val="24"/>
          <w:u w:val="single"/>
        </w:rPr>
        <w:t>Shares.</w:t>
      </w:r>
    </w:p>
    <w:p>
      <w:pPr>
        <w:pStyle w:val="TextBody"/>
        <w:spacing w:lineRule="auto" w:line="288" w:before="0" w:after="240"/>
        <w:ind w:left="0" w:right="0" w:firstLine="1440"/>
        <w:jc w:val="both"/>
        <w:rPr/>
      </w:pPr>
      <w:r>
        <w:rPr>
          <w:rFonts w:ascii="Times New Roman;sans-serif" w:hAnsi="Times New Roman;sans-serif"/>
          <w:b w:val="false"/>
          <w:color w:val="000000"/>
          <w:sz w:val="24"/>
        </w:rPr>
        <w:t>The term “</w:t>
      </w:r>
      <w:r>
        <w:rPr>
          <w:rFonts w:ascii="Times New Roman;sans-serif" w:hAnsi="Times New Roman;sans-serif"/>
          <w:b w:val="false"/>
          <w:color w:val="000000"/>
          <w:sz w:val="24"/>
          <w:u w:val="single"/>
        </w:rPr>
        <w:t>Shares</w:t>
      </w:r>
      <w:r>
        <w:rPr>
          <w:color w:val="000000"/>
        </w:rPr>
        <w:t xml:space="preserve">” </w:t>
      </w:r>
      <w:r>
        <w:rPr>
          <w:rFonts w:ascii="Times New Roman;sans-serif" w:hAnsi="Times New Roman;sans-serif"/>
          <w:b w:val="false"/>
          <w:color w:val="000000"/>
          <w:sz w:val="24"/>
        </w:rPr>
        <w:t xml:space="preserve">shall mean Class A ordinary shares of the Company that are validly issued and outstanding, fully paid and nonassessable and that were not issued in violation of any pre-emptive or similar rights of the holders of outstanding securities of the Company;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if there shall occur any change in nominal or par value, a split-up or consolidation or any other reclassification or, upon the occurrence of an event described in Section 4.8, an exchange or conversion in respect of the Shares of the Company, the term “Shares” shall thereafter also mean the successor securities resulting from such change in nominal value, split-up or consolidation or such other reclassification or such exchange or conversion.</w:t>
      </w:r>
    </w:p>
    <w:p>
      <w:pPr>
        <w:pStyle w:val="TextBody"/>
        <w:spacing w:lineRule="auto" w:line="288" w:before="0" w:after="240"/>
        <w:ind w:left="0" w:right="0" w:firstLine="1080"/>
        <w:jc w:val="both"/>
        <w:rPr/>
      </w:pPr>
      <w:r>
        <w:rPr>
          <w:rFonts w:ascii="Times New Roman;sans-serif" w:hAnsi="Times New Roman;sans-serif"/>
          <w:b w:val="false"/>
          <w:color w:val="000000"/>
          <w:sz w:val="24"/>
        </w:rPr>
        <w:t>SECTION 1.21        </w:t>
      </w:r>
      <w:r>
        <w:rPr>
          <w:rFonts w:ascii="Times New Roman;sans-serif" w:hAnsi="Times New Roman;sans-serif"/>
          <w:b w:val="false"/>
          <w:color w:val="000000"/>
          <w:sz w:val="24"/>
          <w:u w:val="single"/>
        </w:rPr>
        <w:t>SWIFT.</w:t>
      </w:r>
    </w:p>
    <w:p>
      <w:pPr>
        <w:pStyle w:val="TextBody"/>
        <w:spacing w:lineRule="auto" w:line="288" w:before="0" w:after="240"/>
        <w:ind w:left="0" w:right="0" w:firstLine="1440"/>
        <w:jc w:val="both"/>
        <w:rPr/>
      </w:pPr>
      <w:r>
        <w:rPr>
          <w:rFonts w:ascii="Times New Roman;sans-serif" w:hAnsi="Times New Roman;sans-serif"/>
          <w:b w:val="false"/>
          <w:color w:val="000000"/>
          <w:sz w:val="24"/>
        </w:rPr>
        <w:t>The term “</w:t>
      </w:r>
      <w:r>
        <w:rPr>
          <w:rFonts w:ascii="Times New Roman;sans-serif" w:hAnsi="Times New Roman;sans-serif"/>
          <w:b w:val="false"/>
          <w:color w:val="000000"/>
          <w:sz w:val="24"/>
          <w:u w:val="single"/>
        </w:rPr>
        <w:t>SWIFT</w:t>
      </w:r>
      <w:r>
        <w:rPr>
          <w:color w:val="000000"/>
        </w:rPr>
        <w:t xml:space="preserve">” </w:t>
      </w:r>
      <w:r>
        <w:rPr>
          <w:rFonts w:ascii="Times New Roman;sans-serif" w:hAnsi="Times New Roman;sans-serif"/>
          <w:b w:val="false"/>
          <w:color w:val="000000"/>
          <w:sz w:val="24"/>
        </w:rPr>
        <w:t>shall mean the financial messaging network operated by the Society for Worldwide Interbank Financial Telecommunication, or its successor.</w:t>
      </w:r>
    </w:p>
    <w:p>
      <w:pPr>
        <w:pStyle w:val="TextBody"/>
        <w:spacing w:lineRule="auto" w:line="288" w:before="0" w:after="240"/>
        <w:ind w:left="0" w:right="0" w:firstLine="1080"/>
        <w:jc w:val="both"/>
        <w:rPr/>
      </w:pPr>
      <w:r>
        <w:rPr>
          <w:rFonts w:ascii="Times New Roman;sans-serif" w:hAnsi="Times New Roman;sans-serif"/>
          <w:b w:val="false"/>
          <w:color w:val="000000"/>
          <w:sz w:val="24"/>
        </w:rPr>
        <w:t>SECTION 1.22        </w:t>
      </w:r>
      <w:r>
        <w:rPr>
          <w:rFonts w:ascii="Times New Roman;sans-serif" w:hAnsi="Times New Roman;sans-serif"/>
          <w:b w:val="false"/>
          <w:color w:val="000000"/>
          <w:sz w:val="24"/>
          <w:u w:val="single"/>
        </w:rPr>
        <w:t>Termination Option Event.</w:t>
      </w:r>
    </w:p>
    <w:p>
      <w:pPr>
        <w:pStyle w:val="TextBody"/>
        <w:spacing w:lineRule="auto" w:line="288" w:before="0" w:after="240"/>
        <w:ind w:left="0" w:right="0" w:firstLine="1440"/>
        <w:jc w:val="both"/>
        <w:rPr/>
      </w:pPr>
      <w:r>
        <w:rPr>
          <w:rFonts w:ascii="Times New Roman;sans-serif" w:hAnsi="Times New Roman;sans-serif"/>
          <w:b w:val="false"/>
          <w:color w:val="000000"/>
          <w:sz w:val="24"/>
        </w:rPr>
        <w:t>The term “</w:t>
      </w:r>
      <w:r>
        <w:rPr>
          <w:rFonts w:ascii="Times New Roman;sans-serif" w:hAnsi="Times New Roman;sans-serif"/>
          <w:b w:val="false"/>
          <w:color w:val="000000"/>
          <w:sz w:val="24"/>
          <w:u w:val="single"/>
        </w:rPr>
        <w:t>Termination Option Event</w:t>
      </w:r>
      <w:r>
        <w:rPr>
          <w:color w:val="000000"/>
        </w:rPr>
        <w:t xml:space="preserve">” </w:t>
      </w:r>
      <w:r>
        <w:rPr>
          <w:rFonts w:ascii="Times New Roman;sans-serif" w:hAnsi="Times New Roman;sans-serif"/>
          <w:b w:val="false"/>
          <w:color w:val="000000"/>
          <w:sz w:val="24"/>
        </w:rPr>
        <w:t>shall mean any of the following events or conditions:</w:t>
      </w:r>
      <w:r>
        <w:br w:type="page"/>
      </w:r>
    </w:p>
    <w:p>
      <w:pPr>
        <w:pStyle w:val="TextBody"/>
        <w:spacing w:before="120" w:after="240"/>
        <w:jc w:val="center"/>
        <w:rPr/>
      </w:pPr>
      <w:r>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6480175" cy="869950"/>
                <wp:effectExtent l="0" t="0" r="0" b="0"/>
                <wp:wrapNone/>
                <wp:docPr id="246" name="Frame244"/>
                <a:graphic xmlns:a="http://schemas.openxmlformats.org/drawingml/2006/main">
                  <a:graphicData uri="http://schemas.microsoft.com/office/word/2010/wordprocessingShape">
                    <wps:wsp>
                      <wps:cNvSpPr txBox="1"/>
                      <wps:spPr>
                        <a:xfrm>
                          <a:off x="0" y="0"/>
                          <a:ext cx="6480175" cy="869950"/>
                        </a:xfrm>
                        <a:prstGeom prst="rect"/>
                      </wps:spPr>
                      <wps:txbx>
                        <w:txbxContent>
                          <w:p>
                            <w:pPr>
                              <w:pStyle w:val="TextBody"/>
                              <w:spacing w:lineRule="auto" w:line="288"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-5-</w:t>
                            </w:r>
                          </w:p>
                          <w:p>
                            <w:pPr>
                              <w:pStyle w:val="TextBody"/>
                              <w:spacing w:before="24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8.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spacing w:lineRule="auto" w:line="288"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-5-</w:t>
                      </w:r>
                    </w:p>
                    <w:p>
                      <w:pPr>
                        <w:pStyle w:val="TextBody"/>
                        <w:spacing w:before="240" w:after="283"/>
                        <w:jc w:val="center"/>
                        <w:rPr/>
                      </w:pPr>
                      <w:r>
                        <w:rPr/>
                      </w:r>
                    </w:p>
                  </w:txbxContent>
                </v:textbox>
              </v:rect>
            </w:pict>
          </mc:Fallback>
        </mc:AlternateContent>
      </w:r>
    </w:p>
    <w:p>
      <w:pPr>
        <w:pStyle w:val="TextBody"/>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    the Company institutes proceedings to be adjudicated as bankrupt or insolvent, consents to the institution of bankruptcy or insolvency proceedings against it, files a petition or answer or consent seeking reorganization or relief under any applicable law in respect of bankruptcy or insolvency, consents to the filing of any petition of that kind or to the appointment of a receiver, liquidator, assignee, trustee, custodian or sequestrator (or other similar official) of it or any substantial part of its property or makes an assignment for the benefit of creditors, or admits its inability to pay its debts as they become due in the ordinary course of business;</w:t>
      </w:r>
    </w:p>
    <w:p>
      <w:pPr>
        <w:pStyle w:val="TextBody"/>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(ii)    the American Depositary Shares are delisted from a stock exchange in the United States on which the American Depositary Shares were listed and, 30 days after that delisting, the American Depositary Shares have not been listed on another stock exchange in the United States, nor is there a symbol available for over-the-counter trading of the American Depositary Shares in the United States; or</w:t>
      </w:r>
    </w:p>
    <w:p>
      <w:pPr>
        <w:pStyle w:val="TextBody"/>
        <w:spacing w:lineRule="auto" w:line="288" w:before="0" w:after="240"/>
        <w:ind w:left="0" w:right="0" w:firstLine="1440"/>
        <w:jc w:val="both"/>
        <w:rPr/>
      </w:pPr>
      <w:r>
        <w:rPr>
          <w:rFonts w:ascii="Times New Roman;sans-serif" w:hAnsi="Times New Roman;sans-serif"/>
          <w:b w:val="false"/>
          <w:color w:val="000000"/>
          <w:sz w:val="24"/>
        </w:rPr>
        <w:t xml:space="preserve">(iii)    an event or condition that is defined as a </w:t>
      </w:r>
      <w:r>
        <w:rPr>
          <w:rFonts w:ascii="Times New Roman;sans-serif" w:hAnsi="Times New Roman;sans-serif"/>
          <w:b w:val="false"/>
          <w:color w:val="000000"/>
          <w:sz w:val="24"/>
          <w:u w:val="single"/>
        </w:rPr>
        <w:t>Termination Option Event</w:t>
      </w:r>
      <w:r>
        <w:rPr>
          <w:color w:val="000000"/>
        </w:rPr>
        <w:t xml:space="preserve"> </w:t>
      </w:r>
      <w:r>
        <w:rPr>
          <w:rFonts w:ascii="Times New Roman;sans-serif" w:hAnsi="Times New Roman;sans-serif"/>
          <w:b w:val="false"/>
          <w:color w:val="000000"/>
          <w:sz w:val="24"/>
        </w:rPr>
        <w:t>in Section 4.1, 4.2 or 4.8.</w:t>
      </w:r>
    </w:p>
    <w:p>
      <w:pPr>
        <w:pStyle w:val="TextBody"/>
        <w:spacing w:lineRule="auto" w:line="288" w:before="0" w:after="240"/>
        <w:ind w:left="0" w:right="0" w:hanging="1496"/>
        <w:jc w:val="both"/>
        <w:rPr>
          <w:rFonts w:ascii="Times New Roman;sans-serif" w:hAnsi="Times New Roman;sans-serif"/>
          <w:b w:val="false"/>
          <w:color w:val="000000"/>
          <w:sz w:val="24"/>
        </w:rPr>
      </w:pPr>
      <w:r>
        <w:rPr>
          <w:rFonts w:ascii="Times New Roman;sans-serif" w:hAnsi="Times New Roman;sans-serif"/>
          <w:b w:val="false"/>
          <w:color w:val="000000"/>
          <w:sz w:val="24"/>
        </w:rPr>
        <w:t>ARTICLE 2.FORM OF RECEIPTS, DEPOSIT OF SHARES, DELIVERY, TRANSFER AND SURRENDER OF AMERICAN DEPOSITARY SHARES</w:t>
      </w:r>
    </w:p>
    <w:p>
      <w:pPr>
        <w:pStyle w:val="TextBody"/>
        <w:spacing w:lineRule="auto" w:line="288" w:before="0" w:after="240"/>
        <w:ind w:left="0" w:right="0" w:firstLine="1080"/>
        <w:jc w:val="both"/>
        <w:rPr/>
      </w:pPr>
      <w:r>
        <w:rPr>
          <w:rFonts w:ascii="Times New Roman;sans-serif" w:hAnsi="Times New Roman;sans-serif"/>
          <w:b w:val="false"/>
          <w:color w:val="000000"/>
          <w:sz w:val="24"/>
        </w:rPr>
        <w:t>SECTION 2.1        </w:t>
      </w:r>
      <w:r>
        <w:rPr>
          <w:rFonts w:ascii="Times New Roman;sans-serif" w:hAnsi="Times New Roman;sans-serif"/>
          <w:b w:val="false"/>
          <w:color w:val="000000"/>
          <w:sz w:val="24"/>
          <w:u w:val="single"/>
        </w:rPr>
        <w:t>Form of Receipts; Registration and Transferability of American Depositary Shares.</w:t>
      </w:r>
    </w:p>
    <w:p>
      <w:pPr>
        <w:pStyle w:val="TextBody"/>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Definitive Receipts shall be substantially in the form set forth in Exhibit A to this Deposit Agreement, with appropriate insertions, modifications and omissions, as permitted under this Deposit Agreement. No Receipt shall be entitled to any benefits under this Deposit Agreement or be valid or obligatory for any purpose, unless that Receipt has been (i) executed by the Depositary by the manual signature of a duly authorized officer of the Depositary or (ii) executed by the facsimile signature of a duly authorized officer of the Depositary and countersigned by the manual signature of a duly authorized signatory of the Depositary or the Registrar or a co-registrar. The Depositary shall maintain books on which (x) each Receipt so executed and delivered as provided in this Deposit Agreement and each transfer of that Receipt and (y) all American Depositary Shares delivered as provided in this Deposit Agreement and all registrations of transfer of American Depositary Shares, shall be registered. A Receipt bearing the facsimile signature of a person that was at any time a proper officer of the Depositary shall, subject to the other provisions of this paragraph, bind the Depositary, even if that person was not a proper officer of the Depositary on the date of issuance of that Receipt. </w:t>
      </w:r>
    </w:p>
    <w:p>
      <w:pPr>
        <w:pStyle w:val="TextBody"/>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The Receipts and statements confirming registration of American Depositary Shares may have incorporated in or attached to them such legends or recitals </w:t>
      </w:r>
      <w:r>
        <w:br w:type="page"/>
      </w:r>
    </w:p>
    <w:p>
      <w:pPr>
        <w:pStyle w:val="TextBody"/>
        <w:spacing w:before="120" w:after="240"/>
        <w:jc w:val="center"/>
        <w:rPr/>
      </w:pPr>
      <w:r>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6480175" cy="869950"/>
                <wp:effectExtent l="0" t="0" r="0" b="0"/>
                <wp:wrapNone/>
                <wp:docPr id="247" name="Frame245"/>
                <a:graphic xmlns:a="http://schemas.openxmlformats.org/drawingml/2006/main">
                  <a:graphicData uri="http://schemas.microsoft.com/office/word/2010/wordprocessingShape">
                    <wps:wsp>
                      <wps:cNvSpPr txBox="1"/>
                      <wps:spPr>
                        <a:xfrm>
                          <a:off x="0" y="0"/>
                          <a:ext cx="6480175" cy="869950"/>
                        </a:xfrm>
                        <a:prstGeom prst="rect"/>
                      </wps:spPr>
                      <wps:txbx>
                        <w:txbxContent>
                          <w:p>
                            <w:pPr>
                              <w:pStyle w:val="TextBody"/>
                              <w:spacing w:lineRule="auto" w:line="288"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-6-</w:t>
                            </w:r>
                          </w:p>
                          <w:p>
                            <w:pPr>
                              <w:pStyle w:val="TextBody"/>
                              <w:spacing w:before="24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8.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spacing w:lineRule="auto" w:line="288"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-6-</w:t>
                      </w:r>
                    </w:p>
                    <w:p>
                      <w:pPr>
                        <w:pStyle w:val="TextBody"/>
                        <w:spacing w:before="240" w:after="283"/>
                        <w:jc w:val="center"/>
                        <w:rPr/>
                      </w:pPr>
                      <w:r>
                        <w:rPr/>
                      </w:r>
                    </w:p>
                  </w:txbxContent>
                </v:textbox>
              </v:rect>
            </w:pict>
          </mc:Fallback>
        </mc:AlternateContent>
      </w:r>
    </w:p>
    <w:p>
      <w:pPr>
        <w:pStyle w:val="TextBody"/>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or modifications not inconsistent with the provisions of this Deposit Agreement as may be reasonably required by the Depositary or required to comply with any applicable law or regulations thereunder or with the rules and regulations of any securities exchange upon which American Depositary Shares may be listed or to conform with any usage with respect thereto, or to indicate any special limitations or restrictions to which any particular Receipts and American Depositary Shares are subject by reason of the date of issuance of the underlying Deposited Securities or otherwise.</w:t>
      </w:r>
    </w:p>
    <w:p>
      <w:pPr>
        <w:pStyle w:val="TextBody"/>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American Depositary Shares evidenced by a Receipt, when the Receipt is properly endorsed or accompanied by proper instruments of transfer, shall be transferable as certificated registered securities under the laws of the State of New York. American Depositary Shares not evidenced by Receipts shall be transferable as uncertificated registered securities under the laws of the State of New York. The Depositary, notwithstanding any notice to the contrary, may treat the Owner of American Depositary Shares as the absolute owner thereof for the purpose of determining the person entitled to distribution of dividends or other distributions or to any notice provided for in this Deposit Agreement and for all other purposes, and neither the Depositary nor the Company shall have any obligation or be subject to any liability under this Deposit Agreement to any Holder of American Depositary Shares (but only to the Owner of those American Depositary Shares).</w:t>
      </w:r>
    </w:p>
    <w:p>
      <w:pPr>
        <w:pStyle w:val="TextBody"/>
        <w:spacing w:lineRule="auto" w:line="288" w:before="0" w:after="240"/>
        <w:ind w:left="0" w:right="0" w:firstLine="1080"/>
        <w:jc w:val="both"/>
        <w:rPr/>
      </w:pPr>
      <w:r>
        <w:rPr>
          <w:rFonts w:ascii="Times New Roman;sans-serif" w:hAnsi="Times New Roman;sans-serif"/>
          <w:b w:val="false"/>
          <w:color w:val="000000"/>
          <w:sz w:val="24"/>
        </w:rPr>
        <w:t xml:space="preserve">SECTION 2.2 </w:t>
      </w:r>
      <w:r>
        <w:rPr>
          <w:rFonts w:ascii="Times New Roman;sans-serif" w:hAnsi="Times New Roman;sans-serif"/>
          <w:b w:val="false"/>
          <w:color w:val="000000"/>
          <w:sz w:val="24"/>
          <w:u w:val="single"/>
        </w:rPr>
        <w:t>Deposit of Shares.</w:t>
      </w:r>
    </w:p>
    <w:p>
      <w:pPr>
        <w:pStyle w:val="TextBody"/>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Subject to the terms and conditions of this Deposit Agreement, Shares or evidence of rights to receive Shares may be deposited under this Deposit Agreement by delivery thereof to any Custodian, accompanied by any appropriate instruments or instructions for transfer, or endorsement, in form satisfactory to the Custodian.</w:t>
      </w:r>
    </w:p>
    <w:p>
      <w:pPr>
        <w:pStyle w:val="TextBody"/>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The Depositary shall refuse, and shall instruct the Custodian to refuse, to accept Shares for deposit if the Depositary has received a notice from the Company that the Company has restricted transfer of those Shares under the Company’s articles of association or any applicable laws or that the deposit would result in any violation of the Company’s articles of association or any applicable laws. The Company shall notify the Depositary in writing with respect to any restrictions on transfer of its Shares for deposit under this Deposit Agreement.</w:t>
      </w:r>
    </w:p>
    <w:p>
      <w:pPr>
        <w:pStyle w:val="TextBody"/>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As conditions of accepting Shares for deposit, the Depositary may require (i) any certification as may be reasonably required by the Depositary or the Custodian in accordance with the provisions of this Deposit Agreement, (ii) a written order directing the Depositary to deliver to, or upon the written order of, the person or persons stated in that order American Depositary Shares representing those deposited Shares, (iii) evidence satisfactory to the Depositary that those Shares have been re-registered in the books of the Company or the Foreign Registrar in the name of the Depositary, a Custodian or a </w:t>
      </w:r>
      <w:r>
        <w:br w:type="page"/>
      </w:r>
    </w:p>
    <w:p>
      <w:pPr>
        <w:pStyle w:val="TextBody"/>
        <w:spacing w:before="120" w:after="240"/>
        <w:jc w:val="center"/>
        <w:rPr/>
      </w:pPr>
      <w:r>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6480175" cy="869950"/>
                <wp:effectExtent l="0" t="0" r="0" b="0"/>
                <wp:wrapNone/>
                <wp:docPr id="248" name="Frame246"/>
                <a:graphic xmlns:a="http://schemas.openxmlformats.org/drawingml/2006/main">
                  <a:graphicData uri="http://schemas.microsoft.com/office/word/2010/wordprocessingShape">
                    <wps:wsp>
                      <wps:cNvSpPr txBox="1"/>
                      <wps:spPr>
                        <a:xfrm>
                          <a:off x="0" y="0"/>
                          <a:ext cx="6480175" cy="869950"/>
                        </a:xfrm>
                        <a:prstGeom prst="rect"/>
                      </wps:spPr>
                      <wps:txbx>
                        <w:txbxContent>
                          <w:p>
                            <w:pPr>
                              <w:pStyle w:val="TextBody"/>
                              <w:spacing w:lineRule="auto" w:line="288"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-7-</w:t>
                            </w:r>
                          </w:p>
                          <w:p>
                            <w:pPr>
                              <w:pStyle w:val="TextBody"/>
                              <w:spacing w:before="24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8.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spacing w:lineRule="auto" w:line="288"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-7-</w:t>
                      </w:r>
                    </w:p>
                    <w:p>
                      <w:pPr>
                        <w:pStyle w:val="TextBody"/>
                        <w:spacing w:before="240" w:after="283"/>
                        <w:jc w:val="center"/>
                        <w:rPr/>
                      </w:pPr>
                      <w:r>
                        <w:rPr/>
                      </w:r>
                    </w:p>
                  </w:txbxContent>
                </v:textbox>
              </v:rect>
            </w:pict>
          </mc:Fallback>
        </mc:AlternateContent>
      </w:r>
    </w:p>
    <w:p>
      <w:pPr>
        <w:pStyle w:val="TextBody"/>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nominee of the Depositary or a Custodian, (iv) evidence satisfactory to the Depositary that any necessary approval for the transfer or deposit has been granted by any governmental body in each applicable jurisdiction and (v) an agreement or assignment, or other instrument satisfactory to the Depositary, that provides for the prompt transfer to the Custodian of any dividend, or right to subscribe for additional Shares or to receive other property, that any person in whose name those Shares are or have been recorded may thereafter receive upon or in respect of those Shares, or, in lieu thereof, such agreement of indemnity or other agreement as shall be satisfactory to the Depositary.</w:t>
      </w:r>
    </w:p>
    <w:p>
      <w:pPr>
        <w:pStyle w:val="TextBody"/>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At the request and risk and expense of a person proposing to deposit Shares, and for the account of that person, the Depositary may receive certificates for Shares to be deposited, together with the other instruments specified in this Section, for the purpose of forwarding those Share certificates to the Custodian for deposit under this Deposit Agreement.</w:t>
      </w:r>
    </w:p>
    <w:p>
      <w:pPr>
        <w:pStyle w:val="TextBody"/>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The Depositary shall instruct each Custodian that, upon each delivery to a Custodian of a certificate or certificates for Shares to be deposited under this Deposit Agreement, together with the other documents specified in this Section, that Custodian shall, as soon as transfer and recordation can be accomplished, present that certificate or those certificates to the Company or the Foreign Registrar, if applicable, for transfer and recordation of the Shares being deposited in the name of the Depositary or its nominee or that Custodian or its nominee.</w:t>
      </w:r>
    </w:p>
    <w:p>
      <w:pPr>
        <w:pStyle w:val="TextBody"/>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Deposited Securities shall be held by the Depositary or by a Custodian for the account and to the order of the Depositary or at such other place or places as the Depositary shall determine.</w:t>
      </w:r>
    </w:p>
    <w:p>
      <w:pPr>
        <w:pStyle w:val="TextBody"/>
        <w:spacing w:lineRule="auto" w:line="288" w:before="0" w:after="240"/>
        <w:ind w:left="0" w:right="0" w:firstLine="1080"/>
        <w:jc w:val="both"/>
        <w:rPr/>
      </w:pPr>
      <w:r>
        <w:rPr>
          <w:rFonts w:ascii="Times New Roman;sans-serif" w:hAnsi="Times New Roman;sans-serif"/>
          <w:b w:val="false"/>
          <w:color w:val="000000"/>
          <w:sz w:val="24"/>
        </w:rPr>
        <w:t xml:space="preserve">SECTION 2.3 </w:t>
      </w:r>
      <w:r>
        <w:rPr>
          <w:rFonts w:ascii="Times New Roman;sans-serif" w:hAnsi="Times New Roman;sans-serif"/>
          <w:b w:val="false"/>
          <w:color w:val="000000"/>
          <w:sz w:val="24"/>
          <w:u w:val="single"/>
        </w:rPr>
        <w:t>Delivery of American Depositary Shares.</w:t>
      </w:r>
    </w:p>
    <w:p>
      <w:pPr>
        <w:pStyle w:val="TextBody"/>
        <w:spacing w:lineRule="auto" w:line="288" w:before="0" w:after="240"/>
        <w:ind w:left="0" w:right="0" w:firstLine="1440"/>
        <w:jc w:val="both"/>
        <w:rPr/>
      </w:pPr>
      <w:r>
        <w:rPr>
          <w:rFonts w:ascii="Times New Roman;sans-serif" w:hAnsi="Times New Roman;sans-serif"/>
          <w:b w:val="false"/>
          <w:color w:val="000000"/>
          <w:sz w:val="24"/>
        </w:rPr>
        <w:t xml:space="preserve">The Depositary shall instruct each Custodian that, upon receipt by that Custodian of any deposit pursuant to Section 2.2, together with the other documents or evidence required under that Section, that Custodian shall notify the Depositary of that deposit and the person or persons to whom or upon whose written order American Depositary Shares are deliverable in respect thereof. Upon receiving a notice of a deposit from a Custodian, or upon the receipt of Shares or evidence of the right to receive Shares by the Depositary, the Depositary, subject to the terms and conditions of this Deposit Agreement, shall deliver, to or upon the order of the person or persons entitled thereto, the number of American Depositary Shares issuable in respect of that deposit, but only upon payment to the Depositary of the fees and expenses of the Depositary for the delivery of those American Depositary Shares as provided in Section 5.9, and of all taxes and governmental charges and fees payable in connection with that deposit and the transfer of the deposited Shares.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the Depositary shall deliver only whole numbers of American Depositary Shares.</w:t>
      </w:r>
      <w:r>
        <w:br w:type="page"/>
      </w:r>
    </w:p>
    <w:p>
      <w:pPr>
        <w:pStyle w:val="TextBody"/>
        <w:spacing w:before="120" w:after="240"/>
        <w:jc w:val="center"/>
        <w:rPr/>
      </w:pPr>
      <w:r>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6480175" cy="869950"/>
                <wp:effectExtent l="0" t="0" r="0" b="0"/>
                <wp:wrapNone/>
                <wp:docPr id="249" name="Frame247"/>
                <a:graphic xmlns:a="http://schemas.openxmlformats.org/drawingml/2006/main">
                  <a:graphicData uri="http://schemas.microsoft.com/office/word/2010/wordprocessingShape">
                    <wps:wsp>
                      <wps:cNvSpPr txBox="1"/>
                      <wps:spPr>
                        <a:xfrm>
                          <a:off x="0" y="0"/>
                          <a:ext cx="6480175" cy="869950"/>
                        </a:xfrm>
                        <a:prstGeom prst="rect"/>
                      </wps:spPr>
                      <wps:txbx>
                        <w:txbxContent>
                          <w:p>
                            <w:pPr>
                              <w:pStyle w:val="TextBody"/>
                              <w:spacing w:lineRule="auto" w:line="288"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-8-</w:t>
                            </w:r>
                          </w:p>
                          <w:p>
                            <w:pPr>
                              <w:pStyle w:val="TextBody"/>
                              <w:spacing w:before="24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8.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spacing w:lineRule="auto" w:line="288"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-8-</w:t>
                      </w:r>
                    </w:p>
                    <w:p>
                      <w:pPr>
                        <w:pStyle w:val="TextBody"/>
                        <w:spacing w:before="240" w:after="283"/>
                        <w:jc w:val="center"/>
                        <w:rPr/>
                      </w:pPr>
                      <w:r>
                        <w:rPr/>
                      </w:r>
                    </w:p>
                  </w:txbxContent>
                </v:textbox>
              </v:rect>
            </w:pict>
          </mc:Fallback>
        </mc:AlternateContent>
      </w:r>
    </w:p>
    <w:p>
      <w:pPr>
        <w:pStyle w:val="TextBody"/>
        <w:spacing w:lineRule="auto" w:line="288" w:before="0" w:after="240"/>
        <w:ind w:left="0" w:right="0" w:firstLine="1080"/>
        <w:jc w:val="both"/>
        <w:rPr/>
      </w:pPr>
      <w:r>
        <w:rPr>
          <w:rFonts w:ascii="Times New Roman;sans-serif" w:hAnsi="Times New Roman;sans-serif"/>
          <w:b w:val="false"/>
          <w:color w:val="000000"/>
          <w:sz w:val="24"/>
        </w:rPr>
        <w:t xml:space="preserve">SECTION 2.4 </w:t>
      </w:r>
      <w:r>
        <w:rPr>
          <w:rFonts w:ascii="Times New Roman;sans-serif" w:hAnsi="Times New Roman;sans-serif"/>
          <w:b w:val="false"/>
          <w:color w:val="000000"/>
          <w:sz w:val="24"/>
          <w:u w:val="single"/>
        </w:rPr>
        <w:t>Registration of Transfer of American Depositary Shares; Combination and Split-up of Receipts; Interchange of Certificated and Uncertificated American Depositary Shares.</w:t>
      </w:r>
    </w:p>
    <w:p>
      <w:pPr>
        <w:pStyle w:val="TextBody"/>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The Depositary, subject to the terms and conditions of this Deposit Agreement, shall register a transfer of American Depositary Shares on its transfer books upon (i) in the case of certificated American Depositary Shares, surrender of the Receipt evidencing those American Depositary Shares, by the Owner or by a duly authorized attorney, properly endorsed or accompanied by proper instruments of transfer or (ii) in the case of uncertificated American Depositary Shares, receipt from the Owner of a proper instruction (including, for the avoidance of doubt, instructions through DRS and Profile as provided in Section 2.9), and, in either case, duly stamped as may be required by the laws of the State of New York and of the United States of America. Upon registration of a transfer, the Depositary shall deliver the transferred American Depositary Shares to or upon the order of the person entitled thereto. </w:t>
      </w:r>
    </w:p>
    <w:p>
      <w:pPr>
        <w:pStyle w:val="TextBody"/>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The Depositary, subject to the terms and conditions of this Deposit Agreement, shall upon surrender of a Receipt or Receipts for the purpose of effecting a split-up or combination of such Receipt or Receipts, execute and deliver a new Receipt or Receipts for any authorized number of American Depositary Shares requested, evidencing the same aggregate number of American Depositary Shares as the Receipt or Receipts surrendered.</w:t>
      </w:r>
    </w:p>
    <w:p>
      <w:pPr>
        <w:pStyle w:val="TextBody"/>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The Depositary, upon surrender of certificated American Depositary Shares for the purpose of exchanging for uncertificated American Depositary Shares, shall cancel the Receipt evidencing those certificated American Depositary Shares and send the Owner a statement confirming that the Owner is the owner of the same number of uncertificated American Depositary Shares. The Depositary, upon receipt of a proper instruction (including, for the avoidance of doubt, instructions through DRS and Profile as provided in Section 2.9) from the Owner of uncertificated American Depositary Shares for the purpose of exchanging for certificated American Depositary Shares, shall cancel those uncertificated American Depositary Shares and register and deliver to the Owner a Receipt evidencing the same number of certificated American Depositary Shares.</w:t>
      </w:r>
    </w:p>
    <w:p>
      <w:pPr>
        <w:pStyle w:val="TextBody"/>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The Depositary may appoint one or more co-transfer agents for the purpose of effecting registration of transfers of American Depositary Shares and combinations and split-ups of Receipts at designated transfer offices on behalf of the Depositary. In carrying out its functions, a co-transfer agent may require evidence of authority and compliance with applicable laws and other requirements by Owners or persons entitled to American Depositary Shares and will be entitled to protection and indemnity to the same extent as the Depositary. </w:t>
      </w:r>
      <w:r>
        <w:br w:type="page"/>
      </w:r>
    </w:p>
    <w:p>
      <w:pPr>
        <w:pStyle w:val="TextBody"/>
        <w:spacing w:before="120" w:after="240"/>
        <w:jc w:val="center"/>
        <w:rPr/>
      </w:pPr>
      <w:r>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6480175" cy="869950"/>
                <wp:effectExtent l="0" t="0" r="0" b="0"/>
                <wp:wrapNone/>
                <wp:docPr id="250" name="Frame248"/>
                <a:graphic xmlns:a="http://schemas.openxmlformats.org/drawingml/2006/main">
                  <a:graphicData uri="http://schemas.microsoft.com/office/word/2010/wordprocessingShape">
                    <wps:wsp>
                      <wps:cNvSpPr txBox="1"/>
                      <wps:spPr>
                        <a:xfrm>
                          <a:off x="0" y="0"/>
                          <a:ext cx="6480175" cy="869950"/>
                        </a:xfrm>
                        <a:prstGeom prst="rect"/>
                      </wps:spPr>
                      <wps:txbx>
                        <w:txbxContent>
                          <w:p>
                            <w:pPr>
                              <w:pStyle w:val="TextBody"/>
                              <w:spacing w:lineRule="auto" w:line="288"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-9-</w:t>
                            </w:r>
                          </w:p>
                          <w:p>
                            <w:pPr>
                              <w:pStyle w:val="TextBody"/>
                              <w:spacing w:before="24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8.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spacing w:lineRule="auto" w:line="288"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-9-</w:t>
                      </w:r>
                    </w:p>
                    <w:p>
                      <w:pPr>
                        <w:pStyle w:val="TextBody"/>
                        <w:spacing w:before="240" w:after="283"/>
                        <w:jc w:val="center"/>
                        <w:rPr/>
                      </w:pPr>
                      <w:r>
                        <w:rPr/>
                      </w:r>
                    </w:p>
                  </w:txbxContent>
                </v:textbox>
              </v:rect>
            </w:pict>
          </mc:Fallback>
        </mc:AlternateContent>
      </w:r>
    </w:p>
    <w:p>
      <w:pPr>
        <w:pStyle w:val="TextBody"/>
        <w:spacing w:lineRule="auto" w:line="288" w:before="0" w:after="240"/>
        <w:ind w:left="0" w:right="0" w:firstLine="1080"/>
        <w:jc w:val="both"/>
        <w:rPr/>
      </w:pPr>
      <w:r>
        <w:rPr>
          <w:rFonts w:ascii="Times New Roman;sans-serif" w:hAnsi="Times New Roman;sans-serif"/>
          <w:b w:val="false"/>
          <w:color w:val="000000"/>
          <w:sz w:val="24"/>
        </w:rPr>
        <w:t xml:space="preserve">SECTION 2.5 </w:t>
      </w:r>
      <w:r>
        <w:rPr>
          <w:rFonts w:ascii="Times New Roman;sans-serif" w:hAnsi="Times New Roman;sans-serif"/>
          <w:b w:val="false"/>
          <w:color w:val="000000"/>
          <w:sz w:val="24"/>
          <w:u w:val="single"/>
        </w:rPr>
        <w:t>Surrender of American Depositary Shares and Withdrawal of Deposited Securities.</w:t>
      </w:r>
    </w:p>
    <w:p>
      <w:pPr>
        <w:pStyle w:val="TextBody"/>
        <w:spacing w:lineRule="auto" w:line="288" w:before="0" w:after="240"/>
        <w:ind w:left="0" w:right="0" w:firstLine="1440"/>
        <w:jc w:val="both"/>
        <w:rPr/>
      </w:pPr>
      <w:r>
        <w:rPr>
          <w:rFonts w:ascii="Times New Roman;sans-serif" w:hAnsi="Times New Roman;sans-serif"/>
          <w:b w:val="false"/>
          <w:color w:val="000000"/>
          <w:sz w:val="24"/>
        </w:rPr>
        <w:t xml:space="preserve">Upon surrender of American Depositary Shares for the purpose of withdrawal of the Deposited Securities represented thereby and payment of the fee of the Depositary for the surrender of American Depositary Shares as provided in Section 5.9 and payment of all taxes and governmental charges payable in connection with that surrender and withdrawal of the Deposited Securities, and subject to the terms and conditions of this Deposit Agreement, the Owner of those American Depositary Shares shall be entitled to delivery (to the extent delivery can then be lawfully and practicably made), to or as instructed by that Owner, of the amount of Deposited Securities at the time represented by those American Depositary Shares, </w:t>
      </w:r>
      <w:r>
        <w:rPr>
          <w:rFonts w:ascii="Times New Roman;sans-serif" w:hAnsi="Times New Roman;sans-serif"/>
          <w:b w:val="false"/>
          <w:color w:val="000000"/>
          <w:sz w:val="24"/>
          <w:u w:val="single"/>
        </w:rPr>
        <w:t>but not</w:t>
      </w:r>
      <w:r>
        <w:rPr>
          <w:color w:val="000000"/>
        </w:rPr>
        <w:t xml:space="preserve"> </w:t>
      </w:r>
      <w:r>
        <w:rPr>
          <w:rFonts w:ascii="Times New Roman;sans-serif" w:hAnsi="Times New Roman;sans-serif"/>
          <w:b w:val="false"/>
          <w:color w:val="000000"/>
          <w:sz w:val="24"/>
        </w:rPr>
        <w:t xml:space="preserve">any money or other property as to which a record date for distribution to Owners has passed (since money or other property of that kind will be delivered or paid on the scheduled payment date to the Owner as of that record date), </w:t>
      </w:r>
      <w:r>
        <w:rPr>
          <w:rFonts w:ascii="Times New Roman;sans-serif" w:hAnsi="Times New Roman;sans-serif"/>
          <w:b w:val="false"/>
          <w:color w:val="000000"/>
          <w:sz w:val="24"/>
          <w:u w:val="single"/>
        </w:rPr>
        <w:t>and except that</w:t>
      </w:r>
      <w:r>
        <w:rPr>
          <w:color w:val="000000"/>
        </w:rPr>
        <w:t xml:space="preserve"> </w:t>
      </w:r>
      <w:r>
        <w:rPr>
          <w:rFonts w:ascii="Times New Roman;sans-serif" w:hAnsi="Times New Roman;sans-serif"/>
          <w:b w:val="false"/>
          <w:color w:val="000000"/>
          <w:sz w:val="24"/>
        </w:rPr>
        <w:t>the Depositary shall not be required to accept surrender of American Depositary Shares for the purpose of withdrawal to the extent it would require delivery of a fraction of a Deposited Security. That delivery shall be made, as provided in this Section, without unreasonable delay.</w:t>
      </w:r>
    </w:p>
    <w:p>
      <w:pPr>
        <w:pStyle w:val="TextBody"/>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As a condition of accepting a surrender of American Depositary Shares for the purpose of withdrawal of Deposited Securities, the Depositary may require (i) that each surrendered Receipt be properly endorsed in blank or accompanied by proper instruments of transfer in blank and (ii) that the surrendering Owner execute and deliver to the Depositary a written order directing the Depositary to cause the Deposited Securities being withdrawn to be delivered to or upon the written order of a person or persons designated in that order. </w:t>
      </w:r>
    </w:p>
    <w:p>
      <w:pPr>
        <w:pStyle w:val="TextBody"/>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Thereupon, the Depositary shall direct the Custodian to deliver, subject to Sections 2.6, 3.1 and 3.2, the other terms and conditions of this Deposit Agreement and local market rules and practices, to the surrendering Owner or to or upon the written order of the person or persons designated in the order delivered to the Depositary as above provided, the amount of Deposited Securities represented by the surrendered American Depositary Shares, and the Depositary may charge the surrendering Owner a fee and its expenses for giving that direction by cable (including SWIFT) or facsimile transmission.</w:t>
      </w:r>
    </w:p>
    <w:p>
      <w:pPr>
        <w:pStyle w:val="TextBody"/>
        <w:spacing w:lineRule="auto" w:line="288" w:before="0" w:after="240"/>
        <w:ind w:left="0" w:right="0" w:firstLine="1440"/>
        <w:jc w:val="both"/>
        <w:rPr/>
      </w:pPr>
      <w:r>
        <w:rPr>
          <w:rFonts w:ascii="Times New Roman;sans-serif" w:hAnsi="Times New Roman;sans-serif"/>
          <w:b w:val="false"/>
          <w:color w:val="000000"/>
          <w:sz w:val="24"/>
        </w:rPr>
        <w:t xml:space="preserve">If Deposited Securities are delivered physically upon surrender of American Depositary Shares for the purpose of withdrawal, that delivery will be made at the Custodian’s office, </w:t>
      </w:r>
      <w:r>
        <w:rPr>
          <w:rFonts w:ascii="Times New Roman;sans-serif" w:hAnsi="Times New Roman;sans-serif"/>
          <w:b w:val="false"/>
          <w:color w:val="000000"/>
          <w:sz w:val="24"/>
          <w:u w:val="single"/>
        </w:rPr>
        <w:t>except that</w:t>
      </w:r>
      <w:r>
        <w:rPr>
          <w:rFonts w:ascii="Times New Roman;sans-serif" w:hAnsi="Times New Roman;sans-serif"/>
          <w:b w:val="false"/>
          <w:color w:val="000000"/>
          <w:sz w:val="24"/>
        </w:rPr>
        <w:t xml:space="preserve">, at the request, risk and expense of an Owner surrendering American Depositary Shares for withdrawal of Deposited Securities, and for the account of that Owner, the Depositary shall direct the Custodian to forward any cash or other property comprising, and forward a certificate or certificates, if applicable, and other proper documents of title, if any, for, the Deposited Securities represented by the </w:t>
      </w:r>
      <w:r>
        <w:br w:type="page"/>
      </w:r>
    </w:p>
    <w:p>
      <w:pPr>
        <w:pStyle w:val="TextBody"/>
        <w:spacing w:before="120" w:after="240"/>
        <w:jc w:val="center"/>
        <w:rPr/>
      </w:pPr>
      <w:r>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6480175" cy="869950"/>
                <wp:effectExtent l="0" t="0" r="0" b="0"/>
                <wp:wrapNone/>
                <wp:docPr id="251" name="Frame249"/>
                <a:graphic xmlns:a="http://schemas.openxmlformats.org/drawingml/2006/main">
                  <a:graphicData uri="http://schemas.microsoft.com/office/word/2010/wordprocessingShape">
                    <wps:wsp>
                      <wps:cNvSpPr txBox="1"/>
                      <wps:spPr>
                        <a:xfrm>
                          <a:off x="0" y="0"/>
                          <a:ext cx="6480175" cy="869950"/>
                        </a:xfrm>
                        <a:prstGeom prst="rect"/>
                      </wps:spPr>
                      <wps:txbx>
                        <w:txbxContent>
                          <w:p>
                            <w:pPr>
                              <w:pStyle w:val="TextBody"/>
                              <w:spacing w:lineRule="auto" w:line="288"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-10-</w:t>
                            </w:r>
                          </w:p>
                          <w:p>
                            <w:pPr>
                              <w:pStyle w:val="TextBody"/>
                              <w:spacing w:before="24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8.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spacing w:lineRule="auto" w:line="288"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-10-</w:t>
                      </w:r>
                    </w:p>
                    <w:p>
                      <w:pPr>
                        <w:pStyle w:val="TextBody"/>
                        <w:spacing w:before="240" w:after="283"/>
                        <w:jc w:val="center"/>
                        <w:rPr/>
                      </w:pPr>
                      <w:r>
                        <w:rPr/>
                      </w:r>
                    </w:p>
                  </w:txbxContent>
                </v:textbox>
              </v:rect>
            </w:pict>
          </mc:Fallback>
        </mc:AlternateContent>
      </w:r>
    </w:p>
    <w:p>
      <w:pPr>
        <w:pStyle w:val="TextBody"/>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surrendered American Depositary Shares to the Depositary for delivery at the Depositary’s Office or to another address specified in the order received from the surrendering Owner.</w:t>
      </w:r>
    </w:p>
    <w:p>
      <w:pPr>
        <w:pStyle w:val="TextBody"/>
        <w:spacing w:lineRule="auto" w:line="288" w:before="0" w:after="240"/>
        <w:ind w:left="0" w:right="0" w:firstLine="1080"/>
        <w:jc w:val="both"/>
        <w:rPr/>
      </w:pPr>
      <w:r>
        <w:rPr>
          <w:rFonts w:ascii="Times New Roman;sans-serif" w:hAnsi="Times New Roman;sans-serif"/>
          <w:b w:val="false"/>
          <w:color w:val="000000"/>
          <w:sz w:val="24"/>
        </w:rPr>
        <w:t xml:space="preserve">SECTION 2.6 </w:t>
      </w:r>
      <w:r>
        <w:rPr>
          <w:rFonts w:ascii="Times New Roman;sans-serif" w:hAnsi="Times New Roman;sans-serif"/>
          <w:b w:val="false"/>
          <w:color w:val="000000"/>
          <w:sz w:val="24"/>
          <w:u w:val="single"/>
        </w:rPr>
        <w:t>Limitations on Delivery, Registration of Transfer and Surrender of American Depositary Shares.</w:t>
      </w:r>
    </w:p>
    <w:p>
      <w:pPr>
        <w:pStyle w:val="TextBody"/>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As a condition precedent to the delivery, registration of transfer or surrender of any American Depositary Shares or split-up or combination of any Receipt or withdrawal of any Deposited Securities, the Depositary, Custodian or Registrar may require payment from the depositor of Shares or the presenter of the Receipt or instruction for registration of transfer or surrender of American Depositary Shares not evidenced by a Receipt of a sum sufficient to reimburse it for any tax or other governmental charge and any stock transfer or registration fee with respect thereto (including any such tax or charge and fee with respect to Shares being deposited or withdrawn) and payment of any applicable fees as provided in this Deposit Agreement, may require the production of proof satisfactory to it as to the identity and genuineness of any signature and may also require compliance with any regulations the Depositary may establish consistent with the provisions of this Deposit Agreement, including, without limitation, this Section 2.6.</w:t>
      </w:r>
    </w:p>
    <w:p>
      <w:pPr>
        <w:pStyle w:val="TextBody"/>
        <w:spacing w:lineRule="auto" w:line="288" w:before="0" w:after="240"/>
        <w:ind w:left="0" w:right="0" w:firstLine="1440"/>
        <w:jc w:val="both"/>
        <w:rPr/>
      </w:pPr>
      <w:r>
        <w:rPr>
          <w:rFonts w:ascii="Times New Roman;sans-serif" w:hAnsi="Times New Roman;sans-serif"/>
          <w:b w:val="false"/>
          <w:color w:val="000000"/>
          <w:sz w:val="24"/>
        </w:rPr>
        <w:t xml:space="preserve">The Depositary may refuse to accept deposits of Shares for delivery of American Depositary Shares or to register transfers of American Depositary Shares in particular instances, or may suspend deposits of Shares or registration of transfer generally, whenever it or the Company considers it necessary or advisable to do so. The Depositary may refuse surrenders of American Depositary Shares for the purpose of withdrawal of Deposited Securities in particular instances, or may suspend surrenders for the purpose of withdrawal generally, </w:t>
      </w:r>
      <w:r>
        <w:rPr>
          <w:rFonts w:ascii="Times New Roman;sans-serif" w:hAnsi="Times New Roman;sans-serif"/>
          <w:b w:val="false"/>
          <w:color w:val="000000"/>
          <w:sz w:val="24"/>
          <w:u w:val="single"/>
        </w:rPr>
        <w:t>but, notwithstanding anything to the contrary in this Deposit Agreement, only for</w:t>
      </w:r>
      <w:r>
        <w:rPr>
          <w:color w:val="000000"/>
        </w:rPr>
        <w:t xml:space="preserve"> </w:t>
      </w:r>
      <w:r>
        <w:rPr>
          <w:rFonts w:ascii="Times New Roman;sans-serif" w:hAnsi="Times New Roman;sans-serif"/>
          <w:b w:val="false"/>
          <w:color w:val="000000"/>
          <w:sz w:val="24"/>
        </w:rPr>
        <w:t xml:space="preserve">(i) temporary delays caused by closing of the Depositary’s register or the register of holders of Shares maintained by the Company or the Foreign Registrar, or the deposit of Shares, in connection with voting at a shareholders’ meeting or the payment of dividends, (ii) the payment of fees, taxes and similar charges, (iii) compliance with any U.S. or foreign laws or governmental regulations relating to the American Depositary Shares or to the withdrawal of the Deposited Securities or (iv) any other reason that, at the time, is permitted under paragraph I(A)(1) of the General Instructions to Form F-6 under the Securities Act of 1993 or any successor to that provision. </w:t>
      </w:r>
    </w:p>
    <w:p>
      <w:pPr>
        <w:pStyle w:val="TextBody"/>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The Depositary shall not knowingly accept for deposit under this Deposit Agreement any Shares that, at the time of deposit, are Restricted Securities.</w:t>
      </w:r>
      <w:r>
        <w:br w:type="page"/>
      </w:r>
    </w:p>
    <w:p>
      <w:pPr>
        <w:pStyle w:val="TextBody"/>
        <w:spacing w:before="120" w:after="240"/>
        <w:jc w:val="center"/>
        <w:rPr/>
      </w:pPr>
      <w:r>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6480175" cy="869950"/>
                <wp:effectExtent l="0" t="0" r="0" b="0"/>
                <wp:wrapNone/>
                <wp:docPr id="252" name="Frame250"/>
                <a:graphic xmlns:a="http://schemas.openxmlformats.org/drawingml/2006/main">
                  <a:graphicData uri="http://schemas.microsoft.com/office/word/2010/wordprocessingShape">
                    <wps:wsp>
                      <wps:cNvSpPr txBox="1"/>
                      <wps:spPr>
                        <a:xfrm>
                          <a:off x="0" y="0"/>
                          <a:ext cx="6480175" cy="869950"/>
                        </a:xfrm>
                        <a:prstGeom prst="rect"/>
                      </wps:spPr>
                      <wps:txbx>
                        <w:txbxContent>
                          <w:p>
                            <w:pPr>
                              <w:pStyle w:val="TextBody"/>
                              <w:spacing w:lineRule="auto" w:line="288"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-11-</w:t>
                            </w:r>
                          </w:p>
                          <w:p>
                            <w:pPr>
                              <w:pStyle w:val="TextBody"/>
                              <w:spacing w:before="24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8.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spacing w:lineRule="auto" w:line="288"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-11-</w:t>
                      </w:r>
                    </w:p>
                    <w:p>
                      <w:pPr>
                        <w:pStyle w:val="TextBody"/>
                        <w:spacing w:before="240" w:after="283"/>
                        <w:jc w:val="center"/>
                        <w:rPr/>
                      </w:pPr>
                      <w:r>
                        <w:rPr/>
                      </w:r>
                    </w:p>
                  </w:txbxContent>
                </v:textbox>
              </v:rect>
            </w:pict>
          </mc:Fallback>
        </mc:AlternateContent>
      </w:r>
    </w:p>
    <w:p>
      <w:pPr>
        <w:pStyle w:val="TextBody"/>
        <w:spacing w:lineRule="auto" w:line="288" w:before="0" w:after="240"/>
        <w:ind w:left="0" w:right="0" w:firstLine="1080"/>
        <w:jc w:val="both"/>
        <w:rPr/>
      </w:pPr>
      <w:r>
        <w:rPr>
          <w:rFonts w:ascii="Times New Roman;sans-serif" w:hAnsi="Times New Roman;sans-serif"/>
          <w:b w:val="false"/>
          <w:color w:val="000000"/>
          <w:sz w:val="24"/>
        </w:rPr>
        <w:t xml:space="preserve">SECTION 2.7 </w:t>
      </w:r>
      <w:r>
        <w:rPr>
          <w:rFonts w:ascii="Times New Roman;sans-serif" w:hAnsi="Times New Roman;sans-serif"/>
          <w:b w:val="false"/>
          <w:color w:val="000000"/>
          <w:sz w:val="24"/>
          <w:u w:val="single"/>
        </w:rPr>
        <w:t>Lost Receipts, etc.</w:t>
      </w:r>
    </w:p>
    <w:p>
      <w:pPr>
        <w:pStyle w:val="TextBody"/>
        <w:spacing w:lineRule="auto" w:line="288" w:before="0" w:after="240"/>
        <w:ind w:left="0" w:right="0" w:firstLine="1440"/>
        <w:jc w:val="both"/>
        <w:rPr/>
      </w:pPr>
      <w:r>
        <w:rPr>
          <w:rFonts w:ascii="Times New Roman;sans-serif" w:hAnsi="Times New Roman;sans-serif"/>
          <w:b w:val="false"/>
          <w:color w:val="000000"/>
          <w:sz w:val="24"/>
        </w:rPr>
        <w:t xml:space="preserve">If a Receipt is mutilated, destroyed, lost or stolen, the Depositary shall deliver to the Owner the American Depositary Shares evidenced by that Receipt in uncertificated form or, if requested by the Owner, execute and deliver a new Receipt of like tenor in exchange and substitution for such mutilated Receipt, upon surrender and cancellation of that mutilated Receipt, or in lieu of and in substitution for that destroyed, lost or stolen Receipt.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before the Depositary will deliver American Depositary Shares in uncertificated form or execute and deliver a new Receipt, in substitution for a destroyed, lost or stolen Receipt, the Owner must (a) file with the Depositary (i) a request for that replacement before the Depositary has notice that the Receipt has been acquired by a bona fide purchaser and (ii) a sufficient indemnity bond and (b) satisfy any other reasonable requirements imposed by the Depositary.</w:t>
      </w:r>
    </w:p>
    <w:p>
      <w:pPr>
        <w:pStyle w:val="TextBody"/>
        <w:spacing w:lineRule="auto" w:line="288" w:before="0" w:after="240"/>
        <w:ind w:left="0" w:right="0" w:firstLine="1080"/>
        <w:jc w:val="both"/>
        <w:rPr/>
      </w:pPr>
      <w:r>
        <w:rPr>
          <w:rFonts w:ascii="Times New Roman;sans-serif" w:hAnsi="Times New Roman;sans-serif"/>
          <w:b w:val="false"/>
          <w:color w:val="000000"/>
          <w:sz w:val="24"/>
        </w:rPr>
        <w:t xml:space="preserve">SECTION 2.8 </w:t>
      </w:r>
      <w:r>
        <w:rPr>
          <w:rFonts w:ascii="Times New Roman;sans-serif" w:hAnsi="Times New Roman;sans-serif"/>
          <w:b w:val="false"/>
          <w:color w:val="000000"/>
          <w:sz w:val="24"/>
          <w:u w:val="single"/>
        </w:rPr>
        <w:t>Cancellation and Destruction of Surrendered Receipts.</w:t>
      </w:r>
    </w:p>
    <w:p>
      <w:pPr>
        <w:pStyle w:val="TextBody"/>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The Depositary shall cancel all Receipts surrendered to it and is authorized to destroy Receipts so cancelled.</w:t>
      </w:r>
    </w:p>
    <w:p>
      <w:pPr>
        <w:pStyle w:val="TextBody"/>
        <w:spacing w:lineRule="auto" w:line="288" w:before="0" w:after="240"/>
        <w:ind w:left="0" w:right="0" w:firstLine="1080"/>
        <w:jc w:val="both"/>
        <w:rPr/>
      </w:pPr>
      <w:r>
        <w:rPr>
          <w:rFonts w:ascii="Times New Roman;sans-serif" w:hAnsi="Times New Roman;sans-serif"/>
          <w:b w:val="false"/>
          <w:color w:val="000000"/>
          <w:sz w:val="24"/>
        </w:rPr>
        <w:t xml:space="preserve">SECTION 2.9 </w:t>
      </w:r>
      <w:r>
        <w:rPr>
          <w:rFonts w:ascii="Times New Roman;sans-serif" w:hAnsi="Times New Roman;sans-serif"/>
          <w:b w:val="false"/>
          <w:color w:val="000000"/>
          <w:sz w:val="24"/>
          <w:u w:val="single"/>
        </w:rPr>
        <w:t>DTC Direct Registration System and Profile Modification System.</w:t>
      </w:r>
    </w:p>
    <w:p>
      <w:pPr>
        <w:pStyle w:val="TextBody"/>
        <w:spacing w:lineRule="auto" w:line="288" w:before="0" w:after="240"/>
        <w:ind w:left="0" w:right="0" w:firstLine="1440"/>
        <w:jc w:val="both"/>
        <w:rPr/>
      </w:pPr>
      <w:r>
        <w:rPr>
          <w:rFonts w:ascii="Times New Roman;sans-serif" w:hAnsi="Times New Roman;sans-serif"/>
          <w:b w:val="false"/>
          <w:color w:val="000000"/>
          <w:sz w:val="24"/>
        </w:rPr>
        <w:t>(a)    Notwithstanding the provisions of Section 2.4, the parties acknowledge that DTC’s Direct Registration System (“</w:t>
      </w:r>
      <w:r>
        <w:rPr>
          <w:rFonts w:ascii="Times New Roman;sans-serif" w:hAnsi="Times New Roman;sans-serif"/>
          <w:b w:val="false"/>
          <w:color w:val="000000"/>
          <w:sz w:val="24"/>
          <w:u w:val="single"/>
        </w:rPr>
        <w:t>DRS</w:t>
      </w:r>
      <w:r>
        <w:rPr>
          <w:color w:val="000000"/>
        </w:rPr>
        <w:t>”</w:t>
      </w:r>
      <w:r>
        <w:rPr>
          <w:rFonts w:ascii="Times New Roman;sans-serif" w:hAnsi="Times New Roman;sans-serif"/>
          <w:b w:val="false"/>
          <w:color w:val="000000"/>
          <w:sz w:val="24"/>
        </w:rPr>
        <w:t>) and Profile Modification System (“</w:t>
      </w:r>
      <w:r>
        <w:rPr>
          <w:rFonts w:ascii="Times New Roman;sans-serif" w:hAnsi="Times New Roman;sans-serif"/>
          <w:b w:val="false"/>
          <w:color w:val="000000"/>
          <w:sz w:val="24"/>
          <w:u w:val="single"/>
        </w:rPr>
        <w:t>Profile</w:t>
      </w:r>
      <w:r>
        <w:rPr>
          <w:color w:val="000000"/>
        </w:rPr>
        <w:t>”</w:t>
      </w:r>
      <w:r>
        <w:rPr>
          <w:rFonts w:ascii="Times New Roman;sans-serif" w:hAnsi="Times New Roman;sans-serif"/>
          <w:b w:val="false"/>
          <w:color w:val="000000"/>
          <w:sz w:val="24"/>
        </w:rPr>
        <w:t>) apply to the American Depositary Shares upon acceptance thereof to DRS by DTC. DRS is the system administered by DTC that facilitates interchange between registered holding of uncertificated securities and holding of security entitlements in those securities through DTC and a DTC participant. Profile is a required feature of DRS that allows a DTC participant, claiming to act on behalf of an Owner of American Depositary Shares, to direct the Depositary to register a transfer of those American Depositary Shares to DTC or its nominee and to deliver those American Depositary Shares to the DTC account of that DTC participant without receipt by the Depositary of prior authorization from the Owner to register that transfer.</w:t>
      </w:r>
    </w:p>
    <w:p>
      <w:pPr>
        <w:pStyle w:val="TextBody"/>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(b)    In connection with DRS/Profile, the parties acknowledge that the Depositary will not determine whether the DTC participant that is claiming to be acting on behalf of an Owner in requesting a registration of transfer and delivery as described in paragraph (a) above has the actual authority to act on behalf of that Owner (notwithstanding any requirements under the Uniform Commercial Code). For the avoidance of doubt, the provisions of Sections 5.3 and 5.8 apply to the matters arising from the use of the DRS/Profile. The parties agree that the Depositary’s reliance on and compliance with instructions received by the Depositary through the DRS/Profile system </w:t>
      </w:r>
      <w:r>
        <w:br w:type="page"/>
      </w:r>
    </w:p>
    <w:p>
      <w:pPr>
        <w:pStyle w:val="TextBody"/>
        <w:spacing w:before="120" w:after="240"/>
        <w:jc w:val="center"/>
        <w:rPr/>
      </w:pPr>
      <w:r>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6480175" cy="869950"/>
                <wp:effectExtent l="0" t="0" r="0" b="0"/>
                <wp:wrapNone/>
                <wp:docPr id="253" name="Frame251"/>
                <a:graphic xmlns:a="http://schemas.openxmlformats.org/drawingml/2006/main">
                  <a:graphicData uri="http://schemas.microsoft.com/office/word/2010/wordprocessingShape">
                    <wps:wsp>
                      <wps:cNvSpPr txBox="1"/>
                      <wps:spPr>
                        <a:xfrm>
                          <a:off x="0" y="0"/>
                          <a:ext cx="6480175" cy="869950"/>
                        </a:xfrm>
                        <a:prstGeom prst="rect"/>
                      </wps:spPr>
                      <wps:txbx>
                        <w:txbxContent>
                          <w:p>
                            <w:pPr>
                              <w:pStyle w:val="TextBody"/>
                              <w:spacing w:lineRule="auto" w:line="288"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-12-</w:t>
                            </w:r>
                          </w:p>
                          <w:p>
                            <w:pPr>
                              <w:pStyle w:val="TextBody"/>
                              <w:spacing w:before="24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8.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spacing w:lineRule="auto" w:line="288"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-12-</w:t>
                      </w:r>
                    </w:p>
                    <w:p>
                      <w:pPr>
                        <w:pStyle w:val="TextBody"/>
                        <w:spacing w:before="240" w:after="283"/>
                        <w:jc w:val="center"/>
                        <w:rPr/>
                      </w:pPr>
                      <w:r>
                        <w:rPr/>
                      </w:r>
                    </w:p>
                  </w:txbxContent>
                </v:textbox>
              </v:rect>
            </w:pict>
          </mc:Fallback>
        </mc:AlternateContent>
      </w:r>
    </w:p>
    <w:p>
      <w:pPr>
        <w:pStyle w:val="TextBody"/>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and otherwise in accordance with this Deposit Agreement shall not constitute negligence or bad faith on the part of the Depositary.</w:t>
      </w:r>
    </w:p>
    <w:p>
      <w:pPr>
        <w:pStyle w:val="TextBody"/>
        <w:spacing w:lineRule="auto" w:line="288" w:before="0" w:after="240"/>
        <w:ind w:left="0" w:right="0" w:hanging="1496"/>
        <w:jc w:val="both"/>
        <w:rPr>
          <w:rFonts w:ascii="Times New Roman;sans-serif" w:hAnsi="Times New Roman;sans-serif"/>
          <w:b w:val="false"/>
          <w:color w:val="000000"/>
          <w:sz w:val="24"/>
        </w:rPr>
      </w:pPr>
      <w:r>
        <w:rPr>
          <w:rFonts w:ascii="Times New Roman;sans-serif" w:hAnsi="Times New Roman;sans-serif"/>
          <w:b w:val="false"/>
          <w:color w:val="000000"/>
          <w:sz w:val="24"/>
        </w:rPr>
        <w:t>ARTICLE 3.CERTAIN OBLIGATIONS OF OWNERS AND HOLDERS OF AMERICAN DEPOSITARY SHARES</w:t>
      </w:r>
    </w:p>
    <w:p>
      <w:pPr>
        <w:pStyle w:val="TextBody"/>
        <w:spacing w:lineRule="auto" w:line="288" w:before="0" w:after="240"/>
        <w:ind w:left="0" w:right="0" w:firstLine="1080"/>
        <w:jc w:val="both"/>
        <w:rPr/>
      </w:pPr>
      <w:r>
        <w:rPr>
          <w:rFonts w:ascii="Times New Roman;sans-serif" w:hAnsi="Times New Roman;sans-serif"/>
          <w:b w:val="false"/>
          <w:color w:val="000000"/>
          <w:sz w:val="24"/>
        </w:rPr>
        <w:t xml:space="preserve">SECTION 3.1 </w:t>
      </w:r>
      <w:r>
        <w:rPr>
          <w:rFonts w:ascii="Times New Roman;sans-serif" w:hAnsi="Times New Roman;sans-serif"/>
          <w:b w:val="false"/>
          <w:color w:val="000000"/>
          <w:sz w:val="24"/>
          <w:u w:val="single"/>
        </w:rPr>
        <w:t>Filing Proofs, Certificates and Other Information.</w:t>
      </w:r>
    </w:p>
    <w:p>
      <w:pPr>
        <w:pStyle w:val="TextBody"/>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Any person presenting Shares for deposit or any Owner or Holder may be required from time to time to file with the Depositary or the Custodian such proof of citizenship or residence, exchange control approval, or such information relating to the registration on the books of the Company or the Foreign Registrar, if applicable, to execute such certificates and to make such representations and warranties, as the Depositary may reasonably deem necessary or proper, or as the Company may reasonably require by written request to the Depositary. The Depositary may withhold the delivery or registration of transfer of American Depositary Shares, the distribution of any dividend or other distribution or of the proceeds thereof or the delivery of any Deposited Securities until that proof or other information is filed or those certificates are executed or those representations and warranties are made. The Depositary shall provide the Company, upon the Company’s written request and at the Company’s expense, as promptly as practicable, with copies of any information or other materials which the Depositary receives pursuant to this Section, to the extent that the requested disclosure is permitted under applicable law. </w:t>
      </w:r>
    </w:p>
    <w:p>
      <w:pPr>
        <w:pStyle w:val="TextBody"/>
        <w:spacing w:lineRule="auto" w:line="288" w:before="0" w:after="240"/>
        <w:ind w:left="0" w:right="0" w:firstLine="1080"/>
        <w:jc w:val="both"/>
        <w:rPr/>
      </w:pPr>
      <w:r>
        <w:rPr>
          <w:rFonts w:ascii="Times New Roman;sans-serif" w:hAnsi="Times New Roman;sans-serif"/>
          <w:b w:val="false"/>
          <w:color w:val="000000"/>
          <w:sz w:val="24"/>
        </w:rPr>
        <w:t xml:space="preserve">SECTION 3.2 </w:t>
      </w:r>
      <w:r>
        <w:rPr>
          <w:rFonts w:ascii="Times New Roman;sans-serif" w:hAnsi="Times New Roman;sans-serif"/>
          <w:b w:val="false"/>
          <w:color w:val="000000"/>
          <w:sz w:val="24"/>
          <w:u w:val="single"/>
        </w:rPr>
        <w:t>Liability of Owner for Taxes.</w:t>
      </w:r>
    </w:p>
    <w:p>
      <w:pPr>
        <w:pStyle w:val="TextBody"/>
        <w:spacing w:lineRule="auto" w:line="288" w:before="0" w:after="240"/>
        <w:ind w:left="0" w:right="0" w:firstLine="1440"/>
        <w:jc w:val="both"/>
        <w:rPr/>
      </w:pPr>
      <w:r>
        <w:rPr>
          <w:rFonts w:ascii="Times New Roman;sans-serif" w:hAnsi="Times New Roman;sans-serif"/>
          <w:b w:val="false"/>
          <w:color w:val="000000"/>
          <w:sz w:val="24"/>
        </w:rPr>
        <w:t xml:space="preserve">If any tax or other governmental charge shall become payable by the Custodian or the Depositary with respect to or in connection with any American Depositary Shares or any Deposited Securities represented by any American Depositary Shares or in connection with a transaction to which Section 4.8 applies, that tax or other governmental charge shall be payable by the Owner of those American Depositary Shares to the Depositary. The Depositary may refuse to register any transfer of those American Depositary Shares or any withdrawal of Deposited Securities represented by those American Depositary Shares until that payment is made, and may withhold any dividends or other distributions or the proceeds thereof, or may sell for the account of the Owner any part or all of the Deposited Securities represented by those American Depositary Shares and apply those dividends or other distributions or the net proceeds of any sale of that kind in payment of that tax or other governmental charge </w:t>
      </w:r>
      <w:r>
        <w:rPr>
          <w:rFonts w:ascii="Times New Roman;sans-serif" w:hAnsi="Times New Roman;sans-serif"/>
          <w:b w:val="false"/>
          <w:color w:val="000000"/>
          <w:sz w:val="24"/>
          <w:u w:val="single"/>
        </w:rPr>
        <w:t>but</w:t>
      </w:r>
      <w:r>
        <w:rPr>
          <w:rFonts w:ascii="Times New Roman;sans-serif" w:hAnsi="Times New Roman;sans-serif"/>
          <w:b w:val="false"/>
          <w:color w:val="000000"/>
          <w:sz w:val="24"/>
        </w:rPr>
        <w:t xml:space="preserve">, even after a sale of that kind, the Owner of those American Depositary Shares shall remain liable for any deficiency. The Depositary shall distribute any net proceeds of a sale made under this Section that are not used to pay taxes or governmental charges to the Owners entitled to them in accordance with Section 4.1. If the number of Shares represented by each American Depositary Share decreases as a result of a sale of Deposited Securities under </w:t>
      </w:r>
      <w:r>
        <w:br w:type="page"/>
      </w:r>
    </w:p>
    <w:p>
      <w:pPr>
        <w:pStyle w:val="TextBody"/>
        <w:spacing w:before="120" w:after="240"/>
        <w:jc w:val="center"/>
        <w:rPr/>
      </w:pPr>
      <w:r>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6480175" cy="869950"/>
                <wp:effectExtent l="0" t="0" r="0" b="0"/>
                <wp:wrapNone/>
                <wp:docPr id="254" name="Frame252"/>
                <a:graphic xmlns:a="http://schemas.openxmlformats.org/drawingml/2006/main">
                  <a:graphicData uri="http://schemas.microsoft.com/office/word/2010/wordprocessingShape">
                    <wps:wsp>
                      <wps:cNvSpPr txBox="1"/>
                      <wps:spPr>
                        <a:xfrm>
                          <a:off x="0" y="0"/>
                          <a:ext cx="6480175" cy="869950"/>
                        </a:xfrm>
                        <a:prstGeom prst="rect"/>
                      </wps:spPr>
                      <wps:txbx>
                        <w:txbxContent>
                          <w:p>
                            <w:pPr>
                              <w:pStyle w:val="TextBody"/>
                              <w:spacing w:lineRule="auto" w:line="288"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-13-</w:t>
                            </w:r>
                          </w:p>
                          <w:p>
                            <w:pPr>
                              <w:pStyle w:val="TextBody"/>
                              <w:spacing w:before="24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8.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spacing w:lineRule="auto" w:line="288"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-13-</w:t>
                      </w:r>
                    </w:p>
                    <w:p>
                      <w:pPr>
                        <w:pStyle w:val="TextBody"/>
                        <w:spacing w:before="240" w:after="283"/>
                        <w:jc w:val="center"/>
                        <w:rPr/>
                      </w:pPr>
                      <w:r>
                        <w:rPr/>
                      </w:r>
                    </w:p>
                  </w:txbxContent>
                </v:textbox>
              </v:rect>
            </w:pict>
          </mc:Fallback>
        </mc:AlternateContent>
      </w:r>
    </w:p>
    <w:p>
      <w:pPr>
        <w:pStyle w:val="TextBody"/>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this Section, the Depositary may call for surrender of the American Depositary Shares to be exchanged on a mandatory basis for a lesser number of American Depositary Shares and may sell American Depositary Shares to the extent necessary to avoid distributing fractions of American Depositary Shares in that exchange and distribute the net proceeds of that sale to the Owners entitled to them.</w:t>
      </w:r>
    </w:p>
    <w:p>
      <w:pPr>
        <w:pStyle w:val="TextBody"/>
        <w:spacing w:lineRule="auto" w:line="288" w:before="0" w:after="240"/>
        <w:ind w:left="0" w:right="0" w:firstLine="1080"/>
        <w:jc w:val="both"/>
        <w:rPr/>
      </w:pPr>
      <w:r>
        <w:rPr>
          <w:rFonts w:ascii="Times New Roman;sans-serif" w:hAnsi="Times New Roman;sans-serif"/>
          <w:b w:val="false"/>
          <w:color w:val="000000"/>
          <w:sz w:val="24"/>
        </w:rPr>
        <w:t xml:space="preserve">SECTION 3.3 </w:t>
      </w:r>
      <w:r>
        <w:rPr>
          <w:rFonts w:ascii="Times New Roman;sans-serif" w:hAnsi="Times New Roman;sans-serif"/>
          <w:b w:val="false"/>
          <w:color w:val="000000"/>
          <w:sz w:val="24"/>
          <w:u w:val="single"/>
        </w:rPr>
        <w:t>Warranties on Deposit of Shares.</w:t>
      </w:r>
    </w:p>
    <w:p>
      <w:pPr>
        <w:pStyle w:val="TextBody"/>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Every person depositing Shares under this Deposit Agreement shall be deemed thereby to represent and warrant that those Shares and each certificate therefor, if applicable, are validly issued, fully paid and nonassessable and were not issued in violation of any preemptive or similar rights of the holders of outstanding securities of the Company and that the person making that deposit is duly authorized so to do. Every depositing person shall also be deemed to represent that the Shares, at the time of deposit, are not Restricted Securities. All representations and warranties deemed made under this Section shall survive the deposit of Shares and delivery of American Depositary Shares.</w:t>
      </w:r>
    </w:p>
    <w:p>
      <w:pPr>
        <w:pStyle w:val="TextBody"/>
        <w:spacing w:lineRule="auto" w:line="288" w:before="0" w:after="240"/>
        <w:ind w:left="0" w:right="0" w:firstLine="1080"/>
        <w:jc w:val="both"/>
        <w:rPr/>
      </w:pPr>
      <w:r>
        <w:rPr>
          <w:rFonts w:ascii="Times New Roman;sans-serif" w:hAnsi="Times New Roman;sans-serif"/>
          <w:b w:val="false"/>
          <w:color w:val="000000"/>
          <w:sz w:val="24"/>
        </w:rPr>
        <w:t xml:space="preserve">SECTION 3.4 </w:t>
      </w:r>
      <w:r>
        <w:rPr>
          <w:rFonts w:ascii="Times New Roman;sans-serif" w:hAnsi="Times New Roman;sans-serif"/>
          <w:b w:val="false"/>
          <w:color w:val="000000"/>
          <w:sz w:val="24"/>
          <w:u w:val="single"/>
        </w:rPr>
        <w:t>Disclosure of Interests.</w:t>
      </w:r>
    </w:p>
    <w:p>
      <w:pPr>
        <w:pStyle w:val="TextBody"/>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When required in order to comply with applicable laws and regulations or the articles of association or similar document of the Company, the Company may from time to time request each Owner and Holder to provide to the Depositary information relating to: (a) the capacity in which it holds American Depositary Shares, (b) the identity of any Holders or other persons or entities then or previously interested in those American Depositary Shares and the nature of those interests and (c) any other matter where disclosure of such matter is required for that compliance.  Each Owner and Holder agrees to provide all information known to it in response to a request made pursuant to this Section.  Each Holder consents to the disclosure by the Depositary and the Owner or any other Holder through which it holds American Depositary Shares, directly or indirectly, of all information responsive to a request made pursuant to this Section relating to that Holder that is known to that Owner or other Holder.  The Depositary agrees to use reasonable efforts to comply with written instructions requesting that the Depositary forward any request authorized under this Section to the Owners and to forward to the Company any responses it receives in response to that request. The Depositary may charge the Company a fee and its expenses for complying with requests under this Section 3.4.</w:t>
      </w:r>
    </w:p>
    <w:p>
      <w:pPr>
        <w:pStyle w:val="TextBody"/>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ARTICLE 4.THE DEPOSITED SECURITIES</w:t>
      </w:r>
    </w:p>
    <w:p>
      <w:pPr>
        <w:pStyle w:val="TextBody"/>
        <w:spacing w:lineRule="auto" w:line="288" w:before="0" w:after="240"/>
        <w:ind w:left="0" w:right="0" w:firstLine="1080"/>
        <w:jc w:val="both"/>
        <w:rPr/>
      </w:pPr>
      <w:r>
        <w:rPr>
          <w:rFonts w:ascii="Times New Roman;sans-serif" w:hAnsi="Times New Roman;sans-serif"/>
          <w:b w:val="false"/>
          <w:color w:val="000000"/>
          <w:sz w:val="24"/>
        </w:rPr>
        <w:t xml:space="preserve">SECTION 4.1 </w:t>
      </w:r>
      <w:r>
        <w:rPr>
          <w:rFonts w:ascii="Times New Roman;sans-serif" w:hAnsi="Times New Roman;sans-serif"/>
          <w:b w:val="false"/>
          <w:color w:val="000000"/>
          <w:sz w:val="24"/>
          <w:u w:val="single"/>
        </w:rPr>
        <w:t>Cash Distributions.</w:t>
      </w:r>
    </w:p>
    <w:p>
      <w:pPr>
        <w:pStyle w:val="TextBody"/>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Whenever the Depositary receives any cash dividend or other cash distribution on Deposited Securities, the Depositary shall, subject to the provisions of </w:t>
      </w:r>
      <w:r>
        <w:br w:type="page"/>
      </w:r>
    </w:p>
    <w:p>
      <w:pPr>
        <w:pStyle w:val="TextBody"/>
        <w:spacing w:before="120" w:after="240"/>
        <w:jc w:val="center"/>
        <w:rPr/>
      </w:pPr>
      <w:r>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6480175" cy="869950"/>
                <wp:effectExtent l="0" t="0" r="0" b="0"/>
                <wp:wrapNone/>
                <wp:docPr id="255" name="Frame253"/>
                <a:graphic xmlns:a="http://schemas.openxmlformats.org/drawingml/2006/main">
                  <a:graphicData uri="http://schemas.microsoft.com/office/word/2010/wordprocessingShape">
                    <wps:wsp>
                      <wps:cNvSpPr txBox="1"/>
                      <wps:spPr>
                        <a:xfrm>
                          <a:off x="0" y="0"/>
                          <a:ext cx="6480175" cy="869950"/>
                        </a:xfrm>
                        <a:prstGeom prst="rect"/>
                      </wps:spPr>
                      <wps:txbx>
                        <w:txbxContent>
                          <w:p>
                            <w:pPr>
                              <w:pStyle w:val="TextBody"/>
                              <w:spacing w:lineRule="auto" w:line="288"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-14-</w:t>
                            </w:r>
                          </w:p>
                          <w:p>
                            <w:pPr>
                              <w:pStyle w:val="TextBody"/>
                              <w:spacing w:before="24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8.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spacing w:lineRule="auto" w:line="288"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-14-</w:t>
                      </w:r>
                    </w:p>
                    <w:p>
                      <w:pPr>
                        <w:pStyle w:val="TextBody"/>
                        <w:spacing w:before="240" w:after="283"/>
                        <w:jc w:val="center"/>
                        <w:rPr/>
                      </w:pPr>
                      <w:r>
                        <w:rPr/>
                      </w:r>
                    </w:p>
                  </w:txbxContent>
                </v:textbox>
              </v:rect>
            </w:pict>
          </mc:Fallback>
        </mc:AlternateContent>
      </w:r>
    </w:p>
    <w:p>
      <w:pPr>
        <w:pStyle w:val="TextBody"/>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Section 4.5, convert that dividend or other distribution into Dollars and as promptly as practicable, distribute the amount thus received (net of the fees and expenses of the Depositary as provided in Section 5.9) to the Owners entitled thereto, in proportion to the number of American Depositary Shares representing those Deposited Securities held by them respectively; provided, however, that if the Custodian or the Depositary shall be required to withhold and does withhold from that cash dividend or other cash distribution an amount on account of taxes or other governmental charges, the amount distributed to the Owners of the American Depositary Shares representing those Deposited Securities shall be reduced accordingly. However, the Depositary will not pay any Owner a fraction of one cent, but will round each Owner’s entitlement to the nearest whole cent.</w:t>
      </w:r>
    </w:p>
    <w:p>
      <w:pPr>
        <w:pStyle w:val="TextBody"/>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The Company or its agent will remit to the appropriate governmental agency in each applicable jurisdiction all amounts withheld and owing to such agency. </w:t>
      </w:r>
    </w:p>
    <w:p>
      <w:pPr>
        <w:pStyle w:val="TextBody"/>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If a cash distribution would represent a return of all or substantially all the value of the Deposited Securities underlying American Depositary Shares, the Depositary may require surrender of those American Depositary Shares and may require payment of or deduct the fee for surrender of American Depositary Shares (whether or not it is also requiring surrender of American Depositary Shares) as a condition of making that cash distribution. A distribution of that kind shall be a Termination Option Event. </w:t>
      </w:r>
    </w:p>
    <w:p>
      <w:pPr>
        <w:pStyle w:val="TextBody"/>
        <w:spacing w:lineRule="auto" w:line="288" w:before="0" w:after="240"/>
        <w:ind w:left="0" w:right="0" w:firstLine="1080"/>
        <w:jc w:val="both"/>
        <w:rPr/>
      </w:pPr>
      <w:r>
        <w:rPr>
          <w:rFonts w:ascii="Times New Roman;sans-serif" w:hAnsi="Times New Roman;sans-serif"/>
          <w:b w:val="false"/>
          <w:color w:val="000000"/>
          <w:sz w:val="24"/>
        </w:rPr>
        <w:t xml:space="preserve">SECTION 4.2 </w:t>
      </w:r>
      <w:r>
        <w:rPr>
          <w:rFonts w:ascii="Times New Roman;sans-serif" w:hAnsi="Times New Roman;sans-serif"/>
          <w:b w:val="false"/>
          <w:color w:val="000000"/>
          <w:sz w:val="24"/>
          <w:u w:val="single"/>
        </w:rPr>
        <w:t>Distributions Other Than Cash, Shares or Rights.</w:t>
      </w:r>
    </w:p>
    <w:p>
      <w:pPr>
        <w:pStyle w:val="TextBody"/>
        <w:spacing w:lineRule="auto" w:line="288" w:before="0" w:after="240"/>
        <w:ind w:left="0" w:right="0" w:firstLine="1440"/>
        <w:jc w:val="both"/>
        <w:rPr/>
      </w:pPr>
      <w:r>
        <w:rPr>
          <w:rFonts w:ascii="Times New Roman;sans-serif" w:hAnsi="Times New Roman;sans-serif"/>
          <w:b w:val="false"/>
          <w:color w:val="000000"/>
          <w:sz w:val="24"/>
        </w:rPr>
        <w:t xml:space="preserve">Subject to the provisions of Sections 4.11 and 5.9, whenever the Depositary receives any distribution other than a distribution described in Section 4.1, 4.3 or 4.4 on Deposited Securities (but not in exchange for or in conversion or in lieu of Deposited Securities), the Depositary shall cause the securities or property received by it to be distributed to the Owners entitled thereto, after deduction or upon payment of any fees and expenses of the Depositary and any taxes or other governmental charges, in proportion to the number of American Depositary Shares representing such Deposited Securities held by them respectively, in any manner that the Depositary may reasonably deem equitable and practicable for accomplishing that distribution (which may be a distribution of depositary shares representing the securities received);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if in the opinion of the Depositary such distribution cannot be made proportionately among the Owners entitled thereto, or if for any other reason (including, but not limited to, any requirement that the Company or the Depositary withhold an amount on account of taxes or other governmental charges or that securities received must be registered under the Securities Act of 1933 in order to be distributed to Owners or Holders) the Depositary deems such distribution not to be lawful and feasible, the Depositary, after consultation with the Company to the extent practicable, may adopt such other method as it may deem equitable and practicable for the purpose of effecting such distribution, including, but not limited to, the public or private sale of the securities or property thus received, or any part thereof, and distribution of the net proceeds of any such sale (net of </w:t>
      </w:r>
      <w:r>
        <w:br w:type="page"/>
      </w:r>
    </w:p>
    <w:p>
      <w:pPr>
        <w:pStyle w:val="TextBody"/>
        <w:spacing w:before="120" w:after="240"/>
        <w:jc w:val="center"/>
        <w:rPr/>
      </w:pPr>
      <w:r>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6480175" cy="869950"/>
                <wp:effectExtent l="0" t="0" r="0" b="0"/>
                <wp:wrapNone/>
                <wp:docPr id="256" name="Frame254"/>
                <a:graphic xmlns:a="http://schemas.openxmlformats.org/drawingml/2006/main">
                  <a:graphicData uri="http://schemas.microsoft.com/office/word/2010/wordprocessingShape">
                    <wps:wsp>
                      <wps:cNvSpPr txBox="1"/>
                      <wps:spPr>
                        <a:xfrm>
                          <a:off x="0" y="0"/>
                          <a:ext cx="6480175" cy="869950"/>
                        </a:xfrm>
                        <a:prstGeom prst="rect"/>
                      </wps:spPr>
                      <wps:txbx>
                        <w:txbxContent>
                          <w:p>
                            <w:pPr>
                              <w:pStyle w:val="TextBody"/>
                              <w:spacing w:lineRule="auto" w:line="288"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-15-</w:t>
                            </w:r>
                          </w:p>
                          <w:p>
                            <w:pPr>
                              <w:pStyle w:val="TextBody"/>
                              <w:spacing w:before="24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8.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spacing w:lineRule="auto" w:line="288"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-15-</w:t>
                      </w:r>
                    </w:p>
                    <w:p>
                      <w:pPr>
                        <w:pStyle w:val="TextBody"/>
                        <w:spacing w:before="240" w:after="283"/>
                        <w:jc w:val="center"/>
                        <w:rPr/>
                      </w:pPr>
                      <w:r>
                        <w:rPr/>
                      </w:r>
                    </w:p>
                  </w:txbxContent>
                </v:textbox>
              </v:rect>
            </w:pict>
          </mc:Fallback>
        </mc:AlternateContent>
      </w:r>
    </w:p>
    <w:p>
      <w:pPr>
        <w:pStyle w:val="TextBody"/>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the fees and expenses of the Depositary as provided in Section 5.9) to the Owners entitled thereto, all in the manner and subject to the conditions set forth in Section 4.1. The Depositary may withhold any distribution of securities under this Section 4.2 if it has not received satisfactory assurances from the Company that the distribution does not require registration under the Securities Act of 1933. The Depositary may sell, by public or private sale, an amount of securities or other property it would otherwise distribute under this Section 4.2 that is sufficient to pay its fees and expenses in respect of that distribution.</w:t>
      </w:r>
    </w:p>
    <w:p>
      <w:pPr>
        <w:pStyle w:val="TextBody"/>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If a distribution under this Section 4.2 would represent a return of all or substantially all the value of the Deposited Securities underlying American Depositary Shares, the Depositary may require surrender of those American Depositary Shares and may require payment of or deduct the fee for surrender of American Depositary Shares (whether or not it is also requiring surrender of American Depositary Shares) as a condition of making that distribution. A distribution of that kind shall be a Termination Option Event.</w:t>
      </w:r>
    </w:p>
    <w:p>
      <w:pPr>
        <w:pStyle w:val="TextBody"/>
        <w:spacing w:lineRule="auto" w:line="288" w:before="0" w:after="240"/>
        <w:ind w:left="0" w:right="0" w:firstLine="1080"/>
        <w:jc w:val="both"/>
        <w:rPr/>
      </w:pPr>
      <w:r>
        <w:rPr>
          <w:rFonts w:ascii="Times New Roman;sans-serif" w:hAnsi="Times New Roman;sans-serif"/>
          <w:b w:val="false"/>
          <w:color w:val="000000"/>
          <w:sz w:val="24"/>
        </w:rPr>
        <w:t xml:space="preserve">SECTION 4.3 </w:t>
      </w:r>
      <w:r>
        <w:rPr>
          <w:rFonts w:ascii="Times New Roman;sans-serif" w:hAnsi="Times New Roman;sans-serif"/>
          <w:b w:val="false"/>
          <w:color w:val="000000"/>
          <w:sz w:val="24"/>
          <w:u w:val="single"/>
        </w:rPr>
        <w:t>Distributions in Shares.</w:t>
      </w:r>
    </w:p>
    <w:p>
      <w:pPr>
        <w:pStyle w:val="TextBody"/>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Whenever the Depositary receives any distribution on Deposited Securities consisting of a dividend in, or free distribution of, Shares, the Depositary may, and if the Company so requests in writing, shall deliver to the Owners entitled thereto, in proportion to the number of American Depositary Shares representing those Deposited Securities held by them respectively, an aggregate number of American Depositary Shares representing the amount of Shares received as that dividend or free distribution, subject to the terms and conditions of this Deposit Agreement with respect to the deposit of Shares and issuance of American Depositary Shares, including withholding of any tax or governmental charge as provided in Section 4.11 and payment of the fees and expenses of the Depositary as provided in Section 5.9 (and the Depositary may sell, by public or private sale, an amount of the Shares received (or American Depositary Shares representing those Shares) sufficient to pay its fees and expenses in respect of that distribution). In lieu of delivering fractional American Depositary Shares, the Depositary may sell the amount of Shares represented by the aggregate of those fractions (or American Depositary Shares representing those Shares) and distribute the net proceeds, all in the manner and subject to the conditions described in Section 4.1. If and to the extent that additional American Depositary Shares are not delivered and Shares or American Depositary Shares are not sold, each American Depositary Share shall thenceforth also represent the additional Shares distributed on the Deposited Securities represented thereby.</w:t>
      </w:r>
    </w:p>
    <w:p>
      <w:pPr>
        <w:pStyle w:val="TextBody"/>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If the Company declares a distribution in which holders of Deposited Securities have a right to elect whether to receive cash, Shares or other securities or a combination of those things, or a right to elect to have a distribution sold on their behalf, </w:t>
      </w:r>
      <w:r>
        <w:br w:type="page"/>
      </w:r>
    </w:p>
    <w:p>
      <w:pPr>
        <w:pStyle w:val="TextBody"/>
        <w:spacing w:before="120" w:after="240"/>
        <w:jc w:val="center"/>
        <w:rPr/>
      </w:pPr>
      <w:r>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6480175" cy="869950"/>
                <wp:effectExtent l="0" t="0" r="0" b="0"/>
                <wp:wrapNone/>
                <wp:docPr id="257" name="Frame255"/>
                <a:graphic xmlns:a="http://schemas.openxmlformats.org/drawingml/2006/main">
                  <a:graphicData uri="http://schemas.microsoft.com/office/word/2010/wordprocessingShape">
                    <wps:wsp>
                      <wps:cNvSpPr txBox="1"/>
                      <wps:spPr>
                        <a:xfrm>
                          <a:off x="0" y="0"/>
                          <a:ext cx="6480175" cy="869950"/>
                        </a:xfrm>
                        <a:prstGeom prst="rect"/>
                      </wps:spPr>
                      <wps:txbx>
                        <w:txbxContent>
                          <w:p>
                            <w:pPr>
                              <w:pStyle w:val="TextBody"/>
                              <w:spacing w:lineRule="auto" w:line="288"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-16-</w:t>
                            </w:r>
                          </w:p>
                          <w:p>
                            <w:pPr>
                              <w:pStyle w:val="TextBody"/>
                              <w:spacing w:before="24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8.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spacing w:lineRule="auto" w:line="288"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-16-</w:t>
                      </w:r>
                    </w:p>
                    <w:p>
                      <w:pPr>
                        <w:pStyle w:val="TextBody"/>
                        <w:spacing w:before="240" w:after="283"/>
                        <w:jc w:val="center"/>
                        <w:rPr/>
                      </w:pPr>
                      <w:r>
                        <w:rPr/>
                      </w:r>
                    </w:p>
                  </w:txbxContent>
                </v:textbox>
              </v:rect>
            </w:pict>
          </mc:Fallback>
        </mc:AlternateContent>
      </w:r>
    </w:p>
    <w:p>
      <w:pPr>
        <w:pStyle w:val="TextBody"/>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the Depositary may, after consultation with the Company, make that right of election available for exercise by Owners in any manner the Depositary reasonably considers to be lawful and practical. As a condition of making a distribution election right available to Owners, the Depositary may require reasonably satisfactory assurances from the Company that doing so does not require registration of any securities under the Securities Act of 1933.</w:t>
      </w:r>
    </w:p>
    <w:p>
      <w:pPr>
        <w:pStyle w:val="TextBody"/>
        <w:spacing w:lineRule="auto" w:line="288" w:before="0" w:after="240"/>
        <w:ind w:left="0" w:right="0" w:firstLine="1080"/>
        <w:jc w:val="both"/>
        <w:rPr/>
      </w:pPr>
      <w:r>
        <w:rPr>
          <w:rFonts w:ascii="Times New Roman;sans-serif" w:hAnsi="Times New Roman;sans-serif"/>
          <w:b w:val="false"/>
          <w:color w:val="000000"/>
          <w:sz w:val="24"/>
        </w:rPr>
        <w:t xml:space="preserve">SECTION 4.4 </w:t>
      </w:r>
      <w:r>
        <w:rPr>
          <w:rFonts w:ascii="Times New Roman;sans-serif" w:hAnsi="Times New Roman;sans-serif"/>
          <w:b w:val="false"/>
          <w:color w:val="000000"/>
          <w:sz w:val="24"/>
          <w:u w:val="single"/>
        </w:rPr>
        <w:t>Rights.</w:t>
      </w:r>
    </w:p>
    <w:p>
      <w:pPr>
        <w:pStyle w:val="TextBody"/>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(a)    If rights are granted to the Depositary in respect of deposited Shares to purchase additional Shares or other securities, the Company and the Depositary shall endeavor to consult as to the actions, if any, the Depositary should take in connection with that grant of rights. The Depositary may, to the extent reasonably deemed by it to be lawful and practical (i) if requested in writing by the Company, grant to all or certain Owners rights to instruct the Depositary to purchase the securities to which the rights relate and deliver those securities or American Depositary Shares representing those securities to Owners, (ii) if requested in writing by the Company, deliver the rights to or to the order of certain Owners, or (iii) sell the rights to the extent practicable and distribute the net proceeds of that sale to Owners entitled to those proceeds. To the extent rights are not exercised, delivered or disposed of under (i), (ii) or (iii) above, the Depositary shall permit the rights to lapse unexercised.</w:t>
      </w:r>
    </w:p>
    <w:p>
      <w:pPr>
        <w:pStyle w:val="TextBody"/>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(b)    If the Depositary will act under (a)(i) above, the Company and the Depositary will enter into a separate agreement setting forth the conditions and procedures applicable to the particular offering. Upon instruction from an applicable Owner in the form the Depositary specified and upon payment by that Owner to the Depositary of an amount equal to the purchase price of the securities to be received upon the exercise of the rights, the Depositary shall, on behalf of that Owner, exercise the rights and purchase the securities. The purchased securities shall be delivered to, or as instructed by, the Depositary. The Depositary shall (i) deposit the purchased Shares under this Deposit Agreement and deliver American Depositary Shares representing those Shares to that Owner or (ii) deliver or cause the purchased Shares or other securities to be delivered to or to the order of that Owner. The Depositary will not act under (a)(i) above unless the offer and sale of the securities to which the rights relate are registered under the Securities Act of 1933 or the Depositary has received an opinion of United States counsel that is reasonably satisfactory to it to the effect that those securities may be sold and delivered to the applicable Owners without registration under the Securities Act of 1933. For the avoidance of doubt, nothing in this Deposit Agreement shall create any obligation on the part of the Company to file a registration statement with respect to rights or the underlying securities or to endeavor to have such a registration statement declared effective.</w:t>
      </w:r>
      <w:r>
        <w:br w:type="page"/>
      </w:r>
    </w:p>
    <w:p>
      <w:pPr>
        <w:pStyle w:val="TextBody"/>
        <w:spacing w:before="120" w:after="240"/>
        <w:jc w:val="center"/>
        <w:rPr/>
      </w:pPr>
      <w:r>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6480175" cy="869950"/>
                <wp:effectExtent l="0" t="0" r="0" b="0"/>
                <wp:wrapNone/>
                <wp:docPr id="258" name="Frame256"/>
                <a:graphic xmlns:a="http://schemas.openxmlformats.org/drawingml/2006/main">
                  <a:graphicData uri="http://schemas.microsoft.com/office/word/2010/wordprocessingShape">
                    <wps:wsp>
                      <wps:cNvSpPr txBox="1"/>
                      <wps:spPr>
                        <a:xfrm>
                          <a:off x="0" y="0"/>
                          <a:ext cx="6480175" cy="869950"/>
                        </a:xfrm>
                        <a:prstGeom prst="rect"/>
                      </wps:spPr>
                      <wps:txbx>
                        <w:txbxContent>
                          <w:p>
                            <w:pPr>
                              <w:pStyle w:val="TextBody"/>
                              <w:spacing w:lineRule="auto" w:line="288"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-17-</w:t>
                            </w:r>
                          </w:p>
                          <w:p>
                            <w:pPr>
                              <w:pStyle w:val="TextBody"/>
                              <w:spacing w:before="24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8.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spacing w:lineRule="auto" w:line="288"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-17-</w:t>
                      </w:r>
                    </w:p>
                    <w:p>
                      <w:pPr>
                        <w:pStyle w:val="TextBody"/>
                        <w:spacing w:before="240" w:after="283"/>
                        <w:jc w:val="center"/>
                        <w:rPr/>
                      </w:pPr>
                      <w:r>
                        <w:rPr/>
                      </w:r>
                    </w:p>
                  </w:txbxContent>
                </v:textbox>
              </v:rect>
            </w:pict>
          </mc:Fallback>
        </mc:AlternateContent>
      </w:r>
    </w:p>
    <w:p>
      <w:pPr>
        <w:pStyle w:val="TextBody"/>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(c)    If the Depositary will act under (a)(ii) above, the Company and the Depositary will enter into a separate agreement setting forth the conditions and procedures applicable to the particular offering. Upon (i) the request of an applicable Owner to deliver the rights allocable to the American Depositary Shares of that Owner to an account specified by that Owner to which the rights can be delivered and (ii) receipt of such documents as the Company and the Depositary agreed to require to comply with applicable law, the Depositary will deliver those rights as requested by that Owner.</w:t>
      </w:r>
    </w:p>
    <w:p>
      <w:pPr>
        <w:pStyle w:val="TextBody"/>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(d)    If the Depositary will act under (a)(iii) above, the Depositary will use reasonable efforts to sell the rights in proportion to the number of American Depositary Shares held by the applicable Owners and pay the net proceeds to the Owners otherwise entitled to the rights that were sold, upon an averaged or other practical basis without regard to any distinctions among such Owners because of exchange restrictions or the date of delivery of any American Depositary Shares or otherwise. </w:t>
      </w:r>
    </w:p>
    <w:p>
      <w:pPr>
        <w:pStyle w:val="TextBody"/>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(e)    Payment or deduction of the fees of the Depositary as provided in Section 5.9 and payment or deduction of the expenses of the Depositary and any applicable taxes or other governmental charges shall be conditions of any delivery of securities or payment of cash proceeds under this Section 4.4.</w:t>
      </w:r>
    </w:p>
    <w:p>
      <w:pPr>
        <w:pStyle w:val="TextBody"/>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(f)    The Depositary shall not be responsible for any failure to determine that it may be lawful or feasible to make rights available to or exercise rights on behalf of Owners in general or any Owner in particular, or to sell rights.</w:t>
      </w:r>
    </w:p>
    <w:p>
      <w:pPr>
        <w:pStyle w:val="TextBody"/>
        <w:spacing w:lineRule="auto" w:line="288" w:before="0" w:after="240"/>
        <w:ind w:left="0" w:right="0" w:firstLine="1080"/>
        <w:jc w:val="both"/>
        <w:rPr/>
      </w:pPr>
      <w:r>
        <w:rPr>
          <w:rFonts w:ascii="Times New Roman;sans-serif" w:hAnsi="Times New Roman;sans-serif"/>
          <w:b w:val="false"/>
          <w:color w:val="000000"/>
          <w:sz w:val="24"/>
        </w:rPr>
        <w:t xml:space="preserve">SECTION 4.5 </w:t>
      </w:r>
      <w:r>
        <w:rPr>
          <w:rFonts w:ascii="Times New Roman;sans-serif" w:hAnsi="Times New Roman;sans-serif"/>
          <w:b w:val="false"/>
          <w:color w:val="000000"/>
          <w:sz w:val="24"/>
          <w:u w:val="single"/>
        </w:rPr>
        <w:t>Conversion of Foreign Currency.</w:t>
      </w:r>
    </w:p>
    <w:p>
      <w:pPr>
        <w:pStyle w:val="TextBody"/>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Whenever the Depositary or the Custodian receives foreign currency, by way of dividends or other distributions or the net proceeds from the sale of securities, property or rights, and if at the time of the receipt thereof the foreign currency so received can in the judgment of the Depositary be converted on a reasonable basis into Dollars and the resulting Dollars transferred to the United States, the Depositary or one of its agents or affiliates or the Custodian shall convert or cause to be converted by sale or in any other manner that it may determine that foreign currency into Dollars, and those Dollars shall be, as promptly as practicable, distributed to the Owners entitled thereto.  A cash distribution may be made upon an averaged or other practicable basis without regard to any distinctions among Owners based on exchange restrictions, the date of delivery of any American Depositary Shares or otherwise and shall be net of any expenses of conversion into Dollars incurred by the Depositary as provided in Section 5.9.</w:t>
      </w:r>
    </w:p>
    <w:p>
      <w:pPr>
        <w:pStyle w:val="TextBody"/>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If a conversion of foreign currency or the repatriation or distribution of Dollars can be effected only with the approval or license of any government or agency thereof, the Depositary may, but will not be required to, file an application for that approval or license.</w:t>
      </w:r>
      <w:r>
        <w:br w:type="page"/>
      </w:r>
    </w:p>
    <w:p>
      <w:pPr>
        <w:pStyle w:val="TextBody"/>
        <w:spacing w:before="120" w:after="240"/>
        <w:jc w:val="center"/>
        <w:rPr/>
      </w:pPr>
      <w:r>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6480175" cy="869950"/>
                <wp:effectExtent l="0" t="0" r="0" b="0"/>
                <wp:wrapNone/>
                <wp:docPr id="259" name="Frame257"/>
                <a:graphic xmlns:a="http://schemas.openxmlformats.org/drawingml/2006/main">
                  <a:graphicData uri="http://schemas.microsoft.com/office/word/2010/wordprocessingShape">
                    <wps:wsp>
                      <wps:cNvSpPr txBox="1"/>
                      <wps:spPr>
                        <a:xfrm>
                          <a:off x="0" y="0"/>
                          <a:ext cx="6480175" cy="869950"/>
                        </a:xfrm>
                        <a:prstGeom prst="rect"/>
                      </wps:spPr>
                      <wps:txbx>
                        <w:txbxContent>
                          <w:p>
                            <w:pPr>
                              <w:pStyle w:val="TextBody"/>
                              <w:spacing w:lineRule="auto" w:line="288"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-18-</w:t>
                            </w:r>
                          </w:p>
                          <w:p>
                            <w:pPr>
                              <w:pStyle w:val="TextBody"/>
                              <w:spacing w:before="24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8.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spacing w:lineRule="auto" w:line="288"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-18-</w:t>
                      </w:r>
                    </w:p>
                    <w:p>
                      <w:pPr>
                        <w:pStyle w:val="TextBody"/>
                        <w:spacing w:before="240" w:after="283"/>
                        <w:jc w:val="center"/>
                        <w:rPr/>
                      </w:pPr>
                      <w:r>
                        <w:rPr/>
                      </w:r>
                    </w:p>
                  </w:txbxContent>
                </v:textbox>
              </v:rect>
            </w:pict>
          </mc:Fallback>
        </mc:AlternateContent>
      </w:r>
    </w:p>
    <w:p>
      <w:pPr>
        <w:pStyle w:val="TextBody"/>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If the Depositary determines that in its judgment any foreign currency received by the Depositary or the Custodian is not convertible on a reasonable basis into Dollars transferable to the United States, or if any approval or license of any government or agency thereof that is required for such conversion is not filed or sought by the Depositary or is not obtained within a reasonable period as determined by the Depositary, the Depositary may distribute the foreign currency received by the Depositary to, or in its discretion may hold such foreign currency uninvested and without liability for interest thereon for the respective accounts of, the Owners entitled to receive the same.</w:t>
      </w:r>
    </w:p>
    <w:p>
      <w:pPr>
        <w:pStyle w:val="TextBody"/>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If any conversion of foreign currency, in whole or in part, cannot be effected for distribution to some of the Owners entitled thereto, the Depositary may in its discretion make that conversion and distribution in Dollars to the extent practicable and permissible to the Owners entitled thereto and may distribute the balance of the foreign currency received by the Depositary to, or hold that balance uninvested and without liability for interest thereon for the account of, the Owners entitled thereto.</w:t>
      </w:r>
    </w:p>
    <w:p>
      <w:pPr>
        <w:pStyle w:val="TextBody"/>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The Depositary may convert currency itself or through any of its affiliates, or the Custodian or the Company may convert currency and pay Dollars to the Depositary. Where the Depositary converts currency itself or through any of its affiliates, the Depositary acts as principal for its own account and not as agent, advisor, broker or fiduciary on behalf of any other person and earns revenue, including, without limitation, transaction spreads, that it will retain for its own account.  The revenue is based on, among other things, the difference between the exchange rate assigned to the currency conversion made under this Deposit Agreement and the rate that the Depositary or its affiliate receives when buying or selling foreign currency for its own account.  The Depositary makes no representation that the exchange rate used or obtained by it or its affiliate in any currency conversion under this Deposit Agreement will be the most favorable rate that could be obtained at the time or that the method by which that rate will be determined will be the most favorable to Owners, subject to the Depositary’s obligations under Section 5.3.  The methodology used to determine exchange rates used in currency conversions made by the Depositary is available upon request. Where the Custodian converts currency, the Custodian has no obligation to obtain the most favorable rate that could be obtained at the time or to ensure that the method by which that rate will be determined will be the most favorable to Owners, and the Depositary makes no representation that the rate is the most favorable rate and will not be liable for any direct or indirect losses associated with the rate.  In certain instances, the Depositary may receive dividends or other distributions from the Company in Dollars that represent the proceeds of a conversion of foreign currency or translation from foreign currency at a rate that was obtained or determined by or on behalf of the Company and, in such cases, the Depositary will not engage in, or be responsible for, any foreign currency transactions and neither it nor the Company makes any representation that the rate obtained or determined by the Company is the most favorable rate and neither it nor the Company will be liable for any direct or indirect losses associated with the rate. </w:t>
      </w:r>
      <w:r>
        <w:br w:type="page"/>
      </w:r>
    </w:p>
    <w:p>
      <w:pPr>
        <w:pStyle w:val="TextBody"/>
        <w:spacing w:before="120" w:after="240"/>
        <w:jc w:val="center"/>
        <w:rPr/>
      </w:pPr>
      <w:r>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6480175" cy="869950"/>
                <wp:effectExtent l="0" t="0" r="0" b="0"/>
                <wp:wrapNone/>
                <wp:docPr id="260" name="Frame258"/>
                <a:graphic xmlns:a="http://schemas.openxmlformats.org/drawingml/2006/main">
                  <a:graphicData uri="http://schemas.microsoft.com/office/word/2010/wordprocessingShape">
                    <wps:wsp>
                      <wps:cNvSpPr txBox="1"/>
                      <wps:spPr>
                        <a:xfrm>
                          <a:off x="0" y="0"/>
                          <a:ext cx="6480175" cy="869950"/>
                        </a:xfrm>
                        <a:prstGeom prst="rect"/>
                      </wps:spPr>
                      <wps:txbx>
                        <w:txbxContent>
                          <w:p>
                            <w:pPr>
                              <w:pStyle w:val="TextBody"/>
                              <w:spacing w:lineRule="auto" w:line="288"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-19-</w:t>
                            </w:r>
                          </w:p>
                          <w:p>
                            <w:pPr>
                              <w:pStyle w:val="TextBody"/>
                              <w:spacing w:before="24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8.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spacing w:lineRule="auto" w:line="288"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-19-</w:t>
                      </w:r>
                    </w:p>
                    <w:p>
                      <w:pPr>
                        <w:pStyle w:val="TextBody"/>
                        <w:spacing w:before="240" w:after="283"/>
                        <w:jc w:val="center"/>
                        <w:rPr/>
                      </w:pPr>
                      <w:r>
                        <w:rPr/>
                      </w:r>
                    </w:p>
                  </w:txbxContent>
                </v:textbox>
              </v:rect>
            </w:pict>
          </mc:Fallback>
        </mc:AlternateContent>
      </w:r>
    </w:p>
    <w:p>
      <w:pPr>
        <w:pStyle w:val="TextBody"/>
        <w:spacing w:lineRule="auto" w:line="288" w:before="0" w:after="240"/>
        <w:ind w:left="0" w:right="0" w:firstLine="1080"/>
        <w:jc w:val="both"/>
        <w:rPr/>
      </w:pPr>
      <w:r>
        <w:rPr>
          <w:rFonts w:ascii="Times New Roman;sans-serif" w:hAnsi="Times New Roman;sans-serif"/>
          <w:b w:val="false"/>
          <w:color w:val="000000"/>
          <w:sz w:val="24"/>
        </w:rPr>
        <w:t xml:space="preserve">SECTION 4.6 </w:t>
      </w:r>
      <w:r>
        <w:rPr>
          <w:rFonts w:ascii="Times New Roman;sans-serif" w:hAnsi="Times New Roman;sans-serif"/>
          <w:b w:val="false"/>
          <w:color w:val="000000"/>
          <w:sz w:val="24"/>
          <w:u w:val="single"/>
        </w:rPr>
        <w:t>Fixing of Record Date.</w:t>
      </w:r>
    </w:p>
    <w:p>
      <w:pPr>
        <w:pStyle w:val="TextBody"/>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Whenever a cash dividend, cash distribution or any other distribution is made on Deposited Securities or rights to purchase Shares or other securities are issued with respect to Deposited Securities (which rights will be delivered to or exercised or sold on behalf of Owners in accordance with Section 4.4) or the Depositary receives notice that a distribution or issuance of that kind will be made, or whenever the Depositary receives notice that a meeting of holders of Shares will be held in respect of which the Company has requested the Depositary to send a notice under Section 4.7, or whenever the Depositary will assess a fee or charge against the Owners, or whenever the Depositary causes a change in the number of Shares that are represented by each American Depositary Share, or whenever the Depositary otherwise finds it necessary or convenient, the Depositary shall fix a record date, which shall be the same as, or as near as practicable to, any corresponding record date set by the Company with respect to Shares, (a) for the determination of the Owners (i) who shall be entitled to receive the benefit of that dividend or other distribution or those rights, (ii) who shall be entitled to give instructions for the exercise of voting rights at that meeting, (iii) who shall be responsible for that fee or charge or (iv) for any other purpose for which the record date was set, or (b) on or after which each American Depositary Share will represent the changed number of Shares. Subject to the provisions of Sections 4.1 through 4.5 and to the other terms and conditions of this Deposit Agreement, the Owners on a record date fixed by the Depositary shall be entitled to receive the amount distributable by the Depositary with respect to that dividend or other distribution or those rights or the net proceeds of sale thereof in proportion to the number of American Depositary Shares held by them respectively, to give voting instructions or to act in respect of the other matter for which that record date was fixed, or be responsible for that fee or charge, as the case may be.</w:t>
      </w:r>
    </w:p>
    <w:p>
      <w:pPr>
        <w:pStyle w:val="TextBody"/>
        <w:spacing w:lineRule="auto" w:line="288" w:before="0" w:after="240"/>
        <w:ind w:left="0" w:right="0" w:firstLine="1080"/>
        <w:jc w:val="both"/>
        <w:rPr/>
      </w:pPr>
      <w:r>
        <w:rPr>
          <w:rFonts w:ascii="Times New Roman;sans-serif" w:hAnsi="Times New Roman;sans-serif"/>
          <w:b w:val="false"/>
          <w:color w:val="000000"/>
          <w:sz w:val="24"/>
        </w:rPr>
        <w:t xml:space="preserve">SECTION 4.7 </w:t>
      </w:r>
      <w:r>
        <w:rPr>
          <w:rFonts w:ascii="Times New Roman;sans-serif" w:hAnsi="Times New Roman;sans-serif"/>
          <w:b w:val="false"/>
          <w:color w:val="000000"/>
          <w:sz w:val="24"/>
          <w:u w:val="single"/>
        </w:rPr>
        <w:t>Voting of Deposited Shares.</w:t>
      </w:r>
    </w:p>
    <w:p>
      <w:pPr>
        <w:pStyle w:val="TextBody"/>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(a)    Upon receipt of notice of any meeting of holders of Shares at which holders of Shares will be entitled to vote, if requested in writing by the Company, the Depositary shall, as soon as practicable thereafter, Disseminate to the Owners a notice, the form of which shall be in the sole discretion of the Depositary, that shall contain (i) the information contained in the notice of meeting received by the Depositary, (ii) a statement that the Owners as of the close of business on a specified record date will be entitled, subject to any applicable provision of the laws of the Cayman Islands and of the articles of association or similar documents of the Company, to instruct the Depositary as to the exercise of the voting rights pertaining to the amount of Shares represented by their respective American Depositary Shares, (iii) a statement as to the manner in which those instructions may be given including an express indication that instructions may be given or deemed given in accordance with the last sentence of paragraph (b) below, if no instruction is received, to the Depositary to give a </w:t>
      </w:r>
      <w:r>
        <w:br w:type="page"/>
      </w:r>
    </w:p>
    <w:p>
      <w:pPr>
        <w:pStyle w:val="TextBody"/>
        <w:spacing w:before="120" w:after="240"/>
        <w:jc w:val="center"/>
        <w:rPr/>
      </w:pPr>
      <w:r>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6480175" cy="869950"/>
                <wp:effectExtent l="0" t="0" r="0" b="0"/>
                <wp:wrapNone/>
                <wp:docPr id="261" name="Frame259"/>
                <a:graphic xmlns:a="http://schemas.openxmlformats.org/drawingml/2006/main">
                  <a:graphicData uri="http://schemas.microsoft.com/office/word/2010/wordprocessingShape">
                    <wps:wsp>
                      <wps:cNvSpPr txBox="1"/>
                      <wps:spPr>
                        <a:xfrm>
                          <a:off x="0" y="0"/>
                          <a:ext cx="6480175" cy="869950"/>
                        </a:xfrm>
                        <a:prstGeom prst="rect"/>
                      </wps:spPr>
                      <wps:txbx>
                        <w:txbxContent>
                          <w:p>
                            <w:pPr>
                              <w:pStyle w:val="TextBody"/>
                              <w:spacing w:lineRule="auto" w:line="288"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-20-</w:t>
                            </w:r>
                          </w:p>
                          <w:p>
                            <w:pPr>
                              <w:pStyle w:val="TextBody"/>
                              <w:spacing w:before="24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8.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spacing w:lineRule="auto" w:line="288"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-20-</w:t>
                      </w:r>
                    </w:p>
                    <w:p>
                      <w:pPr>
                        <w:pStyle w:val="TextBody"/>
                        <w:spacing w:before="240" w:after="283"/>
                        <w:jc w:val="center"/>
                        <w:rPr/>
                      </w:pPr>
                      <w:r>
                        <w:rPr/>
                      </w:r>
                    </w:p>
                  </w:txbxContent>
                </v:textbox>
              </v:rect>
            </w:pict>
          </mc:Fallback>
        </mc:AlternateContent>
      </w:r>
    </w:p>
    <w:p>
      <w:pPr>
        <w:pStyle w:val="TextBody"/>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discretionary proxy to a person designated by the Company, and (iv) the last date on which the Depositary will accept instructions (the “Instruction Cutoff Date”). </w:t>
      </w:r>
    </w:p>
    <w:p>
      <w:pPr>
        <w:pStyle w:val="TextBody"/>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(b)    Upon the written request of an Owner of American Depositary Shares, as of the date of the request or, if a record date was specified by the Depositary, as of that record date, received on or before any Instruction Cutoff Date established by the Depositary, the Depositary may, and if the Depositary sent a notice under the preceding paragraph shall, endeavor, in so far as practicable, to vote or cause to be voted the amount of deposited Shares represented by those American Depositary Shares in accordance with the instructions set forth in that request. The Depositary shall not vote or attempt to exercise the right to vote that attaches to the deposited Shares other than in accordance with instructions given by Owners and received by the Depositary or as provided in the following sentence. If:</w:t>
      </w:r>
    </w:p>
    <w:p>
      <w:pPr>
        <w:pStyle w:val="TextBody"/>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 the Company instructed the Depositary to Disseminate a notice under paragraph (a) above and complied with paragraph (d) below,</w:t>
      </w:r>
    </w:p>
    <w:p>
      <w:pPr>
        <w:pStyle w:val="TextBody"/>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(ii) no instructions are received by the Depositary from an Owner with respect to a matter and an amount of American Depositary Shares of that Owner on or before the Instruction Cutoff Date, and</w:t>
      </w:r>
    </w:p>
    <w:p>
      <w:pPr>
        <w:pStyle w:val="TextBody"/>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(iii) the Depositary has received from the Company, by the business day following the Instruction Cutoff Date, a written confirmation that, as of the Instruction Cutoff Date, (x) the Company wishes a proxy to be given under this sentence, (y) the Company reasonably does not know of any substantial opposition to the matter and (z) the matter is not materially adverse to the interests of shareholders,</w:t>
      </w:r>
    </w:p>
    <w:p>
      <w:pPr>
        <w:pStyle w:val="TextBody"/>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then, the Depositary shall deem that Owner to have instructed the Depositary to give a discretionary proxy to a person designated by the Company with respect to that matter and the amount of deposited Shares represented by that amount of American Depositary Shares and the Depositary shall give a discretionary proxy to a person designated by the Company to vote that amount of deposited Shares as to that matter. </w:t>
      </w:r>
    </w:p>
    <w:p>
      <w:pPr>
        <w:pStyle w:val="TextBody"/>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(c)    There can be no assurance that Owners generally or any Owner in particular will receive the notice described in paragraph (a) above in time to enable Owners to give instructions to the Depositary prior to the Instruction Cutoff Date.</w:t>
      </w:r>
    </w:p>
    <w:p>
      <w:pPr>
        <w:pStyle w:val="TextBody"/>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(d)    In order to give Owners a reasonable opportunity to instruct the Depositary as to the exercise of voting rights relating to Shares, if the Company will request the Depositary to Disseminate a notice under paragraph (a) above, the Company shall give the Depositary notice of the meeting, details concerning the matters to be voted </w:t>
      </w:r>
      <w:r>
        <w:br w:type="page"/>
      </w:r>
    </w:p>
    <w:p>
      <w:pPr>
        <w:pStyle w:val="TextBody"/>
        <w:spacing w:before="120" w:after="240"/>
        <w:jc w:val="center"/>
        <w:rPr/>
      </w:pPr>
      <w:r>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6480175" cy="869950"/>
                <wp:effectExtent l="0" t="0" r="0" b="0"/>
                <wp:wrapNone/>
                <wp:docPr id="262" name="Frame260"/>
                <a:graphic xmlns:a="http://schemas.openxmlformats.org/drawingml/2006/main">
                  <a:graphicData uri="http://schemas.microsoft.com/office/word/2010/wordprocessingShape">
                    <wps:wsp>
                      <wps:cNvSpPr txBox="1"/>
                      <wps:spPr>
                        <a:xfrm>
                          <a:off x="0" y="0"/>
                          <a:ext cx="6480175" cy="869950"/>
                        </a:xfrm>
                        <a:prstGeom prst="rect"/>
                      </wps:spPr>
                      <wps:txbx>
                        <w:txbxContent>
                          <w:p>
                            <w:pPr>
                              <w:pStyle w:val="TextBody"/>
                              <w:spacing w:lineRule="auto" w:line="288"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-21-</w:t>
                            </w:r>
                          </w:p>
                          <w:p>
                            <w:pPr>
                              <w:pStyle w:val="TextBody"/>
                              <w:spacing w:before="24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8.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spacing w:lineRule="auto" w:line="288"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-21-</w:t>
                      </w:r>
                    </w:p>
                    <w:p>
                      <w:pPr>
                        <w:pStyle w:val="TextBody"/>
                        <w:spacing w:before="240" w:after="283"/>
                        <w:jc w:val="center"/>
                        <w:rPr/>
                      </w:pPr>
                      <w:r>
                        <w:rPr/>
                      </w:r>
                    </w:p>
                  </w:txbxContent>
                </v:textbox>
              </v:rect>
            </w:pict>
          </mc:Fallback>
        </mc:AlternateContent>
      </w:r>
    </w:p>
    <w:p>
      <w:pPr>
        <w:pStyle w:val="TextBody"/>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upon and copies of materials to be made available to holders of Shares in connection with the meeting not less than 45 days prior to the meeting date.</w:t>
      </w:r>
    </w:p>
    <w:p>
      <w:pPr>
        <w:pStyle w:val="TextBody"/>
        <w:spacing w:lineRule="auto" w:line="288" w:before="0" w:after="240"/>
        <w:ind w:left="0" w:right="0" w:firstLine="1080"/>
        <w:jc w:val="both"/>
        <w:rPr/>
      </w:pPr>
      <w:r>
        <w:rPr>
          <w:rFonts w:ascii="Times New Roman;sans-serif" w:hAnsi="Times New Roman;sans-serif"/>
          <w:b w:val="false"/>
          <w:color w:val="000000"/>
          <w:sz w:val="24"/>
        </w:rPr>
        <w:t xml:space="preserve">SECTION 4.8 </w:t>
      </w:r>
      <w:r>
        <w:rPr>
          <w:rFonts w:ascii="Times New Roman;sans-serif" w:hAnsi="Times New Roman;sans-serif"/>
          <w:b w:val="false"/>
          <w:color w:val="000000"/>
          <w:sz w:val="24"/>
          <w:u w:val="single"/>
        </w:rPr>
        <w:t>Tender and Exchange Offers; Redemption, Replacement or Cancellation of Deposited Securities.</w:t>
      </w:r>
    </w:p>
    <w:p>
      <w:pPr>
        <w:pStyle w:val="TextBody"/>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(a)    The Depositary shall not tender any Deposited Securities in response to any voluntary cash tender offer, exchange offer or similar offer made to holders of Deposited Securities (a “Voluntary Offer”), except when instructed in writing to do so by an Owner surrendering American Depositary Shares and subject to any conditions or procedures the Depositary may reasonably require.</w:t>
      </w:r>
    </w:p>
    <w:p>
      <w:pPr>
        <w:pStyle w:val="TextBody"/>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(b)    If the Depositary receives a written notice that Deposited Securities have been redeemed for cash or otherwise purchased for cash in a transaction that is mandatory and binding on the Depositary as a holder of those Deposited Securities (a “Redemption”), the Depositary, at the expense of the Company, shall (i) if required, surrender Deposited Securities that have been redeemed to the issuer of those securities or its agent on the redemption date, (ii) Disseminate a notice to Owners (A) notifying them of that Redemption, (B) calling for surrender of a corresponding number of American Depositary Shares and (C) notifying them that the called American Depositary Shares have been converted into a right only to receive the money received by the Depositary upon that Redemption and those net proceeds shall be the Deposited Securities to which Owners of those converted American Depositary Shares shall be entitled upon surrenders of those American Depositary Shares in accordance with Section 2.5 or 6.2 and (iii) distribute the money received upon that Redemption to the Owners entitled to it upon surrender by them of called American Depositary Shares in accordance with Section 2.5 (and, for the avoidance of doubt, Owners shall not be entitled to receive that money under Section 4.1). If the Redemption affects less than all the Deposited Securities, the Depositary shall call for surrender a corresponding portion of the outstanding American Depositary Shares and only those American Depositary Shares will automatically be converted into a right to receive the net proceeds of the Redemption. The Depositary shall allocate the American Depositary Shares converted under the preceding sentence among the Owners pro-rata to their respective holdings of American Depositary Shares immediately prior to the Redemption, except that the allocations may be adjusted so that no fraction of a converted American Depositary Share is allocated to any Owner. A Redemption of all or substantially all of the Deposited Securities shall be a Termination Option Event.</w:t>
      </w:r>
    </w:p>
    <w:p>
      <w:pPr>
        <w:pStyle w:val="TextBody"/>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(c)    If the Depositary is notified of or there occurs any change in nominal value or any subdivision, combination or any other reclassification of the Deposited Securities or any recapitalization, reorganization, sale of assets substantially as an entirety, merger or consolidation affecting the issuer of the Deposited Securities or to which it is a party that is mandatory and binding on the Depositary as a holder of </w:t>
      </w:r>
      <w:r>
        <w:br w:type="page"/>
      </w:r>
    </w:p>
    <w:p>
      <w:pPr>
        <w:pStyle w:val="TextBody"/>
        <w:spacing w:before="120" w:after="240"/>
        <w:jc w:val="center"/>
        <w:rPr/>
      </w:pPr>
      <w:r>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6480175" cy="869950"/>
                <wp:effectExtent l="0" t="0" r="0" b="0"/>
                <wp:wrapNone/>
                <wp:docPr id="263" name="Frame261"/>
                <a:graphic xmlns:a="http://schemas.openxmlformats.org/drawingml/2006/main">
                  <a:graphicData uri="http://schemas.microsoft.com/office/word/2010/wordprocessingShape">
                    <wps:wsp>
                      <wps:cNvSpPr txBox="1"/>
                      <wps:spPr>
                        <a:xfrm>
                          <a:off x="0" y="0"/>
                          <a:ext cx="6480175" cy="869950"/>
                        </a:xfrm>
                        <a:prstGeom prst="rect"/>
                      </wps:spPr>
                      <wps:txbx>
                        <w:txbxContent>
                          <w:p>
                            <w:pPr>
                              <w:pStyle w:val="TextBody"/>
                              <w:spacing w:lineRule="auto" w:line="288"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-22-</w:t>
                            </w:r>
                          </w:p>
                          <w:p>
                            <w:pPr>
                              <w:pStyle w:val="TextBody"/>
                              <w:spacing w:before="24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8.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spacing w:lineRule="auto" w:line="288"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-22-</w:t>
                      </w:r>
                    </w:p>
                    <w:p>
                      <w:pPr>
                        <w:pStyle w:val="TextBody"/>
                        <w:spacing w:before="240" w:after="283"/>
                        <w:jc w:val="center"/>
                        <w:rPr/>
                      </w:pPr>
                      <w:r>
                        <w:rPr/>
                      </w:r>
                    </w:p>
                  </w:txbxContent>
                </v:textbox>
              </v:rect>
            </w:pict>
          </mc:Fallback>
        </mc:AlternateContent>
      </w:r>
    </w:p>
    <w:p>
      <w:pPr>
        <w:pStyle w:val="TextBody"/>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Deposited Securities and, as a result, securities or other property have been or will be delivered in exchange, conversion, replacement or in lieu of, Deposited Securities (a “Replacement”), the Depositary shall, if required, surrender the old Deposited Securities affected by that Replacement of Shares and hold, as new Deposited Securities under this Deposit Agreement, the new securities or other property delivered to it in that Replacement. However, the Depositary may elect to sell those new Deposited Securities if in the reasonable opinion of the Depositary it is not lawful or not practical for it to hold those new Deposited Securities under this Deposit Agreement because those new Deposited Securities may not be distributed to Owners without registration under the Securities Act of 1933 or for any other reason, at public or private sale, at such places and on such terms as it reasonably deems proper and proceed as if those new Deposited Securities had been Redeemed under paragraph (b) above. A Replacement shall be a Termination Option Event. </w:t>
      </w:r>
    </w:p>
    <w:p>
      <w:pPr>
        <w:pStyle w:val="TextBody"/>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(d)    In the case of a Replacement where the new Deposited Securities will continue to be held under this Deposit Agreement, the Depositary may call for the surrender of outstanding Receipts to be exchanged for new Receipts specifically describing the new Deposited Securities and the number of those new Deposited Securities represented by each American Depositary Share. If the number of Shares represented by each American Depositary Share decreases as a result of a Replacement, the Depositary may call for surrender of the American Depositary Shares to be exchanged on a mandatory basis for a lesser number of American Depositary Shares and may sell American Depositary Shares to the extent necessary to avoid distributing fractions of American Depositary Shares in that exchange and distribute the net proceeds of that sale, as promptly as practicable, to the Owners entitled to them.</w:t>
      </w:r>
    </w:p>
    <w:p>
      <w:pPr>
        <w:pStyle w:val="TextBody"/>
        <w:spacing w:lineRule="auto" w:line="288" w:before="0" w:after="240"/>
        <w:ind w:left="0" w:right="0" w:firstLine="1440"/>
        <w:jc w:val="both"/>
        <w:rPr/>
      </w:pPr>
      <w:r>
        <w:rPr>
          <w:rFonts w:ascii="Times New Roman;sans-serif" w:hAnsi="Times New Roman;sans-serif"/>
          <w:b w:val="false"/>
          <w:color w:val="000000"/>
          <w:sz w:val="24"/>
        </w:rPr>
        <w:t xml:space="preserve">(e)    If there are no Deposited Securities with respect to American Depositary Shares, including if the Deposited Securities are cancelled, or the Deposited Securities with respect to American Depositary Shares have become apparently worthless, the Depositary may call for surrender of those American Depositary Shares or may cancel those American Depositary Shares, upon notice to Owners, and that condition shall be a </w:t>
      </w:r>
      <w:r>
        <w:rPr>
          <w:rFonts w:ascii="Times New Roman;sans-serif" w:hAnsi="Times New Roman;sans-serif"/>
          <w:b w:val="false"/>
          <w:color w:val="000000"/>
          <w:sz w:val="24"/>
          <w:u w:val="single"/>
        </w:rPr>
        <w:t>Termination Option Event</w:t>
      </w:r>
      <w:r>
        <w:rPr>
          <w:rFonts w:ascii="Times New Roman;sans-serif" w:hAnsi="Times New Roman;sans-serif"/>
          <w:b w:val="false"/>
          <w:color w:val="000000"/>
          <w:sz w:val="24"/>
        </w:rPr>
        <w:t>.</w:t>
      </w:r>
    </w:p>
    <w:p>
      <w:pPr>
        <w:pStyle w:val="TextBody"/>
        <w:spacing w:lineRule="auto" w:line="288" w:before="0" w:after="240"/>
        <w:ind w:left="0" w:right="0" w:firstLine="1080"/>
        <w:jc w:val="both"/>
        <w:rPr/>
      </w:pPr>
      <w:r>
        <w:rPr>
          <w:rFonts w:ascii="Times New Roman;sans-serif" w:hAnsi="Times New Roman;sans-serif"/>
          <w:b w:val="false"/>
          <w:color w:val="000000"/>
          <w:sz w:val="24"/>
        </w:rPr>
        <w:t xml:space="preserve">SECTION 4.9 </w:t>
      </w:r>
      <w:r>
        <w:rPr>
          <w:rFonts w:ascii="Times New Roman;sans-serif" w:hAnsi="Times New Roman;sans-serif"/>
          <w:b w:val="false"/>
          <w:color w:val="000000"/>
          <w:sz w:val="24"/>
          <w:u w:val="single"/>
        </w:rPr>
        <w:t>Reports.</w:t>
      </w:r>
    </w:p>
    <w:p>
      <w:pPr>
        <w:pStyle w:val="TextBody"/>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The Depositary shall make available for inspection by Owners at its Office any reports and communications, including any proxy solicitation material, received from the Company which are both (a) received by the Depositary as the holder of the Deposited Securities and (b) made generally available to the holders of those Deposited Securities by the Company. The Company shall furnish reports and communications, including any proxy soliciting material to which this Section applies, to the Depositary in English, to the extent those materials are required to be translated into English pursuant to any regulations of the Commission.</w:t>
      </w:r>
      <w:r>
        <w:br w:type="page"/>
      </w:r>
    </w:p>
    <w:p>
      <w:pPr>
        <w:pStyle w:val="TextBody"/>
        <w:spacing w:before="120" w:after="240"/>
        <w:jc w:val="center"/>
        <w:rPr/>
      </w:pPr>
      <w:r>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6480175" cy="869950"/>
                <wp:effectExtent l="0" t="0" r="0" b="0"/>
                <wp:wrapNone/>
                <wp:docPr id="264" name="Frame262"/>
                <a:graphic xmlns:a="http://schemas.openxmlformats.org/drawingml/2006/main">
                  <a:graphicData uri="http://schemas.microsoft.com/office/word/2010/wordprocessingShape">
                    <wps:wsp>
                      <wps:cNvSpPr txBox="1"/>
                      <wps:spPr>
                        <a:xfrm>
                          <a:off x="0" y="0"/>
                          <a:ext cx="6480175" cy="869950"/>
                        </a:xfrm>
                        <a:prstGeom prst="rect"/>
                      </wps:spPr>
                      <wps:txbx>
                        <w:txbxContent>
                          <w:p>
                            <w:pPr>
                              <w:pStyle w:val="TextBody"/>
                              <w:spacing w:lineRule="auto" w:line="288"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-23-</w:t>
                            </w:r>
                          </w:p>
                          <w:p>
                            <w:pPr>
                              <w:pStyle w:val="TextBody"/>
                              <w:spacing w:before="24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8.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spacing w:lineRule="auto" w:line="288"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-23-</w:t>
                      </w:r>
                    </w:p>
                    <w:p>
                      <w:pPr>
                        <w:pStyle w:val="TextBody"/>
                        <w:spacing w:before="240" w:after="283"/>
                        <w:jc w:val="center"/>
                        <w:rPr/>
                      </w:pPr>
                      <w:r>
                        <w:rPr/>
                      </w:r>
                    </w:p>
                  </w:txbxContent>
                </v:textbox>
              </v:rect>
            </w:pict>
          </mc:Fallback>
        </mc:AlternateContent>
      </w:r>
    </w:p>
    <w:p>
      <w:pPr>
        <w:pStyle w:val="TextBody"/>
        <w:spacing w:lineRule="auto" w:line="288" w:before="0" w:after="240"/>
        <w:ind w:left="0" w:right="0" w:firstLine="1080"/>
        <w:jc w:val="both"/>
        <w:rPr/>
      </w:pPr>
      <w:r>
        <w:rPr>
          <w:rFonts w:ascii="Times New Roman;sans-serif" w:hAnsi="Times New Roman;sans-serif"/>
          <w:b w:val="false"/>
          <w:color w:val="000000"/>
          <w:sz w:val="24"/>
        </w:rPr>
        <w:t xml:space="preserve">SECTION 4.10 </w:t>
      </w:r>
      <w:r>
        <w:rPr>
          <w:rFonts w:ascii="Times New Roman;sans-serif" w:hAnsi="Times New Roman;sans-serif"/>
          <w:b w:val="false"/>
          <w:color w:val="000000"/>
          <w:sz w:val="24"/>
          <w:u w:val="single"/>
        </w:rPr>
        <w:t>Lists of Owners.</w:t>
      </w:r>
    </w:p>
    <w:p>
      <w:pPr>
        <w:pStyle w:val="TextBody"/>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Upon written request by the Company, the Depositary shall, at the expense of the Company, furnish to it a list, as of a recent date, of the names, addresses and American Depositary Share holdings of all Owners.</w:t>
      </w:r>
    </w:p>
    <w:p>
      <w:pPr>
        <w:pStyle w:val="TextBody"/>
        <w:spacing w:lineRule="auto" w:line="288" w:before="0" w:after="240"/>
        <w:ind w:left="0" w:right="0" w:firstLine="1080"/>
        <w:jc w:val="both"/>
        <w:rPr/>
      </w:pPr>
      <w:r>
        <w:rPr>
          <w:rFonts w:ascii="Times New Roman;sans-serif" w:hAnsi="Times New Roman;sans-serif"/>
          <w:b w:val="false"/>
          <w:color w:val="000000"/>
          <w:sz w:val="24"/>
        </w:rPr>
        <w:t xml:space="preserve">SECTION 4.11 </w:t>
      </w:r>
      <w:r>
        <w:rPr>
          <w:rFonts w:ascii="Times New Roman;sans-serif" w:hAnsi="Times New Roman;sans-serif"/>
          <w:b w:val="false"/>
          <w:color w:val="000000"/>
          <w:sz w:val="24"/>
          <w:u w:val="single"/>
        </w:rPr>
        <w:t>Withholding.</w:t>
      </w:r>
    </w:p>
    <w:p>
      <w:pPr>
        <w:pStyle w:val="TextBody"/>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If the Depositary determines that any distribution received or to be made by the Depositary (including Shares and rights to subscribe therefor) is subject to any tax or other governmental charge that the Depositary is obligated to withhold, the Depositary may sell, by public or private sale, all or a portion of the distributed property (including Shares and rights to subscribe therefor) in the amounts and manner the Depositary deems necessary and practicable to pay those taxes or charges, and the Depositary shall distribute the net proceeds of that sale, after deduction of those taxes or charges, to the Owners entitled thereto in proportion to the number of American Depositary Shares held by them respectively.</w:t>
      </w:r>
    </w:p>
    <w:p>
      <w:pPr>
        <w:pStyle w:val="TextBody"/>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Services for Owners and Holders that may permit them to obtain reduced rates of tax withholding at source or reclaim excess tax withheld, and the fees and costs associated with using services of that kind, are not provided under, and are outside the scope of, this Deposit Agreement. </w:t>
      </w:r>
    </w:p>
    <w:p>
      <w:pPr>
        <w:pStyle w:val="TextBody"/>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Each Owner and Holder agrees to indemnify the Company, the Depositary, the Custodian and their respective directors, employees, agents and affiliates for, and hold each of them harmless against, any claim by any governmental authority with respect to taxes, additions to tax, penalties or interest arising out of any refund of taxes, reduced withholding at source or other tax benefit received by it.</w:t>
      </w:r>
    </w:p>
    <w:p>
      <w:pPr>
        <w:pStyle w:val="TextBody"/>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ARTICLE 5.THE DEPOSITARY, THE CUSTODIANS AND THE COMPANY</w:t>
      </w:r>
    </w:p>
    <w:p>
      <w:pPr>
        <w:pStyle w:val="TextBody"/>
        <w:spacing w:lineRule="auto" w:line="288" w:before="0" w:after="240"/>
        <w:ind w:left="0" w:right="0" w:firstLine="1080"/>
        <w:jc w:val="both"/>
        <w:rPr/>
      </w:pPr>
      <w:r>
        <w:rPr>
          <w:rFonts w:ascii="Times New Roman;sans-serif" w:hAnsi="Times New Roman;sans-serif"/>
          <w:b w:val="false"/>
          <w:color w:val="000000"/>
          <w:sz w:val="24"/>
        </w:rPr>
        <w:t xml:space="preserve">SECTION 5.1 </w:t>
      </w:r>
      <w:r>
        <w:rPr>
          <w:rFonts w:ascii="Times New Roman;sans-serif" w:hAnsi="Times New Roman;sans-serif"/>
          <w:b w:val="false"/>
          <w:color w:val="000000"/>
          <w:sz w:val="24"/>
          <w:u w:val="single"/>
        </w:rPr>
        <w:t>Maintenance of Office and Register by the Depositary.</w:t>
      </w:r>
    </w:p>
    <w:p>
      <w:pPr>
        <w:pStyle w:val="TextBody"/>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Until termination of this Deposit Agreement in accordance with its terms, the Depositary shall maintain facilities for the delivery, registration of transfers and surrender of American Depositary Shares in accordance with the provisions of this Deposit Agreement. </w:t>
      </w:r>
    </w:p>
    <w:p>
      <w:pPr>
        <w:pStyle w:val="TextBody"/>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The Depositary shall keep a register of all Owners and all outstanding American Depositary Shares, which shall be open for inspection by the Owners at the Depositary’s Office during regular business hours, but such inspection may only be for the purpose of communicating with Owners regarding the business of the Company or a matter related to this Deposit Agreement or the American Depositary Shares.</w:t>
      </w:r>
      <w:r>
        <w:br w:type="page"/>
      </w:r>
    </w:p>
    <w:p>
      <w:pPr>
        <w:pStyle w:val="TextBody"/>
        <w:spacing w:before="120" w:after="240"/>
        <w:jc w:val="center"/>
        <w:rPr/>
      </w:pPr>
      <w:r>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6480175" cy="869950"/>
                <wp:effectExtent l="0" t="0" r="0" b="0"/>
                <wp:wrapNone/>
                <wp:docPr id="265" name="Frame263"/>
                <a:graphic xmlns:a="http://schemas.openxmlformats.org/drawingml/2006/main">
                  <a:graphicData uri="http://schemas.microsoft.com/office/word/2010/wordprocessingShape">
                    <wps:wsp>
                      <wps:cNvSpPr txBox="1"/>
                      <wps:spPr>
                        <a:xfrm>
                          <a:off x="0" y="0"/>
                          <a:ext cx="6480175" cy="869950"/>
                        </a:xfrm>
                        <a:prstGeom prst="rect"/>
                      </wps:spPr>
                      <wps:txbx>
                        <w:txbxContent>
                          <w:p>
                            <w:pPr>
                              <w:pStyle w:val="TextBody"/>
                              <w:spacing w:lineRule="auto" w:line="288"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-24-</w:t>
                            </w:r>
                          </w:p>
                          <w:p>
                            <w:pPr>
                              <w:pStyle w:val="TextBody"/>
                              <w:spacing w:before="24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8.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spacing w:lineRule="auto" w:line="288"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-24-</w:t>
                      </w:r>
                    </w:p>
                    <w:p>
                      <w:pPr>
                        <w:pStyle w:val="TextBody"/>
                        <w:spacing w:before="240" w:after="283"/>
                        <w:jc w:val="center"/>
                        <w:rPr/>
                      </w:pPr>
                      <w:r>
                        <w:rPr/>
                      </w:r>
                    </w:p>
                  </w:txbxContent>
                </v:textbox>
              </v:rect>
            </w:pict>
          </mc:Fallback>
        </mc:AlternateContent>
      </w:r>
    </w:p>
    <w:p>
      <w:pPr>
        <w:pStyle w:val="TextBody"/>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The Depositary may close the register for delivery, registration of transfer or surrender for the purpose of withdrawal from time to time as provided in Section 2.6.</w:t>
      </w:r>
    </w:p>
    <w:p>
      <w:pPr>
        <w:pStyle w:val="TextBody"/>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If any American Depositary Shares are listed on one or more stock exchanges, the Depositary shall act as Registrar or appoint a Registrar or one or more coregistrars for registration of those American Depositary Shares in accordance with any requirements of that exchange or those exchanges. </w:t>
      </w:r>
    </w:p>
    <w:p>
      <w:pPr>
        <w:pStyle w:val="TextBody"/>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The Company shall have the right, at all reasonable times, upon written request, to inspect the transfer and registration records of the Depositary, the Registrar and any co-transfer agents or co-registrars and to require them to supply, at the Company’s expense (unless otherwise agreed in writing between the Company and the Depositary) copies of such portion of their records as the Company may reasonably request.</w:t>
      </w:r>
    </w:p>
    <w:p>
      <w:pPr>
        <w:pStyle w:val="TextBody"/>
        <w:spacing w:lineRule="auto" w:line="288" w:before="0" w:after="240"/>
        <w:ind w:left="0" w:right="0" w:firstLine="1080"/>
        <w:jc w:val="both"/>
        <w:rPr/>
      </w:pPr>
      <w:r>
        <w:rPr>
          <w:rFonts w:ascii="Times New Roman;sans-serif" w:hAnsi="Times New Roman;sans-serif"/>
          <w:b w:val="false"/>
          <w:color w:val="000000"/>
          <w:sz w:val="24"/>
        </w:rPr>
        <w:t xml:space="preserve">SECTION 5.2 </w:t>
      </w:r>
      <w:r>
        <w:rPr>
          <w:rFonts w:ascii="Times New Roman;sans-serif" w:hAnsi="Times New Roman;sans-serif"/>
          <w:b w:val="false"/>
          <w:color w:val="000000"/>
          <w:sz w:val="24"/>
          <w:u w:val="single"/>
        </w:rPr>
        <w:t>Prevention or Delay of Performance by the Company or the Depositary.</w:t>
      </w:r>
    </w:p>
    <w:p>
      <w:pPr>
        <w:pStyle w:val="TextBody"/>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Neither the Depositary nor the Company nor any of their respective directors, employees, agents or affiliates shall incur any liability to any Owner or Holder: </w:t>
      </w:r>
    </w:p>
    <w:p>
      <w:pPr>
        <w:pStyle w:val="TextBody"/>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 if by reason of (A) any provision of any present or future law or regulation or other act of the government of the United States, any State of the United States or any other state or jurisdiction, or of any governmental or regulatory authority or stock exchange; (B) (in the case of the Depositary only) any provision, present or future, of the articles of association or similar document of the Company, or any provision of any securities issued or distributed by the Company, or any offering or distribution thereof; or (C) any event or circumstance, whether natural or caused by a person or persons, that is beyond the ability of the Depositary or the Company, as the case may be, to prevent or counteract by reasonable care or effort (including, but not limited to, earthquakes, floods, severe storms, fires, explosions, war, terrorism, civil unrest, labor disputes, criminal acts or outbreaks of infectious disease; interruptions or malfunctions of utility services, Internet or other communications lines or systems; unauthorized access to or attacks on computer systems or websites; or other failures or malfunctions of computer hardware or software or other systems or equipment), the Depositary or the Company is, directly or indirectly, prevented from, forbidden to or delayed in, or could be subject to any civil or criminal penalty on account of doing or performing and therefore does not do or perform, any act or thing that, by the terms of this Deposit Agreement or the Deposited Securities, it is provided shall be done or performed;</w:t>
      </w:r>
    </w:p>
    <w:p>
      <w:pPr>
        <w:pStyle w:val="TextBody"/>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(ii) for any exercise of, or failure to exercise, any discretion provided for in this Deposit Agreement (including any determination by the Depositary or the </w:t>
      </w:r>
      <w:r>
        <w:br w:type="page"/>
      </w:r>
    </w:p>
    <w:p>
      <w:pPr>
        <w:pStyle w:val="TextBody"/>
        <w:spacing w:before="120" w:after="240"/>
        <w:jc w:val="center"/>
        <w:rPr/>
      </w:pPr>
      <w:r>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6480175" cy="869950"/>
                <wp:effectExtent l="0" t="0" r="0" b="0"/>
                <wp:wrapNone/>
                <wp:docPr id="266" name="Frame264"/>
                <a:graphic xmlns:a="http://schemas.openxmlformats.org/drawingml/2006/main">
                  <a:graphicData uri="http://schemas.microsoft.com/office/word/2010/wordprocessingShape">
                    <wps:wsp>
                      <wps:cNvSpPr txBox="1"/>
                      <wps:spPr>
                        <a:xfrm>
                          <a:off x="0" y="0"/>
                          <a:ext cx="6480175" cy="869950"/>
                        </a:xfrm>
                        <a:prstGeom prst="rect"/>
                      </wps:spPr>
                      <wps:txbx>
                        <w:txbxContent>
                          <w:p>
                            <w:pPr>
                              <w:pStyle w:val="TextBody"/>
                              <w:spacing w:lineRule="auto" w:line="288"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-25-</w:t>
                            </w:r>
                          </w:p>
                          <w:p>
                            <w:pPr>
                              <w:pStyle w:val="TextBody"/>
                              <w:spacing w:before="24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8.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spacing w:lineRule="auto" w:line="288"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-25-</w:t>
                      </w:r>
                    </w:p>
                    <w:p>
                      <w:pPr>
                        <w:pStyle w:val="TextBody"/>
                        <w:spacing w:before="240" w:after="283"/>
                        <w:jc w:val="center"/>
                        <w:rPr/>
                      </w:pPr>
                      <w:r>
                        <w:rPr/>
                      </w:r>
                    </w:p>
                  </w:txbxContent>
                </v:textbox>
              </v:rect>
            </w:pict>
          </mc:Fallback>
        </mc:AlternateContent>
      </w:r>
    </w:p>
    <w:p>
      <w:pPr>
        <w:pStyle w:val="TextBody"/>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Company, to take, or not take, any action that this Deposit Agreement provides the Depositary or the Company, as the case may be, may take);</w:t>
      </w:r>
    </w:p>
    <w:p>
      <w:pPr>
        <w:pStyle w:val="TextBody"/>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(iii) for the inability of any Owner or Holder to benefit from any distribution, offering, right or other benefit that is made available to holders of Deposited Securities but is not, under the terms of this Deposit Agreement, made available to Owners or Holders; or </w:t>
      </w:r>
    </w:p>
    <w:p>
      <w:pPr>
        <w:pStyle w:val="TextBody"/>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(iv) for any special, consequential or punitive damages for any breach of the terms of this Deposit Agreement. </w:t>
      </w:r>
    </w:p>
    <w:p>
      <w:pPr>
        <w:pStyle w:val="TextBody"/>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Where, by the terms of a distribution to which Section 4.1, 4.2 or 4.3 applies, or an offering to which Section 4.4 applies, or for any other reason, that distribution or offering may not be made available to Owners, and the Depositary may not dispose of that distribution or offering on behalf of Owners and make the net proceeds available to Owners, then the Depositary shall not make that distribution or offering available to Owners, and shall allow any rights, if applicable, to lapse.</w:t>
      </w:r>
    </w:p>
    <w:p>
      <w:pPr>
        <w:pStyle w:val="TextBody"/>
        <w:spacing w:lineRule="auto" w:line="288" w:before="0" w:after="240"/>
        <w:ind w:left="0" w:right="0" w:firstLine="1080"/>
        <w:jc w:val="both"/>
        <w:rPr/>
      </w:pPr>
      <w:r>
        <w:rPr>
          <w:rFonts w:ascii="Times New Roman;sans-serif" w:hAnsi="Times New Roman;sans-serif"/>
          <w:b w:val="false"/>
          <w:color w:val="000000"/>
          <w:sz w:val="24"/>
        </w:rPr>
        <w:t xml:space="preserve">SECTION 5.3 </w:t>
      </w:r>
      <w:r>
        <w:rPr>
          <w:rFonts w:ascii="Times New Roman;sans-serif" w:hAnsi="Times New Roman;sans-serif"/>
          <w:b w:val="false"/>
          <w:color w:val="000000"/>
          <w:sz w:val="24"/>
          <w:u w:val="single"/>
        </w:rPr>
        <w:t>Obligations of the Depositary and the Company.</w:t>
      </w:r>
    </w:p>
    <w:p>
      <w:pPr>
        <w:pStyle w:val="TextBody"/>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The Company assumes no obligation nor shall it be subject to any liability under this Deposit Agreement to any Owner or Holder, except that the Company agrees to perform its obligations specifically set forth in this Deposit Agreement without negligence or bad faith.</w:t>
      </w:r>
    </w:p>
    <w:p>
      <w:pPr>
        <w:pStyle w:val="TextBody"/>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The Depositary assumes no obligation nor shall it be subject to any liability under this Deposit Agreement to any Owner or Holder (including, without limitation, liability with respect to the validity or worth of the Deposited Securities), except that the Depositary agrees to perform its obligations specifically set forth in this Deposit Agreement without negligence or bad faith, and the Depositary shall not be a fiduciary or have any fiduciary duty to Owners or Holders.</w:t>
      </w:r>
    </w:p>
    <w:p>
      <w:pPr>
        <w:pStyle w:val="TextBody"/>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Neither the Depositary nor the Company shall be under any obligation to appear in, prosecute or defend any action, suit or other proceeding in respect of any Deposited Securities or in respect of the American Depositary Shares on behalf of any Owner or Holder or any other person.</w:t>
      </w:r>
    </w:p>
    <w:p>
      <w:pPr>
        <w:pStyle w:val="TextBody"/>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Each of the Depositary and the Company may rely, and shall be protected in relying upon, any written notice, request, direction or other document believed by it to be genuine and to have been signed or presented by the proper party or parties.</w:t>
      </w:r>
    </w:p>
    <w:p>
      <w:pPr>
        <w:pStyle w:val="TextBody"/>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Neither the Depositary nor the Company shall be liable for any action or non-action by it in reliance upon the advice of or information from legal counsel, </w:t>
      </w:r>
      <w:r>
        <w:br w:type="page"/>
      </w:r>
    </w:p>
    <w:p>
      <w:pPr>
        <w:pStyle w:val="TextBody"/>
        <w:spacing w:before="120" w:after="240"/>
        <w:jc w:val="center"/>
        <w:rPr/>
      </w:pPr>
      <w:r>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6480175" cy="869950"/>
                <wp:effectExtent l="0" t="0" r="0" b="0"/>
                <wp:wrapNone/>
                <wp:docPr id="267" name="Frame265"/>
                <a:graphic xmlns:a="http://schemas.openxmlformats.org/drawingml/2006/main">
                  <a:graphicData uri="http://schemas.microsoft.com/office/word/2010/wordprocessingShape">
                    <wps:wsp>
                      <wps:cNvSpPr txBox="1"/>
                      <wps:spPr>
                        <a:xfrm>
                          <a:off x="0" y="0"/>
                          <a:ext cx="6480175" cy="869950"/>
                        </a:xfrm>
                        <a:prstGeom prst="rect"/>
                      </wps:spPr>
                      <wps:txbx>
                        <w:txbxContent>
                          <w:p>
                            <w:pPr>
                              <w:pStyle w:val="TextBody"/>
                              <w:spacing w:lineRule="auto" w:line="288"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-26-</w:t>
                            </w:r>
                          </w:p>
                          <w:p>
                            <w:pPr>
                              <w:pStyle w:val="TextBody"/>
                              <w:spacing w:before="24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8.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spacing w:lineRule="auto" w:line="288"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-26-</w:t>
                      </w:r>
                    </w:p>
                    <w:p>
                      <w:pPr>
                        <w:pStyle w:val="TextBody"/>
                        <w:spacing w:before="240" w:after="283"/>
                        <w:jc w:val="center"/>
                        <w:rPr/>
                      </w:pPr>
                      <w:r>
                        <w:rPr/>
                      </w:r>
                    </w:p>
                  </w:txbxContent>
                </v:textbox>
              </v:rect>
            </w:pict>
          </mc:Fallback>
        </mc:AlternateContent>
      </w:r>
    </w:p>
    <w:p>
      <w:pPr>
        <w:pStyle w:val="TextBody"/>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accountants, any person presenting Shares for deposit, any Owner or any other person believed by it in good faith to be competent to give such advice or information.</w:t>
      </w:r>
    </w:p>
    <w:p>
      <w:pPr>
        <w:pStyle w:val="TextBody"/>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The Depositary shall not be liable for any acts or omissions made by a successor depositary whether in connection with a previous act or omission of the Depositary or in connection with any matter arising wholly after the removal or resignation of the Depositary, provided that in connection with the issue out of which such potential liability arises the Depositary performed its obligations without negligence or bad faith while it acted as Depositary.</w:t>
      </w:r>
    </w:p>
    <w:p>
      <w:pPr>
        <w:pStyle w:val="TextBody"/>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The Depositary shall not be liable for the acts or omissions of any securities depository, clearing agency or settlement system in connection with or arising out of book-entry settlement of American Depositary Shares or Deposited Securities or otherwise.</w:t>
      </w:r>
    </w:p>
    <w:p>
      <w:pPr>
        <w:pStyle w:val="TextBody"/>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In the absence of bad faith on its part, the Depositary shall not be responsible for any failure to carry out any instructions to vote any of the Deposited Securities, or for the manner in which any such vote is cast or the effect of any such vote. </w:t>
      </w:r>
    </w:p>
    <w:p>
      <w:pPr>
        <w:pStyle w:val="TextBody"/>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The Depositary shall have no duty to make any determination or provide any information as to the tax status of the Company. Neither the Depositary nor the Company shall have any liability for any tax consequences that may be incurred by Owners or Holders as a result of owning or holding American Depositary Shares. Neither Depositary nor the Company shall be liable for the inability or failure of an Owner or Holder to obtain the benefit of a foreign tax credit, reduced rate of withholding or refund of amounts withheld in respect of tax or any other tax benefit.</w:t>
      </w:r>
    </w:p>
    <w:p>
      <w:pPr>
        <w:pStyle w:val="TextBody"/>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No disclaimer of liability under the United States federal securities laws is intended by any provision of this Deposit Agreement.</w:t>
      </w:r>
    </w:p>
    <w:p>
      <w:pPr>
        <w:pStyle w:val="TextBody"/>
        <w:spacing w:lineRule="auto" w:line="288" w:before="0" w:after="240"/>
        <w:ind w:left="0" w:right="0" w:firstLine="1080"/>
        <w:jc w:val="both"/>
        <w:rPr/>
      </w:pPr>
      <w:r>
        <w:rPr>
          <w:rFonts w:ascii="Times New Roman;sans-serif" w:hAnsi="Times New Roman;sans-serif"/>
          <w:b w:val="false"/>
          <w:color w:val="000000"/>
          <w:sz w:val="24"/>
        </w:rPr>
        <w:t xml:space="preserve">SECTION 5.4 </w:t>
      </w:r>
      <w:r>
        <w:rPr>
          <w:rFonts w:ascii="Times New Roman;sans-serif" w:hAnsi="Times New Roman;sans-serif"/>
          <w:b w:val="false"/>
          <w:color w:val="000000"/>
          <w:sz w:val="24"/>
          <w:u w:val="single"/>
        </w:rPr>
        <w:t>Resignation and Removal of the Depositary.</w:t>
      </w:r>
    </w:p>
    <w:p>
      <w:pPr>
        <w:pStyle w:val="TextBody"/>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The Depositary may at any time resign as Depositary hereunder by written notice of its election so to do delivered to the Company, to become effective upon the appointment of a successor depositary and its acceptance of that appointment as provided in this Section. The effect of resignation if a successor depositary is not appointed is provided for in Section 6.2.</w:t>
      </w:r>
    </w:p>
    <w:p>
      <w:pPr>
        <w:pStyle w:val="TextBody"/>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The Depositary may at any time be removed by the Company by 90 days’ prior written notice of that removal, to become effective upon the later of (i) the 90th day after delivery of the notice to the Depositary and (ii) the appointment of a successor depositary and its acceptance of its appointment as provided in this Section.</w:t>
      </w:r>
      <w:r>
        <w:br w:type="page"/>
      </w:r>
    </w:p>
    <w:p>
      <w:pPr>
        <w:pStyle w:val="TextBody"/>
        <w:spacing w:before="120" w:after="240"/>
        <w:jc w:val="center"/>
        <w:rPr/>
      </w:pPr>
      <w:r>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6480175" cy="869950"/>
                <wp:effectExtent l="0" t="0" r="0" b="0"/>
                <wp:wrapNone/>
                <wp:docPr id="268" name="Frame266"/>
                <a:graphic xmlns:a="http://schemas.openxmlformats.org/drawingml/2006/main">
                  <a:graphicData uri="http://schemas.microsoft.com/office/word/2010/wordprocessingShape">
                    <wps:wsp>
                      <wps:cNvSpPr txBox="1"/>
                      <wps:spPr>
                        <a:xfrm>
                          <a:off x="0" y="0"/>
                          <a:ext cx="6480175" cy="869950"/>
                        </a:xfrm>
                        <a:prstGeom prst="rect"/>
                      </wps:spPr>
                      <wps:txbx>
                        <w:txbxContent>
                          <w:p>
                            <w:pPr>
                              <w:pStyle w:val="TextBody"/>
                              <w:spacing w:lineRule="auto" w:line="288"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-27-</w:t>
                            </w:r>
                          </w:p>
                          <w:p>
                            <w:pPr>
                              <w:pStyle w:val="TextBody"/>
                              <w:spacing w:before="24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8.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spacing w:lineRule="auto" w:line="288"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-27-</w:t>
                      </w:r>
                    </w:p>
                    <w:p>
                      <w:pPr>
                        <w:pStyle w:val="TextBody"/>
                        <w:spacing w:before="240" w:after="283"/>
                        <w:jc w:val="center"/>
                        <w:rPr/>
                      </w:pPr>
                      <w:r>
                        <w:rPr/>
                      </w:r>
                    </w:p>
                  </w:txbxContent>
                </v:textbox>
              </v:rect>
            </w:pict>
          </mc:Fallback>
        </mc:AlternateContent>
      </w:r>
    </w:p>
    <w:p>
      <w:pPr>
        <w:pStyle w:val="TextBody"/>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If the Depositary resigns or is removed, the Company shall use reasonable efforts to appoint a successor depositary, which shall be a bank or trust company having an office in the Borough of Manhattan, The City of New York. Every successor depositary shall execute and deliver to the Company an instrument in writing accepting its appointment under this Deposit Agreement. If the Depositary receives notice from the Company that a successor depositary has been appointed following its resignation or removal, the Depositary, upon payment of all sums due it from the Company, shall deliver to its successor a register listing all the Owners and their respective holdings of outstanding American Depositary Shares and shall deliver the Deposited Securities to or to the order of its successor. When the Depositary has taken the actions specified in the preceding sentence (i) the successor shall become the Depositary and shall have all the rights and shall assume all the duties of the Depositary under this Deposit Agreement and (ii) the predecessor depositary shall cease to be the Depositary and shall be discharged and released from all obligations under this Deposit Agreement, except for its duties under Section 5.8 with respect to the time before that discharge. A successor Depositary shall notify the Owners of its appointment as soon as practical after assuming the duties of Depositary.</w:t>
      </w:r>
    </w:p>
    <w:p>
      <w:pPr>
        <w:pStyle w:val="TextBody"/>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Any corporation or other entity into or with which the Depositary may be merged or consolidated shall be the successor of the Depositary without the execution or filing of any document or any further act.</w:t>
      </w:r>
    </w:p>
    <w:p>
      <w:pPr>
        <w:pStyle w:val="TextBody"/>
        <w:spacing w:lineRule="auto" w:line="288" w:before="0" w:after="240"/>
        <w:ind w:left="0" w:right="0" w:firstLine="1080"/>
        <w:jc w:val="both"/>
        <w:rPr/>
      </w:pPr>
      <w:r>
        <w:rPr>
          <w:rFonts w:ascii="Times New Roman;sans-serif" w:hAnsi="Times New Roman;sans-serif"/>
          <w:b w:val="false"/>
          <w:color w:val="000000"/>
          <w:sz w:val="24"/>
        </w:rPr>
        <w:t xml:space="preserve">SECTION 5.5 </w:t>
      </w:r>
      <w:r>
        <w:rPr>
          <w:rFonts w:ascii="Times New Roman;sans-serif" w:hAnsi="Times New Roman;sans-serif"/>
          <w:b w:val="false"/>
          <w:color w:val="000000"/>
          <w:sz w:val="24"/>
          <w:u w:val="single"/>
        </w:rPr>
        <w:t>The Custodians.</w:t>
      </w:r>
    </w:p>
    <w:p>
      <w:pPr>
        <w:pStyle w:val="TextBody"/>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The Custodian shall be subject at all times and in all respects to the directions of the Depositary and shall be responsible solely to it. The Depositary in its discretion may at any time appoint a substitute or additional custodian or custodians, each of which shall thereafter be one of the Custodians under this Deposit Agreement. If the Depositary receives notice that a Custodian is resigning and, upon the effectiveness of that resignation there would be no Custodian acting under this Deposit Agreement, the Depositary shall, as promptly as practicable after receiving that notice, appoint a substitute custodian or custodians, each of which shall thereafter be a Custodian under this Deposit Agreement. The Depositary shall notify the Company of the appointment of a substitute or additional Custodian as promptly as practicable. The Depositary shall require any Custodian that resigns or is removed to deliver all Deposited Securities held by it to another Custodian.</w:t>
      </w:r>
    </w:p>
    <w:p>
      <w:pPr>
        <w:pStyle w:val="TextBody"/>
        <w:spacing w:lineRule="auto" w:line="288" w:before="0" w:after="240"/>
        <w:ind w:left="0" w:right="0" w:firstLine="1080"/>
        <w:jc w:val="both"/>
        <w:rPr/>
      </w:pPr>
      <w:r>
        <w:rPr>
          <w:rFonts w:ascii="Times New Roman;sans-serif" w:hAnsi="Times New Roman;sans-serif"/>
          <w:b w:val="false"/>
          <w:color w:val="000000"/>
          <w:sz w:val="24"/>
        </w:rPr>
        <w:t xml:space="preserve">SECTION 5.6 </w:t>
      </w:r>
      <w:r>
        <w:rPr>
          <w:rFonts w:ascii="Times New Roman;sans-serif" w:hAnsi="Times New Roman;sans-serif"/>
          <w:b w:val="false"/>
          <w:color w:val="000000"/>
          <w:sz w:val="24"/>
          <w:u w:val="single"/>
        </w:rPr>
        <w:t>Notices and Reports.</w:t>
      </w:r>
    </w:p>
    <w:p>
      <w:pPr>
        <w:pStyle w:val="TextBody"/>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If the Company takes or decides to take any corporate action of a kind that is addressed in Sections 4.1 to 4.4, or 4.6 to 4.8, or that effects or will effect a change of the name or legal structure of the Company, or that effects or will effect a change to the Shares, the Company shall notify the Depositary and the Custodian of that action or </w:t>
      </w:r>
      <w:r>
        <w:br w:type="page"/>
      </w:r>
    </w:p>
    <w:p>
      <w:pPr>
        <w:pStyle w:val="TextBody"/>
        <w:spacing w:before="120" w:after="240"/>
        <w:jc w:val="center"/>
        <w:rPr/>
      </w:pPr>
      <w:r>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6480175" cy="869950"/>
                <wp:effectExtent l="0" t="0" r="0" b="0"/>
                <wp:wrapNone/>
                <wp:docPr id="269" name="Frame267"/>
                <a:graphic xmlns:a="http://schemas.openxmlformats.org/drawingml/2006/main">
                  <a:graphicData uri="http://schemas.microsoft.com/office/word/2010/wordprocessingShape">
                    <wps:wsp>
                      <wps:cNvSpPr txBox="1"/>
                      <wps:spPr>
                        <a:xfrm>
                          <a:off x="0" y="0"/>
                          <a:ext cx="6480175" cy="869950"/>
                        </a:xfrm>
                        <a:prstGeom prst="rect"/>
                      </wps:spPr>
                      <wps:txbx>
                        <w:txbxContent>
                          <w:p>
                            <w:pPr>
                              <w:pStyle w:val="TextBody"/>
                              <w:spacing w:lineRule="auto" w:line="288"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-28-</w:t>
                            </w:r>
                          </w:p>
                          <w:p>
                            <w:pPr>
                              <w:pStyle w:val="TextBody"/>
                              <w:spacing w:before="24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8.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spacing w:lineRule="auto" w:line="288"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-28-</w:t>
                      </w:r>
                    </w:p>
                    <w:p>
                      <w:pPr>
                        <w:pStyle w:val="TextBody"/>
                        <w:spacing w:before="240" w:after="283"/>
                        <w:jc w:val="center"/>
                        <w:rPr/>
                      </w:pPr>
                      <w:r>
                        <w:rPr/>
                      </w:r>
                    </w:p>
                  </w:txbxContent>
                </v:textbox>
              </v:rect>
            </w:pict>
          </mc:Fallback>
        </mc:AlternateContent>
      </w:r>
    </w:p>
    <w:p>
      <w:pPr>
        <w:pStyle w:val="TextBody"/>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decision as soon as it is lawful and practical to give that notice.  The notice shall be in English and shall include all details that the Company is required to include in any non-confidential notice to any governmental or regulatory authority or securities exchange or is required to make available generally to holders of Shares by publication or otherwise.</w:t>
      </w:r>
    </w:p>
    <w:p>
      <w:pPr>
        <w:pStyle w:val="TextBody"/>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The Company will arrange for the translation into English, if not already in English, to the extent required pursuant to any regulations of the Commission, and the prompt transmittal by the Company to the Depositary and the Custodian of all notices and any other reports and communications which are made generally available by the Company to holders of its Shares. If requested in writing by the Company, the Depositary will Disseminate, at the Company’s expense, those notices, reports and communications to all Owners or otherwise make them available to Owners in a manner that the Company specifies as substantially equivalent to the manner in which those communications are made available to holders of Shares and compliant with the requirements of any securities exchange on which the American Depositary Shares are listed. The Company will timely provide the Depositary with the quantity of such notices, reports, and communications, as requested by the Depositary from time to time, in order for the Depositary to effect that Dissemination.</w:t>
      </w:r>
    </w:p>
    <w:p>
      <w:pPr>
        <w:pStyle w:val="TextBody"/>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The Company represents that as of the date of this Deposit Agreement, the statements in Article 11 of the Receipt with respect to the Company’s obligation to file periodic reports under the United States Securities Exchange Act of 1934, as amended, are true and correct. The Company agrees to promptly notify the Depositary upon becoming aware of any change in the truth of any of those statements.</w:t>
      </w:r>
    </w:p>
    <w:p>
      <w:pPr>
        <w:pStyle w:val="TextBody"/>
        <w:spacing w:lineRule="auto" w:line="288" w:before="0" w:after="240"/>
        <w:ind w:left="0" w:right="0" w:firstLine="1080"/>
        <w:jc w:val="both"/>
        <w:rPr/>
      </w:pPr>
      <w:r>
        <w:rPr>
          <w:rFonts w:ascii="Times New Roman;sans-serif" w:hAnsi="Times New Roman;sans-serif"/>
          <w:b w:val="false"/>
          <w:color w:val="000000"/>
          <w:sz w:val="24"/>
        </w:rPr>
        <w:t xml:space="preserve">SECTION 5.7 </w:t>
      </w:r>
      <w:r>
        <w:rPr>
          <w:rFonts w:ascii="Times New Roman;sans-serif" w:hAnsi="Times New Roman;sans-serif"/>
          <w:b w:val="false"/>
          <w:color w:val="000000"/>
          <w:sz w:val="24"/>
          <w:u w:val="single"/>
        </w:rPr>
        <w:t>Distribution of Additional Shares, Rights, etc.</w:t>
      </w:r>
    </w:p>
    <w:p>
      <w:pPr>
        <w:pStyle w:val="TextBody"/>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If the Company or any affiliate of the Company determines to make any issuance or distribution of (1) additional Shares, (2) rights to subscribe for Shares, (3) securities convertible into Shares, or (4) rights to subscribe for such securities (each a “Distribution”), the Company shall notify the Depositary in writing in English as promptly as practicable and in any event before the Distribution starts and, if reasonably requested in writing by the Depositary, the Company shall, as promptly as practicable, furnish to the Depositary either (i) evidence satisfactory to the Depositary that the Distribution is registered under the Securities Act of 1933 or (ii) a written opinion from U.S. counsel for the Company that is reasonably satisfactory to the Depositary, stating that the Distribution does not require, or, if made in the United States, would not require, registration under the Securities Act of 1933. </w:t>
      </w:r>
    </w:p>
    <w:p>
      <w:pPr>
        <w:pStyle w:val="TextBody"/>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The Company agrees with the Depositary that neither the Company nor any company controlled by the Company will at any time deposit any Shares that, at the time of deposit, are Restricted Securities.</w:t>
      </w:r>
      <w:r>
        <w:br w:type="page"/>
      </w:r>
    </w:p>
    <w:p>
      <w:pPr>
        <w:pStyle w:val="TextBody"/>
        <w:spacing w:before="120" w:after="240"/>
        <w:jc w:val="center"/>
        <w:rPr/>
      </w:pPr>
      <w:r>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6480175" cy="869950"/>
                <wp:effectExtent l="0" t="0" r="0" b="0"/>
                <wp:wrapNone/>
                <wp:docPr id="270" name="Frame268"/>
                <a:graphic xmlns:a="http://schemas.openxmlformats.org/drawingml/2006/main">
                  <a:graphicData uri="http://schemas.microsoft.com/office/word/2010/wordprocessingShape">
                    <wps:wsp>
                      <wps:cNvSpPr txBox="1"/>
                      <wps:spPr>
                        <a:xfrm>
                          <a:off x="0" y="0"/>
                          <a:ext cx="6480175" cy="869950"/>
                        </a:xfrm>
                        <a:prstGeom prst="rect"/>
                      </wps:spPr>
                      <wps:txbx>
                        <w:txbxContent>
                          <w:p>
                            <w:pPr>
                              <w:pStyle w:val="TextBody"/>
                              <w:spacing w:lineRule="auto" w:line="288"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-29-</w:t>
                            </w:r>
                          </w:p>
                          <w:p>
                            <w:pPr>
                              <w:pStyle w:val="TextBody"/>
                              <w:spacing w:before="24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8.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spacing w:lineRule="auto" w:line="288"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-29-</w:t>
                      </w:r>
                    </w:p>
                    <w:p>
                      <w:pPr>
                        <w:pStyle w:val="TextBody"/>
                        <w:spacing w:before="240" w:after="283"/>
                        <w:jc w:val="center"/>
                        <w:rPr/>
                      </w:pPr>
                      <w:r>
                        <w:rPr/>
                      </w:r>
                    </w:p>
                  </w:txbxContent>
                </v:textbox>
              </v:rect>
            </w:pict>
          </mc:Fallback>
        </mc:AlternateContent>
      </w:r>
    </w:p>
    <w:p>
      <w:pPr>
        <w:pStyle w:val="TextBody"/>
        <w:spacing w:lineRule="auto" w:line="288" w:before="0" w:after="240"/>
        <w:ind w:left="0" w:right="0" w:firstLine="1080"/>
        <w:jc w:val="both"/>
        <w:rPr/>
      </w:pPr>
      <w:r>
        <w:rPr>
          <w:rFonts w:ascii="Times New Roman;sans-serif" w:hAnsi="Times New Roman;sans-serif"/>
          <w:b w:val="false"/>
          <w:color w:val="000000"/>
          <w:sz w:val="24"/>
        </w:rPr>
        <w:t>SECTION 5.8 I</w:t>
      </w:r>
      <w:r>
        <w:rPr>
          <w:rFonts w:ascii="Times New Roman;sans-serif" w:hAnsi="Times New Roman;sans-serif"/>
          <w:b w:val="false"/>
          <w:color w:val="000000"/>
          <w:sz w:val="24"/>
          <w:u w:val="single"/>
        </w:rPr>
        <w:t>ndemnification.</w:t>
      </w:r>
    </w:p>
    <w:p>
      <w:pPr>
        <w:pStyle w:val="TextBody"/>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The Company agrees to indemnify the Depositary, its directors, employees, agents and affiliates and each Custodian against, and hold each of them harmless from, any liability or expense (including, but not limited to any documented fees and expenses incurred in seeking, enforcing or collecting such indemnity and the documented, reasonable fees and expenses of counsel) that may arise out of or in connection with (a) any registration with the Commission of American Depositary Shares or Deposited Securities or the offer or sale thereof in the United States or (b) acts performed or omitted, pursuant to the provisions of or in connection with this Deposit Agreement and the American Depositary Shares, as the same may be amended, modified or supplemented from time to time, (i) by either the Depositary or a Custodian or their respective directors, employees, agents and affiliates, except for any liability or expense arising out of the negligence or bad faith of either of them, or (ii) by the Company or any of its directors, employees, agents and affiliates. </w:t>
      </w:r>
    </w:p>
    <w:p>
      <w:pPr>
        <w:pStyle w:val="TextBody"/>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The indemnities contained in the preceding paragraph shall not extend to any losses arising out of information relating to the Depositary or any Custodian, as the case may be, furnished in writing by the Depositary to the Company expressly for use in any registration statement, proxy statement, prospectus or preliminary prospectus or any other offering documents relating to the American Depositary Shares (it being acknowledged that, as of the date of this Deposit Agreement, the Depositary has not furnished any information of that kind).</w:t>
      </w:r>
    </w:p>
    <w:p>
      <w:pPr>
        <w:pStyle w:val="TextBody"/>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The Depositary agrees to indemnify the Company, its directors, employees, agents and affiliates and hold them harmless from any liability or expense (including but not limited to any documented fees and expenses incurred in seeking, enforcing or collecting such indemnity and the documented, reasonable fees and expense of counsel) that may arise out of acts performed or omitted by the Depositary or any Custodian or their respective directors, employees, agents and affiliates due to their negligence or bad faith.</w:t>
      </w:r>
    </w:p>
    <w:p>
      <w:pPr>
        <w:pStyle w:val="TextBody"/>
        <w:spacing w:lineRule="auto" w:line="288" w:before="0" w:after="240"/>
        <w:ind w:left="0" w:right="0" w:firstLine="1080"/>
        <w:jc w:val="both"/>
        <w:rPr/>
      </w:pPr>
      <w:r>
        <w:rPr>
          <w:rFonts w:ascii="Times New Roman;sans-serif" w:hAnsi="Times New Roman;sans-serif"/>
          <w:b w:val="false"/>
          <w:color w:val="000000"/>
          <w:sz w:val="24"/>
        </w:rPr>
        <w:t xml:space="preserve">SECTION 5.9 </w:t>
      </w:r>
      <w:r>
        <w:rPr>
          <w:rFonts w:ascii="Times New Roman;sans-serif" w:hAnsi="Times New Roman;sans-serif"/>
          <w:b w:val="false"/>
          <w:color w:val="000000"/>
          <w:sz w:val="24"/>
          <w:u w:val="single"/>
        </w:rPr>
        <w:t>Charges of Depositary.</w:t>
      </w:r>
    </w:p>
    <w:p>
      <w:pPr>
        <w:pStyle w:val="TextBody"/>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The following charges shall be incurred by any party depositing or withdrawing Shares or by any party surrendering American Depositary Shares or to whom American Depositary Shares are issued (including, without limitation, issuance pursuant to a stock dividend or stock split declared by the Company or an exchange of stock regarding the American Depositary Shares or Deposited Securities or a delivery of American Depositary Shares pursuant to Section 4.3), or by Owners, as applicable: (1) taxes and other governmental charges, (2) such registration fees as may from time to time be in effect for the registration of transfers of Shares generally on the Share register of the Company or Foreign Registrar and applicable to transfers of Shares to or from the name </w:t>
      </w:r>
      <w:r>
        <w:br w:type="page"/>
      </w:r>
    </w:p>
    <w:p>
      <w:pPr>
        <w:pStyle w:val="TextBody"/>
        <w:spacing w:before="120" w:after="240"/>
        <w:jc w:val="center"/>
        <w:rPr/>
      </w:pPr>
      <w:r>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6480175" cy="869950"/>
                <wp:effectExtent l="0" t="0" r="0" b="0"/>
                <wp:wrapNone/>
                <wp:docPr id="271" name="Frame269"/>
                <a:graphic xmlns:a="http://schemas.openxmlformats.org/drawingml/2006/main">
                  <a:graphicData uri="http://schemas.microsoft.com/office/word/2010/wordprocessingShape">
                    <wps:wsp>
                      <wps:cNvSpPr txBox="1"/>
                      <wps:spPr>
                        <a:xfrm>
                          <a:off x="0" y="0"/>
                          <a:ext cx="6480175" cy="869950"/>
                        </a:xfrm>
                        <a:prstGeom prst="rect"/>
                      </wps:spPr>
                      <wps:txbx>
                        <w:txbxContent>
                          <w:p>
                            <w:pPr>
                              <w:pStyle w:val="TextBody"/>
                              <w:spacing w:lineRule="auto" w:line="288"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-30-</w:t>
                            </w:r>
                          </w:p>
                          <w:p>
                            <w:pPr>
                              <w:pStyle w:val="TextBody"/>
                              <w:spacing w:before="24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8.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spacing w:lineRule="auto" w:line="288"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-30-</w:t>
                      </w:r>
                    </w:p>
                    <w:p>
                      <w:pPr>
                        <w:pStyle w:val="TextBody"/>
                        <w:spacing w:before="240" w:after="283"/>
                        <w:jc w:val="center"/>
                        <w:rPr/>
                      </w:pPr>
                      <w:r>
                        <w:rPr/>
                      </w:r>
                    </w:p>
                  </w:txbxContent>
                </v:textbox>
              </v:rect>
            </w:pict>
          </mc:Fallback>
        </mc:AlternateContent>
      </w:r>
    </w:p>
    <w:p>
      <w:pPr>
        <w:pStyle w:val="TextBody"/>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of the Depositary or its nominee or the Custodian or its nominee on the making of deposits or withdrawals hereunder, (3) such cable (including SWIFT) and facsimile transmission fees and expenses as are expressly provided in this Deposit Agreement, (4) such expenses as are incurred by the Depositary in the conversion of foreign currency pursuant to Section 4.5, (5) a fee of $5.00 or less per 100 American Depositary Shares (or portion thereof) for the delivery of American Depositary Shares pursuant to Section 2.3, 4.3 or 4.4 and the surrender of American Depositary Shares pursuant to Section 2.5 or 6.2, (6) a fee of $.05 or less per American Depositary Share (or portion thereof) for any cash distribution made pursuant to this Deposit Agreement, including, but not limited to Sections 4.1 through 4.4 and Section 4.8, (7) a fee for the distribution of securities pursuant to Section 4.2 or of rights pursuant to Section 4.4 (where the Depositary will not exercise or sell those rights on behalf of Owners), such fee being in an amount equal to the fee for the execution and delivery of American Depositary Shares referred to above which would have been charged as a result of the deposit of such securities under this Deposit Agreement (for purposes of this item 7 treating all such securities as if they were Shares) but which securities are instead distributed by the Depositary to Owners, (8) in addition to any fee charged under item 6 above, a fee of $.05 or less per American Depositary Share (or portion thereof) per annum for depositary services, which will be payable as provided in item 9 below, and (9) any other charges payable by the Depositary or the Custodian, any of the Depositary’s or Custodian’s agents or the agents of the Depositary’s or Custodian’s agents, in connection with the servicing of Shares or other Deposited Securities (which charges shall be assessed against Owners as of the date or dates set by the Depositary in accordance with Section 4.6 and shall be payable at the sole discretion of the Depositary by billing those Owners for those charges or by deducting those charges from one or more cash dividends or other cash distributions).</w:t>
      </w:r>
    </w:p>
    <w:p>
      <w:pPr>
        <w:pStyle w:val="TextBody"/>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The Depositary may collect any of its fees by deduction from any cash distribution payable, or by selling a portion of any securities to be distributed, to Owners that are obligated to pay those fees.</w:t>
      </w:r>
    </w:p>
    <w:p>
      <w:pPr>
        <w:pStyle w:val="TextBody"/>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In performing its duties under this Deposit Agreement, the Depositary may use brokers, dealers, foreign currency dealers or other service providers that are owned by or affiliated with the Depositary and that may earn or share fees, spreads or commissions.</w:t>
      </w:r>
    </w:p>
    <w:p>
      <w:pPr>
        <w:pStyle w:val="TextBody"/>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The Depositary may own and deal in any class of securities of the Company and its affiliates and in American Depositary Shares.</w:t>
      </w:r>
    </w:p>
    <w:p>
      <w:pPr>
        <w:pStyle w:val="TextBody"/>
        <w:spacing w:lineRule="auto" w:line="288" w:before="0" w:after="240"/>
        <w:ind w:left="0" w:right="0" w:firstLine="1080"/>
        <w:jc w:val="both"/>
        <w:rPr/>
      </w:pPr>
      <w:r>
        <w:rPr>
          <w:rFonts w:ascii="Times New Roman;sans-serif" w:hAnsi="Times New Roman;sans-serif"/>
          <w:b w:val="false"/>
          <w:color w:val="000000"/>
          <w:sz w:val="24"/>
        </w:rPr>
        <w:t xml:space="preserve">SECTION 5.10 </w:t>
      </w:r>
      <w:r>
        <w:rPr>
          <w:rFonts w:ascii="Times New Roman;sans-serif" w:hAnsi="Times New Roman;sans-serif"/>
          <w:b w:val="false"/>
          <w:color w:val="000000"/>
          <w:sz w:val="24"/>
          <w:u w:val="single"/>
        </w:rPr>
        <w:t>Retention of Depositary Documents.</w:t>
      </w:r>
    </w:p>
    <w:p>
      <w:pPr>
        <w:pStyle w:val="TextBody"/>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The Depositary is authorized to destroy those documents, records, bills and other data compiled during the term of this Deposit Agreement at the times permitted by the laws or regulations governing the Depositary unless the Company requests in </w:t>
      </w:r>
      <w:r>
        <w:br w:type="page"/>
      </w:r>
    </w:p>
    <w:p>
      <w:pPr>
        <w:pStyle w:val="TextBody"/>
        <w:spacing w:before="120" w:after="240"/>
        <w:jc w:val="center"/>
        <w:rPr/>
      </w:pPr>
      <w:r>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6480175" cy="869950"/>
                <wp:effectExtent l="0" t="0" r="0" b="0"/>
                <wp:wrapNone/>
                <wp:docPr id="272" name="Frame270"/>
                <a:graphic xmlns:a="http://schemas.openxmlformats.org/drawingml/2006/main">
                  <a:graphicData uri="http://schemas.microsoft.com/office/word/2010/wordprocessingShape">
                    <wps:wsp>
                      <wps:cNvSpPr txBox="1"/>
                      <wps:spPr>
                        <a:xfrm>
                          <a:off x="0" y="0"/>
                          <a:ext cx="6480175" cy="869950"/>
                        </a:xfrm>
                        <a:prstGeom prst="rect"/>
                      </wps:spPr>
                      <wps:txbx>
                        <w:txbxContent>
                          <w:p>
                            <w:pPr>
                              <w:pStyle w:val="TextBody"/>
                              <w:spacing w:lineRule="auto" w:line="288"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-31-</w:t>
                            </w:r>
                          </w:p>
                          <w:p>
                            <w:pPr>
                              <w:pStyle w:val="TextBody"/>
                              <w:spacing w:before="24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8.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spacing w:lineRule="auto" w:line="288"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-31-</w:t>
                      </w:r>
                    </w:p>
                    <w:p>
                      <w:pPr>
                        <w:pStyle w:val="TextBody"/>
                        <w:spacing w:before="240" w:after="283"/>
                        <w:jc w:val="center"/>
                        <w:rPr/>
                      </w:pPr>
                      <w:r>
                        <w:rPr/>
                      </w:r>
                    </w:p>
                  </w:txbxContent>
                </v:textbox>
              </v:rect>
            </w:pict>
          </mc:Fallback>
        </mc:AlternateContent>
      </w:r>
    </w:p>
    <w:p>
      <w:pPr>
        <w:pStyle w:val="TextBody"/>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writing sufficiently in advance of any such destruction that those papers be retained for a longer period or turned over to the Company.</w:t>
      </w:r>
    </w:p>
    <w:p>
      <w:pPr>
        <w:pStyle w:val="TextBody"/>
        <w:spacing w:lineRule="auto" w:line="288" w:before="0" w:after="240"/>
        <w:ind w:left="0" w:right="0" w:firstLine="1080"/>
        <w:jc w:val="both"/>
        <w:rPr/>
      </w:pPr>
      <w:r>
        <w:rPr>
          <w:rFonts w:ascii="Times New Roman;sans-serif" w:hAnsi="Times New Roman;sans-serif"/>
          <w:b w:val="false"/>
          <w:color w:val="000000"/>
          <w:sz w:val="24"/>
        </w:rPr>
        <w:t xml:space="preserve">SECTION 5.11 </w:t>
      </w:r>
      <w:r>
        <w:rPr>
          <w:rFonts w:ascii="Times New Roman;sans-serif" w:hAnsi="Times New Roman;sans-serif"/>
          <w:b w:val="false"/>
          <w:color w:val="000000"/>
          <w:sz w:val="24"/>
          <w:u w:val="single"/>
        </w:rPr>
        <w:t>Exclusivity.</w:t>
      </w:r>
    </w:p>
    <w:p>
      <w:pPr>
        <w:pStyle w:val="TextBody"/>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Without prejudice to the Company’s rights under Section 5.4, the Company agrees not to appoint any other depositary for issuance of depositary shares, depositary receipts or any similar securities or instruments so long as The Bank of New York Mellon is acting as Depositary under this Deposit Agreement.</w:t>
      </w:r>
    </w:p>
    <w:p>
      <w:pPr>
        <w:pStyle w:val="TextBody"/>
        <w:spacing w:lineRule="auto" w:line="288" w:before="0" w:after="240"/>
        <w:ind w:left="0" w:right="0" w:firstLine="1080"/>
        <w:jc w:val="both"/>
        <w:rPr/>
      </w:pPr>
      <w:r>
        <w:rPr>
          <w:rFonts w:ascii="Times New Roman;sans-serif" w:hAnsi="Times New Roman;sans-serif"/>
          <w:b w:val="false"/>
          <w:color w:val="000000"/>
          <w:sz w:val="24"/>
        </w:rPr>
        <w:t xml:space="preserve">SECTION 5.12 </w:t>
      </w:r>
      <w:r>
        <w:rPr>
          <w:rFonts w:ascii="Times New Roman;sans-serif" w:hAnsi="Times New Roman;sans-serif"/>
          <w:b w:val="false"/>
          <w:color w:val="000000"/>
          <w:sz w:val="24"/>
          <w:u w:val="single"/>
        </w:rPr>
        <w:t>Information for Regulatory Compliance.</w:t>
      </w:r>
    </w:p>
    <w:p>
      <w:pPr>
        <w:pStyle w:val="TextBody"/>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Each of the Company and the Depositary shall provide to the other, as promptly as practicable, information from its records or otherwise available to it that is reasonably requested by the other to permit the other to comply with any applicable law or requirements of governmental or regulatory authorities.</w:t>
      </w:r>
    </w:p>
    <w:p>
      <w:pPr>
        <w:pStyle w:val="TextBody"/>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ARTICLE 6.AMENDMENT AND TERMINATION</w:t>
      </w:r>
    </w:p>
    <w:p>
      <w:pPr>
        <w:pStyle w:val="TextBody"/>
        <w:spacing w:lineRule="auto" w:line="288" w:before="0" w:after="240"/>
        <w:ind w:left="0" w:right="0" w:firstLine="1080"/>
        <w:jc w:val="both"/>
        <w:rPr/>
      </w:pPr>
      <w:r>
        <w:rPr>
          <w:rFonts w:ascii="Times New Roman;sans-serif" w:hAnsi="Times New Roman;sans-serif"/>
          <w:b w:val="false"/>
          <w:color w:val="000000"/>
          <w:sz w:val="24"/>
        </w:rPr>
        <w:t xml:space="preserve">SECTION 6.1 </w:t>
      </w:r>
      <w:r>
        <w:rPr>
          <w:rFonts w:ascii="Times New Roman;sans-serif" w:hAnsi="Times New Roman;sans-serif"/>
          <w:b w:val="false"/>
          <w:color w:val="000000"/>
          <w:sz w:val="24"/>
          <w:u w:val="single"/>
        </w:rPr>
        <w:t>Amendment.</w:t>
      </w:r>
    </w:p>
    <w:p>
      <w:pPr>
        <w:pStyle w:val="TextBody"/>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The form of the Receipts and any provisions of this Deposit Agreement may at any time and from time to time be amended by agreement between the Company and the Depositary without the consent of Owners or Holders in any respect that they may deem necessary or desirable. Any amendment that would impose or increase any fees or charges (other than taxes and other governmental charges, registration fees, cable (including SWIFT) or facsimile transmission costs, delivery costs or other such expenses), or that would otherwise prejudice any substantial existing right of Owners, shall, however, not become effective as to outstanding American Depositary Shares until the expiration of 30 days after notice of that amendment has been Disseminated to the Owners of outstanding American Depositary Shares. Every Owner and Holder, at the time any amendment so becomes effective, shall be deemed, by continuing to hold American Depositary Shares or any interest therein, to consent and agree to that amendment and to be bound by this Deposit Agreement as amended thereby. Upon the effectiveness of an amendment to the form of Receipt, including a change in the number of Shares represented by each American Depositary Share, the Depositary may call for surrender of Receipts to be replaced with new Receipts in the amended form or call for surrender of American Depositary Shares to effect that change of ratio. In no event shall any amendment impair the right of the Owner to surrender American Depositary Shares and receive delivery of the Deposited Securities represented thereby, except in order to comply with mandatory provisions of applicable law.</w:t>
      </w:r>
      <w:r>
        <w:br w:type="page"/>
      </w:r>
    </w:p>
    <w:p>
      <w:pPr>
        <w:pStyle w:val="TextBody"/>
        <w:spacing w:before="120" w:after="240"/>
        <w:jc w:val="center"/>
        <w:rPr/>
      </w:pPr>
      <w:r>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6480175" cy="869950"/>
                <wp:effectExtent l="0" t="0" r="0" b="0"/>
                <wp:wrapNone/>
                <wp:docPr id="273" name="Frame271"/>
                <a:graphic xmlns:a="http://schemas.openxmlformats.org/drawingml/2006/main">
                  <a:graphicData uri="http://schemas.microsoft.com/office/word/2010/wordprocessingShape">
                    <wps:wsp>
                      <wps:cNvSpPr txBox="1"/>
                      <wps:spPr>
                        <a:xfrm>
                          <a:off x="0" y="0"/>
                          <a:ext cx="6480175" cy="869950"/>
                        </a:xfrm>
                        <a:prstGeom prst="rect"/>
                      </wps:spPr>
                      <wps:txbx>
                        <w:txbxContent>
                          <w:p>
                            <w:pPr>
                              <w:pStyle w:val="TextBody"/>
                              <w:spacing w:lineRule="auto" w:line="288"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-32-</w:t>
                            </w:r>
                          </w:p>
                          <w:p>
                            <w:pPr>
                              <w:pStyle w:val="TextBody"/>
                              <w:spacing w:before="24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8.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spacing w:lineRule="auto" w:line="288"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-32-</w:t>
                      </w:r>
                    </w:p>
                    <w:p>
                      <w:pPr>
                        <w:pStyle w:val="TextBody"/>
                        <w:spacing w:before="240" w:after="283"/>
                        <w:jc w:val="center"/>
                        <w:rPr/>
                      </w:pPr>
                      <w:r>
                        <w:rPr/>
                      </w:r>
                    </w:p>
                  </w:txbxContent>
                </v:textbox>
              </v:rect>
            </w:pict>
          </mc:Fallback>
        </mc:AlternateContent>
      </w:r>
    </w:p>
    <w:p>
      <w:pPr>
        <w:pStyle w:val="TextBody"/>
        <w:spacing w:lineRule="auto" w:line="288" w:before="0" w:after="240"/>
        <w:ind w:left="0" w:right="0" w:firstLine="1080"/>
        <w:jc w:val="both"/>
        <w:rPr/>
      </w:pPr>
      <w:r>
        <w:rPr>
          <w:rFonts w:ascii="Times New Roman;sans-serif" w:hAnsi="Times New Roman;sans-serif"/>
          <w:b w:val="false"/>
          <w:color w:val="000000"/>
          <w:sz w:val="24"/>
        </w:rPr>
        <w:t xml:space="preserve">SECTION 6.2 </w:t>
      </w:r>
      <w:r>
        <w:rPr>
          <w:rFonts w:ascii="Times New Roman;sans-serif" w:hAnsi="Times New Roman;sans-serif"/>
          <w:b w:val="false"/>
          <w:color w:val="000000"/>
          <w:sz w:val="24"/>
          <w:u w:val="single"/>
        </w:rPr>
        <w:t>Termination.</w:t>
      </w:r>
    </w:p>
    <w:p>
      <w:pPr>
        <w:pStyle w:val="TextBody"/>
        <w:spacing w:lineRule="auto" w:line="288" w:before="0" w:after="240"/>
        <w:ind w:left="0" w:right="0" w:firstLine="1440"/>
        <w:jc w:val="both"/>
        <w:rPr/>
      </w:pPr>
      <w:r>
        <w:rPr>
          <w:rFonts w:ascii="Times New Roman;sans-serif" w:hAnsi="Times New Roman;sans-serif"/>
          <w:b w:val="false"/>
          <w:color w:val="000000"/>
          <w:sz w:val="24"/>
        </w:rPr>
        <w:t>(a)    The Company may initiate termination of this Deposit Agreement by notice to the Depositary. The Depositary may initiate termination of this Deposit Agreement if (i) at any time 60 days shall have expired after the Depositary delivered to the Company a written resignation notice and a successor depositary has not been appointed and accepted its appointment as provided in Section 5.4 or (ii) a Termination Option Event has occurred or will occur. If termination of this Deposit Agreement is initiated, the Depositary shall Disseminate a notice of termination to the Owners of all American Depositary Shares then outstanding setting a date for termination (the “</w:t>
      </w:r>
      <w:r>
        <w:rPr>
          <w:rFonts w:ascii="Times New Roman;sans-serif" w:hAnsi="Times New Roman;sans-serif"/>
          <w:b w:val="false"/>
          <w:color w:val="000000"/>
          <w:sz w:val="24"/>
          <w:u w:val="single"/>
        </w:rPr>
        <w:t>Termination Date</w:t>
      </w:r>
      <w:r>
        <w:rPr>
          <w:color w:val="000000"/>
        </w:rPr>
        <w:t>”</w:t>
      </w:r>
      <w:r>
        <w:rPr>
          <w:rFonts w:ascii="Times New Roman;sans-serif" w:hAnsi="Times New Roman;sans-serif"/>
          <w:b w:val="false"/>
          <w:color w:val="000000"/>
          <w:sz w:val="24"/>
        </w:rPr>
        <w:t xml:space="preserve">), which shall be at least 90 days after the date of that notice, and this Deposit Agreement shall terminate on that Termination Date. </w:t>
      </w:r>
    </w:p>
    <w:p>
      <w:pPr>
        <w:pStyle w:val="TextBody"/>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(b)    After the Termination Date, the Company shall be discharged from all obligations under this Deposit Agreement except for its obligations to the Depositary under Sections 5.8 and 5.9. </w:t>
      </w:r>
    </w:p>
    <w:p>
      <w:pPr>
        <w:pStyle w:val="TextBody"/>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(c)    At any time after the Termination Date, the Depositary may sell the Deposited Securities then held under this Deposit Agreement and may thereafter hold uninvested the net proceeds of any such sale, together with any other cash then held by it hereunder, unsegregated and without liability for interest, for the pro rata benefit of the Owners of American Depositary Shares that remain outstanding, and those Owners will be general creditors of the Depositary with respect to those net proceeds and that other cash. After making that sale, the Depositary shall be discharged from all obligations under this Deposit Agreement, except (i) to account to the Owners for the net proceeds and other cash (after deducting, in each case, the fee of the Depositary for the surrender of American Depositary Shares, any expenses for the account of the Owner of such American Depositary Shares in accordance with the terms and conditions of this Deposit Agreement and any applicable taxes or governmental charges) and subject to paragraph (d) below pay them to Owners upon surrender of American Depositary Shares in accordance with Section 2.5, and (ii) for its obligations under Section 5.8 and (iii) to act as provided in paragraph (d) below.</w:t>
      </w:r>
    </w:p>
    <w:p>
      <w:pPr>
        <w:pStyle w:val="TextBody"/>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(d)    After the Termination Date, if any American Depositary Shares shall remain outstanding, the Depositary shall continue to receive dividends and other distributions pertaining to Deposited Securities (that have not been sold), may sell rights and other property as provided in this Deposit Agreement and shall deliver Deposited Securities (or sale proceeds) upon surrender of American Depositary Shares (after payment or upon deduction, in each case, of the fee of the Depositary for the surrender of American Depositary Shares, any expenses for the account of the Owner of those American Depositary Shares in accordance with the terms and conditions of this Deposit Agreement and any applicable taxes or governmental charges). After the Termination Date, the Depositary shall not accept deposits of Shares or deliver American Depositary </w:t>
      </w:r>
      <w:r>
        <w:br w:type="page"/>
      </w:r>
    </w:p>
    <w:p>
      <w:pPr>
        <w:pStyle w:val="TextBody"/>
        <w:spacing w:before="120" w:after="240"/>
        <w:jc w:val="center"/>
        <w:rPr/>
      </w:pPr>
      <w:r>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6480175" cy="869950"/>
                <wp:effectExtent l="0" t="0" r="0" b="0"/>
                <wp:wrapNone/>
                <wp:docPr id="274" name="Frame272"/>
                <a:graphic xmlns:a="http://schemas.openxmlformats.org/drawingml/2006/main">
                  <a:graphicData uri="http://schemas.microsoft.com/office/word/2010/wordprocessingShape">
                    <wps:wsp>
                      <wps:cNvSpPr txBox="1"/>
                      <wps:spPr>
                        <a:xfrm>
                          <a:off x="0" y="0"/>
                          <a:ext cx="6480175" cy="869950"/>
                        </a:xfrm>
                        <a:prstGeom prst="rect"/>
                      </wps:spPr>
                      <wps:txbx>
                        <w:txbxContent>
                          <w:p>
                            <w:pPr>
                              <w:pStyle w:val="TextBody"/>
                              <w:spacing w:lineRule="auto" w:line="288"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-33-</w:t>
                            </w:r>
                          </w:p>
                          <w:p>
                            <w:pPr>
                              <w:pStyle w:val="TextBody"/>
                              <w:spacing w:before="24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8.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spacing w:lineRule="auto" w:line="288"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-33-</w:t>
                      </w:r>
                    </w:p>
                    <w:p>
                      <w:pPr>
                        <w:pStyle w:val="TextBody"/>
                        <w:spacing w:before="240" w:after="283"/>
                        <w:jc w:val="center"/>
                        <w:rPr/>
                      </w:pPr>
                      <w:r>
                        <w:rPr/>
                      </w:r>
                    </w:p>
                  </w:txbxContent>
                </v:textbox>
              </v:rect>
            </w:pict>
          </mc:Fallback>
        </mc:AlternateContent>
      </w:r>
    </w:p>
    <w:p>
      <w:pPr>
        <w:pStyle w:val="TextBody"/>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Shares. After the Termination Date, (i) the Depositary may refuse to accept surrenders of American Depositary Shares for the purpose of withdrawal of Deposited Securities (that have not been sold) or reverse previously accepted surrenders of that kind that have not settled if in its judgment the requested withdrawal would materially interfere with its efforts to sell the Deposited Securities, (ii) the Depositary will not be required to deliver cash proceeds of the sale of Deposited Securities until all Deposited Securities have been sold and (iii) the Depositary may discontinue the registration of transfers of American Depositary Shares and suspend the distribution of dividends and other distributions on Deposited Securities to the Owners and need not give any further notices or perform any further acts under this Deposit Agreement except as provided in this Section.</w:t>
      </w:r>
    </w:p>
    <w:p>
      <w:pPr>
        <w:pStyle w:val="TextBody"/>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ARTICLE 7.MISCELLANEOUS</w:t>
      </w:r>
    </w:p>
    <w:p>
      <w:pPr>
        <w:pStyle w:val="TextBody"/>
        <w:spacing w:lineRule="auto" w:line="288" w:before="0" w:after="240"/>
        <w:ind w:left="0" w:right="0" w:firstLine="1080"/>
        <w:jc w:val="both"/>
        <w:rPr/>
      </w:pPr>
      <w:r>
        <w:rPr>
          <w:rFonts w:ascii="Times New Roman;sans-serif" w:hAnsi="Times New Roman;sans-serif"/>
          <w:b w:val="false"/>
          <w:color w:val="000000"/>
          <w:sz w:val="24"/>
        </w:rPr>
        <w:t xml:space="preserve">SECTION 7.1 </w:t>
      </w:r>
      <w:r>
        <w:rPr>
          <w:rFonts w:ascii="Times New Roman;sans-serif" w:hAnsi="Times New Roman;sans-serif"/>
          <w:b w:val="false"/>
          <w:color w:val="000000"/>
          <w:sz w:val="24"/>
          <w:u w:val="single"/>
        </w:rPr>
        <w:t>Counterparts; Signatures; Delivery.</w:t>
      </w:r>
    </w:p>
    <w:p>
      <w:pPr>
        <w:pStyle w:val="TextBody"/>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This Deposit Agreement may be executed in any number of counterparts, each of which shall be deemed an original and all of those counterparts shall constitute one and the same instrument. Copies of this Deposit Agreement shall be filed with the Depositary and the Custodians and shall be open to inspection by any Owner or Holder during regular business hours.</w:t>
      </w:r>
    </w:p>
    <w:p>
      <w:pPr>
        <w:pStyle w:val="TextBody"/>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The exchange of copies of this Deposit Agreement and manually-signed signature pages by facsimile, or email attaching a pdf or similar bit-mapped image, shall constitute effective execution and delivery of this Deposit Agreement as to the parties to it; copies and signature pages so exchanged may be used in lieu of the original Deposit Agreement and signature pages for all purposes and shall have the same validity, legal effect and admissibility in evidence as an original manual signature; the parties to this Deposit Agreement hereby agree not to argue to the contrary. </w:t>
      </w:r>
    </w:p>
    <w:p>
      <w:pPr>
        <w:pStyle w:val="TextBody"/>
        <w:spacing w:lineRule="auto" w:line="288" w:before="0" w:after="240"/>
        <w:ind w:left="0" w:right="0" w:firstLine="1080"/>
        <w:jc w:val="both"/>
        <w:rPr/>
      </w:pPr>
      <w:r>
        <w:rPr>
          <w:rFonts w:ascii="Times New Roman;sans-serif" w:hAnsi="Times New Roman;sans-serif"/>
          <w:b w:val="false"/>
          <w:color w:val="000000"/>
          <w:sz w:val="24"/>
        </w:rPr>
        <w:t xml:space="preserve">SECTION 7.2 </w:t>
      </w:r>
      <w:r>
        <w:rPr>
          <w:rFonts w:ascii="Times New Roman;sans-serif" w:hAnsi="Times New Roman;sans-serif"/>
          <w:b w:val="false"/>
          <w:color w:val="000000"/>
          <w:sz w:val="24"/>
          <w:u w:val="single"/>
        </w:rPr>
        <w:t>No Third Party Beneficiaries.</w:t>
      </w:r>
    </w:p>
    <w:p>
      <w:pPr>
        <w:pStyle w:val="TextBody"/>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This Deposit Agreement is for the exclusive benefit of the Company, the Depositary, the Owners and the Holders and their respective successors and shall not be deemed to give any legal or equitable right, remedy or claim whatsoever to any other person.</w:t>
      </w:r>
    </w:p>
    <w:p>
      <w:pPr>
        <w:pStyle w:val="TextBody"/>
        <w:spacing w:lineRule="auto" w:line="288" w:before="0" w:after="240"/>
        <w:ind w:left="0" w:right="0" w:firstLine="1080"/>
        <w:jc w:val="both"/>
        <w:rPr/>
      </w:pPr>
      <w:r>
        <w:rPr>
          <w:rFonts w:ascii="Times New Roman;sans-serif" w:hAnsi="Times New Roman;sans-serif"/>
          <w:b w:val="false"/>
          <w:color w:val="000000"/>
          <w:sz w:val="24"/>
        </w:rPr>
        <w:t xml:space="preserve">SECTION 7.3 </w:t>
      </w:r>
      <w:r>
        <w:rPr>
          <w:rFonts w:ascii="Times New Roman;sans-serif" w:hAnsi="Times New Roman;sans-serif"/>
          <w:b w:val="false"/>
          <w:color w:val="000000"/>
          <w:sz w:val="24"/>
          <w:u w:val="single"/>
        </w:rPr>
        <w:t>Severability.</w:t>
      </w:r>
    </w:p>
    <w:p>
      <w:pPr>
        <w:pStyle w:val="TextBody"/>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In case any one or more of the provisions contained in this Deposit Agreement or in a Receipt should be or become invalid, illegal or unenforceable in any respect, the validity, legality and enforceability of the remaining provisions contained in this Deposit Agreement or that Receipt shall in no way be affected, prejudiced or disturbed thereby.</w:t>
      </w:r>
      <w:r>
        <w:br w:type="page"/>
      </w:r>
    </w:p>
    <w:p>
      <w:pPr>
        <w:pStyle w:val="TextBody"/>
        <w:spacing w:before="120" w:after="240"/>
        <w:jc w:val="center"/>
        <w:rPr/>
      </w:pPr>
      <w:r>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6480175" cy="869950"/>
                <wp:effectExtent l="0" t="0" r="0" b="0"/>
                <wp:wrapNone/>
                <wp:docPr id="275" name="Frame273"/>
                <a:graphic xmlns:a="http://schemas.openxmlformats.org/drawingml/2006/main">
                  <a:graphicData uri="http://schemas.microsoft.com/office/word/2010/wordprocessingShape">
                    <wps:wsp>
                      <wps:cNvSpPr txBox="1"/>
                      <wps:spPr>
                        <a:xfrm>
                          <a:off x="0" y="0"/>
                          <a:ext cx="6480175" cy="869950"/>
                        </a:xfrm>
                        <a:prstGeom prst="rect"/>
                      </wps:spPr>
                      <wps:txbx>
                        <w:txbxContent>
                          <w:p>
                            <w:pPr>
                              <w:pStyle w:val="TextBody"/>
                              <w:spacing w:lineRule="auto" w:line="288"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-34-</w:t>
                            </w:r>
                          </w:p>
                          <w:p>
                            <w:pPr>
                              <w:pStyle w:val="TextBody"/>
                              <w:spacing w:before="24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8.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spacing w:lineRule="auto" w:line="288"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-34-</w:t>
                      </w:r>
                    </w:p>
                    <w:p>
                      <w:pPr>
                        <w:pStyle w:val="TextBody"/>
                        <w:spacing w:before="240" w:after="283"/>
                        <w:jc w:val="center"/>
                        <w:rPr/>
                      </w:pPr>
                      <w:r>
                        <w:rPr/>
                      </w:r>
                    </w:p>
                  </w:txbxContent>
                </v:textbox>
              </v:rect>
            </w:pict>
          </mc:Fallback>
        </mc:AlternateContent>
      </w:r>
    </w:p>
    <w:p>
      <w:pPr>
        <w:pStyle w:val="TextBody"/>
        <w:spacing w:lineRule="auto" w:line="288" w:before="0" w:after="240"/>
        <w:ind w:left="0" w:right="0" w:firstLine="1080"/>
        <w:jc w:val="both"/>
        <w:rPr/>
      </w:pPr>
      <w:r>
        <w:rPr>
          <w:rFonts w:ascii="Times New Roman;sans-serif" w:hAnsi="Times New Roman;sans-serif"/>
          <w:b w:val="false"/>
          <w:color w:val="000000"/>
          <w:sz w:val="24"/>
        </w:rPr>
        <w:t xml:space="preserve">SECTION 7.4 </w:t>
      </w:r>
      <w:r>
        <w:rPr>
          <w:rFonts w:ascii="Times New Roman;sans-serif" w:hAnsi="Times New Roman;sans-serif"/>
          <w:b w:val="false"/>
          <w:color w:val="000000"/>
          <w:sz w:val="24"/>
          <w:u w:val="single"/>
        </w:rPr>
        <w:t>Owners and Holders as Parties; Binding Effect.</w:t>
      </w:r>
    </w:p>
    <w:p>
      <w:pPr>
        <w:pStyle w:val="TextBody"/>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The Owners and Holders from time to time shall be parties to this Deposit Agreement and shall be bound by all of the terms and conditions of this Deposit Agreement and of the Receipts by acceptance of American Depositary Shares or any interest therein.</w:t>
      </w:r>
    </w:p>
    <w:p>
      <w:pPr>
        <w:pStyle w:val="TextBody"/>
        <w:spacing w:lineRule="auto" w:line="288" w:before="0" w:after="240"/>
        <w:ind w:left="0" w:right="0" w:firstLine="1080"/>
        <w:jc w:val="both"/>
        <w:rPr/>
      </w:pPr>
      <w:r>
        <w:rPr>
          <w:rFonts w:ascii="Times New Roman;sans-serif" w:hAnsi="Times New Roman;sans-serif"/>
          <w:b w:val="false"/>
          <w:color w:val="000000"/>
          <w:sz w:val="24"/>
        </w:rPr>
        <w:t xml:space="preserve">SECTION 7.5 </w:t>
      </w:r>
      <w:r>
        <w:rPr>
          <w:rFonts w:ascii="Times New Roman;sans-serif" w:hAnsi="Times New Roman;sans-serif"/>
          <w:b w:val="false"/>
          <w:color w:val="000000"/>
          <w:sz w:val="24"/>
          <w:u w:val="single"/>
        </w:rPr>
        <w:t>Notices.</w:t>
      </w:r>
    </w:p>
    <w:p>
      <w:pPr>
        <w:pStyle w:val="TextBody"/>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Any and all notices to be given to the Company shall be in writing and shall be deemed to have been duly given if personally delivered or sent by domestic first class or international air mail or air courier or sent by facsimile transmission or email attaching a pdf or similar bit-mapped image of a signed writing, addressed to Agora, Inc., Floor 8, Building 12, Phase III of ChuangZhiTianDi, 333 Songhu Road, Yangpu District, Shanghai, People’s Republic of China, Attention: Chief Financial Officer, or any other place to which the Company may have transferred its principal office with notice to the Depositary.</w:t>
      </w:r>
    </w:p>
    <w:p>
      <w:pPr>
        <w:pStyle w:val="TextBody"/>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Any and all notices to be given to the Depositary shall be in writing and shall be deemed to have been duly given if in English and personally delivered or sent by first class domestic or international air mail or air courier or sent by facsimile transmission or email attaching a pdf or similar bit-mapped image of a signed writing, addressed to The Bank of New York Mellon, 240 Greenwich Street, New York, New York 10286, Attention: Depositary Receipt Administration, or any other place to which the Depositary may have transferred its Office with notice to the Company. </w:t>
      </w:r>
    </w:p>
    <w:p>
      <w:pPr>
        <w:pStyle w:val="TextBody"/>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Delivery of a notice to the Company or Depositary by mail or air courier shall be deemed effected when deposited, postage prepaid, in a post-office letter box or received by an air courier service. Delivery of a notice to the Company or Depositary sent by facsimile transmission or email shall be deemed effected when the recipient acknowledges receipt of that notice.</w:t>
      </w:r>
    </w:p>
    <w:p>
      <w:pPr>
        <w:pStyle w:val="TextBody"/>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A notice to be given to an Owner shall be deemed to have been duly given when Disseminated to that Owner. Dissemination in paper form will be effective when personally delivered or sent by first class domestic or international air mail or air courier, addressed to that Owner at the address of that Owner as it appears on the transfer books for American Depositary Shares of the Depositary, or, if that Owner has filed with the Depositary a written request that notices intended for that Owner be mailed to some other address, at the address designated in that request. Dissemination in electronic form will be effective when sent in the manner consented to by the Owner to the electronic address most recently provided by the Owner for that purpose.</w:t>
      </w:r>
      <w:r>
        <w:br w:type="page"/>
      </w:r>
    </w:p>
    <w:p>
      <w:pPr>
        <w:pStyle w:val="TextBody"/>
        <w:spacing w:before="120" w:after="240"/>
        <w:jc w:val="center"/>
        <w:rPr/>
      </w:pPr>
      <w:r>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6480175" cy="869950"/>
                <wp:effectExtent l="0" t="0" r="0" b="0"/>
                <wp:wrapNone/>
                <wp:docPr id="276" name="Frame274"/>
                <a:graphic xmlns:a="http://schemas.openxmlformats.org/drawingml/2006/main">
                  <a:graphicData uri="http://schemas.microsoft.com/office/word/2010/wordprocessingShape">
                    <wps:wsp>
                      <wps:cNvSpPr txBox="1"/>
                      <wps:spPr>
                        <a:xfrm>
                          <a:off x="0" y="0"/>
                          <a:ext cx="6480175" cy="869950"/>
                        </a:xfrm>
                        <a:prstGeom prst="rect"/>
                      </wps:spPr>
                      <wps:txbx>
                        <w:txbxContent>
                          <w:p>
                            <w:pPr>
                              <w:pStyle w:val="TextBody"/>
                              <w:spacing w:lineRule="auto" w:line="288"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-35-</w:t>
                            </w:r>
                          </w:p>
                          <w:p>
                            <w:pPr>
                              <w:pStyle w:val="TextBody"/>
                              <w:spacing w:before="24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8.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spacing w:lineRule="auto" w:line="288"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-35-</w:t>
                      </w:r>
                    </w:p>
                    <w:p>
                      <w:pPr>
                        <w:pStyle w:val="TextBody"/>
                        <w:spacing w:before="240" w:after="283"/>
                        <w:jc w:val="center"/>
                        <w:rPr/>
                      </w:pPr>
                      <w:r>
                        <w:rPr/>
                      </w:r>
                    </w:p>
                  </w:txbxContent>
                </v:textbox>
              </v:rect>
            </w:pict>
          </mc:Fallback>
        </mc:AlternateContent>
      </w:r>
    </w:p>
    <w:p>
      <w:pPr>
        <w:pStyle w:val="TextBody"/>
        <w:spacing w:lineRule="auto" w:line="288" w:before="0" w:after="240"/>
        <w:ind w:left="0" w:right="0" w:firstLine="1080"/>
        <w:jc w:val="both"/>
        <w:rPr/>
      </w:pPr>
      <w:r>
        <w:rPr>
          <w:rFonts w:ascii="Times New Roman;sans-serif" w:hAnsi="Times New Roman;sans-serif"/>
          <w:b w:val="false"/>
          <w:color w:val="000000"/>
          <w:sz w:val="24"/>
        </w:rPr>
        <w:t xml:space="preserve">SECTION 7.6 </w:t>
      </w:r>
      <w:r>
        <w:rPr>
          <w:rFonts w:ascii="Times New Roman;sans-serif" w:hAnsi="Times New Roman;sans-serif"/>
          <w:b w:val="false"/>
          <w:color w:val="000000"/>
          <w:sz w:val="24"/>
          <w:u w:val="single"/>
        </w:rPr>
        <w:t>Arbitration; Settlement of Disputes.</w:t>
      </w:r>
    </w:p>
    <w:p>
      <w:pPr>
        <w:pStyle w:val="TextBody"/>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Any controversy, claim or cause of action brought by any party hereto against the Company arising out of or relating to the Shares or other Deposited Securities, the American Depositary Shares, the Receipts or this Deposit Agreement, or the breach hereof or thereof, if so elected by the claimant, shall be settled by arbitration in accordance with the International Arbitration Rules of the American Arbitration Association, and judgment upon the award rendered by the arbitrators may be entered in any court having jurisdiction thereof.</w:t>
      </w:r>
    </w:p>
    <w:p>
      <w:pPr>
        <w:pStyle w:val="TextBody"/>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The place of the arbitration shall be The City of New York, State of New York, United States of America, and the language of the arbitration shall be English.</w:t>
      </w:r>
    </w:p>
    <w:p>
      <w:pPr>
        <w:pStyle w:val="TextBody"/>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The number of arbitrators shall be three, each of whom shall be disinterested in the dispute or controversy, shall have no connection with any party thereto, and shall be an attorney experienced in international securities transactions. Each party shall appoint one arbitrator and the two arbitrators shall select a third arbitrator who shall serve as chairperson of the tribunal. If a dispute, controversy or cause of action shall involve more than two parties, the parties shall attempt to align themselves in two sides (i.e., claimant(s) and respondent(s)), each of which shall appoint one arbitrator as if there were only two parties to such dispute, controversy or cause of action. If such alignment and appointment shall not have occurred within thirty (30) calendar days after the initiating party serves the arbitration demand, the American Arbitration Association shall appoint the three arbitrators, each of whom shall have the qualifications described above. The parties and the American Arbitration Association may appoint from among the nationals of any country, whether or not a party is a national of that country.</w:t>
      </w:r>
    </w:p>
    <w:p>
      <w:pPr>
        <w:pStyle w:val="TextBody"/>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The arbitral tribunal shall have no authority to award any consequential, special or punitive damages or other damages not measured by the prevailing party’s actual damages and may not, in any event, make any ruling, finding or award that does not conform to the terms and conditions of this Deposit Agreement.</w:t>
      </w:r>
    </w:p>
    <w:p>
      <w:pPr>
        <w:pStyle w:val="TextBody"/>
        <w:spacing w:lineRule="auto" w:line="288" w:before="0" w:after="240"/>
        <w:ind w:left="0" w:right="0" w:firstLine="1080"/>
        <w:jc w:val="both"/>
        <w:rPr/>
      </w:pPr>
      <w:r>
        <w:rPr>
          <w:rFonts w:ascii="Times New Roman;sans-serif" w:hAnsi="Times New Roman;sans-serif"/>
          <w:b w:val="false"/>
          <w:color w:val="000000"/>
          <w:sz w:val="24"/>
        </w:rPr>
        <w:t xml:space="preserve">SECTION 7.7 </w:t>
      </w:r>
      <w:r>
        <w:rPr>
          <w:rFonts w:ascii="Times New Roman;sans-serif" w:hAnsi="Times New Roman;sans-serif"/>
          <w:b w:val="false"/>
          <w:color w:val="000000"/>
          <w:sz w:val="24"/>
          <w:u w:val="single"/>
        </w:rPr>
        <w:t>Appointment of Agent for Service of Process; Submission to Jurisdiction; Jury Trial Waiver.</w:t>
      </w:r>
    </w:p>
    <w:p>
      <w:pPr>
        <w:pStyle w:val="TextBody"/>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The Company hereby (i) designates and appoints the person named in Exhibit A to this Deposit Agreement as the Company’s authorized agent in the United States upon which process may be served in any suit or proceeding (including any arbitration proceeding) arising out of or relating to the Shares or Deposited Securities, the American Depositary Shares, the Receipts or this Deposit Agreement (a “Proceeding”), (ii) consents and submits to the jurisdiction of any state or federal court in the State of New York in which any Proceeding may be instituted and (iii) agrees that service of process upon said authorized agent shall be deemed in every respect effective service of </w:t>
      </w:r>
      <w:r>
        <w:br w:type="page"/>
      </w:r>
    </w:p>
    <w:p>
      <w:pPr>
        <w:pStyle w:val="TextBody"/>
        <w:spacing w:before="120" w:after="240"/>
        <w:jc w:val="center"/>
        <w:rPr/>
      </w:pPr>
      <w:r>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6480175" cy="869950"/>
                <wp:effectExtent l="0" t="0" r="0" b="0"/>
                <wp:wrapNone/>
                <wp:docPr id="277" name="Frame275"/>
                <a:graphic xmlns:a="http://schemas.openxmlformats.org/drawingml/2006/main">
                  <a:graphicData uri="http://schemas.microsoft.com/office/word/2010/wordprocessingShape">
                    <wps:wsp>
                      <wps:cNvSpPr txBox="1"/>
                      <wps:spPr>
                        <a:xfrm>
                          <a:off x="0" y="0"/>
                          <a:ext cx="6480175" cy="869950"/>
                        </a:xfrm>
                        <a:prstGeom prst="rect"/>
                      </wps:spPr>
                      <wps:txbx>
                        <w:txbxContent>
                          <w:p>
                            <w:pPr>
                              <w:pStyle w:val="TextBody"/>
                              <w:spacing w:lineRule="auto" w:line="288"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-36-</w:t>
                            </w:r>
                          </w:p>
                          <w:p>
                            <w:pPr>
                              <w:pStyle w:val="TextBody"/>
                              <w:spacing w:before="24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8.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spacing w:lineRule="auto" w:line="288"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-36-</w:t>
                      </w:r>
                    </w:p>
                    <w:p>
                      <w:pPr>
                        <w:pStyle w:val="TextBody"/>
                        <w:spacing w:before="240" w:after="283"/>
                        <w:jc w:val="center"/>
                        <w:rPr/>
                      </w:pPr>
                      <w:r>
                        <w:rPr/>
                      </w:r>
                    </w:p>
                  </w:txbxContent>
                </v:textbox>
              </v:rect>
            </w:pict>
          </mc:Fallback>
        </mc:AlternateContent>
      </w:r>
    </w:p>
    <w:p>
      <w:pPr>
        <w:pStyle w:val="TextBody"/>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process upon the Company in any Proceeding. The Company agrees to deliver to the Depositary, upon the execution and delivery of this Deposit Agreement, a written acceptance by the agent named in Exhibit A to this Deposit Agreement of its appointment as process agent. The Company further agrees to take any and all action, including the filing of any and all such documents and instruments, as may be necessary to continue that designation and appointment in full force and effect, or to appoint and maintain the appointment of another process agent located in the United States as required above, and to deliver to the Depositary a written acceptance by that agent of that appointment, for so long as any American Depositary Shares or Receipts remain outstanding or this Deposit Agreement remains in force. In the event the Company fails to maintain the designation and appointment of a process agent in the United States in full force and effect, the Company hereby waives personal service of process upon it and consents that a service of process in connection with a Proceeding may be made by certified or registered mail, return receipt requested, directed to the Company at its address last specified for notices under this Deposit Agreement, and service so made shall be deemed completed five (5) days after the same shall have been so mailed.</w:t>
      </w:r>
    </w:p>
    <w:p>
      <w:pPr>
        <w:pStyle w:val="TextBody"/>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EACH PARTY TO THIS DEPOSIT AGREEMENT (INCLUDING, FOR AVOIDANCE OF DOUBT, EACH OWNER AND HOLDER) HEREBY IRREVOCABLY WAIVES, TO THE FULLEST EXTENT PERMITTED BY APPLICABLE LAW, ANY RIGHT IT MAY HAVE TO A TRIAL BY JURY IN ANY SUIT, ACTION OR PROCEEDING AGAINST THE COMPANY AND/OR THE DEPOSITARY DIRECTLY OR INDIRECTLY ARISING OUT OF OR RELATING TO THE SHARES OR OTHER DEPOSITED SECURITIES, THE AMERICAN DEPOSITARY SHARES OR THE RECEIPTS, THIS DEPOSIT AGREEMENT OR ANY TRANSACTION CONTEMPLATED HEREIN OR THEREIN, OR THE BREACH HEREOF OR THEREOF, INCLUDING, WITHOUT LIMITATION, ANY QUESTION REGARDING EXISTENCE, VALIDITY OR TERMINATION (WHETHER BASED ON CONTRACT, TORT OR ANY OTHER THEORY).</w:t>
      </w:r>
    </w:p>
    <w:p>
      <w:pPr>
        <w:pStyle w:val="TextBody"/>
        <w:spacing w:lineRule="auto" w:line="288" w:before="0" w:after="240"/>
        <w:ind w:left="0" w:right="0" w:firstLine="1080"/>
        <w:jc w:val="both"/>
        <w:rPr/>
      </w:pPr>
      <w:r>
        <w:rPr>
          <w:rFonts w:ascii="Times New Roman;sans-serif" w:hAnsi="Times New Roman;sans-serif"/>
          <w:b w:val="false"/>
          <w:color w:val="000000"/>
          <w:sz w:val="24"/>
        </w:rPr>
        <w:t xml:space="preserve">SECTION 7.8 </w:t>
      </w:r>
      <w:r>
        <w:rPr>
          <w:rFonts w:ascii="Times New Roman;sans-serif" w:hAnsi="Times New Roman;sans-serif"/>
          <w:b w:val="false"/>
          <w:color w:val="000000"/>
          <w:sz w:val="24"/>
          <w:u w:val="single"/>
        </w:rPr>
        <w:t>Waiver of Immunities.</w:t>
      </w:r>
    </w:p>
    <w:p>
      <w:pPr>
        <w:pStyle w:val="TextBody"/>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To the extent that the Company or any of its properties, assets or revenues may have or may hereafter become entitled to, or have attributed to it, any right of immunity, on the grounds of sovereignty or otherwise, from any legal action, suit or proceeding, from the giving of any relief in any respect thereof, from setoff or counterclaim, from the jurisdiction of any court, from service of process, from attachment upon or prior to judgment, from attachment in aid of execution or judgment, or from execution of judgment, or other legal process or proceeding for the giving of any relief or for the enforcement of any judgment, in any jurisdiction in which proceedings may at any time be commenced, with respect to its obligations, liabilities or any other matter under or arising out of or in connection with the Shares or Deposited Securities, the American Depositary Shares, the Receipts or this Deposit Agreement, the Company, to the fullest </w:t>
      </w:r>
      <w:r>
        <w:br w:type="page"/>
      </w:r>
    </w:p>
    <w:p>
      <w:pPr>
        <w:pStyle w:val="TextBody"/>
        <w:spacing w:before="120" w:after="240"/>
        <w:jc w:val="center"/>
        <w:rPr/>
      </w:pPr>
      <w:r>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6480175" cy="869950"/>
                <wp:effectExtent l="0" t="0" r="0" b="0"/>
                <wp:wrapNone/>
                <wp:docPr id="278" name="Frame276"/>
                <a:graphic xmlns:a="http://schemas.openxmlformats.org/drawingml/2006/main">
                  <a:graphicData uri="http://schemas.microsoft.com/office/word/2010/wordprocessingShape">
                    <wps:wsp>
                      <wps:cNvSpPr txBox="1"/>
                      <wps:spPr>
                        <a:xfrm>
                          <a:off x="0" y="0"/>
                          <a:ext cx="6480175" cy="869950"/>
                        </a:xfrm>
                        <a:prstGeom prst="rect"/>
                      </wps:spPr>
                      <wps:txbx>
                        <w:txbxContent>
                          <w:p>
                            <w:pPr>
                              <w:pStyle w:val="TextBody"/>
                              <w:spacing w:lineRule="auto" w:line="288"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-37-</w:t>
                            </w:r>
                          </w:p>
                          <w:p>
                            <w:pPr>
                              <w:pStyle w:val="TextBody"/>
                              <w:spacing w:before="24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8.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spacing w:lineRule="auto" w:line="288"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-37-</w:t>
                      </w:r>
                    </w:p>
                    <w:p>
                      <w:pPr>
                        <w:pStyle w:val="TextBody"/>
                        <w:spacing w:before="240" w:after="283"/>
                        <w:jc w:val="center"/>
                        <w:rPr/>
                      </w:pPr>
                      <w:r>
                        <w:rPr/>
                      </w:r>
                    </w:p>
                  </w:txbxContent>
                </v:textbox>
              </v:rect>
            </w:pict>
          </mc:Fallback>
        </mc:AlternateContent>
      </w:r>
    </w:p>
    <w:p>
      <w:pPr>
        <w:pStyle w:val="TextBody"/>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extent permitted by law, hereby irrevocably and unconditionally waives, and agrees not to plead or claim, any immunity of that kind and consents to relief and enforcement as provided above.</w:t>
      </w:r>
    </w:p>
    <w:p>
      <w:pPr>
        <w:pStyle w:val="TextBody"/>
        <w:spacing w:lineRule="auto" w:line="288" w:before="0" w:after="240"/>
        <w:ind w:left="0" w:right="0" w:firstLine="1080"/>
        <w:jc w:val="both"/>
        <w:rPr/>
      </w:pPr>
      <w:r>
        <w:rPr>
          <w:rFonts w:ascii="Times New Roman;sans-serif" w:hAnsi="Times New Roman;sans-serif"/>
          <w:b w:val="false"/>
          <w:color w:val="000000"/>
          <w:sz w:val="24"/>
        </w:rPr>
        <w:t xml:space="preserve">SECTION 7.9 </w:t>
      </w:r>
      <w:r>
        <w:rPr>
          <w:rFonts w:ascii="Times New Roman;sans-serif" w:hAnsi="Times New Roman;sans-serif"/>
          <w:b w:val="false"/>
          <w:color w:val="000000"/>
          <w:sz w:val="24"/>
          <w:u w:val="single"/>
        </w:rPr>
        <w:t>Governing Law.</w:t>
      </w:r>
    </w:p>
    <w:p>
      <w:pPr>
        <w:pStyle w:val="TextBody"/>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This Deposit Agreement and the Receipts shall be interpreted in accordance with and all rights hereunder and thereunder and provisions hereof and thereof shall be governed by the laws of the State of New York.</w:t>
      </w:r>
    </w:p>
    <w:p>
      <w:pPr>
        <w:pStyle w:val="TextBody"/>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IN WITNESS WHEREOF, AGORA, INC. and THE BANK OF NEW YORK MELLON have duly executed this Deposit Agreement as of the day and year first set forth above and all Owners and Holders shall become parties hereto upon acceptance by them of American Depositary Shares or any interest therein.</w:t>
      </w:r>
      <w:r>
        <w:br w:type="page"/>
      </w:r>
    </w:p>
    <w:p>
      <w:pPr>
        <w:pStyle w:val="TextBody"/>
        <w:spacing w:before="120" w:after="240"/>
        <w:jc w:val="center"/>
        <w:rPr/>
      </w:pPr>
      <w:r>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6480175" cy="869950"/>
                <wp:effectExtent l="0" t="0" r="0" b="0"/>
                <wp:wrapNone/>
                <wp:docPr id="279" name="Frame277"/>
                <a:graphic xmlns:a="http://schemas.openxmlformats.org/drawingml/2006/main">
                  <a:graphicData uri="http://schemas.microsoft.com/office/word/2010/wordprocessingShape">
                    <wps:wsp>
                      <wps:cNvSpPr txBox="1"/>
                      <wps:spPr>
                        <a:xfrm>
                          <a:off x="0" y="0"/>
                          <a:ext cx="6480175" cy="869950"/>
                        </a:xfrm>
                        <a:prstGeom prst="rect"/>
                      </wps:spPr>
                      <wps:txbx>
                        <w:txbxContent>
                          <w:p>
                            <w:pPr>
                              <w:pStyle w:val="TextBody"/>
                              <w:spacing w:lineRule="auto" w:line="288"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-38-</w:t>
                            </w:r>
                          </w:p>
                          <w:p>
                            <w:pPr>
                              <w:pStyle w:val="TextBody"/>
                              <w:spacing w:before="24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8.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spacing w:lineRule="auto" w:line="288"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-38-</w:t>
                      </w:r>
                    </w:p>
                    <w:p>
                      <w:pPr>
                        <w:pStyle w:val="TextBody"/>
                        <w:spacing w:before="240" w:after="283"/>
                        <w:jc w:val="center"/>
                        <w:rPr/>
                      </w:pPr>
                      <w:r>
                        <w:rPr/>
                      </w:r>
                    </w:p>
                  </w:txbxContent>
                </v:textbox>
              </v:rect>
            </w:pict>
          </mc:Fallback>
        </mc:AlternateContent>
      </w:r>
    </w:p>
    <w:p>
      <w:pPr>
        <w:pStyle w:val="TextBody"/>
        <w:spacing w:lineRule="auto" w:line="288" w:before="0" w:after="720"/>
        <w:ind w:left="0" w:right="0" w:firstLine="4301"/>
        <w:jc w:val="both"/>
        <w:rPr>
          <w:rFonts w:ascii="Times New Roman;sans-serif" w:hAnsi="Times New Roman;sans-serif"/>
          <w:b w:val="false"/>
          <w:color w:val="000000"/>
          <w:sz w:val="24"/>
        </w:rPr>
      </w:pPr>
      <w:r>
        <w:rPr>
          <w:rFonts w:ascii="Times New Roman;sans-serif" w:hAnsi="Times New Roman;sans-serif"/>
          <w:b w:val="false"/>
          <w:color w:val="000000"/>
          <w:sz w:val="24"/>
        </w:rPr>
        <w:t>AGORA, INC.</w:t>
      </w:r>
    </w:p>
    <w:p>
      <w:pPr>
        <w:pStyle w:val="TextBody"/>
        <w:spacing w:lineRule="auto" w:line="288" w:before="0" w:after="0"/>
        <w:ind w:left="0" w:right="0" w:firstLine="4301"/>
        <w:jc w:val="both"/>
        <w:rPr/>
      </w:pPr>
      <w:r>
        <w:rPr>
          <w:rFonts w:ascii="Times New Roman;sans-serif" w:hAnsi="Times New Roman;sans-serif"/>
          <w:b w:val="false"/>
          <w:color w:val="000000"/>
          <w:sz w:val="24"/>
        </w:rPr>
        <w:t>By:</w:t>
      </w:r>
      <w:r>
        <w:rPr>
          <w:rFonts w:ascii="Times New Roman;sans-serif" w:hAnsi="Times New Roman;sans-serif"/>
          <w:b w:val="false"/>
          <w:color w:val="000000"/>
          <w:sz w:val="24"/>
          <w:u w:val="single"/>
        </w:rPr>
        <w:t>_/s/ Bin (Tony) Zhao</w:t>
      </w:r>
      <w:r>
        <w:rPr>
          <w:color w:val="000000"/>
        </w:rPr>
        <w:t xml:space="preserve"> </w:t>
      </w:r>
      <w:r>
        <w:rPr>
          <w:rFonts w:ascii="Times New Roman;sans-serif" w:hAnsi="Times New Roman;sans-serif"/>
          <w:b w:val="false"/>
          <w:color w:val="000000"/>
          <w:sz w:val="24"/>
        </w:rPr>
        <w:t>______</w:t>
      </w:r>
    </w:p>
    <w:p>
      <w:pPr>
        <w:pStyle w:val="TextBody"/>
        <w:spacing w:lineRule="auto" w:line="288" w:before="0" w:after="0"/>
        <w:ind w:left="0" w:right="0" w:firstLine="4301"/>
        <w:jc w:val="both"/>
        <w:rPr>
          <w:rFonts w:ascii="Times New Roman;sans-serif" w:hAnsi="Times New Roman;sans-serif"/>
          <w:b w:val="false"/>
          <w:color w:val="000000"/>
          <w:sz w:val="24"/>
        </w:rPr>
      </w:pPr>
      <w:r>
        <w:rPr>
          <w:rFonts w:ascii="Times New Roman;sans-serif" w:hAnsi="Times New Roman;sans-serif"/>
          <w:b w:val="false"/>
          <w:color w:val="000000"/>
          <w:sz w:val="24"/>
        </w:rPr>
        <w:t>Name: Bin (Tony) Zhao</w:t>
      </w:r>
    </w:p>
    <w:p>
      <w:pPr>
        <w:pStyle w:val="TextBody"/>
        <w:spacing w:lineRule="auto" w:line="288" w:before="0" w:after="840"/>
        <w:rPr>
          <w:rFonts w:ascii="Times New Roman;sans-serif" w:hAnsi="Times New Roman;sans-serif"/>
          <w:b w:val="false"/>
          <w:color w:val="000000"/>
          <w:sz w:val="24"/>
        </w:rPr>
      </w:pPr>
      <w:r>
        <w:rPr>
          <w:rFonts w:ascii="Times New Roman;sans-serif" w:hAnsi="Times New Roman;sans-serif"/>
          <w:b w:val="false"/>
          <w:color w:val="000000"/>
          <w:sz w:val="24"/>
        </w:rPr>
        <w:t>Title: Chief Executive Officer and Chairman</w:t>
      </w:r>
    </w:p>
    <w:p>
      <w:pPr>
        <w:pStyle w:val="TextBody"/>
        <w:spacing w:lineRule="auto" w:line="288" w:before="0" w:after="0"/>
        <w:ind w:left="0" w:right="0" w:firstLine="4301"/>
        <w:jc w:val="both"/>
        <w:rPr>
          <w:rFonts w:ascii="Times New Roman;sans-serif" w:hAnsi="Times New Roman;sans-serif"/>
          <w:b w:val="false"/>
          <w:color w:val="000000"/>
          <w:sz w:val="24"/>
        </w:rPr>
      </w:pPr>
      <w:r>
        <w:rPr>
          <w:rFonts w:ascii="Times New Roman;sans-serif" w:hAnsi="Times New Roman;sans-serif"/>
          <w:b w:val="false"/>
          <w:color w:val="000000"/>
          <w:sz w:val="24"/>
        </w:rPr>
        <w:t>THE BANK OF NEW YORK MELLON,</w:t>
      </w:r>
    </w:p>
    <w:p>
      <w:pPr>
        <w:pStyle w:val="TextBody"/>
        <w:spacing w:lineRule="auto" w:line="288" w:before="0" w:after="720"/>
        <w:ind w:left="0" w:right="0" w:firstLine="4301"/>
        <w:jc w:val="both"/>
        <w:rPr>
          <w:rFonts w:ascii="Times New Roman;sans-serif" w:hAnsi="Times New Roman;sans-serif"/>
          <w:b w:val="false"/>
          <w:color w:val="000000"/>
          <w:sz w:val="24"/>
        </w:rPr>
      </w:pPr>
      <w:r>
        <w:rPr>
          <w:rFonts w:ascii="Times New Roman;sans-serif" w:hAnsi="Times New Roman;sans-serif"/>
          <w:b w:val="false"/>
          <w:color w:val="000000"/>
          <w:sz w:val="24"/>
        </w:rPr>
        <w:t>as Depositary</w:t>
      </w:r>
    </w:p>
    <w:p>
      <w:pPr>
        <w:pStyle w:val="TextBody"/>
        <w:spacing w:lineRule="auto" w:line="288" w:before="0" w:after="0"/>
        <w:ind w:left="0" w:right="0" w:firstLine="4301"/>
        <w:jc w:val="both"/>
        <w:rPr/>
      </w:pPr>
      <w:r>
        <w:rPr>
          <w:rFonts w:ascii="Times New Roman;sans-serif" w:hAnsi="Times New Roman;sans-serif"/>
          <w:b w:val="false"/>
          <w:color w:val="000000"/>
          <w:sz w:val="24"/>
        </w:rPr>
        <w:t>By:_</w:t>
      </w:r>
      <w:r>
        <w:rPr>
          <w:rFonts w:ascii="Times New Roman;sans-serif" w:hAnsi="Times New Roman;sans-serif"/>
          <w:b w:val="false"/>
          <w:color w:val="000000"/>
          <w:sz w:val="24"/>
          <w:u w:val="single"/>
        </w:rPr>
        <w:t>/s/ Robert W. Goad _</w:t>
      </w:r>
    </w:p>
    <w:p>
      <w:pPr>
        <w:pStyle w:val="TextBody"/>
        <w:spacing w:lineRule="auto" w:line="288" w:before="0" w:after="0"/>
        <w:ind w:left="0" w:right="0" w:firstLine="4301"/>
        <w:jc w:val="both"/>
        <w:rPr>
          <w:rFonts w:ascii="Times New Roman;sans-serif" w:hAnsi="Times New Roman;sans-serif"/>
          <w:b w:val="false"/>
          <w:color w:val="000000"/>
          <w:sz w:val="24"/>
        </w:rPr>
      </w:pPr>
      <w:r>
        <w:rPr>
          <w:rFonts w:ascii="Times New Roman;sans-serif" w:hAnsi="Times New Roman;sans-serif"/>
          <w:b w:val="false"/>
          <w:color w:val="000000"/>
          <w:sz w:val="24"/>
        </w:rPr>
        <w:t>Name: Robert W. Goad</w:t>
      </w:r>
    </w:p>
    <w:p>
      <w:pPr>
        <w:pStyle w:val="TextBody"/>
        <w:spacing w:lineRule="auto" w:line="288" w:before="0" w:after="0"/>
        <w:ind w:left="0" w:right="0" w:firstLine="4301"/>
        <w:jc w:val="both"/>
        <w:rPr>
          <w:rFonts w:ascii="Times New Roman;sans-serif" w:hAnsi="Times New Roman;sans-serif"/>
          <w:b w:val="false"/>
          <w:color w:val="000000"/>
          <w:sz w:val="24"/>
        </w:rPr>
      </w:pPr>
      <w:r>
        <w:rPr>
          <w:rFonts w:ascii="Times New Roman;sans-serif" w:hAnsi="Times New Roman;sans-serif"/>
          <w:b w:val="false"/>
          <w:color w:val="000000"/>
          <w:sz w:val="24"/>
        </w:rPr>
        <w:t>Title: Managing Director</w:t>
      </w:r>
    </w:p>
    <w:p>
      <w:pPr>
        <w:pStyle w:val="TextBody"/>
        <w:spacing w:before="0" w:after="0"/>
        <w:ind w:left="0" w:right="0" w:firstLine="4301"/>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120" w:after="240"/>
        <w:jc w:val="center"/>
        <w:rPr/>
      </w:pPr>
      <w:r>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6480175" cy="869950"/>
                <wp:effectExtent l="0" t="0" r="0" b="0"/>
                <wp:wrapNone/>
                <wp:docPr id="280" name="Frame278"/>
                <a:graphic xmlns:a="http://schemas.openxmlformats.org/drawingml/2006/main">
                  <a:graphicData uri="http://schemas.microsoft.com/office/word/2010/wordprocessingShape">
                    <wps:wsp>
                      <wps:cNvSpPr txBox="1"/>
                      <wps:spPr>
                        <a:xfrm>
                          <a:off x="0" y="0"/>
                          <a:ext cx="6480175" cy="869950"/>
                        </a:xfrm>
                        <a:prstGeom prst="rect"/>
                      </wps:spPr>
                      <wps:txbx>
                        <w:txbxContent>
                          <w:p>
                            <w:pPr>
                              <w:pStyle w:val="TextBody"/>
                              <w:spacing w:lineRule="auto" w:line="288"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-39-</w:t>
                            </w:r>
                          </w:p>
                          <w:p>
                            <w:pPr>
                              <w:pStyle w:val="TextBody"/>
                              <w:spacing w:before="24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8.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spacing w:lineRule="auto" w:line="288"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-39-</w:t>
                      </w:r>
                    </w:p>
                    <w:p>
                      <w:pPr>
                        <w:pStyle w:val="TextBody"/>
                        <w:spacing w:before="240" w:after="283"/>
                        <w:jc w:val="center"/>
                        <w:rPr/>
                      </w:pPr>
                      <w:r>
                        <w:rPr/>
                      </w:r>
                    </w:p>
                  </w:txbxContent>
                </v:textbox>
              </v:rect>
            </w:pict>
          </mc:Fallback>
        </mc:AlternateContent>
      </w:r>
    </w:p>
    <w:p>
      <w:pPr>
        <w:pStyle w:val="TextBody"/>
        <w:spacing w:lineRule="auto" w:line="288" w:before="0" w:after="600"/>
        <w:jc w:val="center"/>
        <w:rPr>
          <w:rFonts w:ascii="Times New Roman;sans-serif" w:hAnsi="Times New Roman;sans-serif"/>
          <w:b w:val="false"/>
          <w:color w:val="000000"/>
          <w:sz w:val="24"/>
        </w:rPr>
      </w:pPr>
      <w:r>
        <w:rPr>
          <w:rFonts w:ascii="Times New Roman;sans-serif" w:hAnsi="Times New Roman;sans-serif"/>
          <w:b w:val="false"/>
          <w:color w:val="000000"/>
          <w:sz w:val="24"/>
        </w:rPr>
        <w:t>EXHIBIT A</w:t>
      </w:r>
    </w:p>
    <w:p>
      <w:pPr>
        <w:pStyle w:val="TextBody"/>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AMERICAN DEPOSITARY SHARES</w:t>
      </w:r>
    </w:p>
    <w:p>
      <w:pPr>
        <w:pStyle w:val="TextBody"/>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(Each American Depositary Share represents </w:t>
      </w:r>
    </w:p>
    <w:p>
      <w:pPr>
        <w:pStyle w:val="TextBody"/>
        <w:spacing w:lineRule="auto" w:line="288" w:before="0" w:after="600"/>
        <w:jc w:val="both"/>
        <w:rPr>
          <w:rFonts w:ascii="Times New Roman;sans-serif" w:hAnsi="Times New Roman;sans-serif"/>
          <w:b w:val="false"/>
          <w:color w:val="000000"/>
          <w:sz w:val="24"/>
        </w:rPr>
      </w:pPr>
      <w:r>
        <w:rPr>
          <w:rFonts w:ascii="Times New Roman;sans-serif" w:hAnsi="Times New Roman;sans-serif"/>
          <w:b w:val="false"/>
          <w:color w:val="000000"/>
          <w:sz w:val="24"/>
        </w:rPr>
        <w:t>Four deposited Shares)</w:t>
      </w:r>
    </w:p>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THE BANK OF NEW YORK MELLON</w:t>
      </w:r>
    </w:p>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AMERICAN DEPOSITARY RECEIPT</w:t>
      </w:r>
    </w:p>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FOR CLASS A ORDINARY SHARES OF</w:t>
      </w:r>
    </w:p>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AGORA, INC.</w:t>
      </w:r>
    </w:p>
    <w:p>
      <w:pPr>
        <w:pStyle w:val="TextBody"/>
        <w:spacing w:lineRule="auto" w:line="288" w:before="0" w:after="480"/>
        <w:jc w:val="center"/>
        <w:rPr>
          <w:rFonts w:ascii="Times New Roman;sans-serif" w:hAnsi="Times New Roman;sans-serif"/>
          <w:b w:val="false"/>
          <w:color w:val="000000"/>
          <w:sz w:val="24"/>
        </w:rPr>
      </w:pPr>
      <w:r>
        <w:rPr>
          <w:rFonts w:ascii="Times New Roman;sans-serif" w:hAnsi="Times New Roman;sans-serif"/>
          <w:b w:val="false"/>
          <w:color w:val="000000"/>
          <w:sz w:val="24"/>
        </w:rPr>
        <w:t>(INCORPORATED UNDER THE LAWS OF THE CAYMAN ISLANDS)</w:t>
      </w:r>
    </w:p>
    <w:p>
      <w:pPr>
        <w:pStyle w:val="TextBody"/>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The Bank of New York Mellon, as depositary (hereinafter called the “Depositary”), hereby certifies that_________________________________________, or registered assigns IS THE OWNER OF _____________________________</w:t>
      </w:r>
    </w:p>
    <w:p>
      <w:pPr>
        <w:pStyle w:val="TextBody"/>
        <w:spacing w:lineRule="auto" w:line="288" w:before="0" w:after="360"/>
        <w:jc w:val="center"/>
        <w:rPr>
          <w:rFonts w:ascii="Times New Roman;sans-serif" w:hAnsi="Times New Roman;sans-serif"/>
          <w:b w:val="false"/>
          <w:color w:val="000000"/>
          <w:sz w:val="24"/>
        </w:rPr>
      </w:pPr>
      <w:r>
        <w:rPr>
          <w:rFonts w:ascii="Times New Roman;sans-serif" w:hAnsi="Times New Roman;sans-serif"/>
          <w:b w:val="false"/>
          <w:color w:val="000000"/>
          <w:sz w:val="24"/>
        </w:rPr>
        <w:t>AMERICAN DEPOSITARY SHARES</w:t>
      </w:r>
    </w:p>
    <w:p>
      <w:pPr>
        <w:pStyle w:val="TextBody"/>
        <w:spacing w:lineRule="auto" w:line="288" w:before="0" w:after="360"/>
        <w:jc w:val="both"/>
        <w:rPr/>
      </w:pPr>
      <w:r>
        <w:rPr>
          <w:rFonts w:ascii="Times New Roman;sans-serif" w:hAnsi="Times New Roman;sans-serif"/>
          <w:b w:val="false"/>
          <w:color w:val="000000"/>
          <w:sz w:val="24"/>
        </w:rPr>
        <w:t>representing deposited Class A ordinary shares (herein called “Shares”) of Agora, Inc., incorporated under the laws of the Cayman Islands (herein called the “</w:t>
      </w:r>
      <w:r>
        <w:rPr>
          <w:rFonts w:ascii="Times New Roman;sans-serif" w:hAnsi="Times New Roman;sans-serif"/>
          <w:b w:val="false"/>
          <w:color w:val="000000"/>
          <w:sz w:val="24"/>
          <w:u w:val="single"/>
        </w:rPr>
        <w:t>Company</w:t>
      </w:r>
      <w:r>
        <w:rPr>
          <w:color w:val="000000"/>
        </w:rPr>
        <w:t>”</w:t>
      </w:r>
      <w:r>
        <w:rPr>
          <w:rFonts w:ascii="Times New Roman;sans-serif" w:hAnsi="Times New Roman;sans-serif"/>
          <w:b w:val="false"/>
          <w:color w:val="000000"/>
          <w:sz w:val="24"/>
        </w:rPr>
        <w:t>). At the date hereof, each American Depositary Share represents four Shares deposited or subject to deposit under the Deposit Agreement (as such term is hereinafter defined) with a custodian for the Depositary (herein called the “</w:t>
      </w:r>
      <w:r>
        <w:rPr>
          <w:rFonts w:ascii="Times New Roman;sans-serif" w:hAnsi="Times New Roman;sans-serif"/>
          <w:b w:val="false"/>
          <w:color w:val="000000"/>
          <w:sz w:val="24"/>
          <w:u w:val="single"/>
        </w:rPr>
        <w:t>Custodian</w:t>
      </w:r>
      <w:r>
        <w:rPr>
          <w:color w:val="000000"/>
        </w:rPr>
        <w:t>”</w:t>
      </w:r>
      <w:r>
        <w:rPr>
          <w:rFonts w:ascii="Times New Roman;sans-serif" w:hAnsi="Times New Roman;sans-serif"/>
          <w:b w:val="false"/>
          <w:color w:val="000000"/>
          <w:sz w:val="24"/>
        </w:rPr>
        <w:t>) that, as of the date of the Deposit Agreement, was The Hongkong and Shanghai Banking Corporation Limited located in Hong Kong. The Depositary’s Office and its principal executive office are located at 240 Greenwich Street, New York, N.Y. 10286.</w:t>
      </w:r>
    </w:p>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xml:space="preserve">THE DEPOSITARY’S OFFICE ADDRESS IS </w:t>
      </w:r>
    </w:p>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240 GREENWICH STREET, NEW YORK, N.Y. 10286</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120" w:after="240"/>
        <w:jc w:val="center"/>
        <w:rPr/>
      </w:pPr>
      <w:r>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6480175" cy="327660"/>
                <wp:effectExtent l="0" t="0" r="0" b="0"/>
                <wp:wrapNone/>
                <wp:docPr id="281" name="Frame279"/>
                <a:graphic xmlns:a="http://schemas.openxmlformats.org/drawingml/2006/main">
                  <a:graphicData uri="http://schemas.microsoft.com/office/word/2010/wordprocessingShape">
                    <wps:wsp>
                      <wps:cNvSpPr txBox="1"/>
                      <wps:spPr>
                        <a:xfrm>
                          <a:off x="0" y="0"/>
                          <a:ext cx="6480175" cy="327660"/>
                        </a:xfrm>
                        <a:prstGeom prst="rect"/>
                      </wps:spPr>
                      <wps:txbx>
                        <w:txbxContent>
                          <w:p>
                            <w:pPr>
                              <w:pStyle w:val="TextBody"/>
                              <w:spacing w:lineRule="auto" w:line="288" w:before="24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A-1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spacing w:lineRule="auto" w:line="288" w:before="24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A-1</w:t>
                      </w:r>
                    </w:p>
                  </w:txbxContent>
                </v:textbox>
              </v:rect>
            </w:pict>
          </mc:Fallback>
        </mc:AlternateContent>
      </w:r>
    </w:p>
    <w:p>
      <w:pPr>
        <w:pStyle w:val="TextBody"/>
        <w:spacing w:lineRule="auto" w:line="288" w:before="0" w:after="240"/>
        <w:ind w:left="0" w:right="0" w:hanging="318"/>
        <w:jc w:val="both"/>
        <w:rPr/>
      </w:pPr>
      <w:r>
        <w:rPr>
          <w:rFonts w:ascii="Times New Roman;sans-serif" w:hAnsi="Times New Roman;sans-serif"/>
          <w:b w:val="false"/>
          <w:color w:val="000000"/>
          <w:sz w:val="24"/>
        </w:rPr>
        <w:t>1.</w:t>
      </w:r>
      <w:r>
        <w:rPr>
          <w:color w:val="000000"/>
        </w:rPr>
        <w:t>    </w:t>
      </w:r>
      <w:r>
        <w:rPr>
          <w:rFonts w:ascii="Times New Roman;sans-serif" w:hAnsi="Times New Roman;sans-serif"/>
          <w:b w:val="false"/>
          <w:color w:val="000000"/>
          <w:sz w:val="24"/>
        </w:rPr>
        <w:t>THE DEPOSIT AGREEMENT.</w:t>
      </w:r>
    </w:p>
    <w:p>
      <w:pPr>
        <w:pStyle w:val="TextBody"/>
        <w:spacing w:lineRule="auto" w:line="288" w:before="0" w:after="240"/>
        <w:ind w:left="0" w:right="0" w:firstLine="720"/>
        <w:jc w:val="both"/>
        <w:rPr/>
      </w:pPr>
      <w:r>
        <w:rPr>
          <w:rFonts w:ascii="Times New Roman;sans-serif" w:hAnsi="Times New Roman;sans-serif"/>
          <w:b w:val="false"/>
          <w:color w:val="000000"/>
          <w:sz w:val="24"/>
        </w:rPr>
        <w:t>This American Depositary Receipt is one of an issue (herein called “</w:t>
      </w:r>
      <w:r>
        <w:rPr>
          <w:rFonts w:ascii="Times New Roman;sans-serif" w:hAnsi="Times New Roman;sans-serif"/>
          <w:b w:val="false"/>
          <w:color w:val="000000"/>
          <w:sz w:val="24"/>
          <w:u w:val="single"/>
        </w:rPr>
        <w:t>Receipts</w:t>
      </w:r>
      <w:r>
        <w:rPr>
          <w:color w:val="000000"/>
        </w:rPr>
        <w:t>”</w:t>
      </w:r>
      <w:r>
        <w:rPr>
          <w:rFonts w:ascii="Times New Roman;sans-serif" w:hAnsi="Times New Roman;sans-serif"/>
          <w:b w:val="false"/>
          <w:color w:val="000000"/>
          <w:sz w:val="24"/>
        </w:rPr>
        <w:t>), all issued and to be issued upon the terms and conditions set forth in the Deposit Agreement dated as of June 25, 2020 (herein called the “</w:t>
      </w:r>
      <w:r>
        <w:rPr>
          <w:rFonts w:ascii="Times New Roman;sans-serif" w:hAnsi="Times New Roman;sans-serif"/>
          <w:b w:val="false"/>
          <w:color w:val="000000"/>
          <w:sz w:val="24"/>
          <w:u w:val="single"/>
        </w:rPr>
        <w:t>Deposit Agreement</w:t>
      </w:r>
      <w:r>
        <w:rPr>
          <w:color w:val="000000"/>
        </w:rPr>
        <w:t>”</w:t>
      </w:r>
      <w:r>
        <w:rPr>
          <w:rFonts w:ascii="Times New Roman;sans-serif" w:hAnsi="Times New Roman;sans-serif"/>
          <w:b w:val="false"/>
          <w:color w:val="000000"/>
          <w:sz w:val="24"/>
        </w:rPr>
        <w:t>) among the Company, the Depositary, and all Owners and Holders from time to time of American Depositary Shares issued thereunder, each of whom by accepting American Depositary Shares agrees to become a party thereto and become bound by all the terms and conditions thereof. The Deposit Agreement sets forth the rights of Owners and Holders and the rights and duties of the Depositary in respect of the Shares deposited thereunder and any and all other securities, property and cash from time to time received in respect of those Shares and held thereunder (those Shares, securities, property, and cash are herein called “</w:t>
      </w:r>
      <w:r>
        <w:rPr>
          <w:rFonts w:ascii="Times New Roman;sans-serif" w:hAnsi="Times New Roman;sans-serif"/>
          <w:b w:val="false"/>
          <w:color w:val="000000"/>
          <w:sz w:val="24"/>
          <w:u w:val="single"/>
        </w:rPr>
        <w:t>Deposited Securities</w:t>
      </w:r>
      <w:r>
        <w:rPr>
          <w:color w:val="000000"/>
        </w:rPr>
        <w:t>”</w:t>
      </w:r>
      <w:r>
        <w:rPr>
          <w:rFonts w:ascii="Times New Roman;sans-serif" w:hAnsi="Times New Roman;sans-serif"/>
          <w:b w:val="false"/>
          <w:color w:val="000000"/>
          <w:sz w:val="24"/>
        </w:rPr>
        <w:t>). Copies of the Deposit Agreement are on file at the Depositary’s Office in New York City and at the office of the Custodian.</w:t>
      </w:r>
    </w:p>
    <w:p>
      <w:pPr>
        <w:pStyle w:val="TextBody"/>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statements made on the face and reverse of this Receipt are summaries of certain provisions of the Deposit Agreement and are qualified by and subject to the detailed provisions of the Deposit Agreement, to which reference is hereby made. Capitalized terms defined in the Deposit Agreement and not defined herein shall have the meanings set forth in the Deposit Agreement.</w:t>
      </w:r>
    </w:p>
    <w:p>
      <w:pPr>
        <w:pStyle w:val="TextBody"/>
        <w:spacing w:lineRule="auto" w:line="288" w:before="0" w:after="240"/>
        <w:ind w:left="0" w:right="0" w:hanging="318"/>
        <w:jc w:val="both"/>
        <w:rPr/>
      </w:pPr>
      <w:r>
        <w:rPr>
          <w:rFonts w:ascii="Times New Roman;sans-serif" w:hAnsi="Times New Roman;sans-serif"/>
          <w:b w:val="false"/>
          <w:color w:val="000000"/>
          <w:sz w:val="24"/>
        </w:rPr>
        <w:t>2.</w:t>
      </w:r>
      <w:r>
        <w:rPr>
          <w:color w:val="000000"/>
        </w:rPr>
        <w:t>    </w:t>
      </w:r>
      <w:r>
        <w:rPr>
          <w:rFonts w:ascii="Times New Roman;sans-serif" w:hAnsi="Times New Roman;sans-serif"/>
          <w:b w:val="false"/>
          <w:color w:val="000000"/>
          <w:sz w:val="24"/>
        </w:rPr>
        <w:t>SURRENDER OF AMERICAN DEPOSITARY SHARES AND WITHDRAWAL OF SHARES.</w:t>
      </w:r>
    </w:p>
    <w:p>
      <w:pPr>
        <w:pStyle w:val="TextBody"/>
        <w:spacing w:lineRule="auto" w:line="288" w:before="0" w:after="240"/>
        <w:ind w:left="0" w:right="0" w:firstLine="720"/>
        <w:jc w:val="both"/>
        <w:rPr/>
      </w:pPr>
      <w:r>
        <w:rPr>
          <w:rFonts w:ascii="Times New Roman;sans-serif" w:hAnsi="Times New Roman;sans-serif"/>
          <w:b w:val="false"/>
          <w:color w:val="000000"/>
          <w:sz w:val="24"/>
        </w:rPr>
        <w:t xml:space="preserve">Upon surrender of American Depositary Shares for the purpose of withdrawal of the Deposited Securities represented thereby and payment of the fee of the Depositary for the surrender of American Depositary Shares as provided in Section 5.9 of the Deposit Agreement and payment of all taxes and governmental charges payable in connection with that surrender and withdrawal of the Deposited Securities, and subject to the terms and conditions of the Deposit Agreement, the Owner of those American Depositary Shares shall be entitled to delivery (to the extent delivery can then be lawfully and practicably made), to or as instructed by that Owner, of the amount of Deposited Securities at the time represented by those American Depositary Shares, </w:t>
      </w:r>
      <w:r>
        <w:rPr>
          <w:rFonts w:ascii="Times New Roman;sans-serif" w:hAnsi="Times New Roman;sans-serif"/>
          <w:b w:val="false"/>
          <w:color w:val="000000"/>
          <w:sz w:val="24"/>
          <w:u w:val="single"/>
        </w:rPr>
        <w:t>but not</w:t>
      </w:r>
      <w:r>
        <w:rPr>
          <w:color w:val="000000"/>
        </w:rPr>
        <w:t xml:space="preserve"> </w:t>
      </w:r>
      <w:r>
        <w:rPr>
          <w:rFonts w:ascii="Times New Roman;sans-serif" w:hAnsi="Times New Roman;sans-serif"/>
          <w:b w:val="false"/>
          <w:color w:val="000000"/>
          <w:sz w:val="24"/>
        </w:rPr>
        <w:t xml:space="preserve">any money or other property as to which a record date for distribution to Owners has passed (since money or other property of that kind will be delivered or paid on the scheduled payment date to the Owner as of that record date), </w:t>
      </w:r>
      <w:r>
        <w:rPr>
          <w:rFonts w:ascii="Times New Roman;sans-serif" w:hAnsi="Times New Roman;sans-serif"/>
          <w:b w:val="false"/>
          <w:color w:val="000000"/>
          <w:sz w:val="24"/>
          <w:u w:val="single"/>
        </w:rPr>
        <w:t>and except that</w:t>
      </w:r>
      <w:r>
        <w:rPr>
          <w:color w:val="000000"/>
        </w:rPr>
        <w:t xml:space="preserve"> </w:t>
      </w:r>
      <w:r>
        <w:rPr>
          <w:rFonts w:ascii="Times New Roman;sans-serif" w:hAnsi="Times New Roman;sans-serif"/>
          <w:b w:val="false"/>
          <w:color w:val="000000"/>
          <w:sz w:val="24"/>
        </w:rPr>
        <w:t xml:space="preserve">the Depositary shall not be required to accept surrender of American Depositary Shares for the purpose of withdrawal to the extent it would require delivery of a fraction of a Deposited Security. The Depositary shall direct the Custodian with respect to delivery of Deposited Securities and may charge the surrendering Owner a fee and its expenses for giving that direction by cable (including SWIFT) or facsimile transmission. If Deposited Securities are delivered physically upon surrender of American Depositary Shares for the purpose of withdrawal, that delivery will be made at the Custodian’s office, </w:t>
      </w:r>
      <w:r>
        <w:rPr>
          <w:rFonts w:ascii="Times New Roman;sans-serif" w:hAnsi="Times New Roman;sans-serif"/>
          <w:b w:val="false"/>
          <w:color w:val="000000"/>
          <w:sz w:val="24"/>
          <w:u w:val="single"/>
        </w:rPr>
        <w:t>except that</w:t>
      </w:r>
      <w:r>
        <w:rPr>
          <w:rFonts w:ascii="Times New Roman;sans-serif" w:hAnsi="Times New Roman;sans-serif"/>
          <w:b w:val="false"/>
          <w:color w:val="000000"/>
          <w:sz w:val="24"/>
        </w:rPr>
        <w:t xml:space="preserve">, at the request, risk and </w:t>
      </w:r>
      <w:r>
        <w:br w:type="page"/>
      </w:r>
    </w:p>
    <w:p>
      <w:pPr>
        <w:pStyle w:val="TextBody"/>
        <w:spacing w:before="120" w:after="240"/>
        <w:jc w:val="center"/>
        <w:rPr/>
      </w:pPr>
      <w:r>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6480175" cy="327660"/>
                <wp:effectExtent l="0" t="0" r="0" b="0"/>
                <wp:wrapNone/>
                <wp:docPr id="282" name="Frame280"/>
                <a:graphic xmlns:a="http://schemas.openxmlformats.org/drawingml/2006/main">
                  <a:graphicData uri="http://schemas.microsoft.com/office/word/2010/wordprocessingShape">
                    <wps:wsp>
                      <wps:cNvSpPr txBox="1"/>
                      <wps:spPr>
                        <a:xfrm>
                          <a:off x="0" y="0"/>
                          <a:ext cx="6480175" cy="327660"/>
                        </a:xfrm>
                        <a:prstGeom prst="rect"/>
                      </wps:spPr>
                      <wps:txbx>
                        <w:txbxContent>
                          <w:p>
                            <w:pPr>
                              <w:pStyle w:val="TextBody"/>
                              <w:spacing w:lineRule="auto" w:line="288" w:before="24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A-2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spacing w:lineRule="auto" w:line="288" w:before="24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A-2</w:t>
                      </w:r>
                    </w:p>
                  </w:txbxContent>
                </v:textbox>
              </v:rect>
            </w:pict>
          </mc:Fallback>
        </mc:AlternateContent>
      </w:r>
    </w:p>
    <w:p>
      <w:pPr>
        <w:pStyle w:val="TextBody"/>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expense of the surrendering Owner, and for the account of that Owner, the Depositary shall direct the Custodian to forward any cash or other property comprising, and forward a certificate or certificates, if applicable, and other proper documents of title, if any, for, the Deposited Securities represented by the surrendered American Depositary Shares to the Depositary for delivery at the Depositary’s Office or to another address specified in the order received from the surrendering Owner.</w:t>
      </w:r>
    </w:p>
    <w:p>
      <w:pPr>
        <w:pStyle w:val="TextBody"/>
        <w:spacing w:lineRule="auto" w:line="288" w:before="0" w:after="240"/>
        <w:ind w:left="0" w:right="0" w:hanging="318"/>
        <w:jc w:val="both"/>
        <w:rPr/>
      </w:pPr>
      <w:r>
        <w:rPr>
          <w:rFonts w:ascii="Times New Roman;sans-serif" w:hAnsi="Times New Roman;sans-serif"/>
          <w:b w:val="false"/>
          <w:color w:val="000000"/>
          <w:sz w:val="24"/>
        </w:rPr>
        <w:t>3.</w:t>
      </w:r>
      <w:r>
        <w:rPr>
          <w:color w:val="000000"/>
        </w:rPr>
        <w:t>    </w:t>
      </w:r>
      <w:r>
        <w:rPr>
          <w:rFonts w:ascii="Times New Roman;sans-serif" w:hAnsi="Times New Roman;sans-serif"/>
          <w:b w:val="false"/>
          <w:color w:val="000000"/>
          <w:sz w:val="24"/>
        </w:rPr>
        <w:t>REGISTRATION OF TRANSFER OF AMERICAN DEPOSITARY SHARES; COMBINATION AND SPLIT-UP OF RECEIPTS; INTERCHANGE OF CERTIFICATED AND UNCERTIFICATED AMERICAN DEPOSITARY SHARES.</w:t>
      </w:r>
    </w:p>
    <w:p>
      <w:pPr>
        <w:pStyle w:val="TextBody"/>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The Depositary, subject to the terms and conditions of the Deposit Agreement, shall register a transfer of American Depositary Shares on its transfer books upon (i) in the case of certificated American Depositary Shares, surrender of the Receipt evidencing those American Depositary Shares, by the Owner or by a duly authorized attorney, properly endorsed or accompanied by proper instruments of transfer or (ii) in the case of uncertificated American Depositary Shares, receipt from the Owner of a proper instruction (including, for the avoidance of doubt, instructions through DRS and Profile as provided in Section 2.9 of the Deposit Agreement), and, in either case, duly stamped as may be required by the laws of the State of New York and of the United States of America. Upon registration of a transfer, the Depositary shall deliver the transferred American Depositary Shares to or upon the order of the person entitled thereto. </w:t>
      </w:r>
    </w:p>
    <w:p>
      <w:pPr>
        <w:pStyle w:val="TextBody"/>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Depositary, subject to the terms and conditions of the Deposit Agreement, shall upon surrender of a Receipt or Receipts for the purpose of effecting a split-up or combination of such Receipt or Receipts, execute and deliver a new Receipt or Receipts for any authorized number of American Depositary Shares requested, evidencing the same aggregate number of American Depositary Shares as the Receipt or Receipts surrendered.</w:t>
      </w:r>
    </w:p>
    <w:p>
      <w:pPr>
        <w:pStyle w:val="TextBody"/>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Depositary, upon surrender of certificated American Depositary Shares for the purpose of exchanging for uncertificated American Depositary Shares, shall cancel the Receipt evidencing those certificated American Depositary Shares and send the Owner a statement confirming that the Owner is the owner of the same number of uncertificated American Depositary Shares. The Depositary, upon receipt of a proper instruction (including, for the avoidance of doubt, instructions through DRS and Profile as provided in Section 2.9 of the Deposit Agreement) from the Owner of uncertificated American Depositary Shares for the purpose of exchanging for certificated American Depositary Shares, shall cancel those uncertificated American Depositary Shares and register and deliver to the Owner a Receipt evidencing the same number of certificated American Depositary Shares.</w:t>
      </w:r>
      <w:r>
        <w:br w:type="page"/>
      </w:r>
    </w:p>
    <w:p>
      <w:pPr>
        <w:pStyle w:val="TextBody"/>
        <w:spacing w:before="120" w:after="240"/>
        <w:jc w:val="center"/>
        <w:rPr/>
      </w:pPr>
      <w:r>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6480175" cy="327660"/>
                <wp:effectExtent l="0" t="0" r="0" b="0"/>
                <wp:wrapNone/>
                <wp:docPr id="283" name="Frame281"/>
                <a:graphic xmlns:a="http://schemas.openxmlformats.org/drawingml/2006/main">
                  <a:graphicData uri="http://schemas.microsoft.com/office/word/2010/wordprocessingShape">
                    <wps:wsp>
                      <wps:cNvSpPr txBox="1"/>
                      <wps:spPr>
                        <a:xfrm>
                          <a:off x="0" y="0"/>
                          <a:ext cx="6480175" cy="327660"/>
                        </a:xfrm>
                        <a:prstGeom prst="rect"/>
                      </wps:spPr>
                      <wps:txbx>
                        <w:txbxContent>
                          <w:p>
                            <w:pPr>
                              <w:pStyle w:val="TextBody"/>
                              <w:spacing w:lineRule="auto" w:line="288" w:before="24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A-3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spacing w:lineRule="auto" w:line="288" w:before="24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A-3</w:t>
                      </w:r>
                    </w:p>
                  </w:txbxContent>
                </v:textbox>
              </v:rect>
            </w:pict>
          </mc:Fallback>
        </mc:AlternateContent>
      </w:r>
    </w:p>
    <w:p>
      <w:pPr>
        <w:pStyle w:val="TextBody"/>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As a condition precedent to the delivery, registration of transfer, or surrender of any American Depositary Shares or split-up or combination of any Receipt or withdrawal of any Deposited Securities, the Depositary, the Custodian, or Registrar may require payment from the depositor of the Shares or the presenter of the Receipt or instruction for registration of transfer or surrender of American Depositary Shares not evidenced by a Receipt of a sum sufficient to reimburse it for any tax or other governmental charge and any stock transfer or registration fee with respect thereto (including any such tax or charge and fee with respect to Shares being deposited or withdrawn) and payment of any applicable fees as provided in the Deposit Agreement, may require the production of proof satisfactory to it as to the identity and genuineness of any signature and may also require compliance with any regulations the Depositary may establish consistent with the provisions of the Deposit Agreement.</w:t>
      </w:r>
    </w:p>
    <w:p>
      <w:pPr>
        <w:pStyle w:val="TextBody"/>
        <w:spacing w:lineRule="auto" w:line="288" w:before="0" w:after="240"/>
        <w:ind w:left="0" w:right="0" w:firstLine="720"/>
        <w:jc w:val="both"/>
        <w:rPr/>
      </w:pPr>
      <w:r>
        <w:rPr>
          <w:rFonts w:ascii="Times New Roman;sans-serif" w:hAnsi="Times New Roman;sans-serif"/>
          <w:b w:val="false"/>
          <w:color w:val="000000"/>
          <w:sz w:val="24"/>
        </w:rPr>
        <w:t xml:space="preserve">The Depositary may refuse to accept deposits of Shares for delivery of American Depositary Shares or to register transfers of American Depositary Shares in particular instances, or may suspend deposits of Shares or registration of transfer generally, whenever it or the Company considers it necessary or advisable to do so. The Depositary may refuse surrenders of American Depositary Shares for the purpose of withdrawal of Deposited Securities in particular instances, or may suspend surrenders for the purpose of withdrawal generally, </w:t>
      </w:r>
      <w:r>
        <w:rPr>
          <w:rFonts w:ascii="Times New Roman;sans-serif" w:hAnsi="Times New Roman;sans-serif"/>
          <w:b w:val="false"/>
          <w:color w:val="000000"/>
          <w:sz w:val="24"/>
          <w:u w:val="single"/>
        </w:rPr>
        <w:t>but, notwithstanding anything to the contrary in the Deposit Agreement, only for</w:t>
      </w:r>
      <w:r>
        <w:rPr>
          <w:color w:val="000000"/>
        </w:rPr>
        <w:t xml:space="preserve"> </w:t>
      </w:r>
      <w:r>
        <w:rPr>
          <w:rFonts w:ascii="Times New Roman;sans-serif" w:hAnsi="Times New Roman;sans-serif"/>
          <w:b w:val="false"/>
          <w:color w:val="000000"/>
          <w:sz w:val="24"/>
        </w:rPr>
        <w:t>(i) temporary delays caused by closing of the Depositary’s register or the register of holders of Shares maintained by the Company or the Foreign Registrar, or the deposit of Shares, in connection with voting at a shareholders’ meeting or the payment of dividends, (ii) the payment of fees, taxes and similar charges, (iii) compliance with any U.S. or foreign laws or governmental regulations relating to the American Depositary Shares or to the withdrawal of the Deposited Securities or (iv) any other reason that, at the time, is permitted under paragraph I(A)(1) of the General Instructions to Form F-6 under the Securities Act of 1993 or any successor to that provision.</w:t>
      </w:r>
    </w:p>
    <w:p>
      <w:pPr>
        <w:pStyle w:val="TextBody"/>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Depositary shall not knowingly accept for deposit under the Deposit Agreement any Shares that, at the time of deposit, are Restricted Securities.</w:t>
      </w:r>
    </w:p>
    <w:p>
      <w:pPr>
        <w:pStyle w:val="TextBody"/>
        <w:spacing w:lineRule="auto" w:line="288" w:before="0" w:after="240"/>
        <w:ind w:left="0" w:right="0" w:hanging="318"/>
        <w:jc w:val="both"/>
        <w:rPr/>
      </w:pPr>
      <w:r>
        <w:rPr>
          <w:rFonts w:ascii="Times New Roman;sans-serif" w:hAnsi="Times New Roman;sans-serif"/>
          <w:b w:val="false"/>
          <w:color w:val="000000"/>
          <w:sz w:val="24"/>
        </w:rPr>
        <w:t>4.</w:t>
      </w:r>
      <w:r>
        <w:rPr>
          <w:color w:val="000000"/>
        </w:rPr>
        <w:t>    </w:t>
      </w:r>
      <w:r>
        <w:rPr>
          <w:rFonts w:ascii="Times New Roman;sans-serif" w:hAnsi="Times New Roman;sans-serif"/>
          <w:b w:val="false"/>
          <w:color w:val="000000"/>
          <w:sz w:val="24"/>
        </w:rPr>
        <w:t>LIABILITY OF OWNER FOR TAXES.</w:t>
      </w:r>
    </w:p>
    <w:p>
      <w:pPr>
        <w:pStyle w:val="TextBody"/>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If any tax or other governmental charge shall become payable by the Custodian or the Depositary with respect to or in connection with any American Depositary Shares or any Deposited Securities represented by any American Depositary Shares or in connection with a transaction to which Section 4.8 of the Deposit Agreement applies, that tax or other governmental charge shall be payable by the Owner of those American Depositary Shares to the Depositary. The Depositary may refuse to register any transfer of those American Depositary Shares or any withdrawal of Deposited Securities represented by those American Depositary Shares until that payment is made, and may withhold any dividends or other distributions or the proceeds thereof, or may sell for the </w:t>
      </w:r>
      <w:r>
        <w:br w:type="page"/>
      </w:r>
    </w:p>
    <w:p>
      <w:pPr>
        <w:pStyle w:val="TextBody"/>
        <w:spacing w:before="120" w:after="240"/>
        <w:jc w:val="center"/>
        <w:rPr/>
      </w:pPr>
      <w:r>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6480175" cy="327660"/>
                <wp:effectExtent l="0" t="0" r="0" b="0"/>
                <wp:wrapNone/>
                <wp:docPr id="284" name="Frame282"/>
                <a:graphic xmlns:a="http://schemas.openxmlformats.org/drawingml/2006/main">
                  <a:graphicData uri="http://schemas.microsoft.com/office/word/2010/wordprocessingShape">
                    <wps:wsp>
                      <wps:cNvSpPr txBox="1"/>
                      <wps:spPr>
                        <a:xfrm>
                          <a:off x="0" y="0"/>
                          <a:ext cx="6480175" cy="327660"/>
                        </a:xfrm>
                        <a:prstGeom prst="rect"/>
                      </wps:spPr>
                      <wps:txbx>
                        <w:txbxContent>
                          <w:p>
                            <w:pPr>
                              <w:pStyle w:val="TextBody"/>
                              <w:spacing w:lineRule="auto" w:line="288" w:before="24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A-4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spacing w:lineRule="auto" w:line="288" w:before="24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A-4</w:t>
                      </w:r>
                    </w:p>
                  </w:txbxContent>
                </v:textbox>
              </v:rect>
            </w:pict>
          </mc:Fallback>
        </mc:AlternateContent>
      </w:r>
    </w:p>
    <w:p>
      <w:pPr>
        <w:pStyle w:val="TextBody"/>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account of the Owner any part or all of the Deposited Securities represented by those American Depositary Shares, and may apply those dividends or other distributions or the net proceeds of any sale of that kind in payment of that tax or other governmental charge but, even after a sale of that kind, the Owner shall remain liable for any deficiency. The Depositary shall distribute any net proceeds of a sale made under Section 3.2 of the Deposit Agreement that are not used to pay taxes or governmental charges to the Owners entitled to them in accordance with Section 4.1 of the Deposit Agreement. If the number of Shares represented by each American Depositary Share decreases as a result of a sale of Deposited Securities under Section 3.2 of the Deposit Agreement, the Depositary may call for surrender of the American Depositary Shares to be exchanged on a mandatory basis for a lesser number of American Depositary Shares and may sell American Depositary Shares to the extent necessary to avoid distributing fractions of American Depositary Shares in that exchange and distribute the net proceeds of that sale to the Owners entitled to them.</w:t>
      </w:r>
    </w:p>
    <w:p>
      <w:pPr>
        <w:pStyle w:val="TextBody"/>
        <w:spacing w:lineRule="auto" w:line="288" w:before="0" w:after="240"/>
        <w:ind w:left="0" w:right="0" w:hanging="318"/>
        <w:jc w:val="both"/>
        <w:rPr/>
      </w:pPr>
      <w:r>
        <w:rPr>
          <w:rFonts w:ascii="Times New Roman;sans-serif" w:hAnsi="Times New Roman;sans-serif"/>
          <w:b w:val="false"/>
          <w:color w:val="000000"/>
          <w:sz w:val="24"/>
        </w:rPr>
        <w:t>5.</w:t>
      </w:r>
      <w:r>
        <w:rPr>
          <w:color w:val="000000"/>
        </w:rPr>
        <w:t>    </w:t>
      </w:r>
      <w:r>
        <w:rPr>
          <w:rFonts w:ascii="Times New Roman;sans-serif" w:hAnsi="Times New Roman;sans-serif"/>
          <w:b w:val="false"/>
          <w:color w:val="000000"/>
          <w:sz w:val="24"/>
        </w:rPr>
        <w:t>WARRANTIES ON DEPOSIT OF SHARES.</w:t>
      </w:r>
    </w:p>
    <w:p>
      <w:pPr>
        <w:pStyle w:val="TextBody"/>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Every person depositing Shares under the Deposit Agreement shall be deemed thereby to represent and warrant that those Shares and each certificate therefor, if applicable, are validly issued, fully paid and nonassessable and were not issued in violation of any preemptive or similar rights of the holders of outstanding securities of the Company and that the person making that deposit is duly authorized so to do. Every depositing person shall also be deemed to represent that the Shares, at the time of deposit, are not Restricted Securities. All representations and warranties deemed made under Section 3.3 of the Deposit Agreement shall survive the deposit of Shares and delivery of American Depositary Shares.</w:t>
      </w:r>
    </w:p>
    <w:p>
      <w:pPr>
        <w:pStyle w:val="TextBody"/>
        <w:spacing w:lineRule="auto" w:line="288" w:before="0" w:after="240"/>
        <w:ind w:left="0" w:right="0" w:hanging="318"/>
        <w:jc w:val="both"/>
        <w:rPr/>
      </w:pPr>
      <w:r>
        <w:rPr>
          <w:rFonts w:ascii="Times New Roman;sans-serif" w:hAnsi="Times New Roman;sans-serif"/>
          <w:b w:val="false"/>
          <w:color w:val="000000"/>
          <w:sz w:val="24"/>
        </w:rPr>
        <w:t>6.</w:t>
      </w:r>
      <w:r>
        <w:rPr>
          <w:color w:val="000000"/>
        </w:rPr>
        <w:t>    </w:t>
      </w:r>
      <w:r>
        <w:rPr>
          <w:rFonts w:ascii="Times New Roman;sans-serif" w:hAnsi="Times New Roman;sans-serif"/>
          <w:b w:val="false"/>
          <w:color w:val="000000"/>
          <w:sz w:val="24"/>
        </w:rPr>
        <w:t>FILING PROOFS, CERTIFICATES, AND OTHER INFORMATION.</w:t>
      </w:r>
    </w:p>
    <w:p>
      <w:pPr>
        <w:pStyle w:val="TextBody"/>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Any person presenting Shares for deposit or any Owner or Holder may be required from time to time to file with the Depositary or the Custodian such proof of citizenship or residence, exchange control approval, or such information relating to the registration on the books of the Company or the Foreign Registrar, if applicable, to execute such certificates and to make such representations and warranties, as the Depositary may reasonably deem necessary or proper, or as the Company may reasonably require by written request to the Depositary. The Depositary may withhold the delivery or registration of transfer of any American Depositary Shares, the distribution of any dividend or other distribution or of the proceeds thereof or the delivery of any Deposited Securities until that proof or other information is filed or those certificates are executed or those representations and warranties are made. The Depositary shall provide the Company, upon the Company’s written request and at the Company’s expense, as promptly as practicable, with copies of any information or other materials which the Depositary receives pursuant to Section 3.1 of the Deposit Agreement, to the extent that </w:t>
      </w:r>
      <w:r>
        <w:br w:type="page"/>
      </w:r>
    </w:p>
    <w:p>
      <w:pPr>
        <w:pStyle w:val="TextBody"/>
        <w:spacing w:before="120" w:after="240"/>
        <w:jc w:val="center"/>
        <w:rPr/>
      </w:pPr>
      <w:r>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6480175" cy="327660"/>
                <wp:effectExtent l="0" t="0" r="0" b="0"/>
                <wp:wrapNone/>
                <wp:docPr id="285" name="Frame283"/>
                <a:graphic xmlns:a="http://schemas.openxmlformats.org/drawingml/2006/main">
                  <a:graphicData uri="http://schemas.microsoft.com/office/word/2010/wordprocessingShape">
                    <wps:wsp>
                      <wps:cNvSpPr txBox="1"/>
                      <wps:spPr>
                        <a:xfrm>
                          <a:off x="0" y="0"/>
                          <a:ext cx="6480175" cy="327660"/>
                        </a:xfrm>
                        <a:prstGeom prst="rect"/>
                      </wps:spPr>
                      <wps:txbx>
                        <w:txbxContent>
                          <w:p>
                            <w:pPr>
                              <w:pStyle w:val="TextBody"/>
                              <w:spacing w:lineRule="auto" w:line="288" w:before="24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A-5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spacing w:lineRule="auto" w:line="288" w:before="24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A-5</w:t>
                      </w:r>
                    </w:p>
                  </w:txbxContent>
                </v:textbox>
              </v:rect>
            </w:pict>
          </mc:Fallback>
        </mc:AlternateContent>
      </w:r>
    </w:p>
    <w:p>
      <w:pPr>
        <w:pStyle w:val="TextBody"/>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the requested disclosure is permitted under applicable law. As conditions of accepting Shares for deposit, the Depositary may require (i) any certification as may be reasonably required by the Depositary or the Custodian in accordance with the provisions of the Deposit Agreement, (ii) a written order directing the Depositary to deliver to, or upon the written order of, the person or persons stated in that order, the number of American Depositary Shares representing those Deposited Shares, (iii) evidence satisfactory to the Depositary that those Shares have been re-registered in the books of the Company or the Foreign Registrar in the name of the Depositary, a Custodian or a nominee of the Depositary or a Custodian, (iv) evidence satisfactory to the Depositary that any necessary approval for the transfer or deposit has been granted by any governmental body in each applicable jurisdiction and (v) an agreement or assignment, or other instrument satisfactory to the Depositary, that provides for the prompt transfer to the Custodian of any dividend, or right to subscribe for additional Shares or to receive other property, that any person in whose name those Shares are or have been recorded may thereafter receive upon or in respect of those Shares, or, in lieu thereof, such agreement of indemnity or other agreement as shall be satisfactory to the Depositary. The Depositary shall refuse, and shall instruct the Custodian to refuse, to accept Shares for deposit if the Depositary has received a notice from the Company that the Company has restricted transfer of those Shares under the Company’s articles of association or any applicable laws or that the deposit would result in any violation of the Company’s articles of association or any applicable laws.</w:t>
      </w:r>
    </w:p>
    <w:p>
      <w:pPr>
        <w:pStyle w:val="TextBody"/>
        <w:spacing w:lineRule="auto" w:line="288" w:before="0" w:after="240"/>
        <w:ind w:left="0" w:right="0" w:hanging="318"/>
        <w:jc w:val="both"/>
        <w:rPr/>
      </w:pPr>
      <w:r>
        <w:rPr>
          <w:rFonts w:ascii="Times New Roman;sans-serif" w:hAnsi="Times New Roman;sans-serif"/>
          <w:b w:val="false"/>
          <w:color w:val="000000"/>
          <w:sz w:val="24"/>
        </w:rPr>
        <w:t>7.</w:t>
      </w:r>
      <w:r>
        <w:rPr>
          <w:color w:val="000000"/>
        </w:rPr>
        <w:t>    </w:t>
      </w:r>
      <w:r>
        <w:rPr>
          <w:rFonts w:ascii="Times New Roman;sans-serif" w:hAnsi="Times New Roman;sans-serif"/>
          <w:b w:val="false"/>
          <w:color w:val="000000"/>
          <w:sz w:val="24"/>
        </w:rPr>
        <w:t>CHARGES OF DEPOSITARY.</w:t>
      </w:r>
    </w:p>
    <w:p>
      <w:pPr>
        <w:pStyle w:val="TextBody"/>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The following charges shall be incurred by any party depositing or withdrawing Shares or by any party surrendering American Depositary Shares or to whom American Depositary Shares are issued (including, without limitation, issuance pursuant to a stock dividend or stock split declared by the Company or an exchange of stock regarding the American Depositary Shares or Deposited Securities or a delivery of American Depositary Shares pursuant to Section 4.3 of the Deposit Agreement), or by Owners, as applicable: (1) taxes and other governmental charges, (2) such registration fees as may from time to time be in effect for the registration of transfers of Shares generally on the Share register of the Company or Foreign Registrar and applicable to transfers of Shares to or from the name of the Depositary or its nominee or the Custodian or its nominee on the making of deposits or withdrawals hereunder, (3) such cable (including SWIFT) and facsimile transmission fees and expenses as are expressly provided in the Deposit Agreement, (4) such expenses as are incurred by the Depositary in the conversion of foreign currency pursuant to Section 4.5 of the Deposit Agreement, (5) a fee of $5.00 or less per 100 American Depositary Shares (or portion thereof) for the delivery of American Depositary Shares pursuant to Section 2.3, 4.3 or 4.4 of the Deposit Agreement and the surrender of American Depositary Shares pursuant to Section 2.5 or 6.2 of the Deposit Agreement, (6) a fee of $.05 or less per American Depositary Share (or portion thereof) for any cash distribution made pursuant to the Deposit Agreement, including, but </w:t>
      </w:r>
      <w:r>
        <w:br w:type="page"/>
      </w:r>
    </w:p>
    <w:p>
      <w:pPr>
        <w:pStyle w:val="TextBody"/>
        <w:spacing w:before="120" w:after="240"/>
        <w:jc w:val="center"/>
        <w:rPr/>
      </w:pPr>
      <w:r>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6480175" cy="327660"/>
                <wp:effectExtent l="0" t="0" r="0" b="0"/>
                <wp:wrapNone/>
                <wp:docPr id="286" name="Frame284"/>
                <a:graphic xmlns:a="http://schemas.openxmlformats.org/drawingml/2006/main">
                  <a:graphicData uri="http://schemas.microsoft.com/office/word/2010/wordprocessingShape">
                    <wps:wsp>
                      <wps:cNvSpPr txBox="1"/>
                      <wps:spPr>
                        <a:xfrm>
                          <a:off x="0" y="0"/>
                          <a:ext cx="6480175" cy="327660"/>
                        </a:xfrm>
                        <a:prstGeom prst="rect"/>
                      </wps:spPr>
                      <wps:txbx>
                        <w:txbxContent>
                          <w:p>
                            <w:pPr>
                              <w:pStyle w:val="TextBody"/>
                              <w:spacing w:lineRule="auto" w:line="288" w:before="24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A-6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spacing w:lineRule="auto" w:line="288" w:before="24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A-6</w:t>
                      </w:r>
                    </w:p>
                  </w:txbxContent>
                </v:textbox>
              </v:rect>
            </w:pict>
          </mc:Fallback>
        </mc:AlternateContent>
      </w:r>
    </w:p>
    <w:p>
      <w:pPr>
        <w:pStyle w:val="TextBody"/>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not limited to Sections 4.1 through 4.4 and 4.8 of the Deposit Agreement, (7) a fee for the distribution of securities pursuant to Section 4.2 of the Deposit Agreement or of rights pursuant to Section 4.4 of the Deposit Agreement (where the Depositary will not exercise or sell those rights on behalf of Owners), such fee being in an amount equal to the fee for the execution and delivery of American Depositary Shares referred to above which would have been charged as a result of the deposit of such securities under the Deposit Agreement (for purposes of this item 7 treating all such securities as if they were Shares) but which securities are instead distributed by the Depositary to Owners, (8) in addition to any fee charged under item 6, a fee of $.05 or less per American Depositary Share (or portion thereof) per annum for depositary services, which will be payable as provided in item 9 below, and (9) any other charges payable by the Depositary or the Custodian, any of the Depositary’s or Custodian’s agents or the agents of the Depositary’s or Custodian’s agents, in connection with the servicing of Shares or other Deposited Securities (which charges shall be assessed against Owners as of the date or dates set by the Depositary in accordance with Section 4.6 of the Deposit Agreement and shall be payable at the sole discretion of the Depositary by billing those Owners for those charges or by deducting those charges from one or more cash dividends or other cash distributions).</w:t>
      </w:r>
    </w:p>
    <w:p>
      <w:pPr>
        <w:pStyle w:val="TextBody"/>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Depositary may collect any of its fees by deduction from any cash distribution payable, or by selling a portion of any securities to be distributed, to Owners that are obligated to pay those fees.</w:t>
      </w:r>
    </w:p>
    <w:p>
      <w:pPr>
        <w:pStyle w:val="TextBody"/>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Depositary may own and deal in any class of securities of the Company and its affiliates and in American Depositary Shares.</w:t>
      </w:r>
    </w:p>
    <w:p>
      <w:pPr>
        <w:pStyle w:val="TextBody"/>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From time to time, the Depositary may make payments to the Company to reimburse the Company for costs and expenses generally arising out of establishment and maintenance of the American Depositary Shares program, waive fees and expenses for services provided by the Depositary or share revenue from the fees collected from Owners or Holders. In performing its duties under the Deposit Agreement, the Depositary may use brokers, dealers, foreign currency dealers or other service providers that are owned by or affiliated with the Depositary and that may earn or share fees, spreads or commissions. </w:t>
      </w:r>
    </w:p>
    <w:p>
      <w:pPr>
        <w:pStyle w:val="TextBody"/>
        <w:spacing w:lineRule="auto" w:line="288" w:before="0" w:after="240"/>
        <w:ind w:left="0" w:right="0" w:hanging="318"/>
        <w:jc w:val="both"/>
        <w:rPr/>
      </w:pPr>
      <w:r>
        <w:rPr>
          <w:rFonts w:ascii="Times New Roman;sans-serif" w:hAnsi="Times New Roman;sans-serif"/>
          <w:b w:val="false"/>
          <w:color w:val="000000"/>
          <w:sz w:val="24"/>
        </w:rPr>
        <w:t>8.</w:t>
      </w:r>
      <w:r>
        <w:rPr>
          <w:color w:val="000000"/>
        </w:rPr>
        <w:t>    </w:t>
      </w:r>
      <w:r>
        <w:rPr>
          <w:rFonts w:ascii="Times New Roman;sans-serif" w:hAnsi="Times New Roman;sans-serif"/>
          <w:b w:val="false"/>
          <w:color w:val="000000"/>
          <w:sz w:val="24"/>
        </w:rPr>
        <w:t>DISCLOSURE OF INTERESTS.</w:t>
      </w:r>
    </w:p>
    <w:p>
      <w:pPr>
        <w:pStyle w:val="TextBody"/>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When required in order to comply with applicable laws and regulations or the articles of association or similar document of the Company, the Company may from time to time request each Owner and Holder to provide to the Depositary information relating to: (a) the capacity in which it holds American Depositary Shares, (b) the identity of any Holders or other persons or entities then or previously interested in those American Depositary Shares and the nature of those interests and (c) any other matter where disclosure of such matter is required for that compliance.  Each Owner and Holder agrees </w:t>
      </w:r>
      <w:r>
        <w:br w:type="page"/>
      </w:r>
    </w:p>
    <w:p>
      <w:pPr>
        <w:pStyle w:val="TextBody"/>
        <w:spacing w:before="120" w:after="240"/>
        <w:jc w:val="center"/>
        <w:rPr/>
      </w:pPr>
      <w:r>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6480175" cy="327660"/>
                <wp:effectExtent l="0" t="0" r="0" b="0"/>
                <wp:wrapNone/>
                <wp:docPr id="287" name="Frame285"/>
                <a:graphic xmlns:a="http://schemas.openxmlformats.org/drawingml/2006/main">
                  <a:graphicData uri="http://schemas.microsoft.com/office/word/2010/wordprocessingShape">
                    <wps:wsp>
                      <wps:cNvSpPr txBox="1"/>
                      <wps:spPr>
                        <a:xfrm>
                          <a:off x="0" y="0"/>
                          <a:ext cx="6480175" cy="327660"/>
                        </a:xfrm>
                        <a:prstGeom prst="rect"/>
                      </wps:spPr>
                      <wps:txbx>
                        <w:txbxContent>
                          <w:p>
                            <w:pPr>
                              <w:pStyle w:val="TextBody"/>
                              <w:spacing w:lineRule="auto" w:line="288" w:before="24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A-7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spacing w:lineRule="auto" w:line="288" w:before="24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A-7</w:t>
                      </w:r>
                    </w:p>
                  </w:txbxContent>
                </v:textbox>
              </v:rect>
            </w:pict>
          </mc:Fallback>
        </mc:AlternateContent>
      </w:r>
    </w:p>
    <w:p>
      <w:pPr>
        <w:pStyle w:val="TextBody"/>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to provide all information known to it in response to a request made pursuant to Section 3.4 of the Deposit Agreement.  Each Holder consents to the disclosure by the Depositary and the Owner or other Holder through which it holds American Depositary Shares, directly or indirectly, of all information responsive to a request made pursuant to that Section relating to that Holder that is known to that Owner or other Holder. </w:t>
      </w:r>
    </w:p>
    <w:p>
      <w:pPr>
        <w:pStyle w:val="TextBody"/>
        <w:spacing w:lineRule="auto" w:line="288" w:before="0" w:after="240"/>
        <w:ind w:left="0" w:right="0" w:hanging="318"/>
        <w:jc w:val="both"/>
        <w:rPr/>
      </w:pPr>
      <w:r>
        <w:rPr>
          <w:rFonts w:ascii="Times New Roman;sans-serif" w:hAnsi="Times New Roman;sans-serif"/>
          <w:b w:val="false"/>
          <w:color w:val="000000"/>
          <w:sz w:val="24"/>
        </w:rPr>
        <w:t>9.</w:t>
      </w:r>
      <w:r>
        <w:rPr>
          <w:color w:val="000000"/>
        </w:rPr>
        <w:t>    </w:t>
      </w:r>
      <w:r>
        <w:rPr>
          <w:rFonts w:ascii="Times New Roman;sans-serif" w:hAnsi="Times New Roman;sans-serif"/>
          <w:b w:val="false"/>
          <w:color w:val="000000"/>
          <w:sz w:val="24"/>
        </w:rPr>
        <w:t>TITLE TO AMERICAN DEPOSITARY SHARES.</w:t>
      </w:r>
    </w:p>
    <w:p>
      <w:pPr>
        <w:pStyle w:val="TextBody"/>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It is a condition of the American Depositary Shares, and every successive Owner and Holder of American Depositary Shares, by accepting or holding the same, consents and agrees that American Depositary Shares evidenced by a Receipt, when the Receipt is properly endorsed or accompanied by proper instruments of transfer, shall be transferable as certificated registered securities under the laws of the State of New York, and that American Depositary Shares not evidenced by Receipts shall be transferable as uncertificated registered securities under the laws of the State of New York. The Depositary, notwithstanding any notice to the contrary, may treat the Owner of American Depositary Shares as the absolute owner thereof for the purpose of determining the person entitled to distribution of dividends or other distributions or to any notice provided for in the Deposit Agreement and for all other purposes, and neither the Depositary nor the Company shall have any obligation or be subject to any liability under the Deposit Agreement to any Holder of American Depositary Shares, but only to the Owner.</w:t>
      </w:r>
    </w:p>
    <w:p>
      <w:pPr>
        <w:pStyle w:val="TextBody"/>
        <w:spacing w:lineRule="auto" w:line="288" w:before="0" w:after="240"/>
        <w:ind w:left="0" w:right="0" w:hanging="318"/>
        <w:jc w:val="both"/>
        <w:rPr/>
      </w:pPr>
      <w:r>
        <w:rPr>
          <w:rFonts w:ascii="Times New Roman;sans-serif" w:hAnsi="Times New Roman;sans-serif"/>
          <w:b w:val="false"/>
          <w:color w:val="000000"/>
          <w:sz w:val="24"/>
        </w:rPr>
        <w:t>10.</w:t>
      </w:r>
      <w:r>
        <w:rPr>
          <w:color w:val="000000"/>
        </w:rPr>
        <w:t>    </w:t>
      </w:r>
      <w:r>
        <w:rPr>
          <w:rFonts w:ascii="Times New Roman;sans-serif" w:hAnsi="Times New Roman;sans-serif"/>
          <w:b w:val="false"/>
          <w:color w:val="000000"/>
          <w:sz w:val="24"/>
        </w:rPr>
        <w:t>VALIDITY OF RECEIPT.</w:t>
      </w:r>
    </w:p>
    <w:p>
      <w:pPr>
        <w:pStyle w:val="TextBody"/>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This Receipt shall not be entitled to any benefits under the Deposit Agreement or be valid or obligatory for any purpose, unless this Receipt shall have been (i) executed by the Depositary by the manual signature of a duly authorized officer of the Depositary or (ii) executed by the facsimile signature of a duly authorized officer of the Depositary and countersigned by the manual signature of a duly authorized signatory of the Depositary or the Registrar or a co-registrar.</w:t>
      </w:r>
    </w:p>
    <w:p>
      <w:pPr>
        <w:pStyle w:val="TextBody"/>
        <w:spacing w:lineRule="auto" w:line="288" w:before="0" w:after="240"/>
        <w:ind w:left="0" w:right="0" w:hanging="318"/>
        <w:jc w:val="both"/>
        <w:rPr/>
      </w:pPr>
      <w:r>
        <w:rPr>
          <w:rFonts w:ascii="Times New Roman;sans-serif" w:hAnsi="Times New Roman;sans-serif"/>
          <w:b w:val="false"/>
          <w:color w:val="000000"/>
          <w:sz w:val="24"/>
        </w:rPr>
        <w:t>11.</w:t>
      </w:r>
      <w:r>
        <w:rPr>
          <w:color w:val="000000"/>
        </w:rPr>
        <w:t>    </w:t>
      </w:r>
      <w:r>
        <w:rPr>
          <w:rFonts w:ascii="Times New Roman;sans-serif" w:hAnsi="Times New Roman;sans-serif"/>
          <w:b w:val="false"/>
          <w:color w:val="000000"/>
          <w:sz w:val="24"/>
        </w:rPr>
        <w:t>REPORTS; INSPECTION OF TRANSFER BOOKS.</w:t>
      </w:r>
    </w:p>
    <w:p>
      <w:pPr>
        <w:pStyle w:val="TextBody"/>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The Company is subject to the periodic reporting requirements of the Securities Exchange Act of 1934 and, accordingly, files certain reports with the Securities and Exchange Commission (the “Commission”). Those reports will be available for inspection and copying through the Commission’s EDGAR system or at public reference facilities maintained by the Commission in Washington, D.C. </w:t>
      </w:r>
    </w:p>
    <w:p>
      <w:pPr>
        <w:pStyle w:val="TextBody"/>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The Depositary will make available for inspection by Owners at its Office any reports, notices and other communications, including any proxy soliciting material, received from the Company which are both (a) received by the Depositary as the holder of the Deposited Securities and (b) made generally available to the holders of those </w:t>
      </w:r>
      <w:r>
        <w:br w:type="page"/>
      </w:r>
    </w:p>
    <w:p>
      <w:pPr>
        <w:pStyle w:val="TextBody"/>
        <w:spacing w:before="120" w:after="240"/>
        <w:jc w:val="center"/>
        <w:rPr/>
      </w:pPr>
      <w:r>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6480175" cy="327660"/>
                <wp:effectExtent l="0" t="0" r="0" b="0"/>
                <wp:wrapNone/>
                <wp:docPr id="288" name="Frame286"/>
                <a:graphic xmlns:a="http://schemas.openxmlformats.org/drawingml/2006/main">
                  <a:graphicData uri="http://schemas.microsoft.com/office/word/2010/wordprocessingShape">
                    <wps:wsp>
                      <wps:cNvSpPr txBox="1"/>
                      <wps:spPr>
                        <a:xfrm>
                          <a:off x="0" y="0"/>
                          <a:ext cx="6480175" cy="327660"/>
                        </a:xfrm>
                        <a:prstGeom prst="rect"/>
                      </wps:spPr>
                      <wps:txbx>
                        <w:txbxContent>
                          <w:p>
                            <w:pPr>
                              <w:pStyle w:val="TextBody"/>
                              <w:spacing w:lineRule="auto" w:line="288" w:before="24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A-8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spacing w:lineRule="auto" w:line="288" w:before="24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A-8</w:t>
                      </w:r>
                    </w:p>
                  </w:txbxContent>
                </v:textbox>
              </v:rect>
            </w:pict>
          </mc:Fallback>
        </mc:AlternateContent>
      </w:r>
    </w:p>
    <w:p>
      <w:pPr>
        <w:pStyle w:val="TextBody"/>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Deposited Securities by the Company. The Company shall furnish reports and communications, including any proxy soliciting material to which Section 4.9 of the Deposit Agreement applies, to the Depositary in English, to the extent such materials are required to be translated into English pursuant to any regulations of the Commission.</w:t>
      </w:r>
    </w:p>
    <w:p>
      <w:pPr>
        <w:pStyle w:val="TextBody"/>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Depositary will maintain a register of American Depositary Shares and transfers of American Depositary Shares, which shall be open for inspection by the Owners at the Depositary’s Office during regular business hours, but such inspection may only be for the purpose of communicating with Owners regarding the business of the Company or a matter related to the Deposit Agreement or the American Depositary Shares.</w:t>
      </w:r>
    </w:p>
    <w:p>
      <w:pPr>
        <w:pStyle w:val="TextBody"/>
        <w:spacing w:lineRule="auto" w:line="288" w:before="0" w:after="240"/>
        <w:ind w:left="0" w:right="0" w:hanging="318"/>
        <w:jc w:val="both"/>
        <w:rPr/>
      </w:pPr>
      <w:r>
        <w:rPr>
          <w:rFonts w:ascii="Times New Roman;sans-serif" w:hAnsi="Times New Roman;sans-serif"/>
          <w:b w:val="false"/>
          <w:color w:val="000000"/>
          <w:sz w:val="24"/>
        </w:rPr>
        <w:t>12.</w:t>
      </w:r>
      <w:r>
        <w:rPr>
          <w:color w:val="000000"/>
        </w:rPr>
        <w:t>    </w:t>
      </w:r>
      <w:r>
        <w:rPr>
          <w:rFonts w:ascii="Times New Roman;sans-serif" w:hAnsi="Times New Roman;sans-serif"/>
          <w:b w:val="false"/>
          <w:color w:val="000000"/>
          <w:sz w:val="24"/>
        </w:rPr>
        <w:t>DIVIDENDS AND DISTRIBUTIONS.</w:t>
      </w:r>
    </w:p>
    <w:p>
      <w:pPr>
        <w:pStyle w:val="TextBody"/>
        <w:spacing w:lineRule="auto" w:line="288" w:before="0" w:after="240"/>
        <w:ind w:left="0" w:right="0" w:firstLine="720"/>
        <w:jc w:val="both"/>
        <w:rPr/>
      </w:pPr>
      <w:r>
        <w:rPr>
          <w:rFonts w:ascii="Times New Roman;sans-serif" w:hAnsi="Times New Roman;sans-serif"/>
          <w:b w:val="false"/>
          <w:color w:val="000000"/>
          <w:sz w:val="24"/>
        </w:rPr>
        <w:t xml:space="preserve">Whenever the Depositary receives any cash dividend or other cash distribution on Deposited Securities, the Depositary will if at the time of receipt thereof any amounts received in a foreign currency can in the judgment of the Depositary be converted on a reasonable basis into Dollars transferable to the United States, and subject to the Deposit Agreement, convert that dividend or other cash distribution into Dollars and, as promptly as practicable, distribute the amount thus received (net of the fees and expenses of the Depositary as provided in Article 7 hereof and Section 5.9 of the Deposit Agreement) to the Owners entitled thereto;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if the Custodian or the Depositary is required to withhold and does withhold from that cash dividend or other cash distribution an amount on account of taxes or other governmental charges, the amount distributed to the Owners of the American Depositary Shares representing those Deposited Securities shall be reduced accordingly. </w:t>
      </w:r>
    </w:p>
    <w:p>
      <w:pPr>
        <w:pStyle w:val="TextBody"/>
        <w:spacing w:lineRule="auto" w:line="288" w:before="0" w:after="240"/>
        <w:ind w:left="0" w:right="0" w:firstLine="720"/>
        <w:jc w:val="both"/>
        <w:rPr/>
      </w:pPr>
      <w:r>
        <w:rPr>
          <w:rFonts w:ascii="Times New Roman;sans-serif" w:hAnsi="Times New Roman;sans-serif"/>
          <w:b w:val="false"/>
          <w:color w:val="000000"/>
          <w:sz w:val="24"/>
        </w:rPr>
        <w:t xml:space="preserve">If a cash distribution would represent a return of all or substantially all the value of the Deposited Securities underlying American Depositary Shares, the Depositary may require surrender of those American Depositary Shares and may require payment of or deduct the fee for surrender of American Depositary Shares (whether or not it is also requiring surrender of American Depositary Shares) as a condition of making that cash distribution. A distribution of that kind shall be a </w:t>
      </w:r>
      <w:r>
        <w:rPr>
          <w:rFonts w:ascii="Times New Roman;sans-serif" w:hAnsi="Times New Roman;sans-serif"/>
          <w:b w:val="false"/>
          <w:color w:val="000000"/>
          <w:sz w:val="24"/>
          <w:u w:val="single"/>
        </w:rPr>
        <w:t>Termination Option Event</w:t>
      </w:r>
      <w:r>
        <w:rPr>
          <w:rFonts w:ascii="Times New Roman;sans-serif" w:hAnsi="Times New Roman;sans-serif"/>
          <w:b w:val="false"/>
          <w:color w:val="000000"/>
          <w:sz w:val="24"/>
        </w:rPr>
        <w:t xml:space="preserve">. Subject to the provisions of Section 4.11 and 5.9 of the Deposit Agreement, whenever the Depositary receives any distribution other than a distribution described in Section 4.1, 4.3 or 4.4 of the Deposit Agreement on Deposited Securities (but not in exchange for or in conversion or in lieu of Deposited Securities), the Depositary will cause the securities or property received by it to be distributed to the Owners entitled thereto, after deduction or upon payment of any fees and expenses of the Depositary and any taxes or other governmental charges, in any manner that the Depositary may reasonably deem equitable and practicable for accomplishing that distribution (which may be a distribution of depositary shares representing the securities received);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if in the opinion of the Depositary such distribution cannot be made proportionately among the </w:t>
      </w:r>
      <w:r>
        <w:br w:type="page"/>
      </w:r>
    </w:p>
    <w:p>
      <w:pPr>
        <w:pStyle w:val="TextBody"/>
        <w:spacing w:before="120" w:after="240"/>
        <w:jc w:val="center"/>
        <w:rPr/>
      </w:pPr>
      <w:r>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6480175" cy="327660"/>
                <wp:effectExtent l="0" t="0" r="0" b="0"/>
                <wp:wrapNone/>
                <wp:docPr id="289" name="Frame287"/>
                <a:graphic xmlns:a="http://schemas.openxmlformats.org/drawingml/2006/main">
                  <a:graphicData uri="http://schemas.microsoft.com/office/word/2010/wordprocessingShape">
                    <wps:wsp>
                      <wps:cNvSpPr txBox="1"/>
                      <wps:spPr>
                        <a:xfrm>
                          <a:off x="0" y="0"/>
                          <a:ext cx="6480175" cy="327660"/>
                        </a:xfrm>
                        <a:prstGeom prst="rect"/>
                      </wps:spPr>
                      <wps:txbx>
                        <w:txbxContent>
                          <w:p>
                            <w:pPr>
                              <w:pStyle w:val="TextBody"/>
                              <w:spacing w:lineRule="auto" w:line="288" w:before="24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A-9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spacing w:lineRule="auto" w:line="288" w:before="24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A-9</w:t>
                      </w:r>
                    </w:p>
                  </w:txbxContent>
                </v:textbox>
              </v:rect>
            </w:pict>
          </mc:Fallback>
        </mc:AlternateContent>
      </w:r>
    </w:p>
    <w:p>
      <w:pPr>
        <w:pStyle w:val="TextBody"/>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Owners entitled thereto, or if for any other reason the Depositary deems such distribution not to be lawful and feasible, the Depositary, after consultation with the Company to the extent practicable, may adopt such other method as it may deem equitable and practicable for the purpose of effecting such distribution, including, but not limited to, the public or private sale of the securities or property thus received, or any part thereof, and distribution of the net proceeds of any such sale (net of the fees and expenses of the Depositary as provided in Article 7 hereof and Section 5.9 of the Deposit Agreement) to the Owners entitled thereto all in the manner and subject to the conditions set forth in Section 4.1 of the Deposit Agreement. The Depositary may withhold any distribution of securities under Section 4.2 of the Deposit Agreement if it has not received satisfactory assurances from the Company that the distribution does not require registration under the Securities Act of 1933. The Depositary may sell, by public or private sale, an amount of securities or other property it would otherwise distribute under this Article that is sufficient to pay its fees and expenses in respect of that distribution. </w:t>
      </w:r>
    </w:p>
    <w:p>
      <w:pPr>
        <w:pStyle w:val="TextBody"/>
        <w:spacing w:lineRule="auto" w:line="288" w:before="0" w:after="240"/>
        <w:ind w:left="0" w:right="0" w:firstLine="720"/>
        <w:jc w:val="both"/>
        <w:rPr/>
      </w:pPr>
      <w:r>
        <w:rPr>
          <w:rFonts w:ascii="Times New Roman;sans-serif" w:hAnsi="Times New Roman;sans-serif"/>
          <w:b w:val="false"/>
          <w:color w:val="000000"/>
          <w:sz w:val="24"/>
        </w:rPr>
        <w:t xml:space="preserve">If a distribution under Section 4.2 of the Deposit Agreement would represent a return of all or substantially all the value of the Deposited Securities underlying American Depositary Shares, the Depositary may require surrender of those American Depositary Shares and may require payment of or deduct the fee for surrender of American Depositary Shares (whether or not it is also requiring surrender of American Depositary Shares) as a condition of making that distribution. A distribution of that kind shall be a </w:t>
      </w:r>
      <w:r>
        <w:rPr>
          <w:rFonts w:ascii="Times New Roman;sans-serif" w:hAnsi="Times New Roman;sans-serif"/>
          <w:b w:val="false"/>
          <w:color w:val="000000"/>
          <w:sz w:val="24"/>
          <w:u w:val="single"/>
        </w:rPr>
        <w:t>Termination Option Event</w:t>
      </w:r>
      <w:r>
        <w:rPr>
          <w:rFonts w:ascii="Times New Roman;sans-serif" w:hAnsi="Times New Roman;sans-serif"/>
          <w:b w:val="false"/>
          <w:color w:val="000000"/>
          <w:sz w:val="24"/>
        </w:rPr>
        <w:t>.</w:t>
      </w:r>
    </w:p>
    <w:p>
      <w:pPr>
        <w:pStyle w:val="TextBody"/>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Whenever the Depositary receives any distribution consisting of a dividend in, or free distribution of, Shares, the Depositary may, and if the Company so requests in writing, shall, deliver to the Owners entitled thereto, an aggregate number of American Depositary Shares representing the amount of Shares received as that dividend or free distribution, subject to the terms and conditions of the Deposit Agreement with respect to the deposit of Shares and issuance of American Depositary Shares, including the withholding of any tax or other governmental charge as provided in Section 4.11 of the Deposit Agreement and the payment of the fees and expenses of the Depositary as provided in Article 7 hereof and Section 5.9 of the Deposit Agreement (and the Depositary may sell, by public or private sale, an amount of Shares received (or American Depositary Shares representing those Shares) sufficient to pay its fees and expenses in respect of that distribution). In lieu of delivering fractional American Depositary Shares, the Depositary may sell the amount of Shares represented by the aggregate of those fractions (or American Depositary Shares representing those Shares) and distribute the net proceeds, all in the manner and subject to the conditions described in Section 4.1 of the Deposit Agreement. If and to the extent that additional American Depositary Shares are not delivered and Shares or American Depositary Shares are not sold, each American Depositary Share shall thenceforth also represent the additional Shares distributed on the Deposited Securities represented thereby.</w:t>
      </w:r>
      <w:r>
        <w:br w:type="page"/>
      </w:r>
    </w:p>
    <w:p>
      <w:pPr>
        <w:pStyle w:val="TextBody"/>
        <w:spacing w:before="120" w:after="240"/>
        <w:jc w:val="center"/>
        <w:rPr/>
      </w:pPr>
      <w:r>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6480175" cy="327660"/>
                <wp:effectExtent l="0" t="0" r="0" b="0"/>
                <wp:wrapNone/>
                <wp:docPr id="290" name="Frame288"/>
                <a:graphic xmlns:a="http://schemas.openxmlformats.org/drawingml/2006/main">
                  <a:graphicData uri="http://schemas.microsoft.com/office/word/2010/wordprocessingShape">
                    <wps:wsp>
                      <wps:cNvSpPr txBox="1"/>
                      <wps:spPr>
                        <a:xfrm>
                          <a:off x="0" y="0"/>
                          <a:ext cx="6480175" cy="327660"/>
                        </a:xfrm>
                        <a:prstGeom prst="rect"/>
                      </wps:spPr>
                      <wps:txbx>
                        <w:txbxContent>
                          <w:p>
                            <w:pPr>
                              <w:pStyle w:val="TextBody"/>
                              <w:spacing w:lineRule="auto" w:line="288" w:before="24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A-10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spacing w:lineRule="auto" w:line="288" w:before="24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A-10</w:t>
                      </w:r>
                    </w:p>
                  </w:txbxContent>
                </v:textbox>
              </v:rect>
            </w:pict>
          </mc:Fallback>
        </mc:AlternateContent>
      </w:r>
    </w:p>
    <w:p>
      <w:pPr>
        <w:pStyle w:val="TextBody"/>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If the Company declares a distribution in which holders of Deposited Securities have a right to elect whether to receive cash, Shares or other securities or a combination of those things, or a right to elect to have a distribution sold on their behalf, the Depositary may, after consultation with the Company, make that right of election available for exercise by Owners in any manner the Depositary reasonably considers to be lawful and practical. As a condition of making a distribution election right available to Owners, the Depositary may require reasonably satisfactory assurances from the Company that doing so does not require registration of any securities under the Securities Act of 1933.</w:t>
      </w:r>
    </w:p>
    <w:p>
      <w:pPr>
        <w:pStyle w:val="TextBody"/>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If the Depositary determines that any distribution received or to be made by the Depositary (including Shares and rights to subscribe therefor) is subject to any tax or other governmental charge that the Depositary is obligated to withhold, the Depositary may sell, by public or private sale, all or a portion of the distributed property (including Shares and rights to subscribe therefor) in the amounts and manner the Depositary deems necessary and practicable to pay those taxes or charges, and the Depositary shall distribute the net proceeds of that sale, after deduction of those taxes or charges, to the Owners entitled thereto in proportion to the number of American Depositary Shares held by them respectively.</w:t>
      </w:r>
    </w:p>
    <w:p>
      <w:pPr>
        <w:pStyle w:val="TextBody"/>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Each Owner and Holder agrees to indemnify the Company, the Depositary, the Custodian and their respective directors, employees, agents and affiliates for, and hold each of them harmless against, any claim by any governmental authority with respect to taxes, additions to tax, penalties or interest arising out of any refund of taxes, reduced withholding at source or other tax benefit received by it. Services for Owners and Holders that may permit them to obtain reduced rates of tax withholding at source or reclaim excess tax withheld, and the fees and costs associated with using services of that kind, are not provided under, and are outside the scope of, the Deposit Agreement.</w:t>
      </w:r>
    </w:p>
    <w:p>
      <w:pPr>
        <w:pStyle w:val="TextBody"/>
        <w:spacing w:lineRule="auto" w:line="288" w:before="0" w:after="240"/>
        <w:ind w:left="0" w:right="0" w:hanging="318"/>
        <w:jc w:val="both"/>
        <w:rPr/>
      </w:pPr>
      <w:r>
        <w:rPr>
          <w:rFonts w:ascii="Times New Roman;sans-serif" w:hAnsi="Times New Roman;sans-serif"/>
          <w:b w:val="false"/>
          <w:color w:val="000000"/>
          <w:sz w:val="24"/>
        </w:rPr>
        <w:t>13.</w:t>
      </w:r>
      <w:r>
        <w:rPr>
          <w:color w:val="000000"/>
        </w:rPr>
        <w:t>    </w:t>
      </w:r>
      <w:r>
        <w:rPr>
          <w:rFonts w:ascii="Times New Roman;sans-serif" w:hAnsi="Times New Roman;sans-serif"/>
          <w:b w:val="false"/>
          <w:color w:val="000000"/>
          <w:sz w:val="24"/>
        </w:rPr>
        <w:t>RIGHTS.</w:t>
      </w:r>
    </w:p>
    <w:p>
      <w:pPr>
        <w:pStyle w:val="TextBody"/>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    If rights are granted to the Depositary in respect of deposited Shares to purchase additional Shares or other securities, the Company and the Depositary shall endeavor to consult as to the actions, if any, the Depositary should take in connection with that grant of rights. The Depositary may, to the extent reasonably deemed by it to be lawful and practical (i) if requested in writing by the Company, grant to all or certain Owners rights to instruct the Depositary to purchase the securities to which the rights relate and deliver those securities or American Depositary Shares representing those securities to Owners, (ii) if requested in writing by the Company, deliver the rights to or to the order of certain Owners, or (iii) sell the rights to the extent practicable and distribute the net proceeds of that sale to Owners entitled to those proceeds. To the extent rights are not exercised, delivered or disposed of under (i), (ii) or (iii) above, the Depositary shall permit the rights to lapse unexercised.</w:t>
      </w:r>
      <w:r>
        <w:br w:type="page"/>
      </w:r>
    </w:p>
    <w:p>
      <w:pPr>
        <w:pStyle w:val="TextBody"/>
        <w:spacing w:before="120" w:after="240"/>
        <w:jc w:val="center"/>
        <w:rPr/>
      </w:pPr>
      <w:r>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6480175" cy="327660"/>
                <wp:effectExtent l="0" t="0" r="0" b="0"/>
                <wp:wrapNone/>
                <wp:docPr id="291" name="Frame289"/>
                <a:graphic xmlns:a="http://schemas.openxmlformats.org/drawingml/2006/main">
                  <a:graphicData uri="http://schemas.microsoft.com/office/word/2010/wordprocessingShape">
                    <wps:wsp>
                      <wps:cNvSpPr txBox="1"/>
                      <wps:spPr>
                        <a:xfrm>
                          <a:off x="0" y="0"/>
                          <a:ext cx="6480175" cy="327660"/>
                        </a:xfrm>
                        <a:prstGeom prst="rect"/>
                      </wps:spPr>
                      <wps:txbx>
                        <w:txbxContent>
                          <w:p>
                            <w:pPr>
                              <w:pStyle w:val="TextBody"/>
                              <w:spacing w:lineRule="auto" w:line="288" w:before="24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A-11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spacing w:lineRule="auto" w:line="288" w:before="24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A-11</w:t>
                      </w:r>
                    </w:p>
                  </w:txbxContent>
                </v:textbox>
              </v:rect>
            </w:pict>
          </mc:Fallback>
        </mc:AlternateContent>
      </w:r>
    </w:p>
    <w:p>
      <w:pPr>
        <w:pStyle w:val="TextBody"/>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(b)    If the Depositary will act under (a)(i) above, the Company and the Depositary will enter into a separate agreement setting forth the conditions and procedures applicable to the particular offering. Upon instruction from an applicable Owner in the form the Depositary specified and upon payment by that Owner to the Depositary of an amount equal to the purchase price of the securities to be received upon the exercise of the rights, the Depositary shall, on behalf of that Owner, exercise the rights and purchase the securities. The purchased securities shall be delivered to, or as instructed by, the Depositary. The Depositary shall (i) deposit the purchased Shares under the Deposit Agreement and deliver American Depositary Shares representing those Shares to that Owner or (ii) deliver or cause the purchased Shares or other securities to be delivered to or to the order of that Owner. The Depositary will not act under (a)(i) above unless the offer and sale of the securities to which the rights relate are registered under the Securities Act of 1933 or the Depositary has received an opinion of United States counsel that is reasonably satisfactory to it to the effect that those securities may be sold and delivered to the applicable Owners without registration under the Securities Act of 1933.</w:t>
      </w:r>
    </w:p>
    <w:p>
      <w:pPr>
        <w:pStyle w:val="TextBody"/>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(c)    If the Depositary will act under (a)(ii) above, the Company and the Depositary will enter into a separate agreement setting forth the conditions and procedures applicable to the particular offering. Upon (i) the request of an applicable Owner to deliver the rights allocable to the American Depositary Shares of that Owner to an account specified by that Owner to which the rights can be delivered and (ii) receipt of such documents as the Company and the Depositary agreed to require to comply with applicable law, the Depositary will deliver those rights as requested by that Owner.</w:t>
      </w:r>
    </w:p>
    <w:p>
      <w:pPr>
        <w:pStyle w:val="TextBody"/>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(d)    If the Depositary will act under (a)(iii) above, the Depositary will use reasonable efforts to sell the rights in proportion to the number of American Depositary Shares held by the applicable Owners and pay the net proceeds to the Owners otherwise entitled to the rights that were sold, upon an averaged or other practical basis without regard to any distinctions among such Owners because of exchange restrictions or the date of delivery of any American Depositary Shares or otherwise. </w:t>
      </w:r>
    </w:p>
    <w:p>
      <w:pPr>
        <w:pStyle w:val="TextBody"/>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(e)    Payment or deduction of the fees of the Depositary as provided in Section 5.9 of the Deposit Agreement and payment or deduction of the expenses of the Depositary and any applicable taxes or other governmental charges shall be conditions of any delivery of securities or payment of cash proceeds under Section 4.4 of the Deposit Agreement.</w:t>
      </w:r>
    </w:p>
    <w:p>
      <w:pPr>
        <w:pStyle w:val="TextBody"/>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(f)    The Depositary shall not be responsible for any failure to determine that it may be lawful or feasible to make rights available to or exercise rights on behalf of Owners in general or any Owner in particular, or to sell rights.</w:t>
      </w:r>
    </w:p>
    <w:p>
      <w:pPr>
        <w:pStyle w:val="TextBody"/>
        <w:spacing w:lineRule="auto" w:line="288" w:before="0" w:after="240"/>
        <w:ind w:left="0" w:right="0" w:hanging="318"/>
        <w:jc w:val="both"/>
        <w:rPr/>
      </w:pPr>
      <w:r>
        <w:rPr>
          <w:rFonts w:ascii="Times New Roman;sans-serif" w:hAnsi="Times New Roman;sans-serif"/>
          <w:b w:val="false"/>
          <w:color w:val="000000"/>
          <w:sz w:val="24"/>
        </w:rPr>
        <w:t>14.</w:t>
      </w:r>
      <w:r>
        <w:rPr>
          <w:color w:val="000000"/>
        </w:rPr>
        <w:t>    </w:t>
      </w:r>
      <w:r>
        <w:rPr>
          <w:rFonts w:ascii="Times New Roman;sans-serif" w:hAnsi="Times New Roman;sans-serif"/>
          <w:b w:val="false"/>
          <w:color w:val="000000"/>
          <w:sz w:val="24"/>
        </w:rPr>
        <w:t>CONVERSION OF FOREIGN CURRENCY.</w:t>
      </w:r>
      <w:r>
        <w:br w:type="page"/>
      </w:r>
    </w:p>
    <w:p>
      <w:pPr>
        <w:pStyle w:val="TextBody"/>
        <w:spacing w:before="120" w:after="240"/>
        <w:jc w:val="center"/>
        <w:rPr/>
      </w:pPr>
      <w:r>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6480175" cy="327660"/>
                <wp:effectExtent l="0" t="0" r="0" b="0"/>
                <wp:wrapNone/>
                <wp:docPr id="292" name="Frame290"/>
                <a:graphic xmlns:a="http://schemas.openxmlformats.org/drawingml/2006/main">
                  <a:graphicData uri="http://schemas.microsoft.com/office/word/2010/wordprocessingShape">
                    <wps:wsp>
                      <wps:cNvSpPr txBox="1"/>
                      <wps:spPr>
                        <a:xfrm>
                          <a:off x="0" y="0"/>
                          <a:ext cx="6480175" cy="327660"/>
                        </a:xfrm>
                        <a:prstGeom prst="rect"/>
                      </wps:spPr>
                      <wps:txbx>
                        <w:txbxContent>
                          <w:p>
                            <w:pPr>
                              <w:pStyle w:val="TextBody"/>
                              <w:spacing w:lineRule="auto" w:line="288" w:before="24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A-12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spacing w:lineRule="auto" w:line="288" w:before="24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A-12</w:t>
                      </w:r>
                    </w:p>
                  </w:txbxContent>
                </v:textbox>
              </v:rect>
            </w:pict>
          </mc:Fallback>
        </mc:AlternateContent>
      </w:r>
    </w:p>
    <w:p>
      <w:pPr>
        <w:pStyle w:val="TextBody"/>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Whenever the Depositary or the Custodian receives foreign currency, by way of dividends or other distributions or the net proceeds from the sale of securities, property or rights, and if at the time of the receipt thereof the foreign currency so received can in the judgment of the Depositary be converted on a reasonable basis into Dollars and the resulting Dollars transferred to the United States, the Depositary or one of its agents or affiliates or the Custodian shall convert or cause to be converted by sale or in any other manner that it may determine that foreign currency into Dollars, and those Dollars shall be, as promptly as practicable, distributed to the Owners entitled thereto.  A cash distribution may be made upon an averaged or other practicable basis without regard to any distinctions among Owners based on exchange restrictions, the date of delivery of any American Depositary Shares or otherwise and shall be net of any expenses of conversion into Dollars incurred by the Depositary as provided in Section 5.9 of the Deposit Agreement.</w:t>
      </w:r>
    </w:p>
    <w:p>
      <w:pPr>
        <w:pStyle w:val="TextBody"/>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If a conversion of foreign currency or the repatriation or distribution of Dollars can be effected only with the approval or license of any government or agency thereof, the Depositary may, but will not be required to, file an application for that approval or license.</w:t>
      </w:r>
    </w:p>
    <w:p>
      <w:pPr>
        <w:pStyle w:val="TextBody"/>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If the Depositary determines that in its judgment any foreign currency received by the Depositary or the Custodian is not convertible on a reasonable basis into Dollars transferable to the United States, or if any approval or license of any government or agency thereof that is required for such conversion is not filed or sought by the Depositary or is not obtained within a reasonable period as determined by the Depositary, the Depositary may distribute the foreign currency received by the Depositary to, or in its discretion may hold such foreign currency uninvested and without liability for interest thereon for the respective accounts of, the Owners entitled to receive the same.</w:t>
      </w:r>
    </w:p>
    <w:p>
      <w:pPr>
        <w:pStyle w:val="TextBody"/>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If any conversion of foreign currency, in whole or in part, cannot be effected for distribution to some of the Owners entitled thereto, the Depositary may in its discretion make that conversion and distribution in Dollars to the extent practicable and permissible to the Owners entitled thereto and may distribute the balance of the foreign currency received by the Depositary to, or hold that balance uninvested and without liability for interest thereon for the account of, the Owners entitled thereto.</w:t>
      </w:r>
    </w:p>
    <w:p>
      <w:pPr>
        <w:pStyle w:val="TextBody"/>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The Depositary may convert currency itself or through any of its affiliates, or the Custodian or the Company may convert currency and pay Dollars to the Depositary. Where the Depositary converts currency itself or through any of its affiliates, the Depositary acts as principal for its own account and not as agent, advisor, broker or fiduciary on behalf of any other person and earns revenue, including, without limitation, transaction spreads, that it will retain for its own account.  The revenue is based on, among other things, the difference between the exchange rate assigned to the currency conversion made under the Deposit Agreement and the rate that the Depositary or its </w:t>
      </w:r>
      <w:r>
        <w:br w:type="page"/>
      </w:r>
    </w:p>
    <w:p>
      <w:pPr>
        <w:pStyle w:val="TextBody"/>
        <w:spacing w:before="120" w:after="240"/>
        <w:jc w:val="center"/>
        <w:rPr/>
      </w:pPr>
      <w:r>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6480175" cy="327660"/>
                <wp:effectExtent l="0" t="0" r="0" b="0"/>
                <wp:wrapNone/>
                <wp:docPr id="293" name="Frame291"/>
                <a:graphic xmlns:a="http://schemas.openxmlformats.org/drawingml/2006/main">
                  <a:graphicData uri="http://schemas.microsoft.com/office/word/2010/wordprocessingShape">
                    <wps:wsp>
                      <wps:cNvSpPr txBox="1"/>
                      <wps:spPr>
                        <a:xfrm>
                          <a:off x="0" y="0"/>
                          <a:ext cx="6480175" cy="327660"/>
                        </a:xfrm>
                        <a:prstGeom prst="rect"/>
                      </wps:spPr>
                      <wps:txbx>
                        <w:txbxContent>
                          <w:p>
                            <w:pPr>
                              <w:pStyle w:val="TextBody"/>
                              <w:spacing w:lineRule="auto" w:line="288" w:before="24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A-13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spacing w:lineRule="auto" w:line="288" w:before="24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A-13</w:t>
                      </w:r>
                    </w:p>
                  </w:txbxContent>
                </v:textbox>
              </v:rect>
            </w:pict>
          </mc:Fallback>
        </mc:AlternateContent>
      </w:r>
    </w:p>
    <w:p>
      <w:pPr>
        <w:pStyle w:val="TextBody"/>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affiliate receives when buying or selling foreign currency for its own account.  The Depositary makes no representation that the exchange rate used or obtained by it or its affiliate in any currency conversion under the Deposit Agreement will be the most favorable rate that could be obtained at the time or that the method by which that rate will be determined will be the most favorable to Owners, subject to the Depositary’s obligations under Section 5.3 of the Deposit Agreement.  The methodology used to determine exchange rates used in currency conversions made by the Depositary is available upon request. Where the Custodian converts currency, the Custodian has no obligation to obtain the most favorable rate that could be obtained at the time or to ensure that the method by which that rate will be determined will be the most favorable to Owners, and the Depositary makes no representation that the rate is the most favorable rate and will not be liable for any direct or indirect losses associated with the rate.  In certain instances, the Depositary may receive dividends or other distributions from the Company in Dollars that represent the proceeds of a conversion of foreign currency or translation from foreign currency at a rate that was obtained or determined by or on behalf of the Company and, in such cases, the Depositary will not engage in, or be responsible for, any foreign currency transactions and neither it nor the Company makes any representation that the rate obtained or determined by the Company is the most favorable rate and neither it nor the Company will be liable for any direct or indirect losses associated with the rate.</w:t>
      </w:r>
    </w:p>
    <w:p>
      <w:pPr>
        <w:pStyle w:val="TextBody"/>
        <w:spacing w:lineRule="auto" w:line="288"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15.RECORD DATES.</w:t>
      </w:r>
    </w:p>
    <w:p>
      <w:pPr>
        <w:pStyle w:val="TextBody"/>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Whenever a cash dividend, cash distribution or any other distribution is made on Deposited Securities or rights to purchase Shares or other securities are issued with respect to Deposited Securities (which rights will be delivered to or exercised or sold on behalf of Owners in accordance with Section 4.4 of the Deposit Agreement) or the Depositary receives notice that a distribution or issuance of that kind will be made, or whenever the Depositary receives notice that a meeting of holders of Shares will be held in respect of which the Company has requested the Depositary to send a notice under Section 4.7 of the Deposit Agreement, or whenever the Depositary will assess a fee or charge against the Owners, or whenever the Depositary causes a change in the number of Shares that are represented by each American Depositary Share, or whenever the Depositary otherwise finds it necessary or convenient, the Depositary shall fix a record date, which shall be the same as, or as near as practicable to, any corresponding record date set by the Company with respect to Shares, (a) for the determination of the Owners (i) who shall be entitled to receive the benefit of that dividend or other distribution or those rights, (ii) who shall be entitled to give instructions for the exercise of voting rights at that meeting, (iii) who shall be responsible for that fee or charge or (iv) for any other purpose for which the record date was set, or (b) on or after which each American Depositary Share will represent the changed number of Shares. Subject to the provisions of Sections 4.1 through 4.5 of the Deposit Agreement and to the other terms and conditions of the Deposit Agreement, the Owners on a record date fixed by the </w:t>
      </w:r>
      <w:r>
        <w:br w:type="page"/>
      </w:r>
    </w:p>
    <w:p>
      <w:pPr>
        <w:pStyle w:val="TextBody"/>
        <w:spacing w:before="120" w:after="240"/>
        <w:jc w:val="center"/>
        <w:rPr/>
      </w:pPr>
      <w:r>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6480175" cy="327660"/>
                <wp:effectExtent l="0" t="0" r="0" b="0"/>
                <wp:wrapNone/>
                <wp:docPr id="294" name="Frame292"/>
                <a:graphic xmlns:a="http://schemas.openxmlformats.org/drawingml/2006/main">
                  <a:graphicData uri="http://schemas.microsoft.com/office/word/2010/wordprocessingShape">
                    <wps:wsp>
                      <wps:cNvSpPr txBox="1"/>
                      <wps:spPr>
                        <a:xfrm>
                          <a:off x="0" y="0"/>
                          <a:ext cx="6480175" cy="327660"/>
                        </a:xfrm>
                        <a:prstGeom prst="rect"/>
                      </wps:spPr>
                      <wps:txbx>
                        <w:txbxContent>
                          <w:p>
                            <w:pPr>
                              <w:pStyle w:val="TextBody"/>
                              <w:spacing w:lineRule="auto" w:line="288" w:before="24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A-14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spacing w:lineRule="auto" w:line="288" w:before="24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A-14</w:t>
                      </w:r>
                    </w:p>
                  </w:txbxContent>
                </v:textbox>
              </v:rect>
            </w:pict>
          </mc:Fallback>
        </mc:AlternateContent>
      </w:r>
    </w:p>
    <w:p>
      <w:pPr>
        <w:pStyle w:val="TextBody"/>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Depositary shall be entitled to receive the amount distributable by the Depositary with respect to that dividend or other distribution or those rights or the net proceeds of sale thereof in proportion to the number of American Depositary Shares held by them respectively, to give voting instructions or to act in respect of the other matter for which that record date was fixed, or be responsible for that fee or charge, as the case may be.</w:t>
      </w:r>
    </w:p>
    <w:p>
      <w:pPr>
        <w:pStyle w:val="TextBody"/>
        <w:spacing w:lineRule="auto" w:line="288" w:before="0" w:after="240"/>
        <w:ind w:left="0" w:right="0" w:hanging="318"/>
        <w:jc w:val="both"/>
        <w:rPr/>
      </w:pPr>
      <w:r>
        <w:rPr>
          <w:rFonts w:ascii="Times New Roman;sans-serif" w:hAnsi="Times New Roman;sans-serif"/>
          <w:b w:val="false"/>
          <w:color w:val="000000"/>
          <w:sz w:val="24"/>
        </w:rPr>
        <w:t>16.</w:t>
      </w:r>
      <w:r>
        <w:rPr>
          <w:color w:val="000000"/>
        </w:rPr>
        <w:t>    </w:t>
      </w:r>
      <w:r>
        <w:rPr>
          <w:rFonts w:ascii="Times New Roman;sans-serif" w:hAnsi="Times New Roman;sans-serif"/>
          <w:b w:val="false"/>
          <w:color w:val="000000"/>
          <w:sz w:val="24"/>
        </w:rPr>
        <w:t>VOTING OF DEPOSITED SHARES.</w:t>
      </w:r>
    </w:p>
    <w:p>
      <w:pPr>
        <w:pStyle w:val="TextBody"/>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    Upon receipt of notice of any meeting of holders of Shares at which holders of Shares will be entitled to vote, if requested in writing by the Company, the Depositary shall, as soon as practicable thereafter, Disseminate to the Owners a notice, the form of which shall be in the sole discretion of the Depositary, that shall contain (i) the information contained in the notice of meeting received by the Depositary, (ii) a statement that the Owners as of the close of business on a specified record date will be entitled, subject to any applicable provision of the laws of the Cayman Islands and of the articles of association or similar documents of the Company, to instruct the Depositary as to the exercise of the voting rights pertaining to the amount of Shares represented by their respective American Depositary Shares, (iii) a statement as to the manner in which those instructions may be given, including an express indication that instructions may be given or deemed given in accordance with the last sentence of paragraph (b) below, if no instruction is received, to the Depositary to give a discretionary proxy to a person designated by the Company and (iv) the last date on which the Depositary will accept instructions (the “Instruction Cutoff Date”).</w:t>
      </w:r>
    </w:p>
    <w:p>
      <w:pPr>
        <w:pStyle w:val="TextBody"/>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(b)    Upon the written request of an Owner of American Depositary Shares, as of the date of the request or, if a record date was specified by the Depositary, as of that record date, received on or before any Instruction Cutoff Date established by the Depositary, the Depositary may, and if the Depositary sent a notice under the preceding paragraph shall, endeavor, in so far as practicable, to vote or cause to be voted the amount of deposited Shares represented by those American Depositary Shares in accordance with the instructions set forth in that request. The Depositary shall not vote or attempt to exercise the right to vote that attaches to the deposited Shares other than in accordance with instructions given by Owners and received by the Depositary or as provided in the following sentence. If:</w:t>
      </w:r>
    </w:p>
    <w:p>
      <w:pPr>
        <w:pStyle w:val="TextBody"/>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 the Company instructed the Depositary to Disseminate a notice under paragraph (a) above and complied with paragraph (d) below,</w:t>
      </w:r>
    </w:p>
    <w:p>
      <w:pPr>
        <w:pStyle w:val="TextBody"/>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(ii) no instructions are received by the Depositary from an Owner with respect to a matter and an amount of American Depositary Shares of that Owner on or before the Instruction Cutoff Date and</w:t>
      </w:r>
      <w:r>
        <w:br w:type="page"/>
      </w:r>
    </w:p>
    <w:p>
      <w:pPr>
        <w:pStyle w:val="TextBody"/>
        <w:spacing w:before="120" w:after="240"/>
        <w:jc w:val="center"/>
        <w:rPr/>
      </w:pPr>
      <w:r>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6480175" cy="327660"/>
                <wp:effectExtent l="0" t="0" r="0" b="0"/>
                <wp:wrapNone/>
                <wp:docPr id="295" name="Frame293"/>
                <a:graphic xmlns:a="http://schemas.openxmlformats.org/drawingml/2006/main">
                  <a:graphicData uri="http://schemas.microsoft.com/office/word/2010/wordprocessingShape">
                    <wps:wsp>
                      <wps:cNvSpPr txBox="1"/>
                      <wps:spPr>
                        <a:xfrm>
                          <a:off x="0" y="0"/>
                          <a:ext cx="6480175" cy="327660"/>
                        </a:xfrm>
                        <a:prstGeom prst="rect"/>
                      </wps:spPr>
                      <wps:txbx>
                        <w:txbxContent>
                          <w:p>
                            <w:pPr>
                              <w:pStyle w:val="TextBody"/>
                              <w:spacing w:lineRule="auto" w:line="288" w:before="24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A-15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spacing w:lineRule="auto" w:line="288" w:before="24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A-15</w:t>
                      </w:r>
                    </w:p>
                  </w:txbxContent>
                </v:textbox>
              </v:rect>
            </w:pict>
          </mc:Fallback>
        </mc:AlternateContent>
      </w:r>
    </w:p>
    <w:p>
      <w:pPr>
        <w:pStyle w:val="TextBody"/>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(iii) the Depositary has received from the Company, by the business day following the Instruction Cutoff Date, a written confirmation that, as of the Instruction Cutoff Date, (x) the Company wishes a proxy to be given under this sentence, (y) the Company reasonably does not know of any substantial opposition to the matter and (z) the matter is not materially adverse to the interests of shareholders,</w:t>
      </w:r>
    </w:p>
    <w:p>
      <w:pPr>
        <w:pStyle w:val="TextBody"/>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then, the Depositary shall deem that Owner to have instructed the Depositary to give a discretionary proxy to a person designated by the Company with respect to that matter and the amount of deposited Shares represented by that amount of American Depositary Shares and the Depositary shall give a discretionary proxy to a person designated by the Company to vote that amount of deposited Shares as to that matter.</w:t>
      </w:r>
    </w:p>
    <w:p>
      <w:pPr>
        <w:pStyle w:val="TextBody"/>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(c)    There can be no assurance that Owners generally or any Owner in particular will receive the notice described in paragraph (a) above in time to enable Owners to give instructions to the Depositary prior to the Instruction Cutoff Date.</w:t>
      </w:r>
    </w:p>
    <w:p>
      <w:pPr>
        <w:pStyle w:val="TextBody"/>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(d)    In order to give Owners a reasonable opportunity to instruct the Depositary as to the exercise of voting rights relating to Shares, if the Company will request the Depositary to Disseminate a notice under paragraph (a) above, the Company shall give the Depositary notice of the meeting, details concerning the matters to be voted upon and copies of materials to be made available to holders of Shares in connection with the meeting not less than 45 days prior to the meeting date.</w:t>
      </w:r>
    </w:p>
    <w:p>
      <w:pPr>
        <w:pStyle w:val="TextBody"/>
        <w:spacing w:lineRule="auto" w:line="288"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17.TENDER AND EXCHANGE OFFERS; REDEMPTION, REPLACEMENT OR CANCELLATION OF DEPOSITED SECURITIES.</w:t>
      </w:r>
    </w:p>
    <w:p>
      <w:pPr>
        <w:pStyle w:val="TextBody"/>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    The Depositary shall not tender any Deposited Securities in response to any voluntary cash tender offer, exchange offer or similar offer made to holders of Deposited Securities (a “Voluntary Offer”), except when instructed in writing to do so by an Owner surrendering American Depositary Shares and subject to any conditions or procedures the Depositary may reasonably require.</w:t>
      </w:r>
    </w:p>
    <w:p>
      <w:pPr>
        <w:pStyle w:val="TextBody"/>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(b)    If the Depositary receives a written notice that Deposited Securities have been redeemed for cash or otherwise purchased for cash in a transaction that is mandatory and binding on the Depositary as a holder of those Deposited Securities (a “Redemption”), the Depositary, at the expense of the Company, shall (i) if required, surrender Deposited Securities that have been redeemed to the issuer of those securities or its agent on the redemption date, (ii) Disseminate a notice to Owners (A) notifying them of that Redemption, (B) calling for surrender of a corresponding number of American Depositary Shares and (C) notifying them that the called American Depositary Shares have been converted into a right only to receive the money received by the Depositary upon that Redemption and those net proceeds shall be the Deposited Securities to which Owners of those converted American Depositary Shares shall be </w:t>
      </w:r>
      <w:r>
        <w:br w:type="page"/>
      </w:r>
    </w:p>
    <w:p>
      <w:pPr>
        <w:pStyle w:val="TextBody"/>
        <w:spacing w:before="120" w:after="240"/>
        <w:jc w:val="center"/>
        <w:rPr/>
      </w:pPr>
      <w:r>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6480175" cy="327660"/>
                <wp:effectExtent l="0" t="0" r="0" b="0"/>
                <wp:wrapNone/>
                <wp:docPr id="296" name="Frame294"/>
                <a:graphic xmlns:a="http://schemas.openxmlformats.org/drawingml/2006/main">
                  <a:graphicData uri="http://schemas.microsoft.com/office/word/2010/wordprocessingShape">
                    <wps:wsp>
                      <wps:cNvSpPr txBox="1"/>
                      <wps:spPr>
                        <a:xfrm>
                          <a:off x="0" y="0"/>
                          <a:ext cx="6480175" cy="327660"/>
                        </a:xfrm>
                        <a:prstGeom prst="rect"/>
                      </wps:spPr>
                      <wps:txbx>
                        <w:txbxContent>
                          <w:p>
                            <w:pPr>
                              <w:pStyle w:val="TextBody"/>
                              <w:spacing w:lineRule="auto" w:line="288" w:before="24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A-16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spacing w:lineRule="auto" w:line="288" w:before="24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A-16</w:t>
                      </w:r>
                    </w:p>
                  </w:txbxContent>
                </v:textbox>
              </v:rect>
            </w:pict>
          </mc:Fallback>
        </mc:AlternateContent>
      </w:r>
    </w:p>
    <w:p>
      <w:pPr>
        <w:pStyle w:val="TextBody"/>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entitled upon surrenders of those American Depositary Shares in accordance with Section 2.5 or 6.2 of the Deposit Agreement and (iii) distribute the money received upon that Redemption to the Owners entitled to it upon surrender by them of called American Depositary Shares in accordance with Section 2.5 of the Deposit Agreement (and, for the avoidance of doubt, Owners shall not be entitled to receive that money under Section 4.1 of the Deposit Agreement). If the Redemption affects less than all the Deposited Securities, the Depositary shall call for surrender a corresponding portion of the outstanding American Depositary Shares and only those American Depositary Shares will automatically be converted into a right to receive the net proceeds of the Redemption. The Depositary shall allocate the American Depositary Shares converted under the preceding sentence among the Owners pro-rata to their respective holdings of American Depositary Shares immediately prior to the Redemption, except that the allocations may be adjusted so that no fraction of a converted American Depositary Share is allocated to any Owner. A Redemption of all or substantially all of the Deposited Securities shall be a Termination Option Event.</w:t>
      </w:r>
    </w:p>
    <w:p>
      <w:pPr>
        <w:pStyle w:val="TextBody"/>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(c)    If the Depositary is notified of or there occurs any change in nominal value or any subdivision, combination or any other reclassification of the Deposited Securities or any recapitalization, reorganization, sale of assets substantially as an entirety, merger or consolidation affecting the issuer of the Deposited Securities or to which it is a party that is mandatory and binding on the Depositary as a holder of Deposited Securities and, as a result, securities or other property have been or will be delivered in exchange, conversion, replacement or in lieu of, Deposited Securities (a “Replacement”), the Depositary shall, if required, surrender the old Deposited Securities affected by that Replacement of Shares and hold, as new Deposited Securities under the Deposit Agreement, the new securities or other property delivered to it in that Replacement. However, the Depositary may elect to sell those new Deposited Securities if in the reasonable opinion of the Depositary it is not lawful or not practical for it to hold those new Deposited Securities under the Deposit Agreement because those new Deposited Securities may not be distributed to Owners without registration under the Securities Act of 1933 or for any other reason, at public or private sale, at such places and on such terms as it reasonably deems proper and proceed as if those new Deposited Securities had been Redeemed under paragraph (b) above. A Replacement shall be a Termination Option Event. </w:t>
      </w:r>
    </w:p>
    <w:p>
      <w:pPr>
        <w:pStyle w:val="TextBody"/>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(d)    In the case of a Replacement where the new Deposited Securities will continue to be held under the Deposit Agreement, the Depositary may call for the surrender of outstanding Receipts to be exchanged for new Receipts specifically describing the new Deposited Securities and the number of those new Deposited Securities represented by each American Depositary Share. If the number of Shares represented by each American Depositary Share decreases as a result of a Replacement, the Depositary may call for surrender of the American Depositary Shares to be exchanged on a mandatory basis for a lesser number of American Depositary Shares and may sell </w:t>
      </w:r>
      <w:r>
        <w:br w:type="page"/>
      </w:r>
    </w:p>
    <w:p>
      <w:pPr>
        <w:pStyle w:val="TextBody"/>
        <w:spacing w:before="120" w:after="240"/>
        <w:jc w:val="center"/>
        <w:rPr/>
      </w:pPr>
      <w:r>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6480175" cy="327660"/>
                <wp:effectExtent l="0" t="0" r="0" b="0"/>
                <wp:wrapNone/>
                <wp:docPr id="297" name="Frame295"/>
                <a:graphic xmlns:a="http://schemas.openxmlformats.org/drawingml/2006/main">
                  <a:graphicData uri="http://schemas.microsoft.com/office/word/2010/wordprocessingShape">
                    <wps:wsp>
                      <wps:cNvSpPr txBox="1"/>
                      <wps:spPr>
                        <a:xfrm>
                          <a:off x="0" y="0"/>
                          <a:ext cx="6480175" cy="327660"/>
                        </a:xfrm>
                        <a:prstGeom prst="rect"/>
                      </wps:spPr>
                      <wps:txbx>
                        <w:txbxContent>
                          <w:p>
                            <w:pPr>
                              <w:pStyle w:val="TextBody"/>
                              <w:spacing w:lineRule="auto" w:line="288" w:before="24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A-17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spacing w:lineRule="auto" w:line="288" w:before="24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A-17</w:t>
                      </w:r>
                    </w:p>
                  </w:txbxContent>
                </v:textbox>
              </v:rect>
            </w:pict>
          </mc:Fallback>
        </mc:AlternateContent>
      </w:r>
    </w:p>
    <w:p>
      <w:pPr>
        <w:pStyle w:val="TextBody"/>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American Depositary Shares to the extent necessary to avoid distributing fractions of American Depositary Shares in that exchange and distribute the net proceeds of that sale, as promptly as practicable, to the Owners entitled to them.</w:t>
      </w:r>
    </w:p>
    <w:p>
      <w:pPr>
        <w:pStyle w:val="TextBody"/>
        <w:spacing w:lineRule="auto" w:line="288" w:before="0" w:after="240"/>
        <w:ind w:left="0" w:right="0" w:firstLine="720"/>
        <w:jc w:val="both"/>
        <w:rPr/>
      </w:pPr>
      <w:r>
        <w:rPr>
          <w:rFonts w:ascii="Times New Roman;sans-serif" w:hAnsi="Times New Roman;sans-serif"/>
          <w:b w:val="false"/>
          <w:color w:val="000000"/>
          <w:sz w:val="24"/>
        </w:rPr>
        <w:t xml:space="preserve">(e)    If there are no Deposited Securities with respect to American Depositary Shares, including if the Deposited Securities are cancelled, or the Deposited Securities with respect to American Depositary Shares become apparently worthless, the Depositary may call for surrender of those American Depositary Shares or may cancel those American Depositary Shares, upon notice to Owners, and that condition shall be a </w:t>
      </w:r>
      <w:r>
        <w:rPr>
          <w:rFonts w:ascii="Times New Roman;sans-serif" w:hAnsi="Times New Roman;sans-serif"/>
          <w:b w:val="false"/>
          <w:color w:val="000000"/>
          <w:sz w:val="24"/>
          <w:u w:val="single"/>
        </w:rPr>
        <w:t>Termination Option Event</w:t>
      </w:r>
      <w:r>
        <w:rPr>
          <w:rFonts w:ascii="Times New Roman;sans-serif" w:hAnsi="Times New Roman;sans-serif"/>
          <w:b w:val="false"/>
          <w:color w:val="000000"/>
          <w:sz w:val="24"/>
        </w:rPr>
        <w:t>.</w:t>
      </w:r>
    </w:p>
    <w:p>
      <w:pPr>
        <w:pStyle w:val="TextBody"/>
        <w:spacing w:lineRule="auto" w:line="288" w:before="0" w:after="240"/>
        <w:ind w:left="0" w:right="0" w:hanging="318"/>
        <w:jc w:val="both"/>
        <w:rPr/>
      </w:pPr>
      <w:r>
        <w:rPr>
          <w:rFonts w:ascii="Times New Roman;sans-serif" w:hAnsi="Times New Roman;sans-serif"/>
          <w:b w:val="false"/>
          <w:color w:val="000000"/>
          <w:sz w:val="24"/>
        </w:rPr>
        <w:t>18.</w:t>
      </w:r>
      <w:r>
        <w:rPr>
          <w:color w:val="000000"/>
        </w:rPr>
        <w:t>    </w:t>
      </w:r>
      <w:r>
        <w:rPr>
          <w:rFonts w:ascii="Times New Roman;sans-serif" w:hAnsi="Times New Roman;sans-serif"/>
          <w:b w:val="false"/>
          <w:color w:val="000000"/>
          <w:sz w:val="24"/>
        </w:rPr>
        <w:t>LIABILITY OF THE COMPANY AND DEPOSITARY.</w:t>
      </w:r>
    </w:p>
    <w:p>
      <w:pPr>
        <w:pStyle w:val="TextBody"/>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Neither the Depositary nor the Company nor any of their respective directors, employees, agents or affiliates shall incur any liability to any Owner or Holder: </w:t>
      </w:r>
    </w:p>
    <w:p>
      <w:pPr>
        <w:pStyle w:val="TextBody"/>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 if by reason of (A) any provision of any present or future law or regulation or other act of the government of the United States, any State of the United States or any other state or jurisdiction, or of any governmental or regulatory authority or stock exchange; (B) (in the case of the Depositary only) any provision, present or future, of the articles of association or similar document of the Company, or by reason of any provision of any securities issued or distributed by the Company, or any offering or distribution thereof; or (C) any event or circumstance, whether natural or caused by a person or persons, that is beyond the ability of the Depositary or the Company, as the case may be, to prevent or counteract by reasonable care or effort (including, but not limited to earthquakes, floods, severe storms, fires, explosions, war, terrorism, civil unrest, labor disputes, criminal acts or outbreaks of infectious disease; interruptions or malfunctions of utility services, Internet or other communications lines or systems; unauthorized access to or attacks on computer systems or websites; or other failures or malfunctions of computer hardware or software or other systems or equipment), the Depositary or the Company is, directly or indirectly, prevented from, forbidden to or delayed in, or could be subject to any civil or criminal penalty on account of doing or performing and therefore does not do or perform, any act or thing that, by the terms of the Deposit Agreement or the Deposited Securities, it is provided shall be done or performed;</w:t>
      </w:r>
    </w:p>
    <w:p>
      <w:pPr>
        <w:pStyle w:val="TextBody"/>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(ii) for any exercise of, or failure to exercise, any discretion provided for in the Deposit Agreement (including any determination by the Depositary or the Company, to take, or not take, any action that the Deposit Agreement provides the Depositary or the Company, as the case may be, may take); </w:t>
      </w:r>
    </w:p>
    <w:p>
      <w:pPr>
        <w:pStyle w:val="TextBody"/>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(iii) for the inability of any Owner or Holder to benefit from any distribution, offering, right or other benefit that is made available to holders of Deposited Securities </w:t>
      </w:r>
      <w:r>
        <w:br w:type="page"/>
      </w:r>
    </w:p>
    <w:p>
      <w:pPr>
        <w:pStyle w:val="TextBody"/>
        <w:spacing w:before="120" w:after="240"/>
        <w:jc w:val="center"/>
        <w:rPr/>
      </w:pPr>
      <w:r>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6480175" cy="327660"/>
                <wp:effectExtent l="0" t="0" r="0" b="0"/>
                <wp:wrapNone/>
                <wp:docPr id="298" name="Frame296"/>
                <a:graphic xmlns:a="http://schemas.openxmlformats.org/drawingml/2006/main">
                  <a:graphicData uri="http://schemas.microsoft.com/office/word/2010/wordprocessingShape">
                    <wps:wsp>
                      <wps:cNvSpPr txBox="1"/>
                      <wps:spPr>
                        <a:xfrm>
                          <a:off x="0" y="0"/>
                          <a:ext cx="6480175" cy="327660"/>
                        </a:xfrm>
                        <a:prstGeom prst="rect"/>
                      </wps:spPr>
                      <wps:txbx>
                        <w:txbxContent>
                          <w:p>
                            <w:pPr>
                              <w:pStyle w:val="TextBody"/>
                              <w:spacing w:lineRule="auto" w:line="288" w:before="24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A-18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spacing w:lineRule="auto" w:line="288" w:before="24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A-18</w:t>
                      </w:r>
                    </w:p>
                  </w:txbxContent>
                </v:textbox>
              </v:rect>
            </w:pict>
          </mc:Fallback>
        </mc:AlternateContent>
      </w:r>
    </w:p>
    <w:p>
      <w:pPr>
        <w:pStyle w:val="TextBody"/>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but is not, under the terms of the Deposit Agreement, made available to Owners or Holders; or </w:t>
      </w:r>
    </w:p>
    <w:p>
      <w:pPr>
        <w:pStyle w:val="TextBody"/>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(iv) for any special, consequential or punitive damages for any breach of the terms of the Deposit Agreement. </w:t>
      </w:r>
    </w:p>
    <w:p>
      <w:pPr>
        <w:pStyle w:val="TextBody"/>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Where, by the terms of a distribution to which Section 4.1, 4.2 or 4.3 of the Deposit Agreement applies, or an offering to which Section 4.4 of the Deposit Agreement applies, or for any other reason, that distribution or offering may not be made available to Owners, and the Depositary may not dispose of that distribution or offering on behalf of Owners and make the net proceeds available to Owners, then the Depositary shall not make that distribution or offering available to Owners, and shall allow any rights, if applicable, to lapse.</w:t>
      </w:r>
    </w:p>
    <w:p>
      <w:pPr>
        <w:pStyle w:val="TextBody"/>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Neither the Company nor the Depositary assumes any obligation or shall be subject to any liability under the Deposit Agreement to Owners or Holders, except that they agree to perform their obligations specifically set forth in the Deposit Agreement without negligence or bad faith. The Depositary shall not be a fiduciary or have any fiduciary duty to Owners or Holders. The Depositary shall not be subject to any liability with respect to the validity or worth of the Deposited Securities. Neither the Depositary nor the Company shall be under any obligation to appear in, prosecute or defend any action, suit, or other proceeding in respect of any Deposited Securities or in respect of the American Depositary Shares, on behalf of any Owner or Holder or other person. Neither the Depositary nor the Company shall be liable for any action or non-action by it in reliance upon the advice of or information from legal counsel, accountants, any person presenting Shares for deposit, any Owner or Holder, or any other person believed by it in good faith to be competent to give such advice or information. Each of the Depositary and the Company may rely, and shall be protected in relying upon, any written notice, request, direction or other document believed by it to be genuine and to have been signed or presented by the proper party or parties. The Depositary shall not be liable for any acts or omissions made by a successor depositary whether in connection with a previous act or omission of the Depositary or in connection with a matter arising wholly after the removal or resignation of the Depositary, provided that in connection with the issue out of which such potential liability arises, the Depositary performed its obligations without negligence or bad faith while it acted as Depositary. The Depositary shall not be liable for the acts or omissions of any securities depository, clearing agency or settlement system in connection with or arising out of book-entry settlement of American Depositary Shares or Deposited Securities or otherwise. In the absence of bad faith on its part, the Depositary shall not be responsible for any failure to carry out any instructions to vote any of the Deposited Securities or for the manner in which any such vote is cast or the effect of any such vote. The Depositary shall have no duty to make any determination or provide any information as to the tax status of the Company. Neither the Depositary nor the Company shall have any liability for any tax consequences that may be incurred </w:t>
      </w:r>
      <w:r>
        <w:br w:type="page"/>
      </w:r>
    </w:p>
    <w:p>
      <w:pPr>
        <w:pStyle w:val="TextBody"/>
        <w:spacing w:before="120" w:after="240"/>
        <w:jc w:val="center"/>
        <w:rPr/>
      </w:pPr>
      <w:r>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6480175" cy="327660"/>
                <wp:effectExtent l="0" t="0" r="0" b="0"/>
                <wp:wrapNone/>
                <wp:docPr id="299" name="Frame297"/>
                <a:graphic xmlns:a="http://schemas.openxmlformats.org/drawingml/2006/main">
                  <a:graphicData uri="http://schemas.microsoft.com/office/word/2010/wordprocessingShape">
                    <wps:wsp>
                      <wps:cNvSpPr txBox="1"/>
                      <wps:spPr>
                        <a:xfrm>
                          <a:off x="0" y="0"/>
                          <a:ext cx="6480175" cy="327660"/>
                        </a:xfrm>
                        <a:prstGeom prst="rect"/>
                      </wps:spPr>
                      <wps:txbx>
                        <w:txbxContent>
                          <w:p>
                            <w:pPr>
                              <w:pStyle w:val="TextBody"/>
                              <w:spacing w:lineRule="auto" w:line="288" w:before="24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A-19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spacing w:lineRule="auto" w:line="288" w:before="24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A-19</w:t>
                      </w:r>
                    </w:p>
                  </w:txbxContent>
                </v:textbox>
              </v:rect>
            </w:pict>
          </mc:Fallback>
        </mc:AlternateContent>
      </w:r>
    </w:p>
    <w:p>
      <w:pPr>
        <w:pStyle w:val="TextBody"/>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by Owners or Holders as a result of owning or holding American Depositary Shares. Neither the Depositary nor the Company shall be liable for the inability or failure of an Owner or Holder to obtain the benefit of a foreign tax credit, reduced rate of withholding or refund of amounts withheld in respect of tax or any other tax benefit. No disclaimer of liability under the United States federal securities laws is intended by any provision of the Deposit Agreement.</w:t>
      </w:r>
    </w:p>
    <w:p>
      <w:pPr>
        <w:pStyle w:val="TextBody"/>
        <w:spacing w:lineRule="auto" w:line="288" w:before="0" w:after="240"/>
        <w:ind w:left="0" w:right="0" w:hanging="318"/>
        <w:jc w:val="both"/>
        <w:rPr/>
      </w:pPr>
      <w:r>
        <w:rPr>
          <w:rFonts w:ascii="Times New Roman;sans-serif" w:hAnsi="Times New Roman;sans-serif"/>
          <w:b w:val="false"/>
          <w:color w:val="000000"/>
          <w:sz w:val="24"/>
        </w:rPr>
        <w:t>19.</w:t>
      </w:r>
      <w:r>
        <w:rPr>
          <w:color w:val="000000"/>
        </w:rPr>
        <w:t>    </w:t>
      </w:r>
      <w:r>
        <w:rPr>
          <w:rFonts w:ascii="Times New Roman;sans-serif" w:hAnsi="Times New Roman;sans-serif"/>
          <w:b w:val="false"/>
          <w:color w:val="000000"/>
          <w:sz w:val="24"/>
        </w:rPr>
        <w:t>RESIGNATION AND REMOVAL OF THE DEPOSITARY; APPOINTMENT OF SUCCESSOR CUSTODIAN.</w:t>
      </w:r>
    </w:p>
    <w:p>
      <w:pPr>
        <w:pStyle w:val="TextBody"/>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Depositary may at any time resign as Depositary under the Deposit Agreement by written notice of its election so to do delivered to the Company, to become effective upon the appointment of a successor depositary and its acceptance of such appointment as provided in the Deposit Agreement. The Depositary may at any time be removed by the Company by 90 days’ prior written notice of that removal, to become effective upon the later of (i) the 90th day after delivery of the notice to the Depositary and (ii) the appointment of a successor depositary and its acceptance of its appointment as provided in the Deposit Agreement. The Depositary in its discretion may at any time appoint a substitute or additional custodian or custodians.</w:t>
      </w:r>
    </w:p>
    <w:p>
      <w:pPr>
        <w:pStyle w:val="TextBody"/>
        <w:spacing w:lineRule="auto" w:line="288" w:before="0" w:after="240"/>
        <w:ind w:left="0" w:right="0" w:hanging="318"/>
        <w:jc w:val="both"/>
        <w:rPr/>
      </w:pPr>
      <w:r>
        <w:rPr>
          <w:rFonts w:ascii="Times New Roman;sans-serif" w:hAnsi="Times New Roman;sans-serif"/>
          <w:b w:val="false"/>
          <w:color w:val="000000"/>
          <w:sz w:val="24"/>
        </w:rPr>
        <w:t>20.</w:t>
      </w:r>
      <w:r>
        <w:rPr>
          <w:color w:val="000000"/>
        </w:rPr>
        <w:t>    </w:t>
      </w:r>
      <w:r>
        <w:rPr>
          <w:rFonts w:ascii="Times New Roman;sans-serif" w:hAnsi="Times New Roman;sans-serif"/>
          <w:b w:val="false"/>
          <w:color w:val="000000"/>
          <w:sz w:val="24"/>
        </w:rPr>
        <w:t>AMENDMENT.</w:t>
      </w:r>
    </w:p>
    <w:p>
      <w:pPr>
        <w:pStyle w:val="TextBody"/>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form of the Receipts and any provisions of the Deposit Agreement may at any time and from time to time be amended by agreement between the Company and the Depositary without the consent of Owners or Holders in any respect which they may deem necessary or desirable. Any amendment that would impose or increase any fees or charges (other than taxes and other governmental charges, registration fees, cable (including SWIFT) or facsimile transmission costs, delivery costs or other such expenses), or that would otherwise prejudice any substantial existing right of Owners, shall, however, not become effective as to outstanding American Depositary Shares until the expiration of 30 days after notice of that amendment has been Disseminated to the Owners of outstanding American Depositary Shares. Every Owner and Holder, at the time any amendment so becomes effective, shall be deemed, by continuing to hold American Depositary Shares or any interest therein, to consent and agree to that amendment and to be bound by the Deposit Agreement as amended thereby. Upon the effectiveness of an amendment to the form of Receipt, including a change in the number of Shares represented by each American Depositary Share, the Depositary may call for surrender of Receipts to be replaced with new Receipts in the amended form or call for surrender of American Depositary Shares to effect that change of ratio. In no event shall any amendment impair the right of the Owner to surrender American Depositary Shares and receive delivery of the Deposited Securities represented thereby, except in order to comply with mandatory provisions of applicable law.</w:t>
      </w:r>
      <w:r>
        <w:br w:type="page"/>
      </w:r>
    </w:p>
    <w:p>
      <w:pPr>
        <w:pStyle w:val="TextBody"/>
        <w:spacing w:before="120" w:after="240"/>
        <w:jc w:val="center"/>
        <w:rPr/>
      </w:pPr>
      <w:r>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6480175" cy="327660"/>
                <wp:effectExtent l="0" t="0" r="0" b="0"/>
                <wp:wrapNone/>
                <wp:docPr id="300" name="Frame298"/>
                <a:graphic xmlns:a="http://schemas.openxmlformats.org/drawingml/2006/main">
                  <a:graphicData uri="http://schemas.microsoft.com/office/word/2010/wordprocessingShape">
                    <wps:wsp>
                      <wps:cNvSpPr txBox="1"/>
                      <wps:spPr>
                        <a:xfrm>
                          <a:off x="0" y="0"/>
                          <a:ext cx="6480175" cy="327660"/>
                        </a:xfrm>
                        <a:prstGeom prst="rect"/>
                      </wps:spPr>
                      <wps:txbx>
                        <w:txbxContent>
                          <w:p>
                            <w:pPr>
                              <w:pStyle w:val="TextBody"/>
                              <w:spacing w:lineRule="auto" w:line="288" w:before="24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A-20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spacing w:lineRule="auto" w:line="288" w:before="24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A-20</w:t>
                      </w:r>
                    </w:p>
                  </w:txbxContent>
                </v:textbox>
              </v:rect>
            </w:pict>
          </mc:Fallback>
        </mc:AlternateContent>
      </w:r>
    </w:p>
    <w:p>
      <w:pPr>
        <w:pStyle w:val="TextBody"/>
        <w:spacing w:lineRule="auto" w:line="288" w:before="0" w:after="240"/>
        <w:ind w:left="0" w:right="0" w:hanging="318"/>
        <w:jc w:val="both"/>
        <w:rPr/>
      </w:pPr>
      <w:r>
        <w:rPr>
          <w:rFonts w:ascii="Times New Roman;sans-serif" w:hAnsi="Times New Roman;sans-serif"/>
          <w:b w:val="false"/>
          <w:color w:val="000000"/>
          <w:sz w:val="24"/>
        </w:rPr>
        <w:t>21.</w:t>
      </w:r>
      <w:r>
        <w:rPr>
          <w:color w:val="000000"/>
        </w:rPr>
        <w:t>    </w:t>
      </w:r>
      <w:r>
        <w:rPr>
          <w:rFonts w:ascii="Times New Roman;sans-serif" w:hAnsi="Times New Roman;sans-serif"/>
          <w:b w:val="false"/>
          <w:color w:val="000000"/>
          <w:sz w:val="24"/>
        </w:rPr>
        <w:t>TERMINATION OF DEPOSIT AGREEMENT.</w:t>
      </w:r>
    </w:p>
    <w:p>
      <w:pPr>
        <w:pStyle w:val="TextBody"/>
        <w:spacing w:lineRule="auto" w:line="288" w:before="0" w:after="240"/>
        <w:ind w:left="0" w:right="0" w:firstLine="720"/>
        <w:jc w:val="both"/>
        <w:rPr/>
      </w:pPr>
      <w:r>
        <w:rPr>
          <w:rFonts w:ascii="Times New Roman;sans-serif" w:hAnsi="Times New Roman;sans-serif"/>
          <w:b w:val="false"/>
          <w:color w:val="000000"/>
          <w:sz w:val="24"/>
        </w:rPr>
        <w:t>(a)    The Company may initiate termination of the Deposit Agreement by notice to the Depositary. The Depositary may initiate termination of the Deposit Agreement if (i) at any time 60 days shall have expired after the Depositary delivered to the Company a written resignation notice and a successor depositary has not been appointed and accepted its appointment as provided in Section 5.4 of the Deposit Agreement or (ii) a Termination Option Event has occurred. If termination of the Deposit Agreement is initiated, the Depositary shall Disseminate a notice of termination to the Owners of all American Depositary Shares then outstanding setting a date for termination (the “</w:t>
      </w:r>
      <w:r>
        <w:rPr>
          <w:rFonts w:ascii="Times New Roman;sans-serif" w:hAnsi="Times New Roman;sans-serif"/>
          <w:b w:val="false"/>
          <w:color w:val="000000"/>
          <w:sz w:val="24"/>
          <w:u w:val="single"/>
        </w:rPr>
        <w:t>Termination Date</w:t>
      </w:r>
      <w:r>
        <w:rPr>
          <w:color w:val="000000"/>
        </w:rPr>
        <w:t>”</w:t>
      </w:r>
      <w:r>
        <w:rPr>
          <w:rFonts w:ascii="Times New Roman;sans-serif" w:hAnsi="Times New Roman;sans-serif"/>
          <w:b w:val="false"/>
          <w:color w:val="000000"/>
          <w:sz w:val="24"/>
        </w:rPr>
        <w:t xml:space="preserve">), which shall be at least 90 days after the date of that notice, and the Deposit Agreement shall terminate on that Termination Date. </w:t>
      </w:r>
    </w:p>
    <w:p>
      <w:pPr>
        <w:pStyle w:val="TextBody"/>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(b)    After the Termination Date, the Company shall be discharged from all obligations under the Deposit Agreement except for its obligations to the Depositary under Sections 5.8 and 5.9 of the Deposit Agreement. </w:t>
      </w:r>
    </w:p>
    <w:p>
      <w:pPr>
        <w:pStyle w:val="TextBody"/>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(c)    At any time after the Termination Date, the Depositary may sell the Deposited Securities then held under the Deposit Agreement and may thereafter hold uninvested the net proceeds of any such sale, together with any other cash then held by it hereunder, unsegregated and without liability for interest, for the pro rata benefit of the Owners of American Depositary Shares that remain outstanding, and those Owners will be general creditors of the Depositary with respect to those net proceeds and that other cash. After making that sale, the Depositary shall be discharged from all obligations under the Deposit Agreement, except (i) to account to the Owners for the net proceeds and other cash (after deducting, in each case, the fee of the Depositary for the surrender of American Depositary Shares, any expenses for the account of the Owner of such American Depositary Shares in accordance with the terms and conditions of the Deposit Agreement and any applicable taxes or governmental charges) and subject to paragraph (d) below pay them to Owners upon surrender of American Depositary Shares in accordance with Section 2.5 of the Deposit Agreement, and (ii) for its obligations under Section 5.8 of the Deposit Agreement and (iii) to act as provided in paragraph (d) below.</w:t>
      </w:r>
    </w:p>
    <w:p>
      <w:pPr>
        <w:pStyle w:val="TextBody"/>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(d)    After the Termination Date, if any American Depositary Shares shall remain outstanding, the Depositary shall continue to receive dividends and other distributions pertaining to Deposited Securities (that have not been sold), may sell rights and other property as provided in the Deposit Agreement and shall deliver Deposited Securities (or sale proceeds) upon surrender of American Depositary Shares (after payment or upon deduction, in each case, of the fee of the Depositary for the surrender of American Depositary Shares, any expenses for the account of the Owner of those American Depositary Shares in accordance with the terms and conditions of the Deposit Agreement and any applicable taxes or governmental charges). After the Termination Date, the Depositary shall not accept deposits of Shares or deliver American Depositary </w:t>
      </w:r>
      <w:r>
        <w:br w:type="page"/>
      </w:r>
    </w:p>
    <w:p>
      <w:pPr>
        <w:pStyle w:val="TextBody"/>
        <w:spacing w:before="120" w:after="240"/>
        <w:jc w:val="center"/>
        <w:rPr/>
      </w:pPr>
      <w:r>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6480175" cy="327660"/>
                <wp:effectExtent l="0" t="0" r="0" b="0"/>
                <wp:wrapNone/>
                <wp:docPr id="301" name="Frame299"/>
                <a:graphic xmlns:a="http://schemas.openxmlformats.org/drawingml/2006/main">
                  <a:graphicData uri="http://schemas.microsoft.com/office/word/2010/wordprocessingShape">
                    <wps:wsp>
                      <wps:cNvSpPr txBox="1"/>
                      <wps:spPr>
                        <a:xfrm>
                          <a:off x="0" y="0"/>
                          <a:ext cx="6480175" cy="327660"/>
                        </a:xfrm>
                        <a:prstGeom prst="rect"/>
                      </wps:spPr>
                      <wps:txbx>
                        <w:txbxContent>
                          <w:p>
                            <w:pPr>
                              <w:pStyle w:val="TextBody"/>
                              <w:spacing w:lineRule="auto" w:line="288" w:before="24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A-21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spacing w:lineRule="auto" w:line="288" w:before="24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A-21</w:t>
                      </w:r>
                    </w:p>
                  </w:txbxContent>
                </v:textbox>
              </v:rect>
            </w:pict>
          </mc:Fallback>
        </mc:AlternateContent>
      </w:r>
    </w:p>
    <w:p>
      <w:pPr>
        <w:pStyle w:val="TextBody"/>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Shares. After the Termination Date, (i) the Depositary may refuse to accept surrenders of American Depositary Shares for the purpose of withdrawal of Deposited Securities (that have not been sold) or reverse previously accepted surrenders of that kind that have not settled if in its judgment the requested withdrawal would materially interfere with its efforts to sell the Deposited Securities, (ii) the Depositary will not be required to deliver cash proceeds of the sale of Deposited Securities until all Deposited Securities have been sold and (iii) the Depositary may discontinue the registration of transfers of American Depositary Shares and suspend the distribution of dividends and other distributions on Deposited Securities to the Owners and need not give any further notices or perform any further acts under the Deposit Agreement except as provided in Section 6.2 of the Deposit Agreement.</w:t>
      </w:r>
    </w:p>
    <w:p>
      <w:pPr>
        <w:pStyle w:val="TextBody"/>
        <w:spacing w:lineRule="auto" w:line="288" w:before="0" w:after="240"/>
        <w:ind w:left="0" w:right="0" w:hanging="318"/>
        <w:jc w:val="both"/>
        <w:rPr/>
      </w:pPr>
      <w:r>
        <w:rPr>
          <w:rFonts w:ascii="Times New Roman;sans-serif" w:hAnsi="Times New Roman;sans-serif"/>
          <w:b w:val="false"/>
          <w:color w:val="000000"/>
          <w:sz w:val="24"/>
        </w:rPr>
        <w:t>22.</w:t>
      </w:r>
      <w:r>
        <w:rPr>
          <w:color w:val="000000"/>
        </w:rPr>
        <w:t>    </w:t>
      </w:r>
      <w:r>
        <w:rPr>
          <w:rFonts w:ascii="Times New Roman;sans-serif" w:hAnsi="Times New Roman;sans-serif"/>
          <w:b w:val="false"/>
          <w:color w:val="000000"/>
          <w:sz w:val="24"/>
        </w:rPr>
        <w:t>DTC DIRECT REGISTRATION SYSTEM AND PROFILE MODIFICATION SYSTEM.</w:t>
      </w:r>
    </w:p>
    <w:p>
      <w:pPr>
        <w:pStyle w:val="TextBody"/>
        <w:spacing w:lineRule="auto" w:line="288" w:before="0" w:after="240"/>
        <w:ind w:left="0" w:right="0" w:firstLine="720"/>
        <w:jc w:val="both"/>
        <w:rPr/>
      </w:pPr>
      <w:r>
        <w:rPr>
          <w:rFonts w:ascii="Times New Roman;sans-serif" w:hAnsi="Times New Roman;sans-serif"/>
          <w:b w:val="false"/>
          <w:color w:val="000000"/>
          <w:sz w:val="24"/>
        </w:rPr>
        <w:t>(a)    Notwithstanding the provisions of Section 2.4 of the Deposit Agreement, the parties acknowledge that DTC’s Direct Registration System (“</w:t>
      </w:r>
      <w:r>
        <w:rPr>
          <w:rFonts w:ascii="Times New Roman;sans-serif" w:hAnsi="Times New Roman;sans-serif"/>
          <w:b w:val="false"/>
          <w:color w:val="000000"/>
          <w:sz w:val="24"/>
          <w:u w:val="single"/>
        </w:rPr>
        <w:t>DRS</w:t>
      </w:r>
      <w:r>
        <w:rPr>
          <w:color w:val="000000"/>
        </w:rPr>
        <w:t>”</w:t>
      </w:r>
      <w:r>
        <w:rPr>
          <w:rFonts w:ascii="Times New Roman;sans-serif" w:hAnsi="Times New Roman;sans-serif"/>
          <w:b w:val="false"/>
          <w:color w:val="000000"/>
          <w:sz w:val="24"/>
        </w:rPr>
        <w:t>) and Profile Modification System (“</w:t>
      </w:r>
      <w:r>
        <w:rPr>
          <w:rFonts w:ascii="Times New Roman;sans-serif" w:hAnsi="Times New Roman;sans-serif"/>
          <w:b w:val="false"/>
          <w:color w:val="000000"/>
          <w:sz w:val="24"/>
          <w:u w:val="single"/>
        </w:rPr>
        <w:t>Profile</w:t>
      </w:r>
      <w:r>
        <w:rPr>
          <w:color w:val="000000"/>
        </w:rPr>
        <w:t>”</w:t>
      </w:r>
      <w:r>
        <w:rPr>
          <w:rFonts w:ascii="Times New Roman;sans-serif" w:hAnsi="Times New Roman;sans-serif"/>
          <w:b w:val="false"/>
          <w:color w:val="000000"/>
          <w:sz w:val="24"/>
        </w:rPr>
        <w:t>) apply to the American Depositary Shares upon acceptance thereof to DRS by DTC. DRS is the system administered by DTC that facilitates interchange between registered holding of uncertificated securities and holding of security entitlements in those securities through DTC and a DTC participant. Profile is a required feature of DRS that allows a DTC participant, claiming to act on behalf of an Owner of American Depositary Shares, to direct the Depositary to register a transfer of those American Depositary Shares to DTC or its nominee and to deliver those American Depositary Shares to the DTC account of that DTC participant without receipt by the Depositary of prior authorization from the Owner to register that transfer.</w:t>
      </w:r>
    </w:p>
    <w:p>
      <w:pPr>
        <w:pStyle w:val="TextBody"/>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(b)    In connection with DRS/Profile, the parties acknowledge that the Depositary will not determine whether the DTC participant that is claiming to be acting on behalf of an Owner in requesting registration of transfer and delivery as described in paragraph (a) above has the actual authority to act on behalf of that Owner (notwithstanding any requirements under the Uniform Commercial Code). For the avoidance of doubt, the provisions of Sections 5.3 and 5.8 of the Deposit Agreement apply to the matters arising from the use of the DRS/Profile. The parties agree that the Depositary’s reliance on and compliance with instructions received by the Depositary through the DRS/Profile system and otherwise in accordance with the Deposit Agreement, shall not constitute negligence or bad faith on the part of the Depositary.</w:t>
      </w:r>
    </w:p>
    <w:p>
      <w:pPr>
        <w:pStyle w:val="TextBody"/>
        <w:spacing w:lineRule="auto" w:line="288"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23.ARBITRATION; SETTLEMENT OF DISPUTES.</w:t>
      </w:r>
    </w:p>
    <w:p>
      <w:pPr>
        <w:pStyle w:val="TextBody"/>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Any controversy, claim or cause of action brought by any party hereto against the Company arising out of or relating to the Shares or other Deposited Securities, the American Depositary Shares, the Receipts or the Deposit Agreement, or the breach </w:t>
      </w:r>
      <w:r>
        <w:br w:type="page"/>
      </w:r>
    </w:p>
    <w:p>
      <w:pPr>
        <w:pStyle w:val="TextBody"/>
        <w:spacing w:before="120" w:after="240"/>
        <w:jc w:val="center"/>
        <w:rPr/>
      </w:pPr>
      <w:r>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6480175" cy="327660"/>
                <wp:effectExtent l="0" t="0" r="0" b="0"/>
                <wp:wrapNone/>
                <wp:docPr id="302" name="Frame300"/>
                <a:graphic xmlns:a="http://schemas.openxmlformats.org/drawingml/2006/main">
                  <a:graphicData uri="http://schemas.microsoft.com/office/word/2010/wordprocessingShape">
                    <wps:wsp>
                      <wps:cNvSpPr txBox="1"/>
                      <wps:spPr>
                        <a:xfrm>
                          <a:off x="0" y="0"/>
                          <a:ext cx="6480175" cy="327660"/>
                        </a:xfrm>
                        <a:prstGeom prst="rect"/>
                      </wps:spPr>
                      <wps:txbx>
                        <w:txbxContent>
                          <w:p>
                            <w:pPr>
                              <w:pStyle w:val="TextBody"/>
                              <w:spacing w:lineRule="auto" w:line="288" w:before="24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A-22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spacing w:lineRule="auto" w:line="288" w:before="24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A-22</w:t>
                      </w:r>
                    </w:p>
                  </w:txbxContent>
                </v:textbox>
              </v:rect>
            </w:pict>
          </mc:Fallback>
        </mc:AlternateContent>
      </w:r>
    </w:p>
    <w:p>
      <w:pPr>
        <w:pStyle w:val="TextBody"/>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hereof or thereof, if so elected by the claimant, shall be settled by arbitration in accordance with the International Arbitration Rules of the American Arbitration Association, and judgment upon the award rendered by the arbitrators may be entered in any court having jurisdiction thereof.</w:t>
      </w:r>
    </w:p>
    <w:p>
      <w:pPr>
        <w:pStyle w:val="TextBody"/>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place of the arbitration shall be The City of New York, State of New York, United States of America, and the language of the arbitration shall be English.</w:t>
      </w:r>
    </w:p>
    <w:p>
      <w:pPr>
        <w:pStyle w:val="TextBody"/>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number of arbitrators shall be three, each of whom shall be disinterested in the dispute or controversy, shall have no connection with any party thereto, and shall be an attorney experienced in international securities transactions. Each party shall appoint one arbitrator and the two arbitrators shall select a third arbitrator who shall serve as chairperson of the tribunal. If a dispute, controversy or cause of action shall involve more than two parties, the parties shall attempt to align themselves in two sides (i.e., claimant(s) and respondent(s)), each of which shall appoint one arbitrator as if there were only two parties to such dispute, controversy or cause of action. If such alignment and appointment shall not have occurred within thirty (30) calendar days after the initiating party serves the arbitration demand, the American Arbitration Association shall appoint the three arbitrators, each of whom shall have the qualifications described above. The parties and the American Arbitration Association may appoint from among the nationals of any country, whether or not a party is a national of that country.</w:t>
      </w:r>
    </w:p>
    <w:p>
      <w:pPr>
        <w:pStyle w:val="TextBody"/>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arbitral tribunal shall have no authority to award any consequential, special or punitive damages or other damages not measured by the prevailing party’s actual damages and may not, in any event, make any ruling, finding or award that does not conform to the terms and conditions of the Deposit Agreement.</w:t>
      </w:r>
    </w:p>
    <w:p>
      <w:pPr>
        <w:pStyle w:val="TextBody"/>
        <w:spacing w:lineRule="auto" w:line="288" w:before="0" w:after="240"/>
        <w:ind w:left="0" w:right="0" w:hanging="318"/>
        <w:jc w:val="both"/>
        <w:rPr/>
      </w:pPr>
      <w:r>
        <w:rPr>
          <w:rFonts w:ascii="Times New Roman;sans-serif" w:hAnsi="Times New Roman;sans-serif"/>
          <w:b w:val="false"/>
          <w:color w:val="000000"/>
          <w:sz w:val="24"/>
        </w:rPr>
        <w:t>24.</w:t>
      </w:r>
      <w:r>
        <w:rPr>
          <w:color w:val="000000"/>
        </w:rPr>
        <w:t>    </w:t>
      </w:r>
      <w:r>
        <w:rPr>
          <w:rFonts w:ascii="Times New Roman;sans-serif" w:hAnsi="Times New Roman;sans-serif"/>
          <w:b w:val="false"/>
          <w:color w:val="000000"/>
          <w:sz w:val="24"/>
        </w:rPr>
        <w:t>APPOINTMENT OF AGENT FOR SERVICE OF PROCESS; SUBMISSION TO JURISDICTION; JURY TRIAL WAIVER; WAIVER OF IMMUNITIES.</w:t>
      </w:r>
    </w:p>
    <w:p>
      <w:pPr>
        <w:pStyle w:val="TextBody"/>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Company has (i) appointed Agora Lab, Inc., 2804 Mission College Blvd., Suite 110, Santa Clara, California 95054 as the Company’s authorized agent in the United States upon which process may be served in any suit or proceeding (including any arbitration proceeding) arising out of or relating to the Shares or Deposited Securities, the American Depositary Shares, the Receipts or the Deposit Agreement, (ii) consented and submitted to the jurisdiction of any state or federal court in the State of New York in which any such suit or proceeding may be instituted, and (iii) agreed that service of process upon said authorized agent shall be deemed in every respect effective service of process upon the Company in any such suit or proceeding.</w:t>
      </w:r>
    </w:p>
    <w:p>
      <w:pPr>
        <w:pStyle w:val="TextBody"/>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EACH PARTY TO THE DEPOSIT AGREEMENT (INCLUDING, FOR AVOIDANCE OF DOUBT, EACH OWNER AND HOLDER) THEREBY IRREVOCABLY WAIVES, TO THE FULLEST EXTENT PERMITTED BY </w:t>
      </w:r>
      <w:r>
        <w:br w:type="page"/>
      </w:r>
    </w:p>
    <w:p>
      <w:pPr>
        <w:pStyle w:val="TextBody"/>
        <w:spacing w:before="120" w:after="240"/>
        <w:jc w:val="center"/>
        <w:rPr/>
      </w:pPr>
      <w:r>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6480175" cy="327660"/>
                <wp:effectExtent l="0" t="0" r="0" b="0"/>
                <wp:wrapNone/>
                <wp:docPr id="303" name="Frame301"/>
                <a:graphic xmlns:a="http://schemas.openxmlformats.org/drawingml/2006/main">
                  <a:graphicData uri="http://schemas.microsoft.com/office/word/2010/wordprocessingShape">
                    <wps:wsp>
                      <wps:cNvSpPr txBox="1"/>
                      <wps:spPr>
                        <a:xfrm>
                          <a:off x="0" y="0"/>
                          <a:ext cx="6480175" cy="327660"/>
                        </a:xfrm>
                        <a:prstGeom prst="rect"/>
                      </wps:spPr>
                      <wps:txbx>
                        <w:txbxContent>
                          <w:p>
                            <w:pPr>
                              <w:pStyle w:val="TextBody"/>
                              <w:spacing w:lineRule="auto" w:line="288" w:before="24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A-23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spacing w:lineRule="auto" w:line="288" w:before="24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A-23</w:t>
                      </w:r>
                    </w:p>
                  </w:txbxContent>
                </v:textbox>
              </v:rect>
            </w:pict>
          </mc:Fallback>
        </mc:AlternateContent>
      </w:r>
    </w:p>
    <w:p>
      <w:pPr>
        <w:pStyle w:val="TextBody"/>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APPLICABLE LAW, ANY RIGHT IT MAY HAVE TO A TRIAL BY JURY IN ANY SUIT, ACTION OR PROCEEDING AGAINST THE COMPANY AND/OR THE DEPOSITARY DIRECTLY OR INDIRECTLY ARISING OUT OF OR RELATING TO THE SHARES OR OTHER DEPOSITED SECURITIES, THE AMERICAN DEPOSITARY SHARES OR THE RECEIPTS, THE DEPOSIT AGREEMENT OR ANY TRANSACTION CONTEMPLATED HEREIN OR THEREIN, OR THE BREACH HEREOF OR THEREOF, INCLUDING, WITHOUT LIMITATION, ANY QUESTION REGARDING EXISTENCE, VALIDITY OR TERMINATION (WHETHER BASED ON CONTRACT, TORT OR ANY OTHER THEORY).</w:t>
      </w:r>
    </w:p>
    <w:p>
      <w:pPr>
        <w:pStyle w:val="TextBody"/>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To the extent that the Company or any of its properties, assets or revenues may have or hereafter become entitled to, or have attributed to it, any right of immunity, on the grounds of sovereignty or otherwise, from any legal action, suit or proceeding, from the giving of any relief in any respect thereof, from setoff or counterclaim, from the jurisdiction of any court, from service of process, from attachment upon or prior to judgment, from attachment in aid of execution or judgment, or other legal process or proceeding for the giving of any relief or for the enforcement of any judgment, in any jurisdiction in which proceedings may at any time be commenced, with respect to its obligations, liabilities or any other matter under or arising out of or in connection with the Shares or Deposited Securities, the American Depositary Shares, the Receipts or the Deposit Agreement, the Company, to the fullest extent permitted by law, hereby irrevocably and unconditionally waives, and agrees not to plead or claim, any such immunity and consents to such relief and enforcement.</w:t>
      </w:r>
    </w:p>
    <w:p>
      <w:pPr>
        <w:pStyle w:val="TextBody"/>
        <w:spacing w:before="0" w:after="240"/>
        <w:jc w:val="both"/>
        <w:rPr/>
      </w:pPr>
      <w:r>
        <w:rPr/>
      </w:r>
    </w:p>
    <w:p>
      <w:pPr>
        <w:pStyle w:val="TextBody"/>
        <w:spacing w:before="0" w:after="0"/>
        <w:jc w:val="both"/>
        <w:rPr/>
      </w:pPr>
      <w:r>
        <w:rPr/>
      </w:r>
    </w:p>
    <w:p>
      <w:pPr>
        <w:pStyle w:val="TextBody"/>
        <w:jc w:val="both"/>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120" w:after="240"/>
        <w:jc w:val="right"/>
        <w:rPr/>
      </w:pPr>
      <w:r>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6480175" cy="327660"/>
                <wp:effectExtent l="0" t="0" r="0" b="0"/>
                <wp:wrapNone/>
                <wp:docPr id="304" name="Frame302"/>
                <a:graphic xmlns:a="http://schemas.openxmlformats.org/drawingml/2006/main">
                  <a:graphicData uri="http://schemas.microsoft.com/office/word/2010/wordprocessingShape">
                    <wps:wsp>
                      <wps:cNvSpPr txBox="1"/>
                      <wps:spPr>
                        <a:xfrm>
                          <a:off x="0" y="0"/>
                          <a:ext cx="6480175" cy="327660"/>
                        </a:xfrm>
                        <a:prstGeom prst="rect"/>
                      </wps:spPr>
                      <wps:txbx>
                        <w:txbxContent>
                          <w:p>
                            <w:pPr>
                              <w:pStyle w:val="TextBody"/>
                              <w:spacing w:lineRule="auto" w:line="288" w:before="24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A-24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88" w:before="24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A-24</w:t>
                      </w:r>
                    </w:p>
                  </w:txbxContent>
                </v:textbox>
              </v:rect>
            </w:pict>
          </mc:Fallback>
        </mc:AlternateContent>
      </w:r>
    </w:p>
    <w:p>
      <w:pPr>
        <w:pStyle w:val="TextBody"/>
        <w:spacing w:before="0" w:after="1560"/>
        <w:jc w:val="center"/>
        <w:rPr/>
      </w:pPr>
      <w:r>
        <w:rPr/>
        <w:drawing>
          <wp:inline distT="0" distB="63500" distL="0" distR="0">
            <wp:extent cx="5486400" cy="285750"/>
            <wp:effectExtent l="0" t="0" r="0" b="0"/>
            <wp:docPr id="305"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5" name="Image3" descr=""/>
                    <pic:cNvPicPr>
                      <a:picLocks noChangeAspect="1" noChangeArrowheads="1"/>
                    </pic:cNvPicPr>
                  </pic:nvPicPr>
                  <pic:blipFill>
                    <a:blip r:embed="rId65"/>
                    <a:stretch>
                      <a:fillRect/>
                    </a:stretch>
                  </pic:blipFill>
                  <pic:spPr bwMode="auto">
                    <a:xfrm>
                      <a:off x="0" y="0"/>
                      <a:ext cx="5486400" cy="285750"/>
                    </a:xfrm>
                    <a:prstGeom prst="rect">
                      <a:avLst/>
                    </a:prstGeom>
                  </pic:spPr>
                </pic:pic>
              </a:graphicData>
            </a:graphic>
          </wp:inline>
        </w:drawing>
      </w:r>
    </w:p>
    <w:p>
      <w:pPr>
        <w:pStyle w:val="TextBody"/>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w:t>
      </w:r>
    </w:p>
    <w:p>
      <w:pPr>
        <w:pStyle w:val="TextBody"/>
        <w:spacing w:lineRule="auto" w:line="288" w:before="0" w:after="480"/>
        <w:jc w:val="center"/>
        <w:rPr>
          <w:rFonts w:ascii="Times New Roman;sans-serif" w:hAnsi="Times New Roman;sans-serif"/>
          <w:b w:val="false"/>
          <w:color w:val="000000"/>
          <w:sz w:val="24"/>
        </w:rPr>
      </w:pPr>
      <w:r>
        <w:rPr>
          <w:rFonts w:ascii="Times New Roman;sans-serif" w:hAnsi="Times New Roman;sans-serif"/>
          <w:b w:val="false"/>
          <w:color w:val="000000"/>
          <w:sz w:val="24"/>
        </w:rPr>
        <w:t>AGORA, INC.</w:t>
      </w:r>
    </w:p>
    <w:p>
      <w:pPr>
        <w:pStyle w:val="TextBody"/>
        <w:spacing w:lineRule="auto" w:line="288" w:before="0" w:after="480"/>
        <w:jc w:val="center"/>
        <w:rPr>
          <w:rFonts w:ascii="Times New Roman;sans-serif" w:hAnsi="Times New Roman;sans-serif"/>
          <w:b w:val="false"/>
          <w:color w:val="000000"/>
          <w:sz w:val="24"/>
        </w:rPr>
      </w:pPr>
      <w:r>
        <w:rPr>
          <w:rFonts w:ascii="Times New Roman;sans-serif" w:hAnsi="Times New Roman;sans-serif"/>
          <w:b w:val="false"/>
          <w:color w:val="000000"/>
          <w:sz w:val="24"/>
        </w:rPr>
        <w:t>AND</w:t>
      </w:r>
    </w:p>
    <w:p>
      <w:pPr>
        <w:pStyle w:val="TextBody"/>
        <w:spacing w:lineRule="auto" w:line="288"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THE BANK OF NEW YORK MELLON</w:t>
      </w:r>
    </w:p>
    <w:p>
      <w:pPr>
        <w:pStyle w:val="TextBody"/>
        <w:spacing w:lineRule="auto" w:line="288" w:before="0" w:after="480"/>
        <w:ind w:left="0" w:right="0" w:firstLine="5040"/>
        <w:jc w:val="center"/>
        <w:rPr>
          <w:rFonts w:ascii="Times New Roman;sans-serif" w:hAnsi="Times New Roman;sans-serif"/>
          <w:b w:val="false"/>
          <w:color w:val="000000"/>
          <w:sz w:val="24"/>
        </w:rPr>
      </w:pPr>
      <w:r>
        <w:rPr>
          <w:rFonts w:ascii="Times New Roman;sans-serif" w:hAnsi="Times New Roman;sans-serif"/>
          <w:b w:val="false"/>
          <w:color w:val="000000"/>
          <w:sz w:val="24"/>
        </w:rPr>
        <w:t>As Depositary</w:t>
      </w:r>
    </w:p>
    <w:p>
      <w:pPr>
        <w:pStyle w:val="TextBody"/>
        <w:spacing w:lineRule="auto" w:line="288" w:before="0" w:after="480"/>
        <w:jc w:val="center"/>
        <w:rPr>
          <w:rFonts w:ascii="Times New Roman;sans-serif" w:hAnsi="Times New Roman;sans-serif"/>
          <w:b w:val="false"/>
          <w:color w:val="000000"/>
          <w:sz w:val="24"/>
        </w:rPr>
      </w:pPr>
      <w:r>
        <w:rPr>
          <w:rFonts w:ascii="Times New Roman;sans-serif" w:hAnsi="Times New Roman;sans-serif"/>
          <w:b w:val="false"/>
          <w:color w:val="000000"/>
          <w:sz w:val="24"/>
        </w:rPr>
        <w:t>AND</w:t>
      </w:r>
    </w:p>
    <w:p>
      <w:pPr>
        <w:pStyle w:val="TextBody"/>
        <w:spacing w:lineRule="auto" w:line="288" w:before="0" w:after="600"/>
        <w:jc w:val="center"/>
        <w:rPr>
          <w:rFonts w:ascii="Times New Roman;sans-serif" w:hAnsi="Times New Roman;sans-serif"/>
          <w:b w:val="false"/>
          <w:color w:val="000000"/>
          <w:sz w:val="24"/>
        </w:rPr>
      </w:pPr>
      <w:r>
        <w:rPr>
          <w:rFonts w:ascii="Times New Roman;sans-serif" w:hAnsi="Times New Roman;sans-serif"/>
          <w:b w:val="false"/>
          <w:color w:val="000000"/>
          <w:sz w:val="24"/>
        </w:rPr>
        <w:t>OWNERS AND HOLDERS OF AMERICAN DEPOSITARY SHARES</w:t>
      </w:r>
    </w:p>
    <w:p>
      <w:pPr>
        <w:pStyle w:val="TextBody"/>
        <w:spacing w:lineRule="auto" w:line="288" w:before="0" w:after="600"/>
        <w:jc w:val="center"/>
        <w:rPr>
          <w:rFonts w:ascii="Times New Roman;sans-serif" w:hAnsi="Times New Roman;sans-serif"/>
          <w:b w:val="false"/>
          <w:color w:val="000000"/>
          <w:sz w:val="24"/>
        </w:rPr>
      </w:pPr>
      <w:r>
        <w:rPr>
          <w:rFonts w:ascii="Times New Roman;sans-serif" w:hAnsi="Times New Roman;sans-serif"/>
          <w:b w:val="false"/>
          <w:color w:val="000000"/>
          <w:sz w:val="24"/>
        </w:rPr>
        <w:t>Deposit Agreement</w:t>
      </w:r>
    </w:p>
    <w:p>
      <w:pPr>
        <w:pStyle w:val="TextBody"/>
        <w:spacing w:lineRule="auto" w:line="288" w:before="0" w:after="1560"/>
        <w:jc w:val="center"/>
        <w:rPr>
          <w:rFonts w:ascii="Times New Roman;sans-serif" w:hAnsi="Times New Roman;sans-serif"/>
          <w:b w:val="false"/>
          <w:color w:val="000000"/>
          <w:sz w:val="24"/>
        </w:rPr>
      </w:pPr>
      <w:r>
        <w:rPr>
          <w:rFonts w:ascii="Times New Roman;sans-serif" w:hAnsi="Times New Roman;sans-serif"/>
          <w:b w:val="false"/>
          <w:color w:val="000000"/>
          <w:sz w:val="24"/>
        </w:rPr>
        <w:t>June 25, 2020</w:t>
      </w:r>
    </w:p>
    <w:p>
      <w:pPr>
        <w:pStyle w:val="TextBody"/>
        <w:spacing w:lineRule="auto" w:line="288" w:before="0" w:after="0"/>
        <w:rPr>
          <w:rFonts w:ascii="Times New Roman;sans-serif" w:hAnsi="Times New Roman;sans-serif"/>
          <w:b w:val="false"/>
          <w:color w:val="000000"/>
          <w:sz w:val="24"/>
        </w:rPr>
      </w:pPr>
      <w:r>
        <w:rPr>
          <w:rFonts w:ascii="Times New Roman;sans-serif" w:hAnsi="Times New Roman;sans-serif"/>
          <w:b w:val="false"/>
          <w:color w:val="000000"/>
          <w:sz w:val="24"/>
        </w:rPr>
        <w:t>===============================================================</w:t>
      </w:r>
    </w:p>
    <w:p>
      <w:pPr>
        <w:pStyle w:val="TextBody"/>
        <w:spacing w:before="0" w:after="0"/>
        <w:rPr/>
      </w:pPr>
      <w:r>
        <w:rPr/>
      </w:r>
    </w:p>
    <w:p>
      <w:pPr>
        <w:pStyle w:val="TextBody"/>
        <w:spacing w:before="0" w:after="0"/>
        <w:jc w:val="both"/>
        <w:rPr/>
      </w:pPr>
      <w:r>
        <w:rPr/>
      </w:r>
    </w:p>
    <w:p>
      <w:pPr>
        <w:pStyle w:val="TextBody"/>
        <w:spacing w:before="0" w:after="0"/>
        <w:jc w:val="both"/>
        <w:rPr/>
      </w:pPr>
      <w:r>
        <w:rPr/>
      </w:r>
    </w:p>
    <w:p>
      <w:pPr>
        <w:pStyle w:val="TextBody"/>
        <w:spacing w:lineRule="auto" w:line="288" w:before="0" w:after="0"/>
        <w:jc w:val="both"/>
        <w:rPr>
          <w:color w:val="000000"/>
        </w:rPr>
      </w:pPr>
      <w:r>
        <w:rPr>
          <w:color w:val="000000"/>
        </w:rPr>
        <w:t>    </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120" w:after="240"/>
        <w:jc w:val="center"/>
        <w:rPr/>
      </w:pPr>
      <w:r>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6480175" cy="327660"/>
                <wp:effectExtent l="0" t="0" r="0" b="0"/>
                <wp:wrapNone/>
                <wp:docPr id="306" name="Frame303"/>
                <a:graphic xmlns:a="http://schemas.openxmlformats.org/drawingml/2006/main">
                  <a:graphicData uri="http://schemas.microsoft.com/office/word/2010/wordprocessingShape">
                    <wps:wsp>
                      <wps:cNvSpPr txBox="1"/>
                      <wps:spPr>
                        <a:xfrm>
                          <a:off x="0" y="0"/>
                          <a:ext cx="6480175" cy="327660"/>
                        </a:xfrm>
                        <a:prstGeom prst="rect"/>
                      </wps:spPr>
                      <wps:txbx>
                        <w:txbxContent>
                          <w:p>
                            <w:pPr>
                              <w:pStyle w:val="TextBody"/>
                              <w:spacing w:before="240" w:after="283"/>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spacing w:before="240" w:after="283"/>
                        <w:jc w:val="both"/>
                        <w:rPr/>
                      </w:pPr>
                      <w:r>
                        <w:rPr/>
                      </w:r>
                    </w:p>
                  </w:txbxContent>
                </v:textbox>
              </v:rect>
            </w:pict>
          </mc:Fallback>
        </mc:AlternateContent>
      </w:r>
    </w:p>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TABLE OF CONTENTS</w:t>
      </w:r>
    </w:p>
    <w:tbl>
      <w:tblPr>
        <w:tblW w:w="10205" w:type="dxa"/>
        <w:jc w:val="left"/>
        <w:tblInd w:w="0" w:type="dxa"/>
        <w:tblCellMar>
          <w:top w:w="28" w:type="dxa"/>
          <w:left w:w="28" w:type="dxa"/>
          <w:bottom w:w="28" w:type="dxa"/>
          <w:right w:w="28" w:type="dxa"/>
        </w:tblCellMar>
      </w:tblPr>
      <w:tblGrid>
        <w:gridCol w:w="3553"/>
        <w:gridCol w:w="3127"/>
        <w:gridCol w:w="3133"/>
        <w:gridCol w:w="114"/>
        <w:gridCol w:w="114"/>
        <w:gridCol w:w="164"/>
      </w:tblGrid>
      <w:tr>
        <w:trPr/>
        <w:tc>
          <w:tcPr>
            <w:tcW w:w="3553" w:type="dxa"/>
            <w:tcBorders/>
            <w:shd w:fill="auto" w:val="clear"/>
            <w:vAlign w:val="center"/>
          </w:tcPr>
          <w:p>
            <w:pPr>
              <w:pStyle w:val="TableContents"/>
              <w:spacing w:before="0" w:after="283"/>
              <w:rPr>
                <w:sz w:val="4"/>
                <w:szCs w:val="4"/>
              </w:rPr>
            </w:pPr>
            <w:r>
              <w:rPr>
                <w:sz w:val="4"/>
                <w:szCs w:val="4"/>
              </w:rPr>
            </w:r>
          </w:p>
        </w:tc>
        <w:tc>
          <w:tcPr>
            <w:tcW w:w="3127" w:type="dxa"/>
            <w:tcBorders/>
            <w:shd w:fill="auto" w:val="clear"/>
            <w:vAlign w:val="center"/>
          </w:tcPr>
          <w:p>
            <w:pPr>
              <w:pStyle w:val="TableContents"/>
              <w:spacing w:before="0" w:after="283"/>
              <w:rPr>
                <w:sz w:val="4"/>
                <w:szCs w:val="4"/>
              </w:rPr>
            </w:pPr>
            <w:r>
              <w:rPr>
                <w:sz w:val="4"/>
                <w:szCs w:val="4"/>
              </w:rPr>
            </w:r>
          </w:p>
        </w:tc>
        <w:tc>
          <w:tcPr>
            <w:tcW w:w="3133"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r>
      <w:tr>
        <w:trPr/>
        <w:tc>
          <w:tcPr>
            <w:tcW w:w="9813"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w:anchor="i0d3f5b1a05824808a0c79fc0f3ab5fa4_211">
              <w:r>
                <w:rPr>
                  <w:rStyle w:val="InternetLink"/>
                  <w:rFonts w:ascii="Times New Roman;sans-serif" w:hAnsi="Times New Roman;sans-serif"/>
                  <w:b w:val="false"/>
                  <w:strike w:val="false"/>
                  <w:dstrike w:val="false"/>
                  <w:color w:val="000000"/>
                  <w:sz w:val="24"/>
                  <w:u w:val="none"/>
                  <w:effect w:val="none"/>
                </w:rPr>
                <w:t>ARTICLE 1.</w:t>
              </w:r>
            </w:hyperlink>
            <w:hyperlink w:anchor="i0d3f5b1a05824808a0c79fc0f3ab5fa4_211">
              <w:r>
                <w:rPr>
                  <w:rStyle w:val="InternetLink"/>
                  <w:strike w:val="false"/>
                  <w:dstrike w:val="false"/>
                  <w:color w:val="000000"/>
                  <w:u w:val="none"/>
                  <w:effect w:val="none"/>
                </w:rPr>
                <w:t>    </w:t>
              </w:r>
            </w:hyperlink>
            <w:hyperlink w:anchor="i0d3f5b1a05824808a0c79fc0f3ab5fa4_211">
              <w:r>
                <w:rPr>
                  <w:rStyle w:val="InternetLink"/>
                  <w:rFonts w:ascii="Times New Roman;sans-serif" w:hAnsi="Times New Roman;sans-serif"/>
                  <w:b w:val="false"/>
                  <w:strike w:val="false"/>
                  <w:dstrike w:val="false"/>
                  <w:color w:val="000000"/>
                  <w:sz w:val="24"/>
                  <w:u w:val="none"/>
                  <w:effect w:val="none"/>
                </w:rPr>
                <w:t>DEFINITIONS</w:t>
              </w:r>
            </w:hyperlink>
          </w:p>
        </w:tc>
        <w:tc>
          <w:tcPr>
            <w:tcW w:w="392"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w:anchor="i0d3f5b1a05824808a0c79fc0f3ab5fa4_211">
              <w:r>
                <w:rPr>
                  <w:rStyle w:val="InternetLink"/>
                  <w:rFonts w:ascii="Times New Roman;sans-serif" w:hAnsi="Times New Roman;sans-serif"/>
                  <w:b w:val="false"/>
                  <w:color w:val="000000"/>
                  <w:sz w:val="24"/>
                  <w:u w:val="single"/>
                </w:rPr>
                <w:t>1</w:t>
              </w:r>
            </w:hyperlink>
          </w:p>
        </w:tc>
      </w:tr>
      <w:tr>
        <w:trPr/>
        <w:tc>
          <w:tcPr>
            <w:tcW w:w="9813"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w:anchor="i0d3f5b1a05824808a0c79fc0f3ab5fa4_211">
              <w:r>
                <w:rPr>
                  <w:rStyle w:val="InternetLink"/>
                </w:rPr>
                <w:t xml:space="preserve">SECTION </w:t>
              </w:r>
            </w:hyperlink>
            <w:hyperlink w:anchor="i0d3f5b1a05824808a0c79fc0f3ab5fa4_211">
              <w:r>
                <w:rPr>
                  <w:rStyle w:val="InternetLink"/>
                </w:rPr>
                <w:t>1.1</w:t>
              </w:r>
            </w:hyperlink>
            <w:hyperlink w:anchor="i0d3f5b1a05824808a0c79fc0f3ab5fa4_211">
              <w:r>
                <w:rPr>
                  <w:rStyle w:val="InternetLink"/>
                </w:rPr>
                <w:t>.</w:t>
              </w:r>
            </w:hyperlink>
            <w:hyperlink w:anchor="i0d3f5b1a05824808a0c79fc0f3ab5fa4_211">
              <w:r>
                <w:rPr>
                  <w:rStyle w:val="InternetLink"/>
                  <w:strike w:val="false"/>
                  <w:dstrike w:val="false"/>
                  <w:color w:val="000000"/>
                  <w:u w:val="none"/>
                  <w:effect w:val="none"/>
                </w:rPr>
                <w:t>    </w:t>
              </w:r>
            </w:hyperlink>
            <w:hyperlink w:anchor="i0d3f5b1a05824808a0c79fc0f3ab5fa4_211">
              <w:r>
                <w:rPr>
                  <w:rStyle w:val="InternetLink"/>
                  <w:rFonts w:ascii="Times New Roman;sans-serif" w:hAnsi="Times New Roman;sans-serif"/>
                  <w:b w:val="false"/>
                  <w:strike w:val="false"/>
                  <w:dstrike w:val="false"/>
                  <w:color w:val="000000"/>
                  <w:sz w:val="24"/>
                  <w:u w:val="none"/>
                  <w:effect w:val="none"/>
                </w:rPr>
                <w:t>American Depositary Shares.</w:t>
              </w:r>
            </w:hyperlink>
          </w:p>
        </w:tc>
        <w:tc>
          <w:tcPr>
            <w:tcW w:w="392"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w:anchor="i0d3f5b1a05824808a0c79fc0f3ab5fa4_211">
              <w:r>
                <w:rPr>
                  <w:rStyle w:val="InternetLink"/>
                  <w:rFonts w:ascii="Times New Roman;sans-serif" w:hAnsi="Times New Roman;sans-serif"/>
                  <w:b w:val="false"/>
                  <w:color w:val="000000"/>
                  <w:sz w:val="24"/>
                  <w:u w:val="single"/>
                </w:rPr>
                <w:t>1</w:t>
              </w:r>
            </w:hyperlink>
          </w:p>
        </w:tc>
      </w:tr>
      <w:tr>
        <w:trPr/>
        <w:tc>
          <w:tcPr>
            <w:tcW w:w="9813"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w:anchor="i0d3f5b1a05824808a0c79fc0f3ab5fa4_211">
              <w:r>
                <w:rPr>
                  <w:rStyle w:val="InternetLink"/>
                </w:rPr>
                <w:t xml:space="preserve">SECTION </w:t>
              </w:r>
            </w:hyperlink>
            <w:hyperlink w:anchor="i0d3f5b1a05824808a0c79fc0f3ab5fa4_211">
              <w:r>
                <w:rPr>
                  <w:rStyle w:val="InternetLink"/>
                </w:rPr>
                <w:t>1.2</w:t>
              </w:r>
            </w:hyperlink>
            <w:hyperlink w:anchor="i0d3f5b1a05824808a0c79fc0f3ab5fa4_211">
              <w:r>
                <w:rPr>
                  <w:rStyle w:val="InternetLink"/>
                </w:rPr>
                <w:t>.</w:t>
              </w:r>
            </w:hyperlink>
            <w:hyperlink w:anchor="i0d3f5b1a05824808a0c79fc0f3ab5fa4_211">
              <w:r>
                <w:rPr>
                  <w:rStyle w:val="InternetLink"/>
                  <w:strike w:val="false"/>
                  <w:dstrike w:val="false"/>
                  <w:color w:val="000000"/>
                  <w:u w:val="none"/>
                  <w:effect w:val="none"/>
                </w:rPr>
                <w:t>    </w:t>
              </w:r>
            </w:hyperlink>
            <w:hyperlink w:anchor="i0d3f5b1a05824808a0c79fc0f3ab5fa4_211">
              <w:r>
                <w:rPr>
                  <w:rStyle w:val="InternetLink"/>
                  <w:rFonts w:ascii="Times New Roman;sans-serif" w:hAnsi="Times New Roman;sans-serif"/>
                  <w:b w:val="false"/>
                  <w:strike w:val="false"/>
                  <w:dstrike w:val="false"/>
                  <w:color w:val="000000"/>
                  <w:sz w:val="24"/>
                  <w:u w:val="none"/>
                  <w:effect w:val="none"/>
                </w:rPr>
                <w:t>Commission.</w:t>
              </w:r>
            </w:hyperlink>
          </w:p>
        </w:tc>
        <w:tc>
          <w:tcPr>
            <w:tcW w:w="392"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w:anchor="i0d3f5b1a05824808a0c79fc0f3ab5fa4_211">
              <w:r>
                <w:rPr>
                  <w:rStyle w:val="InternetLink"/>
                  <w:rFonts w:ascii="Times New Roman;sans-serif" w:hAnsi="Times New Roman;sans-serif"/>
                  <w:b w:val="false"/>
                  <w:color w:val="000000"/>
                  <w:sz w:val="24"/>
                  <w:u w:val="single"/>
                </w:rPr>
                <w:t>2</w:t>
              </w:r>
            </w:hyperlink>
          </w:p>
        </w:tc>
      </w:tr>
      <w:tr>
        <w:trPr/>
        <w:tc>
          <w:tcPr>
            <w:tcW w:w="9813"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w:anchor="i0d3f5b1a05824808a0c79fc0f3ab5fa4_211">
              <w:r>
                <w:rPr>
                  <w:rStyle w:val="InternetLink"/>
                </w:rPr>
                <w:t xml:space="preserve">SECTION </w:t>
              </w:r>
            </w:hyperlink>
            <w:hyperlink w:anchor="i0d3f5b1a05824808a0c79fc0f3ab5fa4_211">
              <w:r>
                <w:rPr>
                  <w:rStyle w:val="InternetLink"/>
                </w:rPr>
                <w:t>1.3</w:t>
              </w:r>
            </w:hyperlink>
            <w:hyperlink w:anchor="i0d3f5b1a05824808a0c79fc0f3ab5fa4_211">
              <w:r>
                <w:rPr>
                  <w:rStyle w:val="InternetLink"/>
                </w:rPr>
                <w:t>.</w:t>
              </w:r>
            </w:hyperlink>
            <w:hyperlink w:anchor="i0d3f5b1a05824808a0c79fc0f3ab5fa4_211">
              <w:r>
                <w:rPr>
                  <w:rStyle w:val="InternetLink"/>
                  <w:strike w:val="false"/>
                  <w:dstrike w:val="false"/>
                  <w:color w:val="000000"/>
                  <w:u w:val="none"/>
                  <w:effect w:val="none"/>
                </w:rPr>
                <w:t>    </w:t>
              </w:r>
            </w:hyperlink>
            <w:hyperlink w:anchor="i0d3f5b1a05824808a0c79fc0f3ab5fa4_211">
              <w:r>
                <w:rPr>
                  <w:rStyle w:val="InternetLink"/>
                  <w:rFonts w:ascii="Times New Roman;sans-serif" w:hAnsi="Times New Roman;sans-serif"/>
                  <w:b w:val="false"/>
                  <w:strike w:val="false"/>
                  <w:dstrike w:val="false"/>
                  <w:color w:val="000000"/>
                  <w:sz w:val="24"/>
                  <w:u w:val="none"/>
                  <w:effect w:val="none"/>
                </w:rPr>
                <w:t>Company.</w:t>
              </w:r>
            </w:hyperlink>
          </w:p>
        </w:tc>
        <w:tc>
          <w:tcPr>
            <w:tcW w:w="392"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w:anchor="i0d3f5b1a05824808a0c79fc0f3ab5fa4_211">
              <w:r>
                <w:rPr>
                  <w:rStyle w:val="InternetLink"/>
                  <w:rFonts w:ascii="Times New Roman;sans-serif" w:hAnsi="Times New Roman;sans-serif"/>
                  <w:b w:val="false"/>
                  <w:color w:val="000000"/>
                  <w:sz w:val="24"/>
                  <w:u w:val="single"/>
                </w:rPr>
                <w:t>2</w:t>
              </w:r>
            </w:hyperlink>
          </w:p>
        </w:tc>
      </w:tr>
      <w:tr>
        <w:trPr/>
        <w:tc>
          <w:tcPr>
            <w:tcW w:w="9813"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w:anchor="i0d3f5b1a05824808a0c79fc0f3ab5fa4_211">
              <w:r>
                <w:rPr>
                  <w:rStyle w:val="InternetLink"/>
                </w:rPr>
                <w:t xml:space="preserve">SECTION </w:t>
              </w:r>
            </w:hyperlink>
            <w:hyperlink w:anchor="i0d3f5b1a05824808a0c79fc0f3ab5fa4_211">
              <w:r>
                <w:rPr>
                  <w:rStyle w:val="InternetLink"/>
                </w:rPr>
                <w:t>1.4</w:t>
              </w:r>
            </w:hyperlink>
            <w:hyperlink w:anchor="i0d3f5b1a05824808a0c79fc0f3ab5fa4_211">
              <w:r>
                <w:rPr>
                  <w:rStyle w:val="InternetLink"/>
                </w:rPr>
                <w:t>.</w:t>
              </w:r>
            </w:hyperlink>
            <w:hyperlink w:anchor="i0d3f5b1a05824808a0c79fc0f3ab5fa4_211">
              <w:r>
                <w:rPr>
                  <w:rStyle w:val="InternetLink"/>
                  <w:strike w:val="false"/>
                  <w:dstrike w:val="false"/>
                  <w:color w:val="000000"/>
                  <w:u w:val="none"/>
                  <w:effect w:val="none"/>
                </w:rPr>
                <w:t>    </w:t>
              </w:r>
            </w:hyperlink>
            <w:hyperlink w:anchor="i0d3f5b1a05824808a0c79fc0f3ab5fa4_211">
              <w:r>
                <w:rPr>
                  <w:rStyle w:val="InternetLink"/>
                  <w:rFonts w:ascii="Times New Roman;sans-serif" w:hAnsi="Times New Roman;sans-serif"/>
                  <w:b w:val="false"/>
                  <w:strike w:val="false"/>
                  <w:dstrike w:val="false"/>
                  <w:color w:val="000000"/>
                  <w:sz w:val="24"/>
                  <w:u w:val="none"/>
                  <w:effect w:val="none"/>
                </w:rPr>
                <w:t>Custodian.</w:t>
              </w:r>
            </w:hyperlink>
          </w:p>
        </w:tc>
        <w:tc>
          <w:tcPr>
            <w:tcW w:w="392"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w:anchor="i0d3f5b1a05824808a0c79fc0f3ab5fa4_211">
              <w:r>
                <w:rPr>
                  <w:rStyle w:val="InternetLink"/>
                  <w:rFonts w:ascii="Times New Roman;sans-serif" w:hAnsi="Times New Roman;sans-serif"/>
                  <w:b w:val="false"/>
                  <w:color w:val="000000"/>
                  <w:sz w:val="24"/>
                  <w:u w:val="single"/>
                </w:rPr>
                <w:t>2</w:t>
              </w:r>
            </w:hyperlink>
          </w:p>
        </w:tc>
      </w:tr>
      <w:tr>
        <w:trPr/>
        <w:tc>
          <w:tcPr>
            <w:tcW w:w="9813"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w:anchor="i0d3f5b1a05824808a0c79fc0f3ab5fa4_211">
              <w:r>
                <w:rPr>
                  <w:rStyle w:val="InternetLink"/>
                  <w:rFonts w:ascii="Times New Roman;sans-serif" w:hAnsi="Times New Roman;sans-serif"/>
                  <w:b w:val="false"/>
                  <w:strike w:val="false"/>
                  <w:dstrike w:val="false"/>
                  <w:color w:val="000000"/>
                  <w:sz w:val="24"/>
                  <w:u w:val="none"/>
                  <w:effect w:val="none"/>
                </w:rPr>
                <w:t>SECTION 1.5.</w:t>
              </w:r>
            </w:hyperlink>
            <w:hyperlink w:anchor="i0d3f5b1a05824808a0c79fc0f3ab5fa4_211">
              <w:r>
                <w:rPr>
                  <w:rStyle w:val="InternetLink"/>
                  <w:strike w:val="false"/>
                  <w:dstrike w:val="false"/>
                  <w:color w:val="000000"/>
                  <w:u w:val="none"/>
                  <w:effect w:val="none"/>
                </w:rPr>
                <w:t>    </w:t>
              </w:r>
            </w:hyperlink>
            <w:hyperlink w:anchor="i0d3f5b1a05824808a0c79fc0f3ab5fa4_211">
              <w:r>
                <w:rPr>
                  <w:rStyle w:val="InternetLink"/>
                  <w:rFonts w:ascii="Times New Roman;sans-serif" w:hAnsi="Times New Roman;sans-serif"/>
                  <w:b w:val="false"/>
                  <w:strike w:val="false"/>
                  <w:dstrike w:val="false"/>
                  <w:color w:val="000000"/>
                  <w:sz w:val="24"/>
                  <w:u w:val="none"/>
                  <w:effect w:val="none"/>
                </w:rPr>
                <w:t>Deliver; Surrender.</w:t>
              </w:r>
            </w:hyperlink>
          </w:p>
        </w:tc>
        <w:tc>
          <w:tcPr>
            <w:tcW w:w="392"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w:anchor="i0d3f5b1a05824808a0c79fc0f3ab5fa4_211">
              <w:r>
                <w:rPr>
                  <w:rStyle w:val="InternetLink"/>
                  <w:rFonts w:ascii="Times New Roman;sans-serif" w:hAnsi="Times New Roman;sans-serif"/>
                  <w:b w:val="false"/>
                  <w:color w:val="000000"/>
                  <w:sz w:val="24"/>
                  <w:u w:val="single"/>
                </w:rPr>
                <w:t>2</w:t>
              </w:r>
            </w:hyperlink>
          </w:p>
        </w:tc>
      </w:tr>
      <w:tr>
        <w:trPr/>
        <w:tc>
          <w:tcPr>
            <w:tcW w:w="9813"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w:anchor="i0d3f5b1a05824808a0c79fc0f3ab5fa4_211">
              <w:r>
                <w:rPr>
                  <w:rStyle w:val="InternetLink"/>
                  <w:rFonts w:ascii="Times New Roman;sans-serif" w:hAnsi="Times New Roman;sans-serif"/>
                  <w:b w:val="false"/>
                  <w:strike w:val="false"/>
                  <w:dstrike w:val="false"/>
                  <w:color w:val="000000"/>
                  <w:sz w:val="24"/>
                  <w:u w:val="none"/>
                  <w:effect w:val="none"/>
                </w:rPr>
                <w:t>SECTION 1.6.</w:t>
              </w:r>
            </w:hyperlink>
            <w:hyperlink w:anchor="i0d3f5b1a05824808a0c79fc0f3ab5fa4_211">
              <w:r>
                <w:rPr>
                  <w:rStyle w:val="InternetLink"/>
                  <w:strike w:val="false"/>
                  <w:dstrike w:val="false"/>
                  <w:color w:val="000000"/>
                  <w:u w:val="none"/>
                  <w:effect w:val="none"/>
                </w:rPr>
                <w:t>    </w:t>
              </w:r>
            </w:hyperlink>
            <w:hyperlink w:anchor="i0d3f5b1a05824808a0c79fc0f3ab5fa4_211">
              <w:r>
                <w:rPr>
                  <w:rStyle w:val="InternetLink"/>
                  <w:rFonts w:ascii="Times New Roman;sans-serif" w:hAnsi="Times New Roman;sans-serif"/>
                  <w:b w:val="false"/>
                  <w:strike w:val="false"/>
                  <w:dstrike w:val="false"/>
                  <w:color w:val="000000"/>
                  <w:sz w:val="24"/>
                  <w:u w:val="none"/>
                  <w:effect w:val="none"/>
                </w:rPr>
                <w:t>Deposit Agreement.</w:t>
              </w:r>
            </w:hyperlink>
          </w:p>
        </w:tc>
        <w:tc>
          <w:tcPr>
            <w:tcW w:w="392"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w:anchor="i0d3f5b1a05824808a0c79fc0f3ab5fa4_211">
              <w:r>
                <w:rPr>
                  <w:rStyle w:val="InternetLink"/>
                  <w:rFonts w:ascii="Times New Roman;sans-serif" w:hAnsi="Times New Roman;sans-serif"/>
                  <w:b w:val="false"/>
                  <w:color w:val="000000"/>
                  <w:sz w:val="24"/>
                  <w:u w:val="single"/>
                </w:rPr>
                <w:t>3</w:t>
              </w:r>
            </w:hyperlink>
          </w:p>
        </w:tc>
      </w:tr>
      <w:tr>
        <w:trPr/>
        <w:tc>
          <w:tcPr>
            <w:tcW w:w="9813"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w:anchor="i0d3f5b1a05824808a0c79fc0f3ab5fa4_211">
              <w:r>
                <w:rPr>
                  <w:rStyle w:val="InternetLink"/>
                  <w:rFonts w:ascii="Times New Roman;sans-serif" w:hAnsi="Times New Roman;sans-serif"/>
                  <w:b w:val="false"/>
                  <w:strike w:val="false"/>
                  <w:dstrike w:val="false"/>
                  <w:color w:val="000000"/>
                  <w:sz w:val="24"/>
                  <w:u w:val="none"/>
                  <w:effect w:val="none"/>
                </w:rPr>
                <w:t>SECTION 1.7.</w:t>
              </w:r>
            </w:hyperlink>
            <w:hyperlink w:anchor="i0d3f5b1a05824808a0c79fc0f3ab5fa4_211">
              <w:r>
                <w:rPr>
                  <w:rStyle w:val="InternetLink"/>
                  <w:strike w:val="false"/>
                  <w:dstrike w:val="false"/>
                  <w:color w:val="000000"/>
                  <w:u w:val="none"/>
                  <w:effect w:val="none"/>
                </w:rPr>
                <w:t>    </w:t>
              </w:r>
            </w:hyperlink>
            <w:hyperlink w:anchor="i0d3f5b1a05824808a0c79fc0f3ab5fa4_211">
              <w:r>
                <w:rPr>
                  <w:rStyle w:val="InternetLink"/>
                  <w:rFonts w:ascii="Times New Roman;sans-serif" w:hAnsi="Times New Roman;sans-serif"/>
                  <w:b w:val="false"/>
                  <w:strike w:val="false"/>
                  <w:dstrike w:val="false"/>
                  <w:color w:val="000000"/>
                  <w:sz w:val="24"/>
                  <w:u w:val="none"/>
                  <w:effect w:val="none"/>
                </w:rPr>
                <w:t>Depositary; Depositary’s Office.</w:t>
              </w:r>
            </w:hyperlink>
          </w:p>
        </w:tc>
        <w:tc>
          <w:tcPr>
            <w:tcW w:w="392"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w:anchor="i0d3f5b1a05824808a0c79fc0f3ab5fa4_211">
              <w:r>
                <w:rPr>
                  <w:rStyle w:val="InternetLink"/>
                  <w:rFonts w:ascii="Times New Roman;sans-serif" w:hAnsi="Times New Roman;sans-serif"/>
                  <w:b w:val="false"/>
                  <w:color w:val="000000"/>
                  <w:sz w:val="24"/>
                  <w:u w:val="single"/>
                </w:rPr>
                <w:t>3</w:t>
              </w:r>
            </w:hyperlink>
          </w:p>
        </w:tc>
      </w:tr>
      <w:tr>
        <w:trPr/>
        <w:tc>
          <w:tcPr>
            <w:tcW w:w="9813"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w:anchor="i0d3f5b1a05824808a0c79fc0f3ab5fa4_211">
              <w:r>
                <w:rPr>
                  <w:rStyle w:val="InternetLink"/>
                  <w:rFonts w:ascii="Times New Roman;sans-serif" w:hAnsi="Times New Roman;sans-serif"/>
                  <w:b w:val="false"/>
                  <w:strike w:val="false"/>
                  <w:dstrike w:val="false"/>
                  <w:color w:val="000000"/>
                  <w:sz w:val="24"/>
                  <w:u w:val="none"/>
                  <w:effect w:val="none"/>
                </w:rPr>
                <w:t>SECTION 1.8.</w:t>
              </w:r>
            </w:hyperlink>
            <w:hyperlink w:anchor="i0d3f5b1a05824808a0c79fc0f3ab5fa4_211">
              <w:r>
                <w:rPr>
                  <w:rStyle w:val="InternetLink"/>
                  <w:strike w:val="false"/>
                  <w:dstrike w:val="false"/>
                  <w:color w:val="000000"/>
                  <w:u w:val="none"/>
                  <w:effect w:val="none"/>
                </w:rPr>
                <w:t>    </w:t>
              </w:r>
            </w:hyperlink>
            <w:hyperlink w:anchor="i0d3f5b1a05824808a0c79fc0f3ab5fa4_211">
              <w:r>
                <w:rPr>
                  <w:rStyle w:val="InternetLink"/>
                  <w:rFonts w:ascii="Times New Roman;sans-serif" w:hAnsi="Times New Roman;sans-serif"/>
                  <w:b w:val="false"/>
                  <w:strike w:val="false"/>
                  <w:dstrike w:val="false"/>
                  <w:color w:val="000000"/>
                  <w:sz w:val="24"/>
                  <w:u w:val="none"/>
                  <w:effect w:val="none"/>
                </w:rPr>
                <w:t>Deposited Securities.</w:t>
              </w:r>
            </w:hyperlink>
          </w:p>
        </w:tc>
        <w:tc>
          <w:tcPr>
            <w:tcW w:w="392"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w:anchor="i0d3f5b1a05824808a0c79fc0f3ab5fa4_211">
              <w:r>
                <w:rPr>
                  <w:rStyle w:val="InternetLink"/>
                  <w:rFonts w:ascii="Times New Roman;sans-serif" w:hAnsi="Times New Roman;sans-serif"/>
                  <w:b w:val="false"/>
                  <w:color w:val="000000"/>
                  <w:sz w:val="24"/>
                  <w:u w:val="single"/>
                </w:rPr>
                <w:t>3</w:t>
              </w:r>
            </w:hyperlink>
          </w:p>
        </w:tc>
      </w:tr>
      <w:tr>
        <w:trPr/>
        <w:tc>
          <w:tcPr>
            <w:tcW w:w="9813"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w:anchor="i0d3f5b1a05824808a0c79fc0f3ab5fa4_211">
              <w:r>
                <w:rPr>
                  <w:rStyle w:val="InternetLink"/>
                  <w:rFonts w:ascii="Times New Roman;sans-serif" w:hAnsi="Times New Roman;sans-serif"/>
                  <w:b w:val="false"/>
                  <w:strike w:val="false"/>
                  <w:dstrike w:val="false"/>
                  <w:color w:val="000000"/>
                  <w:sz w:val="24"/>
                  <w:u w:val="none"/>
                  <w:effect w:val="none"/>
                </w:rPr>
                <w:t>SECTION 1.9.</w:t>
              </w:r>
            </w:hyperlink>
            <w:hyperlink w:anchor="i0d3f5b1a05824808a0c79fc0f3ab5fa4_211">
              <w:r>
                <w:rPr>
                  <w:rStyle w:val="InternetLink"/>
                  <w:strike w:val="false"/>
                  <w:dstrike w:val="false"/>
                  <w:color w:val="000000"/>
                  <w:u w:val="none"/>
                  <w:effect w:val="none"/>
                </w:rPr>
                <w:t>    </w:t>
              </w:r>
            </w:hyperlink>
            <w:hyperlink w:anchor="i0d3f5b1a05824808a0c79fc0f3ab5fa4_211">
              <w:r>
                <w:rPr>
                  <w:rStyle w:val="InternetLink"/>
                  <w:rFonts w:ascii="Times New Roman;sans-serif" w:hAnsi="Times New Roman;sans-serif"/>
                  <w:b w:val="false"/>
                  <w:strike w:val="false"/>
                  <w:dstrike w:val="false"/>
                  <w:color w:val="000000"/>
                  <w:sz w:val="24"/>
                  <w:u w:val="none"/>
                  <w:effect w:val="none"/>
                </w:rPr>
                <w:t>Disseminate.</w:t>
              </w:r>
            </w:hyperlink>
          </w:p>
        </w:tc>
        <w:tc>
          <w:tcPr>
            <w:tcW w:w="392"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w:anchor="i0d3f5b1a05824808a0c79fc0f3ab5fa4_211">
              <w:r>
                <w:rPr>
                  <w:rStyle w:val="InternetLink"/>
                  <w:rFonts w:ascii="Times New Roman;sans-serif" w:hAnsi="Times New Roman;sans-serif"/>
                  <w:b w:val="false"/>
                  <w:color w:val="000000"/>
                  <w:sz w:val="24"/>
                  <w:u w:val="single"/>
                </w:rPr>
                <w:t>3</w:t>
              </w:r>
            </w:hyperlink>
          </w:p>
        </w:tc>
      </w:tr>
      <w:tr>
        <w:trPr/>
        <w:tc>
          <w:tcPr>
            <w:tcW w:w="9813"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w:anchor="i0d3f5b1a05824808a0c79fc0f3ab5fa4_211">
              <w:r>
                <w:rPr>
                  <w:rStyle w:val="InternetLink"/>
                  <w:rFonts w:ascii="Times New Roman;sans-serif" w:hAnsi="Times New Roman;sans-serif"/>
                  <w:b w:val="false"/>
                  <w:strike w:val="false"/>
                  <w:dstrike w:val="false"/>
                  <w:color w:val="000000"/>
                  <w:sz w:val="24"/>
                  <w:u w:val="none"/>
                  <w:effect w:val="none"/>
                </w:rPr>
                <w:t>SECTION 1.10.</w:t>
              </w:r>
            </w:hyperlink>
            <w:hyperlink w:anchor="i0d3f5b1a05824808a0c79fc0f3ab5fa4_211">
              <w:r>
                <w:rPr>
                  <w:rStyle w:val="InternetLink"/>
                  <w:strike w:val="false"/>
                  <w:dstrike w:val="false"/>
                  <w:color w:val="000000"/>
                  <w:u w:val="none"/>
                  <w:effect w:val="none"/>
                </w:rPr>
                <w:t>    </w:t>
              </w:r>
            </w:hyperlink>
            <w:hyperlink w:anchor="i0d3f5b1a05824808a0c79fc0f3ab5fa4_211">
              <w:r>
                <w:rPr>
                  <w:rStyle w:val="InternetLink"/>
                  <w:rFonts w:ascii="Times New Roman;sans-serif" w:hAnsi="Times New Roman;sans-serif"/>
                  <w:b w:val="false"/>
                  <w:strike w:val="false"/>
                  <w:dstrike w:val="false"/>
                  <w:color w:val="000000"/>
                  <w:sz w:val="24"/>
                  <w:u w:val="none"/>
                  <w:effect w:val="none"/>
                </w:rPr>
                <w:t>Dollars.</w:t>
              </w:r>
            </w:hyperlink>
          </w:p>
        </w:tc>
        <w:tc>
          <w:tcPr>
            <w:tcW w:w="392"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w:anchor="i0d3f5b1a05824808a0c79fc0f3ab5fa4_211">
              <w:r>
                <w:rPr>
                  <w:rStyle w:val="InternetLink"/>
                  <w:rFonts w:ascii="Times New Roman;sans-serif" w:hAnsi="Times New Roman;sans-serif"/>
                  <w:b w:val="false"/>
                  <w:color w:val="000000"/>
                  <w:sz w:val="24"/>
                  <w:u w:val="single"/>
                </w:rPr>
                <w:t>3</w:t>
              </w:r>
            </w:hyperlink>
          </w:p>
        </w:tc>
      </w:tr>
      <w:tr>
        <w:trPr/>
        <w:tc>
          <w:tcPr>
            <w:tcW w:w="9813"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w:anchor="i0d3f5b1a05824808a0c79fc0f3ab5fa4_211">
              <w:r>
                <w:rPr>
                  <w:rStyle w:val="InternetLink"/>
                  <w:rFonts w:ascii="Times New Roman;sans-serif" w:hAnsi="Times New Roman;sans-serif"/>
                  <w:b w:val="false"/>
                  <w:strike w:val="false"/>
                  <w:dstrike w:val="false"/>
                  <w:color w:val="000000"/>
                  <w:sz w:val="24"/>
                  <w:u w:val="none"/>
                  <w:effect w:val="none"/>
                </w:rPr>
                <w:t>SECTION 1.11.</w:t>
              </w:r>
            </w:hyperlink>
            <w:hyperlink w:anchor="i0d3f5b1a05824808a0c79fc0f3ab5fa4_211">
              <w:r>
                <w:rPr>
                  <w:rStyle w:val="InternetLink"/>
                  <w:strike w:val="false"/>
                  <w:dstrike w:val="false"/>
                  <w:color w:val="000000"/>
                  <w:u w:val="none"/>
                  <w:effect w:val="none"/>
                </w:rPr>
                <w:t>    </w:t>
              </w:r>
            </w:hyperlink>
            <w:hyperlink w:anchor="i0d3f5b1a05824808a0c79fc0f3ab5fa4_211">
              <w:r>
                <w:rPr>
                  <w:rStyle w:val="InternetLink"/>
                  <w:rFonts w:ascii="Times New Roman;sans-serif" w:hAnsi="Times New Roman;sans-serif"/>
                  <w:b w:val="false"/>
                  <w:strike w:val="false"/>
                  <w:dstrike w:val="false"/>
                  <w:color w:val="000000"/>
                  <w:sz w:val="24"/>
                  <w:u w:val="none"/>
                  <w:effect w:val="none"/>
                </w:rPr>
                <w:t>DTC.</w:t>
              </w:r>
            </w:hyperlink>
          </w:p>
        </w:tc>
        <w:tc>
          <w:tcPr>
            <w:tcW w:w="392"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w:anchor="i0d3f5b1a05824808a0c79fc0f3ab5fa4_211">
              <w:r>
                <w:rPr>
                  <w:rStyle w:val="InternetLink"/>
                  <w:rFonts w:ascii="Times New Roman;sans-serif" w:hAnsi="Times New Roman;sans-serif"/>
                  <w:b w:val="false"/>
                  <w:color w:val="000000"/>
                  <w:sz w:val="24"/>
                  <w:u w:val="single"/>
                </w:rPr>
                <w:t>4</w:t>
              </w:r>
            </w:hyperlink>
          </w:p>
        </w:tc>
      </w:tr>
      <w:tr>
        <w:trPr/>
        <w:tc>
          <w:tcPr>
            <w:tcW w:w="9813"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w:anchor="i0d3f5b1a05824808a0c79fc0f3ab5fa4_211">
              <w:r>
                <w:rPr>
                  <w:rStyle w:val="InternetLink"/>
                  <w:rFonts w:ascii="Times New Roman;sans-serif" w:hAnsi="Times New Roman;sans-serif"/>
                  <w:b w:val="false"/>
                  <w:strike w:val="false"/>
                  <w:dstrike w:val="false"/>
                  <w:color w:val="000000"/>
                  <w:sz w:val="24"/>
                  <w:u w:val="none"/>
                  <w:effect w:val="none"/>
                </w:rPr>
                <w:t>SECTION 1.12.</w:t>
              </w:r>
            </w:hyperlink>
            <w:hyperlink w:anchor="i0d3f5b1a05824808a0c79fc0f3ab5fa4_211">
              <w:r>
                <w:rPr>
                  <w:rStyle w:val="InternetLink"/>
                  <w:strike w:val="false"/>
                  <w:dstrike w:val="false"/>
                  <w:color w:val="000000"/>
                  <w:u w:val="none"/>
                  <w:effect w:val="none"/>
                </w:rPr>
                <w:t>    </w:t>
              </w:r>
            </w:hyperlink>
            <w:hyperlink w:anchor="i0d3f5b1a05824808a0c79fc0f3ab5fa4_211">
              <w:r>
                <w:rPr>
                  <w:rStyle w:val="InternetLink"/>
                  <w:rFonts w:ascii="Times New Roman;sans-serif" w:hAnsi="Times New Roman;sans-serif"/>
                  <w:b w:val="false"/>
                  <w:strike w:val="false"/>
                  <w:dstrike w:val="false"/>
                  <w:color w:val="000000"/>
                  <w:sz w:val="24"/>
                  <w:u w:val="none"/>
                  <w:effect w:val="none"/>
                </w:rPr>
                <w:t>Foreign Registrar.</w:t>
              </w:r>
            </w:hyperlink>
          </w:p>
        </w:tc>
        <w:tc>
          <w:tcPr>
            <w:tcW w:w="392"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w:anchor="i0d3f5b1a05824808a0c79fc0f3ab5fa4_211">
              <w:r>
                <w:rPr>
                  <w:rStyle w:val="InternetLink"/>
                  <w:rFonts w:ascii="Times New Roman;sans-serif" w:hAnsi="Times New Roman;sans-serif"/>
                  <w:b w:val="false"/>
                  <w:color w:val="000000"/>
                  <w:sz w:val="24"/>
                  <w:u w:val="single"/>
                </w:rPr>
                <w:t>4</w:t>
              </w:r>
            </w:hyperlink>
          </w:p>
        </w:tc>
      </w:tr>
      <w:tr>
        <w:trPr/>
        <w:tc>
          <w:tcPr>
            <w:tcW w:w="9813"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w:anchor="i0d3f5b1a05824808a0c79fc0f3ab5fa4_211">
              <w:r>
                <w:rPr>
                  <w:rStyle w:val="InternetLink"/>
                  <w:rFonts w:ascii="Times New Roman;sans-serif" w:hAnsi="Times New Roman;sans-serif"/>
                  <w:b w:val="false"/>
                  <w:strike w:val="false"/>
                  <w:dstrike w:val="false"/>
                  <w:color w:val="000000"/>
                  <w:sz w:val="24"/>
                  <w:u w:val="none"/>
                  <w:effect w:val="none"/>
                </w:rPr>
                <w:t>SECTION 1.13.</w:t>
              </w:r>
            </w:hyperlink>
            <w:hyperlink w:anchor="i0d3f5b1a05824808a0c79fc0f3ab5fa4_211">
              <w:r>
                <w:rPr>
                  <w:rStyle w:val="InternetLink"/>
                  <w:strike w:val="false"/>
                  <w:dstrike w:val="false"/>
                  <w:color w:val="000000"/>
                  <w:u w:val="none"/>
                  <w:effect w:val="none"/>
                </w:rPr>
                <w:t>    </w:t>
              </w:r>
            </w:hyperlink>
            <w:hyperlink w:anchor="i0d3f5b1a05824808a0c79fc0f3ab5fa4_211">
              <w:r>
                <w:rPr>
                  <w:rStyle w:val="InternetLink"/>
                  <w:rFonts w:ascii="Times New Roman;sans-serif" w:hAnsi="Times New Roman;sans-serif"/>
                  <w:b w:val="false"/>
                  <w:strike w:val="false"/>
                  <w:dstrike w:val="false"/>
                  <w:color w:val="000000"/>
                  <w:sz w:val="24"/>
                  <w:u w:val="none"/>
                  <w:effect w:val="none"/>
                </w:rPr>
                <w:t>Holder.</w:t>
              </w:r>
            </w:hyperlink>
          </w:p>
        </w:tc>
        <w:tc>
          <w:tcPr>
            <w:tcW w:w="392"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w:anchor="i0d3f5b1a05824808a0c79fc0f3ab5fa4_211">
              <w:r>
                <w:rPr>
                  <w:rStyle w:val="InternetLink"/>
                  <w:rFonts w:ascii="Times New Roman;sans-serif" w:hAnsi="Times New Roman;sans-serif"/>
                  <w:b w:val="false"/>
                  <w:color w:val="000000"/>
                  <w:sz w:val="24"/>
                  <w:u w:val="single"/>
                </w:rPr>
                <w:t>4</w:t>
              </w:r>
            </w:hyperlink>
          </w:p>
        </w:tc>
      </w:tr>
      <w:tr>
        <w:trPr/>
        <w:tc>
          <w:tcPr>
            <w:tcW w:w="9813"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w:anchor="i0d3f5b1a05824808a0c79fc0f3ab5fa4_211">
              <w:r>
                <w:rPr>
                  <w:rStyle w:val="InternetLink"/>
                  <w:rFonts w:ascii="Times New Roman;sans-serif" w:hAnsi="Times New Roman;sans-serif"/>
                  <w:b w:val="false"/>
                  <w:strike w:val="false"/>
                  <w:dstrike w:val="false"/>
                  <w:color w:val="000000"/>
                  <w:sz w:val="24"/>
                  <w:u w:val="none"/>
                  <w:effect w:val="none"/>
                </w:rPr>
                <w:t>SECTION 1.14.</w:t>
              </w:r>
            </w:hyperlink>
            <w:hyperlink w:anchor="i0d3f5b1a05824808a0c79fc0f3ab5fa4_211">
              <w:r>
                <w:rPr>
                  <w:rStyle w:val="InternetLink"/>
                  <w:strike w:val="false"/>
                  <w:dstrike w:val="false"/>
                  <w:color w:val="000000"/>
                  <w:u w:val="none"/>
                  <w:effect w:val="none"/>
                </w:rPr>
                <w:t>    </w:t>
              </w:r>
            </w:hyperlink>
            <w:hyperlink w:anchor="i0d3f5b1a05824808a0c79fc0f3ab5fa4_211">
              <w:r>
                <w:rPr>
                  <w:rStyle w:val="InternetLink"/>
                  <w:rFonts w:ascii="Times New Roman;sans-serif" w:hAnsi="Times New Roman;sans-serif"/>
                  <w:b w:val="false"/>
                  <w:strike w:val="false"/>
                  <w:dstrike w:val="false"/>
                  <w:color w:val="000000"/>
                  <w:sz w:val="24"/>
                  <w:u w:val="none"/>
                  <w:effect w:val="none"/>
                </w:rPr>
                <w:t>Owner.</w:t>
              </w:r>
            </w:hyperlink>
          </w:p>
        </w:tc>
        <w:tc>
          <w:tcPr>
            <w:tcW w:w="392"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w:anchor="i0d3f5b1a05824808a0c79fc0f3ab5fa4_211">
              <w:r>
                <w:rPr>
                  <w:rStyle w:val="InternetLink"/>
                  <w:rFonts w:ascii="Times New Roman;sans-serif" w:hAnsi="Times New Roman;sans-serif"/>
                  <w:b w:val="false"/>
                  <w:color w:val="000000"/>
                  <w:sz w:val="24"/>
                  <w:u w:val="single"/>
                </w:rPr>
                <w:t>4</w:t>
              </w:r>
            </w:hyperlink>
          </w:p>
        </w:tc>
      </w:tr>
      <w:tr>
        <w:trPr/>
        <w:tc>
          <w:tcPr>
            <w:tcW w:w="9813"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w:anchor="i0d3f5b1a05824808a0c79fc0f3ab5fa4_211">
              <w:r>
                <w:rPr>
                  <w:rStyle w:val="InternetLink"/>
                  <w:rFonts w:ascii="Times New Roman;sans-serif" w:hAnsi="Times New Roman;sans-serif"/>
                  <w:b w:val="false"/>
                  <w:strike w:val="false"/>
                  <w:dstrike w:val="false"/>
                  <w:color w:val="000000"/>
                  <w:sz w:val="24"/>
                  <w:u w:val="none"/>
                  <w:effect w:val="none"/>
                </w:rPr>
                <w:t>SECTION 1.15.</w:t>
              </w:r>
            </w:hyperlink>
            <w:hyperlink w:anchor="i0d3f5b1a05824808a0c79fc0f3ab5fa4_211">
              <w:r>
                <w:rPr>
                  <w:rStyle w:val="InternetLink"/>
                  <w:strike w:val="false"/>
                  <w:dstrike w:val="false"/>
                  <w:color w:val="000000"/>
                  <w:u w:val="none"/>
                  <w:effect w:val="none"/>
                </w:rPr>
                <w:t>    </w:t>
              </w:r>
            </w:hyperlink>
            <w:hyperlink w:anchor="i0d3f5b1a05824808a0c79fc0f3ab5fa4_211">
              <w:r>
                <w:rPr>
                  <w:rStyle w:val="InternetLink"/>
                  <w:rFonts w:ascii="Times New Roman;sans-serif" w:hAnsi="Times New Roman;sans-serif"/>
                  <w:b w:val="false"/>
                  <w:strike w:val="false"/>
                  <w:dstrike w:val="false"/>
                  <w:color w:val="000000"/>
                  <w:sz w:val="24"/>
                  <w:u w:val="none"/>
                  <w:effect w:val="none"/>
                </w:rPr>
                <w:t>Receipts.</w:t>
              </w:r>
            </w:hyperlink>
          </w:p>
        </w:tc>
        <w:tc>
          <w:tcPr>
            <w:tcW w:w="392"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w:anchor="i0d3f5b1a05824808a0c79fc0f3ab5fa4_211">
              <w:r>
                <w:rPr>
                  <w:rStyle w:val="InternetLink"/>
                  <w:rFonts w:ascii="Times New Roman;sans-serif" w:hAnsi="Times New Roman;sans-serif"/>
                  <w:b w:val="false"/>
                  <w:color w:val="000000"/>
                  <w:sz w:val="24"/>
                  <w:u w:val="single"/>
                </w:rPr>
                <w:t>4</w:t>
              </w:r>
            </w:hyperlink>
          </w:p>
        </w:tc>
      </w:tr>
      <w:tr>
        <w:trPr/>
        <w:tc>
          <w:tcPr>
            <w:tcW w:w="9813"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w:anchor="i0d3f5b1a05824808a0c79fc0f3ab5fa4_211">
              <w:r>
                <w:rPr>
                  <w:rStyle w:val="InternetLink"/>
                  <w:rFonts w:ascii="Times New Roman;sans-serif" w:hAnsi="Times New Roman;sans-serif"/>
                  <w:b w:val="false"/>
                  <w:strike w:val="false"/>
                  <w:dstrike w:val="false"/>
                  <w:color w:val="000000"/>
                  <w:sz w:val="24"/>
                  <w:u w:val="none"/>
                  <w:effect w:val="none"/>
                </w:rPr>
                <w:t>SECTION 1.16.</w:t>
              </w:r>
            </w:hyperlink>
            <w:hyperlink w:anchor="i0d3f5b1a05824808a0c79fc0f3ab5fa4_211">
              <w:r>
                <w:rPr>
                  <w:rStyle w:val="InternetLink"/>
                  <w:strike w:val="false"/>
                  <w:dstrike w:val="false"/>
                  <w:color w:val="000000"/>
                  <w:u w:val="none"/>
                  <w:effect w:val="none"/>
                </w:rPr>
                <w:t>    </w:t>
              </w:r>
            </w:hyperlink>
            <w:hyperlink w:anchor="i0d3f5b1a05824808a0c79fc0f3ab5fa4_211">
              <w:r>
                <w:rPr>
                  <w:rStyle w:val="InternetLink"/>
                  <w:rFonts w:ascii="Times New Roman;sans-serif" w:hAnsi="Times New Roman;sans-serif"/>
                  <w:b w:val="false"/>
                  <w:strike w:val="false"/>
                  <w:dstrike w:val="false"/>
                  <w:color w:val="000000"/>
                  <w:sz w:val="24"/>
                  <w:u w:val="none"/>
                  <w:effect w:val="none"/>
                </w:rPr>
                <w:t>Registrar.</w:t>
              </w:r>
            </w:hyperlink>
          </w:p>
        </w:tc>
        <w:tc>
          <w:tcPr>
            <w:tcW w:w="392"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w:anchor="i0d3f5b1a05824808a0c79fc0f3ab5fa4_211">
              <w:r>
                <w:rPr>
                  <w:rStyle w:val="InternetLink"/>
                  <w:rFonts w:ascii="Times New Roman;sans-serif" w:hAnsi="Times New Roman;sans-serif"/>
                  <w:b w:val="false"/>
                  <w:color w:val="000000"/>
                  <w:sz w:val="24"/>
                  <w:u w:val="single"/>
                </w:rPr>
                <w:t>4</w:t>
              </w:r>
            </w:hyperlink>
          </w:p>
        </w:tc>
      </w:tr>
      <w:tr>
        <w:trPr/>
        <w:tc>
          <w:tcPr>
            <w:tcW w:w="9813"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w:anchor="i0d3f5b1a05824808a0c79fc0f3ab5fa4_211">
              <w:r>
                <w:rPr>
                  <w:rStyle w:val="InternetLink"/>
                  <w:rFonts w:ascii="Times New Roman;sans-serif" w:hAnsi="Times New Roman;sans-serif"/>
                  <w:b w:val="false"/>
                  <w:strike w:val="false"/>
                  <w:dstrike w:val="false"/>
                  <w:color w:val="000000"/>
                  <w:sz w:val="24"/>
                  <w:u w:val="none"/>
                  <w:effect w:val="none"/>
                </w:rPr>
                <w:t>SECTION 1.17.</w:t>
              </w:r>
            </w:hyperlink>
            <w:hyperlink w:anchor="i0d3f5b1a05824808a0c79fc0f3ab5fa4_211">
              <w:r>
                <w:rPr>
                  <w:rStyle w:val="InternetLink"/>
                  <w:strike w:val="false"/>
                  <w:dstrike w:val="false"/>
                  <w:color w:val="000000"/>
                  <w:u w:val="none"/>
                  <w:effect w:val="none"/>
                </w:rPr>
                <w:t>    </w:t>
              </w:r>
            </w:hyperlink>
            <w:hyperlink w:anchor="i0d3f5b1a05824808a0c79fc0f3ab5fa4_211">
              <w:r>
                <w:rPr>
                  <w:rStyle w:val="InternetLink"/>
                  <w:rFonts w:ascii="Times New Roman;sans-serif" w:hAnsi="Times New Roman;sans-serif"/>
                  <w:b w:val="false"/>
                  <w:strike w:val="false"/>
                  <w:dstrike w:val="false"/>
                  <w:color w:val="000000"/>
                  <w:sz w:val="24"/>
                  <w:u w:val="none"/>
                  <w:effect w:val="none"/>
                </w:rPr>
                <w:t>Replacement.</w:t>
              </w:r>
            </w:hyperlink>
          </w:p>
        </w:tc>
        <w:tc>
          <w:tcPr>
            <w:tcW w:w="392"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w:anchor="i0d3f5b1a05824808a0c79fc0f3ab5fa4_211">
              <w:r>
                <w:rPr>
                  <w:rStyle w:val="InternetLink"/>
                  <w:rFonts w:ascii="Times New Roman;sans-serif" w:hAnsi="Times New Roman;sans-serif"/>
                  <w:b w:val="false"/>
                  <w:color w:val="000000"/>
                  <w:sz w:val="24"/>
                  <w:u w:val="single"/>
                </w:rPr>
                <w:t>4</w:t>
              </w:r>
            </w:hyperlink>
          </w:p>
        </w:tc>
      </w:tr>
      <w:tr>
        <w:trPr/>
        <w:tc>
          <w:tcPr>
            <w:tcW w:w="9813"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w:anchor="i0d3f5b1a05824808a0c79fc0f3ab5fa4_211">
              <w:r>
                <w:rPr>
                  <w:rStyle w:val="InternetLink"/>
                  <w:rFonts w:ascii="Times New Roman;sans-serif" w:hAnsi="Times New Roman;sans-serif"/>
                  <w:b w:val="false"/>
                  <w:strike w:val="false"/>
                  <w:dstrike w:val="false"/>
                  <w:color w:val="000000"/>
                  <w:sz w:val="24"/>
                  <w:u w:val="none"/>
                  <w:effect w:val="none"/>
                </w:rPr>
                <w:t>SECTION 1.18.</w:t>
              </w:r>
            </w:hyperlink>
            <w:hyperlink w:anchor="i0d3f5b1a05824808a0c79fc0f3ab5fa4_211">
              <w:r>
                <w:rPr>
                  <w:rStyle w:val="InternetLink"/>
                  <w:strike w:val="false"/>
                  <w:dstrike w:val="false"/>
                  <w:color w:val="000000"/>
                  <w:u w:val="none"/>
                  <w:effect w:val="none"/>
                </w:rPr>
                <w:t>    </w:t>
              </w:r>
            </w:hyperlink>
            <w:hyperlink w:anchor="i0d3f5b1a05824808a0c79fc0f3ab5fa4_211">
              <w:r>
                <w:rPr>
                  <w:rStyle w:val="InternetLink"/>
                  <w:rFonts w:ascii="Times New Roman;sans-serif" w:hAnsi="Times New Roman;sans-serif"/>
                  <w:b w:val="false"/>
                  <w:strike w:val="false"/>
                  <w:dstrike w:val="false"/>
                  <w:color w:val="000000"/>
                  <w:sz w:val="24"/>
                  <w:u w:val="none"/>
                  <w:effect w:val="none"/>
                </w:rPr>
                <w:t>Restricted Securities.</w:t>
              </w:r>
            </w:hyperlink>
          </w:p>
        </w:tc>
        <w:tc>
          <w:tcPr>
            <w:tcW w:w="392"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w:anchor="i0d3f5b1a05824808a0c79fc0f3ab5fa4_211">
              <w:r>
                <w:rPr>
                  <w:rStyle w:val="InternetLink"/>
                  <w:rFonts w:ascii="Times New Roman;sans-serif" w:hAnsi="Times New Roman;sans-serif"/>
                  <w:b w:val="false"/>
                  <w:color w:val="000000"/>
                  <w:sz w:val="24"/>
                  <w:u w:val="single"/>
                </w:rPr>
                <w:t>5</w:t>
              </w:r>
            </w:hyperlink>
          </w:p>
        </w:tc>
      </w:tr>
      <w:tr>
        <w:trPr/>
        <w:tc>
          <w:tcPr>
            <w:tcW w:w="9813"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w:anchor="i0d3f5b1a05824808a0c79fc0f3ab5fa4_211">
              <w:r>
                <w:rPr>
                  <w:rStyle w:val="InternetLink"/>
                  <w:rFonts w:ascii="Times New Roman;sans-serif" w:hAnsi="Times New Roman;sans-serif"/>
                  <w:b w:val="false"/>
                  <w:strike w:val="false"/>
                  <w:dstrike w:val="false"/>
                  <w:color w:val="000000"/>
                  <w:sz w:val="24"/>
                  <w:u w:val="none"/>
                  <w:effect w:val="none"/>
                </w:rPr>
                <w:t>SECTION 1.19.</w:t>
              </w:r>
            </w:hyperlink>
            <w:hyperlink w:anchor="i0d3f5b1a05824808a0c79fc0f3ab5fa4_211">
              <w:r>
                <w:rPr>
                  <w:rStyle w:val="InternetLink"/>
                  <w:strike w:val="false"/>
                  <w:dstrike w:val="false"/>
                  <w:color w:val="000000"/>
                  <w:u w:val="none"/>
                  <w:effect w:val="none"/>
                </w:rPr>
                <w:t>    </w:t>
              </w:r>
            </w:hyperlink>
            <w:hyperlink w:anchor="i0d3f5b1a05824808a0c79fc0f3ab5fa4_211">
              <w:r>
                <w:rPr>
                  <w:rStyle w:val="InternetLink"/>
                  <w:rFonts w:ascii="Times New Roman;sans-serif" w:hAnsi="Times New Roman;sans-serif"/>
                  <w:b w:val="false"/>
                  <w:strike w:val="false"/>
                  <w:dstrike w:val="false"/>
                  <w:color w:val="000000"/>
                  <w:sz w:val="24"/>
                  <w:u w:val="none"/>
                  <w:effect w:val="none"/>
                </w:rPr>
                <w:t>Securities Act of 1933.</w:t>
              </w:r>
            </w:hyperlink>
          </w:p>
        </w:tc>
        <w:tc>
          <w:tcPr>
            <w:tcW w:w="392"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w:anchor="i0d3f5b1a05824808a0c79fc0f3ab5fa4_211">
              <w:r>
                <w:rPr>
                  <w:rStyle w:val="InternetLink"/>
                  <w:rFonts w:ascii="Times New Roman;sans-serif" w:hAnsi="Times New Roman;sans-serif"/>
                  <w:b w:val="false"/>
                  <w:color w:val="000000"/>
                  <w:sz w:val="24"/>
                  <w:u w:val="single"/>
                </w:rPr>
                <w:t>5</w:t>
              </w:r>
            </w:hyperlink>
          </w:p>
        </w:tc>
      </w:tr>
      <w:tr>
        <w:trPr/>
        <w:tc>
          <w:tcPr>
            <w:tcW w:w="9813"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w:anchor="i0d3f5b1a05824808a0c79fc0f3ab5fa4_211">
              <w:r>
                <w:rPr>
                  <w:rStyle w:val="InternetLink"/>
                  <w:rFonts w:ascii="Times New Roman;sans-serif" w:hAnsi="Times New Roman;sans-serif"/>
                  <w:b w:val="false"/>
                  <w:strike w:val="false"/>
                  <w:dstrike w:val="false"/>
                  <w:color w:val="000000"/>
                  <w:sz w:val="24"/>
                  <w:u w:val="none"/>
                  <w:effect w:val="none"/>
                </w:rPr>
                <w:t>SECTION 1.20.</w:t>
              </w:r>
            </w:hyperlink>
            <w:hyperlink w:anchor="i0d3f5b1a05824808a0c79fc0f3ab5fa4_211">
              <w:r>
                <w:rPr>
                  <w:rStyle w:val="InternetLink"/>
                  <w:strike w:val="false"/>
                  <w:dstrike w:val="false"/>
                  <w:color w:val="000000"/>
                  <w:u w:val="none"/>
                  <w:effect w:val="none"/>
                </w:rPr>
                <w:t>    </w:t>
              </w:r>
            </w:hyperlink>
            <w:hyperlink w:anchor="i0d3f5b1a05824808a0c79fc0f3ab5fa4_211">
              <w:r>
                <w:rPr>
                  <w:rStyle w:val="InternetLink"/>
                  <w:rFonts w:ascii="Times New Roman;sans-serif" w:hAnsi="Times New Roman;sans-serif"/>
                  <w:b w:val="false"/>
                  <w:strike w:val="false"/>
                  <w:dstrike w:val="false"/>
                  <w:color w:val="000000"/>
                  <w:sz w:val="24"/>
                  <w:u w:val="none"/>
                  <w:effect w:val="none"/>
                </w:rPr>
                <w:t>Shares.</w:t>
              </w:r>
            </w:hyperlink>
          </w:p>
        </w:tc>
        <w:tc>
          <w:tcPr>
            <w:tcW w:w="392"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w:anchor="i0d3f5b1a05824808a0c79fc0f3ab5fa4_211">
              <w:r>
                <w:rPr>
                  <w:rStyle w:val="InternetLink"/>
                  <w:rFonts w:ascii="Times New Roman;sans-serif" w:hAnsi="Times New Roman;sans-serif"/>
                  <w:b w:val="false"/>
                  <w:color w:val="000000"/>
                  <w:sz w:val="24"/>
                  <w:u w:val="single"/>
                </w:rPr>
                <w:t>5</w:t>
              </w:r>
            </w:hyperlink>
          </w:p>
        </w:tc>
      </w:tr>
      <w:tr>
        <w:trPr/>
        <w:tc>
          <w:tcPr>
            <w:tcW w:w="9813"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w:anchor="i0d3f5b1a05824808a0c79fc0f3ab5fa4_211">
              <w:r>
                <w:rPr>
                  <w:rStyle w:val="InternetLink"/>
                  <w:rFonts w:ascii="Times New Roman;sans-serif" w:hAnsi="Times New Roman;sans-serif"/>
                  <w:b w:val="false"/>
                  <w:strike w:val="false"/>
                  <w:dstrike w:val="false"/>
                  <w:color w:val="000000"/>
                  <w:sz w:val="24"/>
                  <w:u w:val="none"/>
                  <w:effect w:val="none"/>
                </w:rPr>
                <w:t>SECTION 1.21.</w:t>
              </w:r>
            </w:hyperlink>
            <w:hyperlink w:anchor="i0d3f5b1a05824808a0c79fc0f3ab5fa4_211">
              <w:r>
                <w:rPr>
                  <w:rStyle w:val="InternetLink"/>
                  <w:strike w:val="false"/>
                  <w:dstrike w:val="false"/>
                  <w:color w:val="000000"/>
                  <w:u w:val="none"/>
                  <w:effect w:val="none"/>
                </w:rPr>
                <w:t>    </w:t>
              </w:r>
            </w:hyperlink>
            <w:hyperlink w:anchor="i0d3f5b1a05824808a0c79fc0f3ab5fa4_211">
              <w:r>
                <w:rPr>
                  <w:rStyle w:val="InternetLink"/>
                  <w:rFonts w:ascii="Times New Roman;sans-serif" w:hAnsi="Times New Roman;sans-serif"/>
                  <w:b w:val="false"/>
                  <w:strike w:val="false"/>
                  <w:dstrike w:val="false"/>
                  <w:color w:val="000000"/>
                  <w:sz w:val="24"/>
                  <w:u w:val="none"/>
                  <w:effect w:val="none"/>
                </w:rPr>
                <w:t>SWIFT.</w:t>
              </w:r>
            </w:hyperlink>
          </w:p>
        </w:tc>
        <w:tc>
          <w:tcPr>
            <w:tcW w:w="392"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w:anchor="i0d3f5b1a05824808a0c79fc0f3ab5fa4_211">
              <w:r>
                <w:rPr>
                  <w:rStyle w:val="InternetLink"/>
                  <w:rFonts w:ascii="Times New Roman;sans-serif" w:hAnsi="Times New Roman;sans-serif"/>
                  <w:b w:val="false"/>
                  <w:color w:val="000000"/>
                  <w:sz w:val="24"/>
                  <w:u w:val="single"/>
                </w:rPr>
                <w:t>5</w:t>
              </w:r>
            </w:hyperlink>
          </w:p>
        </w:tc>
      </w:tr>
      <w:tr>
        <w:trPr/>
        <w:tc>
          <w:tcPr>
            <w:tcW w:w="9813"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w:anchor="i0d3f5b1a05824808a0c79fc0f3ab5fa4_211">
              <w:r>
                <w:rPr>
                  <w:rStyle w:val="InternetLink"/>
                  <w:rFonts w:ascii="Times New Roman;sans-serif" w:hAnsi="Times New Roman;sans-serif"/>
                  <w:b w:val="false"/>
                  <w:strike w:val="false"/>
                  <w:dstrike w:val="false"/>
                  <w:color w:val="000000"/>
                  <w:sz w:val="24"/>
                  <w:u w:val="none"/>
                  <w:effect w:val="none"/>
                </w:rPr>
                <w:t>SECTION 1.22.</w:t>
              </w:r>
            </w:hyperlink>
            <w:hyperlink w:anchor="i0d3f5b1a05824808a0c79fc0f3ab5fa4_211">
              <w:r>
                <w:rPr>
                  <w:rStyle w:val="InternetLink"/>
                  <w:strike w:val="false"/>
                  <w:dstrike w:val="false"/>
                  <w:color w:val="000000"/>
                  <w:u w:val="none"/>
                  <w:effect w:val="none"/>
                </w:rPr>
                <w:t>    </w:t>
              </w:r>
            </w:hyperlink>
            <w:hyperlink w:anchor="i0d3f5b1a05824808a0c79fc0f3ab5fa4_211">
              <w:r>
                <w:rPr>
                  <w:rStyle w:val="InternetLink"/>
                  <w:rFonts w:ascii="Times New Roman;sans-serif" w:hAnsi="Times New Roman;sans-serif"/>
                  <w:b w:val="false"/>
                  <w:strike w:val="false"/>
                  <w:dstrike w:val="false"/>
                  <w:color w:val="000000"/>
                  <w:sz w:val="24"/>
                  <w:u w:val="none"/>
                  <w:effect w:val="none"/>
                </w:rPr>
                <w:t>Termination Option Event.</w:t>
              </w:r>
            </w:hyperlink>
          </w:p>
        </w:tc>
        <w:tc>
          <w:tcPr>
            <w:tcW w:w="392"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w:anchor="i0d3f5b1a05824808a0c79fc0f3ab5fa4_211">
              <w:r>
                <w:rPr>
                  <w:rStyle w:val="InternetLink"/>
                  <w:rFonts w:ascii="Times New Roman;sans-serif" w:hAnsi="Times New Roman;sans-serif"/>
                  <w:b w:val="false"/>
                  <w:color w:val="000000"/>
                  <w:sz w:val="24"/>
                  <w:u w:val="single"/>
                </w:rPr>
                <w:t>5</w:t>
              </w:r>
            </w:hyperlink>
          </w:p>
        </w:tc>
      </w:tr>
      <w:tr>
        <w:trPr/>
        <w:tc>
          <w:tcPr>
            <w:tcW w:w="9813"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w:anchor="i0d3f5b1a05824808a0c79fc0f3ab5fa4_211">
              <w:r>
                <w:rPr>
                  <w:rStyle w:val="InternetLink"/>
                  <w:rFonts w:ascii="Times New Roman;sans-serif" w:hAnsi="Times New Roman;sans-serif"/>
                  <w:b w:val="false"/>
                  <w:strike w:val="false"/>
                  <w:dstrike w:val="false"/>
                  <w:color w:val="000000"/>
                  <w:sz w:val="24"/>
                  <w:u w:val="none"/>
                  <w:effect w:val="none"/>
                </w:rPr>
                <w:t>ARTICLE 2.</w:t>
              </w:r>
            </w:hyperlink>
            <w:hyperlink w:anchor="i0d3f5b1a05824808a0c79fc0f3ab5fa4_211">
              <w:r>
                <w:rPr>
                  <w:rStyle w:val="InternetLink"/>
                  <w:strike w:val="false"/>
                  <w:dstrike w:val="false"/>
                  <w:color w:val="000000"/>
                  <w:u w:val="none"/>
                  <w:effect w:val="none"/>
                </w:rPr>
                <w:t>    </w:t>
              </w:r>
            </w:hyperlink>
            <w:hyperlink w:anchor="i0d3f5b1a05824808a0c79fc0f3ab5fa4_211">
              <w:r>
                <w:rPr>
                  <w:rStyle w:val="InternetLink"/>
                  <w:rFonts w:ascii="Times New Roman;sans-serif" w:hAnsi="Times New Roman;sans-serif"/>
                  <w:b w:val="false"/>
                  <w:strike w:val="false"/>
                  <w:dstrike w:val="false"/>
                  <w:color w:val="000000"/>
                  <w:sz w:val="24"/>
                  <w:u w:val="none"/>
                  <w:effect w:val="none"/>
                </w:rPr>
                <w:t>FORM OF RECEIPTS, DEPOSIT OF SHARES, DELIVERY, TRANSFER AND SURRENDER OF AMERICAN DEPOSITARY SHARES</w:t>
              </w:r>
            </w:hyperlink>
          </w:p>
        </w:tc>
        <w:tc>
          <w:tcPr>
            <w:tcW w:w="392"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w:anchor="i0d3f5b1a05824808a0c79fc0f3ab5fa4_211">
              <w:r>
                <w:rPr>
                  <w:rStyle w:val="InternetLink"/>
                  <w:rFonts w:ascii="Times New Roman;sans-serif" w:hAnsi="Times New Roman;sans-serif"/>
                  <w:b w:val="false"/>
                  <w:color w:val="000000"/>
                  <w:sz w:val="24"/>
                  <w:u w:val="single"/>
                </w:rPr>
                <w:t>6</w:t>
              </w:r>
            </w:hyperlink>
          </w:p>
        </w:tc>
      </w:tr>
      <w:tr>
        <w:trPr/>
        <w:tc>
          <w:tcPr>
            <w:tcW w:w="9813"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w:anchor="i0d3f5b1a05824808a0c79fc0f3ab5fa4_211">
              <w:r>
                <w:rPr>
                  <w:rStyle w:val="InternetLink"/>
                  <w:rFonts w:ascii="Times New Roman;sans-serif" w:hAnsi="Times New Roman;sans-serif"/>
                  <w:b w:val="false"/>
                  <w:strike w:val="false"/>
                  <w:dstrike w:val="false"/>
                  <w:color w:val="000000"/>
                  <w:sz w:val="24"/>
                  <w:u w:val="none"/>
                  <w:effect w:val="none"/>
                </w:rPr>
                <w:t>SECTION 2.1.</w:t>
              </w:r>
            </w:hyperlink>
            <w:hyperlink w:anchor="i0d3f5b1a05824808a0c79fc0f3ab5fa4_211">
              <w:r>
                <w:rPr>
                  <w:rStyle w:val="InternetLink"/>
                  <w:strike w:val="false"/>
                  <w:dstrike w:val="false"/>
                  <w:color w:val="000000"/>
                  <w:u w:val="none"/>
                  <w:effect w:val="none"/>
                </w:rPr>
                <w:t>    </w:t>
              </w:r>
            </w:hyperlink>
            <w:hyperlink w:anchor="i0d3f5b1a05824808a0c79fc0f3ab5fa4_211">
              <w:r>
                <w:rPr>
                  <w:rStyle w:val="InternetLink"/>
                  <w:rFonts w:ascii="Times New Roman;sans-serif" w:hAnsi="Times New Roman;sans-serif"/>
                  <w:b w:val="false"/>
                  <w:strike w:val="false"/>
                  <w:dstrike w:val="false"/>
                  <w:color w:val="000000"/>
                  <w:sz w:val="24"/>
                  <w:u w:val="none"/>
                  <w:effect w:val="none"/>
                </w:rPr>
                <w:t>Form of Receipts; Registration and Transferability of American Depositary Shares.</w:t>
              </w:r>
            </w:hyperlink>
          </w:p>
        </w:tc>
        <w:tc>
          <w:tcPr>
            <w:tcW w:w="392"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w:anchor="i0d3f5b1a05824808a0c79fc0f3ab5fa4_211">
              <w:r>
                <w:rPr>
                  <w:rStyle w:val="InternetLink"/>
                  <w:rFonts w:ascii="Times New Roman;sans-serif" w:hAnsi="Times New Roman;sans-serif"/>
                  <w:b w:val="false"/>
                  <w:color w:val="000000"/>
                  <w:sz w:val="24"/>
                  <w:u w:val="single"/>
                </w:rPr>
                <w:t>6</w:t>
              </w:r>
            </w:hyperlink>
          </w:p>
        </w:tc>
      </w:tr>
      <w:tr>
        <w:trPr/>
        <w:tc>
          <w:tcPr>
            <w:tcW w:w="9813"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w:anchor="i0d3f5b1a05824808a0c79fc0f3ab5fa4_211">
              <w:r>
                <w:rPr>
                  <w:rStyle w:val="InternetLink"/>
                  <w:rFonts w:ascii="Times New Roman;sans-serif" w:hAnsi="Times New Roman;sans-serif"/>
                  <w:b w:val="false"/>
                  <w:strike w:val="false"/>
                  <w:dstrike w:val="false"/>
                  <w:color w:val="000000"/>
                  <w:sz w:val="24"/>
                  <w:u w:val="none"/>
                  <w:effect w:val="none"/>
                </w:rPr>
                <w:t>SECTION 2.2.</w:t>
              </w:r>
            </w:hyperlink>
            <w:hyperlink w:anchor="i0d3f5b1a05824808a0c79fc0f3ab5fa4_211">
              <w:r>
                <w:rPr>
                  <w:rStyle w:val="InternetLink"/>
                  <w:strike w:val="false"/>
                  <w:dstrike w:val="false"/>
                  <w:color w:val="000000"/>
                  <w:u w:val="none"/>
                  <w:effect w:val="none"/>
                </w:rPr>
                <w:t>    </w:t>
              </w:r>
            </w:hyperlink>
            <w:hyperlink w:anchor="i0d3f5b1a05824808a0c79fc0f3ab5fa4_211">
              <w:r>
                <w:rPr>
                  <w:rStyle w:val="InternetLink"/>
                  <w:rFonts w:ascii="Times New Roman;sans-serif" w:hAnsi="Times New Roman;sans-serif"/>
                  <w:b w:val="false"/>
                  <w:strike w:val="false"/>
                  <w:dstrike w:val="false"/>
                  <w:color w:val="000000"/>
                  <w:sz w:val="24"/>
                  <w:u w:val="none"/>
                  <w:effect w:val="none"/>
                </w:rPr>
                <w:t>Deposit of Shares.</w:t>
              </w:r>
            </w:hyperlink>
          </w:p>
        </w:tc>
        <w:tc>
          <w:tcPr>
            <w:tcW w:w="392"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w:anchor="i0d3f5b1a05824808a0c79fc0f3ab5fa4_211">
              <w:r>
                <w:rPr>
                  <w:rStyle w:val="InternetLink"/>
                  <w:rFonts w:ascii="Times New Roman;sans-serif" w:hAnsi="Times New Roman;sans-serif"/>
                  <w:b w:val="false"/>
                  <w:color w:val="000000"/>
                  <w:sz w:val="24"/>
                  <w:u w:val="single"/>
                </w:rPr>
                <w:t>7</w:t>
              </w:r>
            </w:hyperlink>
          </w:p>
        </w:tc>
      </w:tr>
      <w:tr>
        <w:trPr/>
        <w:tc>
          <w:tcPr>
            <w:tcW w:w="9813"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w:anchor="i0d3f5b1a05824808a0c79fc0f3ab5fa4_211">
              <w:r>
                <w:rPr>
                  <w:rStyle w:val="InternetLink"/>
                  <w:rFonts w:ascii="Times New Roman;sans-serif" w:hAnsi="Times New Roman;sans-serif"/>
                  <w:b w:val="false"/>
                  <w:strike w:val="false"/>
                  <w:dstrike w:val="false"/>
                  <w:color w:val="000000"/>
                  <w:sz w:val="24"/>
                  <w:u w:val="none"/>
                  <w:effect w:val="none"/>
                </w:rPr>
                <w:t>SECTION 2.3.</w:t>
              </w:r>
            </w:hyperlink>
            <w:hyperlink w:anchor="i0d3f5b1a05824808a0c79fc0f3ab5fa4_211">
              <w:r>
                <w:rPr>
                  <w:rStyle w:val="InternetLink"/>
                  <w:strike w:val="false"/>
                  <w:dstrike w:val="false"/>
                  <w:color w:val="000000"/>
                  <w:u w:val="none"/>
                  <w:effect w:val="none"/>
                </w:rPr>
                <w:t>    </w:t>
              </w:r>
            </w:hyperlink>
            <w:hyperlink w:anchor="i0d3f5b1a05824808a0c79fc0f3ab5fa4_211">
              <w:r>
                <w:rPr>
                  <w:rStyle w:val="InternetLink"/>
                  <w:rFonts w:ascii="Times New Roman;sans-serif" w:hAnsi="Times New Roman;sans-serif"/>
                  <w:b w:val="false"/>
                  <w:strike w:val="false"/>
                  <w:dstrike w:val="false"/>
                  <w:color w:val="000000"/>
                  <w:sz w:val="24"/>
                  <w:u w:val="none"/>
                  <w:effect w:val="none"/>
                </w:rPr>
                <w:t>Delivery of American Depositary Shares.</w:t>
              </w:r>
            </w:hyperlink>
          </w:p>
        </w:tc>
        <w:tc>
          <w:tcPr>
            <w:tcW w:w="392"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w:anchor="i0d3f5b1a05824808a0c79fc0f3ab5fa4_211">
              <w:r>
                <w:rPr>
                  <w:rStyle w:val="InternetLink"/>
                  <w:rFonts w:ascii="Times New Roman;sans-serif" w:hAnsi="Times New Roman;sans-serif"/>
                  <w:b w:val="false"/>
                  <w:color w:val="000000"/>
                  <w:sz w:val="24"/>
                  <w:u w:val="single"/>
                </w:rPr>
                <w:t>8</w:t>
              </w:r>
            </w:hyperlink>
          </w:p>
        </w:tc>
      </w:tr>
      <w:tr>
        <w:trPr/>
        <w:tc>
          <w:tcPr>
            <w:tcW w:w="9813"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w:anchor="i0d3f5b1a05824808a0c79fc0f3ab5fa4_211">
              <w:r>
                <w:rPr>
                  <w:rStyle w:val="InternetLink"/>
                  <w:rFonts w:ascii="Times New Roman;sans-serif" w:hAnsi="Times New Roman;sans-serif"/>
                  <w:b w:val="false"/>
                  <w:strike w:val="false"/>
                  <w:dstrike w:val="false"/>
                  <w:color w:val="000000"/>
                  <w:sz w:val="24"/>
                  <w:u w:val="none"/>
                  <w:effect w:val="none"/>
                </w:rPr>
                <w:t>SECTION 2.4.</w:t>
              </w:r>
            </w:hyperlink>
            <w:hyperlink w:anchor="i0d3f5b1a05824808a0c79fc0f3ab5fa4_211">
              <w:r>
                <w:rPr>
                  <w:rStyle w:val="InternetLink"/>
                  <w:strike w:val="false"/>
                  <w:dstrike w:val="false"/>
                  <w:color w:val="000000"/>
                  <w:u w:val="none"/>
                  <w:effect w:val="none"/>
                </w:rPr>
                <w:t>    </w:t>
              </w:r>
            </w:hyperlink>
            <w:hyperlink w:anchor="i0d3f5b1a05824808a0c79fc0f3ab5fa4_211">
              <w:r>
                <w:rPr>
                  <w:rStyle w:val="InternetLink"/>
                  <w:rFonts w:ascii="Times New Roman;sans-serif" w:hAnsi="Times New Roman;sans-serif"/>
                  <w:b w:val="false"/>
                  <w:strike w:val="false"/>
                  <w:dstrike w:val="false"/>
                  <w:color w:val="000000"/>
                  <w:sz w:val="24"/>
                  <w:u w:val="none"/>
                  <w:effect w:val="none"/>
                </w:rPr>
                <w:t>Registration of Transfer of American Depositary Shares; Combination and Split-up of Receipts; Interchange of Certificated and Uncertificated American Depositary Shares.</w:t>
              </w:r>
            </w:hyperlink>
          </w:p>
        </w:tc>
        <w:tc>
          <w:tcPr>
            <w:tcW w:w="392"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w:anchor="i0d3f5b1a05824808a0c79fc0f3ab5fa4_211">
              <w:r>
                <w:rPr>
                  <w:rStyle w:val="InternetLink"/>
                  <w:rFonts w:ascii="Times New Roman;sans-serif" w:hAnsi="Times New Roman;sans-serif"/>
                  <w:b w:val="false"/>
                  <w:color w:val="000000"/>
                  <w:sz w:val="24"/>
                  <w:u w:val="single"/>
                </w:rPr>
                <w:t>8</w:t>
              </w:r>
            </w:hyperlink>
          </w:p>
        </w:tc>
      </w:tr>
      <w:tr>
        <w:trPr/>
        <w:tc>
          <w:tcPr>
            <w:tcW w:w="9813"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w:anchor="i0d3f5b1a05824808a0c79fc0f3ab5fa4_211">
              <w:r>
                <w:rPr>
                  <w:rStyle w:val="InternetLink"/>
                  <w:rFonts w:ascii="Times New Roman;sans-serif" w:hAnsi="Times New Roman;sans-serif"/>
                  <w:b w:val="false"/>
                  <w:strike w:val="false"/>
                  <w:dstrike w:val="false"/>
                  <w:color w:val="000000"/>
                  <w:sz w:val="24"/>
                  <w:u w:val="none"/>
                  <w:effect w:val="none"/>
                </w:rPr>
                <w:t>SECTION 2.5.</w:t>
              </w:r>
            </w:hyperlink>
            <w:hyperlink w:anchor="i0d3f5b1a05824808a0c79fc0f3ab5fa4_211">
              <w:r>
                <w:rPr>
                  <w:rStyle w:val="InternetLink"/>
                  <w:strike w:val="false"/>
                  <w:dstrike w:val="false"/>
                  <w:color w:val="000000"/>
                  <w:u w:val="none"/>
                  <w:effect w:val="none"/>
                </w:rPr>
                <w:t>    </w:t>
              </w:r>
            </w:hyperlink>
            <w:hyperlink w:anchor="i0d3f5b1a05824808a0c79fc0f3ab5fa4_211">
              <w:r>
                <w:rPr>
                  <w:rStyle w:val="InternetLink"/>
                  <w:rFonts w:ascii="Times New Roman;sans-serif" w:hAnsi="Times New Roman;sans-serif"/>
                  <w:b w:val="false"/>
                  <w:strike w:val="false"/>
                  <w:dstrike w:val="false"/>
                  <w:color w:val="000000"/>
                  <w:sz w:val="24"/>
                  <w:u w:val="none"/>
                  <w:effect w:val="none"/>
                </w:rPr>
                <w:t>Surrender of American Depositary Shares and Withdrawal of Deposited Securities.</w:t>
              </w:r>
            </w:hyperlink>
          </w:p>
        </w:tc>
        <w:tc>
          <w:tcPr>
            <w:tcW w:w="392"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w:anchor="i0d3f5b1a05824808a0c79fc0f3ab5fa4_211">
              <w:r>
                <w:rPr>
                  <w:rStyle w:val="InternetLink"/>
                  <w:rFonts w:ascii="Times New Roman;sans-serif" w:hAnsi="Times New Roman;sans-serif"/>
                  <w:b w:val="false"/>
                  <w:color w:val="000000"/>
                  <w:sz w:val="24"/>
                  <w:u w:val="single"/>
                </w:rPr>
                <w:t>9</w:t>
              </w:r>
            </w:hyperlink>
          </w:p>
        </w:tc>
      </w:tr>
      <w:tr>
        <w:trPr/>
        <w:tc>
          <w:tcPr>
            <w:tcW w:w="9813"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w:anchor="i0d3f5b1a05824808a0c79fc0f3ab5fa4_211">
              <w:r>
                <w:rPr>
                  <w:rStyle w:val="InternetLink"/>
                  <w:rFonts w:ascii="Times New Roman;sans-serif" w:hAnsi="Times New Roman;sans-serif"/>
                  <w:b w:val="false"/>
                  <w:strike w:val="false"/>
                  <w:dstrike w:val="false"/>
                  <w:color w:val="000000"/>
                  <w:sz w:val="24"/>
                  <w:u w:val="none"/>
                  <w:effect w:val="none"/>
                </w:rPr>
                <w:t>SECTION 2.6.</w:t>
              </w:r>
            </w:hyperlink>
            <w:hyperlink w:anchor="i0d3f5b1a05824808a0c79fc0f3ab5fa4_211">
              <w:r>
                <w:rPr>
                  <w:rStyle w:val="InternetLink"/>
                  <w:strike w:val="false"/>
                  <w:dstrike w:val="false"/>
                  <w:color w:val="000000"/>
                  <w:u w:val="none"/>
                  <w:effect w:val="none"/>
                </w:rPr>
                <w:t>    </w:t>
              </w:r>
            </w:hyperlink>
            <w:hyperlink w:anchor="i0d3f5b1a05824808a0c79fc0f3ab5fa4_211">
              <w:r>
                <w:rPr>
                  <w:rStyle w:val="InternetLink"/>
                  <w:rFonts w:ascii="Times New Roman;sans-serif" w:hAnsi="Times New Roman;sans-serif"/>
                  <w:b w:val="false"/>
                  <w:strike w:val="false"/>
                  <w:dstrike w:val="false"/>
                  <w:color w:val="000000"/>
                  <w:sz w:val="24"/>
                  <w:u w:val="none"/>
                  <w:effect w:val="none"/>
                </w:rPr>
                <w:t>Limitations on Delivery, Registration of Transfer and Surrender of American Depositary Shares.</w:t>
              </w:r>
            </w:hyperlink>
          </w:p>
        </w:tc>
        <w:tc>
          <w:tcPr>
            <w:tcW w:w="392"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w:anchor="i0d3f5b1a05824808a0c79fc0f3ab5fa4_211">
              <w:r>
                <w:rPr>
                  <w:rStyle w:val="InternetLink"/>
                  <w:rFonts w:ascii="Times New Roman;sans-serif" w:hAnsi="Times New Roman;sans-serif"/>
                  <w:b w:val="false"/>
                  <w:color w:val="000000"/>
                  <w:sz w:val="24"/>
                  <w:u w:val="single"/>
                </w:rPr>
                <w:t>10</w:t>
              </w:r>
            </w:hyperlink>
          </w:p>
        </w:tc>
      </w:tr>
      <w:tr>
        <w:trPr/>
        <w:tc>
          <w:tcPr>
            <w:tcW w:w="9813"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w:anchor="i0d3f5b1a05824808a0c79fc0f3ab5fa4_211">
              <w:r>
                <w:rPr>
                  <w:rStyle w:val="InternetLink"/>
                  <w:rFonts w:ascii="Times New Roman;sans-serif" w:hAnsi="Times New Roman;sans-serif"/>
                  <w:b w:val="false"/>
                  <w:strike w:val="false"/>
                  <w:dstrike w:val="false"/>
                  <w:color w:val="000000"/>
                  <w:sz w:val="24"/>
                  <w:u w:val="none"/>
                  <w:effect w:val="none"/>
                </w:rPr>
                <w:t>SECTION 2.7.</w:t>
              </w:r>
            </w:hyperlink>
            <w:hyperlink w:anchor="i0d3f5b1a05824808a0c79fc0f3ab5fa4_211">
              <w:r>
                <w:rPr>
                  <w:rStyle w:val="InternetLink"/>
                  <w:strike w:val="false"/>
                  <w:dstrike w:val="false"/>
                  <w:color w:val="000000"/>
                  <w:u w:val="none"/>
                  <w:effect w:val="none"/>
                </w:rPr>
                <w:t>    </w:t>
              </w:r>
            </w:hyperlink>
            <w:hyperlink w:anchor="i0d3f5b1a05824808a0c79fc0f3ab5fa4_211">
              <w:r>
                <w:rPr>
                  <w:rStyle w:val="InternetLink"/>
                  <w:rFonts w:ascii="Times New Roman;sans-serif" w:hAnsi="Times New Roman;sans-serif"/>
                  <w:b w:val="false"/>
                  <w:strike w:val="false"/>
                  <w:dstrike w:val="false"/>
                  <w:color w:val="000000"/>
                  <w:sz w:val="24"/>
                  <w:u w:val="none"/>
                  <w:effect w:val="none"/>
                </w:rPr>
                <w:t>Lost Receipts, etc.</w:t>
              </w:r>
            </w:hyperlink>
          </w:p>
        </w:tc>
        <w:tc>
          <w:tcPr>
            <w:tcW w:w="392"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w:anchor="i0d3f5b1a05824808a0c79fc0f3ab5fa4_211">
              <w:r>
                <w:rPr>
                  <w:rStyle w:val="InternetLink"/>
                  <w:rFonts w:ascii="Times New Roman;sans-serif" w:hAnsi="Times New Roman;sans-serif"/>
                  <w:b w:val="false"/>
                  <w:color w:val="000000"/>
                  <w:sz w:val="24"/>
                  <w:u w:val="single"/>
                </w:rPr>
                <w:t>11</w:t>
              </w:r>
            </w:hyperlink>
          </w:p>
        </w:tc>
      </w:tr>
      <w:tr>
        <w:trPr/>
        <w:tc>
          <w:tcPr>
            <w:tcW w:w="9813"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w:anchor="i0d3f5b1a05824808a0c79fc0f3ab5fa4_211">
              <w:r>
                <w:rPr>
                  <w:rStyle w:val="InternetLink"/>
                  <w:rFonts w:ascii="Times New Roman;sans-serif" w:hAnsi="Times New Roman;sans-serif"/>
                  <w:b w:val="false"/>
                  <w:strike w:val="false"/>
                  <w:dstrike w:val="false"/>
                  <w:color w:val="000000"/>
                  <w:sz w:val="24"/>
                  <w:u w:val="none"/>
                  <w:effect w:val="none"/>
                </w:rPr>
                <w:t>SECTION 2.8.</w:t>
              </w:r>
            </w:hyperlink>
            <w:hyperlink w:anchor="i0d3f5b1a05824808a0c79fc0f3ab5fa4_211">
              <w:r>
                <w:rPr>
                  <w:rStyle w:val="InternetLink"/>
                  <w:strike w:val="false"/>
                  <w:dstrike w:val="false"/>
                  <w:color w:val="000000"/>
                  <w:u w:val="none"/>
                  <w:effect w:val="none"/>
                </w:rPr>
                <w:t>    </w:t>
              </w:r>
            </w:hyperlink>
            <w:hyperlink w:anchor="i0d3f5b1a05824808a0c79fc0f3ab5fa4_211">
              <w:r>
                <w:rPr>
                  <w:rStyle w:val="InternetLink"/>
                </w:rPr>
                <w:t>Cancellation and Destruction of Surrendered Receipts.</w:t>
              </w:r>
            </w:hyperlink>
            <w:hyperlink w:anchor="i0d3f5b1a05824808a0c79fc0f3ab5fa4_211">
              <w:r>
                <w:rPr>
                  <w:rStyle w:val="InternetLink"/>
                </w:rPr>
                <w:t>    </w:t>
              </w:r>
            </w:hyperlink>
          </w:p>
        </w:tc>
        <w:tc>
          <w:tcPr>
            <w:tcW w:w="392"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w:anchor="i0d3f5b1a05824808a0c79fc0f3ab5fa4_211">
              <w:r>
                <w:rPr>
                  <w:rStyle w:val="InternetLink"/>
                  <w:rFonts w:ascii="Times New Roman;sans-serif" w:hAnsi="Times New Roman;sans-serif"/>
                  <w:b w:val="false"/>
                  <w:color w:val="000000"/>
                  <w:sz w:val="24"/>
                  <w:u w:val="single"/>
                </w:rPr>
                <w:t>11</w:t>
              </w:r>
            </w:hyperlink>
          </w:p>
        </w:tc>
      </w:tr>
    </w:tbl>
    <w:p>
      <w:pPr>
        <w:pStyle w:val="TextBody"/>
        <w:spacing w:before="120" w:after="240"/>
        <w:jc w:val="center"/>
        <w:rPr/>
      </w:pPr>
      <w:r>
        <w:br w:type="page"/>
      </w:r>
      <w:r>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6480175" cy="869950"/>
                <wp:effectExtent l="0" t="0" r="0" b="0"/>
                <wp:wrapNone/>
                <wp:docPr id="307" name="Frame304"/>
                <a:graphic xmlns:a="http://schemas.openxmlformats.org/drawingml/2006/main">
                  <a:graphicData uri="http://schemas.microsoft.com/office/word/2010/wordprocessingShape">
                    <wps:wsp>
                      <wps:cNvSpPr txBox="1"/>
                      <wps:spPr>
                        <a:xfrm>
                          <a:off x="0" y="0"/>
                          <a:ext cx="6480175" cy="869950"/>
                        </a:xfrm>
                        <a:prstGeom prst="rect"/>
                      </wps:spPr>
                      <wps:txbx>
                        <w:txbxContent>
                          <w:p>
                            <w:pPr>
                              <w:pStyle w:val="TextBody"/>
                              <w:spacing w:lineRule="auto" w:line="288"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-1-</w:t>
                            </w:r>
                          </w:p>
                          <w:p>
                            <w:pPr>
                              <w:pStyle w:val="TextBody"/>
                              <w:spacing w:before="24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8.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spacing w:lineRule="auto" w:line="288"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-1-</w:t>
                      </w:r>
                    </w:p>
                    <w:p>
                      <w:pPr>
                        <w:pStyle w:val="TextBody"/>
                        <w:spacing w:before="240" w:after="283"/>
                        <w:jc w:val="center"/>
                        <w:rPr/>
                      </w:pPr>
                      <w:r>
                        <w:rPr/>
                      </w:r>
                    </w:p>
                  </w:txbxContent>
                </v:textbox>
              </v:rect>
            </w:pict>
          </mc:Fallback>
        </mc:AlternateContent>
      </w:r>
    </w:p>
    <w:tbl>
      <w:tblPr>
        <w:tblW w:w="10205" w:type="dxa"/>
        <w:jc w:val="left"/>
        <w:tblInd w:w="0" w:type="dxa"/>
        <w:tblCellMar>
          <w:top w:w="28" w:type="dxa"/>
          <w:left w:w="28" w:type="dxa"/>
          <w:bottom w:w="28" w:type="dxa"/>
          <w:right w:w="28" w:type="dxa"/>
        </w:tblCellMar>
      </w:tblPr>
      <w:tblGrid>
        <w:gridCol w:w="3720"/>
        <w:gridCol w:w="3039"/>
        <w:gridCol w:w="3053"/>
        <w:gridCol w:w="114"/>
        <w:gridCol w:w="114"/>
        <w:gridCol w:w="165"/>
      </w:tblGrid>
      <w:tr>
        <w:trPr/>
        <w:tc>
          <w:tcPr>
            <w:tcW w:w="3720" w:type="dxa"/>
            <w:tcBorders/>
            <w:shd w:fill="auto" w:val="clear"/>
            <w:vAlign w:val="center"/>
          </w:tcPr>
          <w:p>
            <w:pPr>
              <w:pStyle w:val="TableContents"/>
              <w:spacing w:before="0" w:after="283"/>
              <w:rPr>
                <w:sz w:val="4"/>
                <w:szCs w:val="4"/>
              </w:rPr>
            </w:pPr>
            <w:r>
              <w:rPr>
                <w:sz w:val="4"/>
                <w:szCs w:val="4"/>
              </w:rPr>
            </w:r>
          </w:p>
        </w:tc>
        <w:tc>
          <w:tcPr>
            <w:tcW w:w="3039" w:type="dxa"/>
            <w:tcBorders/>
            <w:shd w:fill="auto" w:val="clear"/>
            <w:vAlign w:val="center"/>
          </w:tcPr>
          <w:p>
            <w:pPr>
              <w:pStyle w:val="TableContents"/>
              <w:spacing w:before="0" w:after="283"/>
              <w:rPr>
                <w:sz w:val="4"/>
                <w:szCs w:val="4"/>
              </w:rPr>
            </w:pPr>
            <w:r>
              <w:rPr>
                <w:sz w:val="4"/>
                <w:szCs w:val="4"/>
              </w:rPr>
            </w:r>
          </w:p>
        </w:tc>
        <w:tc>
          <w:tcPr>
            <w:tcW w:w="3053"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r>
      <w:tr>
        <w:trPr/>
        <w:tc>
          <w:tcPr>
            <w:tcW w:w="9812"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w:anchor="i0d3f5b1a05824808a0c79fc0f3ab5fa4_211">
              <w:r>
                <w:rPr>
                  <w:rStyle w:val="InternetLink"/>
                  <w:rFonts w:ascii="Times New Roman;sans-serif" w:hAnsi="Times New Roman;sans-serif"/>
                  <w:b w:val="false"/>
                  <w:strike w:val="false"/>
                  <w:dstrike w:val="false"/>
                  <w:color w:val="000000"/>
                  <w:sz w:val="24"/>
                  <w:u w:val="none"/>
                  <w:effect w:val="none"/>
                </w:rPr>
                <w:t>SECTION 2.9.</w:t>
              </w:r>
            </w:hyperlink>
            <w:hyperlink w:anchor="i0d3f5b1a05824808a0c79fc0f3ab5fa4_211">
              <w:r>
                <w:rPr>
                  <w:rStyle w:val="InternetLink"/>
                  <w:strike w:val="false"/>
                  <w:dstrike w:val="false"/>
                  <w:color w:val="000000"/>
                  <w:u w:val="none"/>
                  <w:effect w:val="none"/>
                </w:rPr>
                <w:t>    </w:t>
              </w:r>
            </w:hyperlink>
            <w:hyperlink w:anchor="i0d3f5b1a05824808a0c79fc0f3ab5fa4_211">
              <w:r>
                <w:rPr>
                  <w:rStyle w:val="InternetLink"/>
                  <w:rFonts w:ascii="Times New Roman;sans-serif" w:hAnsi="Times New Roman;sans-serif"/>
                  <w:b w:val="false"/>
                  <w:strike w:val="false"/>
                  <w:dstrike w:val="false"/>
                  <w:color w:val="000000"/>
                  <w:sz w:val="24"/>
                  <w:u w:val="none"/>
                  <w:effect w:val="none"/>
                </w:rPr>
                <w:t>DTC Direct Registration System and Profile Modification System.</w:t>
              </w:r>
            </w:hyperlink>
          </w:p>
        </w:tc>
        <w:tc>
          <w:tcPr>
            <w:tcW w:w="393"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w:anchor="i0d3f5b1a05824808a0c79fc0f3ab5fa4_211">
              <w:r>
                <w:rPr>
                  <w:rStyle w:val="InternetLink"/>
                  <w:rFonts w:ascii="Times New Roman;sans-serif" w:hAnsi="Times New Roman;sans-serif"/>
                  <w:b w:val="false"/>
                  <w:color w:val="000000"/>
                  <w:sz w:val="24"/>
                  <w:u w:val="single"/>
                </w:rPr>
                <w:t>12</w:t>
              </w:r>
            </w:hyperlink>
          </w:p>
        </w:tc>
      </w:tr>
      <w:tr>
        <w:trPr/>
        <w:tc>
          <w:tcPr>
            <w:tcW w:w="9812"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w:anchor="i0d3f5b1a05824808a0c79fc0f3ab5fa4_211">
              <w:r>
                <w:rPr>
                  <w:rStyle w:val="InternetLink"/>
                  <w:rFonts w:ascii="Times New Roman;sans-serif" w:hAnsi="Times New Roman;sans-serif"/>
                  <w:b w:val="false"/>
                  <w:strike w:val="false"/>
                  <w:dstrike w:val="false"/>
                  <w:color w:val="000000"/>
                  <w:sz w:val="24"/>
                  <w:u w:val="none"/>
                  <w:effect w:val="none"/>
                </w:rPr>
                <w:t>ARTICLE 3.</w:t>
              </w:r>
            </w:hyperlink>
            <w:hyperlink w:anchor="i0d3f5b1a05824808a0c79fc0f3ab5fa4_211">
              <w:r>
                <w:rPr>
                  <w:rStyle w:val="InternetLink"/>
                  <w:strike w:val="false"/>
                  <w:dstrike w:val="false"/>
                  <w:color w:val="000000"/>
                  <w:u w:val="none"/>
                  <w:effect w:val="none"/>
                </w:rPr>
                <w:t>    </w:t>
              </w:r>
            </w:hyperlink>
            <w:hyperlink w:anchor="i0d3f5b1a05824808a0c79fc0f3ab5fa4_211">
              <w:r>
                <w:rPr>
                  <w:rStyle w:val="InternetLink"/>
                  <w:rFonts w:ascii="Times New Roman;sans-serif" w:hAnsi="Times New Roman;sans-serif"/>
                  <w:b w:val="false"/>
                  <w:strike w:val="false"/>
                  <w:dstrike w:val="false"/>
                  <w:color w:val="000000"/>
                  <w:sz w:val="24"/>
                  <w:u w:val="none"/>
                  <w:effect w:val="none"/>
                </w:rPr>
                <w:t>CERTAIN OBLIGATIONS OF OWNERS AND HOLDERS OF AMERICAN DEPOSITARY SHARES</w:t>
              </w:r>
            </w:hyperlink>
          </w:p>
        </w:tc>
        <w:tc>
          <w:tcPr>
            <w:tcW w:w="393"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w:anchor="i0d3f5b1a05824808a0c79fc0f3ab5fa4_211">
              <w:r>
                <w:rPr>
                  <w:rStyle w:val="InternetLink"/>
                  <w:rFonts w:ascii="Times New Roman;sans-serif" w:hAnsi="Times New Roman;sans-serif"/>
                  <w:b w:val="false"/>
                  <w:color w:val="000000"/>
                  <w:sz w:val="24"/>
                  <w:u w:val="single"/>
                </w:rPr>
                <w:t>12</w:t>
              </w:r>
            </w:hyperlink>
          </w:p>
        </w:tc>
      </w:tr>
      <w:tr>
        <w:trPr/>
        <w:tc>
          <w:tcPr>
            <w:tcW w:w="9812"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w:anchor="i0d3f5b1a05824808a0c79fc0f3ab5fa4_211">
              <w:r>
                <w:rPr>
                  <w:rStyle w:val="InternetLink"/>
                  <w:rFonts w:ascii="Times New Roman;sans-serif" w:hAnsi="Times New Roman;sans-serif"/>
                  <w:b w:val="false"/>
                  <w:strike w:val="false"/>
                  <w:dstrike w:val="false"/>
                  <w:color w:val="000000"/>
                  <w:sz w:val="24"/>
                  <w:u w:val="none"/>
                  <w:effect w:val="none"/>
                </w:rPr>
                <w:t>SECTION 3.1.</w:t>
              </w:r>
            </w:hyperlink>
            <w:hyperlink w:anchor="i0d3f5b1a05824808a0c79fc0f3ab5fa4_211">
              <w:r>
                <w:rPr>
                  <w:rStyle w:val="InternetLink"/>
                  <w:strike w:val="false"/>
                  <w:dstrike w:val="false"/>
                  <w:color w:val="000000"/>
                  <w:u w:val="none"/>
                  <w:effect w:val="none"/>
                </w:rPr>
                <w:t>    </w:t>
              </w:r>
            </w:hyperlink>
            <w:hyperlink w:anchor="i0d3f5b1a05824808a0c79fc0f3ab5fa4_211">
              <w:r>
                <w:rPr>
                  <w:rStyle w:val="InternetLink"/>
                  <w:rFonts w:ascii="Times New Roman;sans-serif" w:hAnsi="Times New Roman;sans-serif"/>
                  <w:b w:val="false"/>
                  <w:strike w:val="false"/>
                  <w:dstrike w:val="false"/>
                  <w:color w:val="000000"/>
                  <w:sz w:val="24"/>
                  <w:u w:val="none"/>
                  <w:effect w:val="none"/>
                </w:rPr>
                <w:t>Filing Proofs, Certificates and Other Information.</w:t>
              </w:r>
            </w:hyperlink>
          </w:p>
        </w:tc>
        <w:tc>
          <w:tcPr>
            <w:tcW w:w="393"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w:anchor="i0d3f5b1a05824808a0c79fc0f3ab5fa4_211">
              <w:r>
                <w:rPr>
                  <w:rStyle w:val="InternetLink"/>
                  <w:rFonts w:ascii="Times New Roman;sans-serif" w:hAnsi="Times New Roman;sans-serif"/>
                  <w:b w:val="false"/>
                  <w:color w:val="000000"/>
                  <w:sz w:val="24"/>
                  <w:u w:val="single"/>
                </w:rPr>
                <w:t>12</w:t>
              </w:r>
            </w:hyperlink>
          </w:p>
        </w:tc>
      </w:tr>
      <w:tr>
        <w:trPr/>
        <w:tc>
          <w:tcPr>
            <w:tcW w:w="9812"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w:anchor="i0d3f5b1a05824808a0c79fc0f3ab5fa4_211">
              <w:r>
                <w:rPr>
                  <w:rStyle w:val="InternetLink"/>
                  <w:rFonts w:ascii="Times New Roman;sans-serif" w:hAnsi="Times New Roman;sans-serif"/>
                  <w:b w:val="false"/>
                  <w:strike w:val="false"/>
                  <w:dstrike w:val="false"/>
                  <w:color w:val="000000"/>
                  <w:sz w:val="24"/>
                  <w:u w:val="none"/>
                  <w:effect w:val="none"/>
                </w:rPr>
                <w:t>SECTION 3.2.</w:t>
              </w:r>
            </w:hyperlink>
            <w:hyperlink w:anchor="i0d3f5b1a05824808a0c79fc0f3ab5fa4_211">
              <w:r>
                <w:rPr>
                  <w:rStyle w:val="InternetLink"/>
                  <w:strike w:val="false"/>
                  <w:dstrike w:val="false"/>
                  <w:color w:val="000000"/>
                  <w:u w:val="none"/>
                  <w:effect w:val="none"/>
                </w:rPr>
                <w:t>    </w:t>
              </w:r>
            </w:hyperlink>
            <w:hyperlink w:anchor="i0d3f5b1a05824808a0c79fc0f3ab5fa4_211">
              <w:r>
                <w:rPr>
                  <w:rStyle w:val="InternetLink"/>
                  <w:rFonts w:ascii="Times New Roman;sans-serif" w:hAnsi="Times New Roman;sans-serif"/>
                  <w:b w:val="false"/>
                  <w:strike w:val="false"/>
                  <w:dstrike w:val="false"/>
                  <w:color w:val="000000"/>
                  <w:sz w:val="24"/>
                  <w:u w:val="none"/>
                  <w:effect w:val="none"/>
                </w:rPr>
                <w:t>Liability of Owner for Taxes.</w:t>
              </w:r>
            </w:hyperlink>
          </w:p>
        </w:tc>
        <w:tc>
          <w:tcPr>
            <w:tcW w:w="393"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w:anchor="i0d3f5b1a05824808a0c79fc0f3ab5fa4_211">
              <w:r>
                <w:rPr>
                  <w:rStyle w:val="InternetLink"/>
                  <w:rFonts w:ascii="Times New Roman;sans-serif" w:hAnsi="Times New Roman;sans-serif"/>
                  <w:b w:val="false"/>
                  <w:color w:val="000000"/>
                  <w:sz w:val="24"/>
                  <w:u w:val="single"/>
                </w:rPr>
                <w:t>13</w:t>
              </w:r>
            </w:hyperlink>
          </w:p>
        </w:tc>
      </w:tr>
      <w:tr>
        <w:trPr/>
        <w:tc>
          <w:tcPr>
            <w:tcW w:w="9812"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w:anchor="i0d3f5b1a05824808a0c79fc0f3ab5fa4_211">
              <w:r>
                <w:rPr>
                  <w:rStyle w:val="InternetLink"/>
                  <w:rFonts w:ascii="Times New Roman;sans-serif" w:hAnsi="Times New Roman;sans-serif"/>
                  <w:b w:val="false"/>
                  <w:strike w:val="false"/>
                  <w:dstrike w:val="false"/>
                  <w:color w:val="000000"/>
                  <w:sz w:val="24"/>
                  <w:u w:val="none"/>
                  <w:effect w:val="none"/>
                </w:rPr>
                <w:t>SECTION 3.3.</w:t>
              </w:r>
            </w:hyperlink>
            <w:hyperlink w:anchor="i0d3f5b1a05824808a0c79fc0f3ab5fa4_211">
              <w:r>
                <w:rPr>
                  <w:rStyle w:val="InternetLink"/>
                  <w:strike w:val="false"/>
                  <w:dstrike w:val="false"/>
                  <w:color w:val="000000"/>
                  <w:u w:val="none"/>
                  <w:effect w:val="none"/>
                </w:rPr>
                <w:t>    </w:t>
              </w:r>
            </w:hyperlink>
            <w:hyperlink w:anchor="i0d3f5b1a05824808a0c79fc0f3ab5fa4_211">
              <w:r>
                <w:rPr>
                  <w:rStyle w:val="InternetLink"/>
                  <w:rFonts w:ascii="Times New Roman;sans-serif" w:hAnsi="Times New Roman;sans-serif"/>
                  <w:b w:val="false"/>
                  <w:strike w:val="false"/>
                  <w:dstrike w:val="false"/>
                  <w:color w:val="000000"/>
                  <w:sz w:val="24"/>
                  <w:u w:val="none"/>
                  <w:effect w:val="none"/>
                </w:rPr>
                <w:t>Warranties on Deposit of Shares.</w:t>
              </w:r>
            </w:hyperlink>
          </w:p>
        </w:tc>
        <w:tc>
          <w:tcPr>
            <w:tcW w:w="393"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w:anchor="i0d3f5b1a05824808a0c79fc0f3ab5fa4_211">
              <w:r>
                <w:rPr>
                  <w:rStyle w:val="InternetLink"/>
                  <w:rFonts w:ascii="Times New Roman;sans-serif" w:hAnsi="Times New Roman;sans-serif"/>
                  <w:b w:val="false"/>
                  <w:color w:val="000000"/>
                  <w:sz w:val="24"/>
                  <w:u w:val="single"/>
                </w:rPr>
                <w:t>13</w:t>
              </w:r>
            </w:hyperlink>
          </w:p>
        </w:tc>
      </w:tr>
      <w:tr>
        <w:trPr/>
        <w:tc>
          <w:tcPr>
            <w:tcW w:w="9812"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w:anchor="i0d3f5b1a05824808a0c79fc0f3ab5fa4_211">
              <w:r>
                <w:rPr>
                  <w:rStyle w:val="InternetLink"/>
                  <w:rFonts w:ascii="Times New Roman;sans-serif" w:hAnsi="Times New Roman;sans-serif"/>
                  <w:b w:val="false"/>
                  <w:strike w:val="false"/>
                  <w:dstrike w:val="false"/>
                  <w:color w:val="000000"/>
                  <w:sz w:val="24"/>
                  <w:u w:val="none"/>
                  <w:effect w:val="none"/>
                </w:rPr>
                <w:t>SECTION 3.4.</w:t>
              </w:r>
            </w:hyperlink>
            <w:hyperlink w:anchor="i0d3f5b1a05824808a0c79fc0f3ab5fa4_211">
              <w:r>
                <w:rPr>
                  <w:rStyle w:val="InternetLink"/>
                  <w:strike w:val="false"/>
                  <w:dstrike w:val="false"/>
                  <w:color w:val="000000"/>
                  <w:u w:val="none"/>
                  <w:effect w:val="none"/>
                </w:rPr>
                <w:t>    </w:t>
              </w:r>
            </w:hyperlink>
            <w:hyperlink w:anchor="i0d3f5b1a05824808a0c79fc0f3ab5fa4_211">
              <w:r>
                <w:rPr>
                  <w:rStyle w:val="InternetLink"/>
                  <w:rFonts w:ascii="Times New Roman;sans-serif" w:hAnsi="Times New Roman;sans-serif"/>
                  <w:b w:val="false"/>
                  <w:strike w:val="false"/>
                  <w:dstrike w:val="false"/>
                  <w:color w:val="000000"/>
                  <w:sz w:val="24"/>
                  <w:u w:val="none"/>
                  <w:effect w:val="none"/>
                </w:rPr>
                <w:t>Disclosure of Interests.</w:t>
              </w:r>
            </w:hyperlink>
          </w:p>
        </w:tc>
        <w:tc>
          <w:tcPr>
            <w:tcW w:w="393"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w:anchor="i0d3f5b1a05824808a0c79fc0f3ab5fa4_211">
              <w:r>
                <w:rPr>
                  <w:rStyle w:val="InternetLink"/>
                  <w:rFonts w:ascii="Times New Roman;sans-serif" w:hAnsi="Times New Roman;sans-serif"/>
                  <w:b w:val="false"/>
                  <w:color w:val="000000"/>
                  <w:sz w:val="24"/>
                  <w:u w:val="single"/>
                </w:rPr>
                <w:t>13</w:t>
              </w:r>
            </w:hyperlink>
          </w:p>
        </w:tc>
      </w:tr>
      <w:tr>
        <w:trPr/>
        <w:tc>
          <w:tcPr>
            <w:tcW w:w="9812"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w:anchor="i0d3f5b1a05824808a0c79fc0f3ab5fa4_211">
              <w:r>
                <w:rPr>
                  <w:rStyle w:val="InternetLink"/>
                  <w:rFonts w:ascii="Times New Roman;sans-serif" w:hAnsi="Times New Roman;sans-serif"/>
                  <w:b w:val="false"/>
                  <w:strike w:val="false"/>
                  <w:dstrike w:val="false"/>
                  <w:color w:val="000000"/>
                  <w:sz w:val="24"/>
                  <w:u w:val="none"/>
                  <w:effect w:val="none"/>
                </w:rPr>
                <w:t>ARTICLE 4.</w:t>
              </w:r>
            </w:hyperlink>
            <w:hyperlink w:anchor="i0d3f5b1a05824808a0c79fc0f3ab5fa4_211">
              <w:r>
                <w:rPr>
                  <w:rStyle w:val="InternetLink"/>
                  <w:strike w:val="false"/>
                  <w:dstrike w:val="false"/>
                  <w:color w:val="000000"/>
                  <w:u w:val="none"/>
                  <w:effect w:val="none"/>
                </w:rPr>
                <w:t>    </w:t>
              </w:r>
            </w:hyperlink>
            <w:hyperlink w:anchor="i0d3f5b1a05824808a0c79fc0f3ab5fa4_211">
              <w:r>
                <w:rPr>
                  <w:rStyle w:val="InternetLink"/>
                  <w:rFonts w:ascii="Times New Roman;sans-serif" w:hAnsi="Times New Roman;sans-serif"/>
                  <w:b w:val="false"/>
                  <w:strike w:val="false"/>
                  <w:dstrike w:val="false"/>
                  <w:color w:val="000000"/>
                  <w:sz w:val="24"/>
                  <w:u w:val="none"/>
                  <w:effect w:val="none"/>
                </w:rPr>
                <w:t>THE DEPOSITED SECURITIES</w:t>
              </w:r>
            </w:hyperlink>
          </w:p>
        </w:tc>
        <w:tc>
          <w:tcPr>
            <w:tcW w:w="393"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w:anchor="i0d3f5b1a05824808a0c79fc0f3ab5fa4_211">
              <w:r>
                <w:rPr>
                  <w:rStyle w:val="InternetLink"/>
                  <w:rFonts w:ascii="Times New Roman;sans-serif" w:hAnsi="Times New Roman;sans-serif"/>
                  <w:b w:val="false"/>
                  <w:color w:val="000000"/>
                  <w:sz w:val="24"/>
                  <w:u w:val="single"/>
                </w:rPr>
                <w:t>14</w:t>
              </w:r>
            </w:hyperlink>
          </w:p>
        </w:tc>
      </w:tr>
      <w:tr>
        <w:trPr/>
        <w:tc>
          <w:tcPr>
            <w:tcW w:w="9812"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w:anchor="i0d3f5b1a05824808a0c79fc0f3ab5fa4_211">
              <w:r>
                <w:rPr>
                  <w:rStyle w:val="InternetLink"/>
                  <w:rFonts w:ascii="Times New Roman;sans-serif" w:hAnsi="Times New Roman;sans-serif"/>
                  <w:b w:val="false"/>
                  <w:strike w:val="false"/>
                  <w:dstrike w:val="false"/>
                  <w:color w:val="000000"/>
                  <w:sz w:val="24"/>
                  <w:u w:val="none"/>
                  <w:effect w:val="none"/>
                </w:rPr>
                <w:t>SECTION 4.1.</w:t>
              </w:r>
            </w:hyperlink>
            <w:hyperlink w:anchor="i0d3f5b1a05824808a0c79fc0f3ab5fa4_211">
              <w:r>
                <w:rPr>
                  <w:rStyle w:val="InternetLink"/>
                  <w:strike w:val="false"/>
                  <w:dstrike w:val="false"/>
                  <w:color w:val="000000"/>
                  <w:u w:val="none"/>
                  <w:effect w:val="none"/>
                </w:rPr>
                <w:t>    </w:t>
              </w:r>
            </w:hyperlink>
            <w:hyperlink w:anchor="i0d3f5b1a05824808a0c79fc0f3ab5fa4_211">
              <w:r>
                <w:rPr>
                  <w:rStyle w:val="InternetLink"/>
                  <w:rFonts w:ascii="Times New Roman;sans-serif" w:hAnsi="Times New Roman;sans-serif"/>
                  <w:b w:val="false"/>
                  <w:strike w:val="false"/>
                  <w:dstrike w:val="false"/>
                  <w:color w:val="000000"/>
                  <w:sz w:val="24"/>
                  <w:u w:val="none"/>
                  <w:effect w:val="none"/>
                </w:rPr>
                <w:t>Cash Distributions.</w:t>
              </w:r>
            </w:hyperlink>
          </w:p>
        </w:tc>
        <w:tc>
          <w:tcPr>
            <w:tcW w:w="393"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w:anchor="i0d3f5b1a05824808a0c79fc0f3ab5fa4_211">
              <w:r>
                <w:rPr>
                  <w:rStyle w:val="InternetLink"/>
                  <w:rFonts w:ascii="Times New Roman;sans-serif" w:hAnsi="Times New Roman;sans-serif"/>
                  <w:b w:val="false"/>
                  <w:color w:val="000000"/>
                  <w:sz w:val="24"/>
                  <w:u w:val="single"/>
                </w:rPr>
                <w:t>14</w:t>
              </w:r>
            </w:hyperlink>
          </w:p>
        </w:tc>
      </w:tr>
      <w:tr>
        <w:trPr/>
        <w:tc>
          <w:tcPr>
            <w:tcW w:w="9812"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w:anchor="i0d3f5b1a05824808a0c79fc0f3ab5fa4_211">
              <w:r>
                <w:rPr>
                  <w:rStyle w:val="InternetLink"/>
                  <w:rFonts w:ascii="Times New Roman;sans-serif" w:hAnsi="Times New Roman;sans-serif"/>
                  <w:b w:val="false"/>
                  <w:strike w:val="false"/>
                  <w:dstrike w:val="false"/>
                  <w:color w:val="000000"/>
                  <w:sz w:val="24"/>
                  <w:u w:val="none"/>
                  <w:effect w:val="none"/>
                </w:rPr>
                <w:t>SECTION 4.2.</w:t>
              </w:r>
            </w:hyperlink>
            <w:hyperlink w:anchor="i0d3f5b1a05824808a0c79fc0f3ab5fa4_211">
              <w:r>
                <w:rPr>
                  <w:rStyle w:val="InternetLink"/>
                  <w:strike w:val="false"/>
                  <w:dstrike w:val="false"/>
                  <w:color w:val="000000"/>
                  <w:u w:val="none"/>
                  <w:effect w:val="none"/>
                </w:rPr>
                <w:t>    </w:t>
              </w:r>
            </w:hyperlink>
            <w:hyperlink w:anchor="i0d3f5b1a05824808a0c79fc0f3ab5fa4_211">
              <w:r>
                <w:rPr>
                  <w:rStyle w:val="InternetLink"/>
                  <w:rFonts w:ascii="Times New Roman;sans-serif" w:hAnsi="Times New Roman;sans-serif"/>
                  <w:b w:val="false"/>
                  <w:strike w:val="false"/>
                  <w:dstrike w:val="false"/>
                  <w:color w:val="000000"/>
                  <w:sz w:val="24"/>
                  <w:u w:val="none"/>
                  <w:effect w:val="none"/>
                </w:rPr>
                <w:t>Distributions Other Than Cash, Shares or Rights.</w:t>
              </w:r>
            </w:hyperlink>
          </w:p>
        </w:tc>
        <w:tc>
          <w:tcPr>
            <w:tcW w:w="393"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w:anchor="i0d3f5b1a05824808a0c79fc0f3ab5fa4_211">
              <w:r>
                <w:rPr>
                  <w:rStyle w:val="InternetLink"/>
                  <w:rFonts w:ascii="Times New Roman;sans-serif" w:hAnsi="Times New Roman;sans-serif"/>
                  <w:b w:val="false"/>
                  <w:color w:val="000000"/>
                  <w:sz w:val="24"/>
                  <w:u w:val="single"/>
                </w:rPr>
                <w:t>14</w:t>
              </w:r>
            </w:hyperlink>
          </w:p>
        </w:tc>
      </w:tr>
      <w:tr>
        <w:trPr/>
        <w:tc>
          <w:tcPr>
            <w:tcW w:w="9812"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w:anchor="i0d3f5b1a05824808a0c79fc0f3ab5fa4_211">
              <w:r>
                <w:rPr>
                  <w:rStyle w:val="InternetLink"/>
                  <w:rFonts w:ascii="Times New Roman;sans-serif" w:hAnsi="Times New Roman;sans-serif"/>
                  <w:b w:val="false"/>
                  <w:strike w:val="false"/>
                  <w:dstrike w:val="false"/>
                  <w:color w:val="000000"/>
                  <w:sz w:val="24"/>
                  <w:u w:val="none"/>
                  <w:effect w:val="none"/>
                </w:rPr>
                <w:t>SECTION 4.3.</w:t>
              </w:r>
            </w:hyperlink>
            <w:hyperlink w:anchor="i0d3f5b1a05824808a0c79fc0f3ab5fa4_211">
              <w:r>
                <w:rPr>
                  <w:rStyle w:val="InternetLink"/>
                  <w:strike w:val="false"/>
                  <w:dstrike w:val="false"/>
                  <w:color w:val="000000"/>
                  <w:u w:val="none"/>
                  <w:effect w:val="none"/>
                </w:rPr>
                <w:t>    </w:t>
              </w:r>
            </w:hyperlink>
            <w:hyperlink w:anchor="i0d3f5b1a05824808a0c79fc0f3ab5fa4_211">
              <w:r>
                <w:rPr>
                  <w:rStyle w:val="InternetLink"/>
                  <w:rFonts w:ascii="Times New Roman;sans-serif" w:hAnsi="Times New Roman;sans-serif"/>
                  <w:b w:val="false"/>
                  <w:strike w:val="false"/>
                  <w:dstrike w:val="false"/>
                  <w:color w:val="000000"/>
                  <w:sz w:val="24"/>
                  <w:u w:val="none"/>
                  <w:effect w:val="none"/>
                </w:rPr>
                <w:t>Distributions in Shares.</w:t>
              </w:r>
            </w:hyperlink>
          </w:p>
        </w:tc>
        <w:tc>
          <w:tcPr>
            <w:tcW w:w="393"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w:anchor="i0d3f5b1a05824808a0c79fc0f3ab5fa4_211">
              <w:r>
                <w:rPr>
                  <w:rStyle w:val="InternetLink"/>
                  <w:rFonts w:ascii="Times New Roman;sans-serif" w:hAnsi="Times New Roman;sans-serif"/>
                  <w:b w:val="false"/>
                  <w:color w:val="000000"/>
                  <w:sz w:val="24"/>
                  <w:u w:val="single"/>
                </w:rPr>
                <w:t>15</w:t>
              </w:r>
            </w:hyperlink>
          </w:p>
        </w:tc>
      </w:tr>
      <w:tr>
        <w:trPr/>
        <w:tc>
          <w:tcPr>
            <w:tcW w:w="9812"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w:anchor="i0d3f5b1a05824808a0c79fc0f3ab5fa4_211">
              <w:r>
                <w:rPr>
                  <w:rStyle w:val="InternetLink"/>
                  <w:rFonts w:ascii="Times New Roman;sans-serif" w:hAnsi="Times New Roman;sans-serif"/>
                  <w:b w:val="false"/>
                  <w:strike w:val="false"/>
                  <w:dstrike w:val="false"/>
                  <w:color w:val="000000"/>
                  <w:sz w:val="24"/>
                  <w:u w:val="none"/>
                  <w:effect w:val="none"/>
                </w:rPr>
                <w:t>SECTION 4.4.</w:t>
              </w:r>
            </w:hyperlink>
            <w:hyperlink w:anchor="i0d3f5b1a05824808a0c79fc0f3ab5fa4_211">
              <w:r>
                <w:rPr>
                  <w:rStyle w:val="InternetLink"/>
                  <w:strike w:val="false"/>
                  <w:dstrike w:val="false"/>
                  <w:color w:val="000000"/>
                  <w:u w:val="none"/>
                  <w:effect w:val="none"/>
                </w:rPr>
                <w:t>    </w:t>
              </w:r>
            </w:hyperlink>
            <w:hyperlink w:anchor="i0d3f5b1a05824808a0c79fc0f3ab5fa4_211">
              <w:r>
                <w:rPr>
                  <w:rStyle w:val="InternetLink"/>
                  <w:rFonts w:ascii="Times New Roman;sans-serif" w:hAnsi="Times New Roman;sans-serif"/>
                  <w:b w:val="false"/>
                  <w:strike w:val="false"/>
                  <w:dstrike w:val="false"/>
                  <w:color w:val="000000"/>
                  <w:sz w:val="24"/>
                  <w:u w:val="none"/>
                  <w:effect w:val="none"/>
                </w:rPr>
                <w:t>Rights.</w:t>
              </w:r>
            </w:hyperlink>
          </w:p>
        </w:tc>
        <w:tc>
          <w:tcPr>
            <w:tcW w:w="393"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w:anchor="i0d3f5b1a05824808a0c79fc0f3ab5fa4_211">
              <w:r>
                <w:rPr>
                  <w:rStyle w:val="InternetLink"/>
                  <w:rFonts w:ascii="Times New Roman;sans-serif" w:hAnsi="Times New Roman;sans-serif"/>
                  <w:b w:val="false"/>
                  <w:color w:val="000000"/>
                  <w:sz w:val="24"/>
                  <w:u w:val="single"/>
                </w:rPr>
                <w:t>16</w:t>
              </w:r>
            </w:hyperlink>
          </w:p>
        </w:tc>
      </w:tr>
      <w:tr>
        <w:trPr/>
        <w:tc>
          <w:tcPr>
            <w:tcW w:w="9812"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w:anchor="i0d3f5b1a05824808a0c79fc0f3ab5fa4_211">
              <w:r>
                <w:rPr>
                  <w:rStyle w:val="InternetLink"/>
                  <w:rFonts w:ascii="Times New Roman;sans-serif" w:hAnsi="Times New Roman;sans-serif"/>
                  <w:b w:val="false"/>
                  <w:strike w:val="false"/>
                  <w:dstrike w:val="false"/>
                  <w:color w:val="000000"/>
                  <w:sz w:val="24"/>
                  <w:u w:val="none"/>
                  <w:effect w:val="none"/>
                </w:rPr>
                <w:t>SECTION 4.5.</w:t>
              </w:r>
            </w:hyperlink>
            <w:hyperlink w:anchor="i0d3f5b1a05824808a0c79fc0f3ab5fa4_211">
              <w:r>
                <w:rPr>
                  <w:rStyle w:val="InternetLink"/>
                  <w:strike w:val="false"/>
                  <w:dstrike w:val="false"/>
                  <w:color w:val="000000"/>
                  <w:u w:val="none"/>
                  <w:effect w:val="none"/>
                </w:rPr>
                <w:t>    </w:t>
              </w:r>
            </w:hyperlink>
            <w:hyperlink w:anchor="i0d3f5b1a05824808a0c79fc0f3ab5fa4_211">
              <w:r>
                <w:rPr>
                  <w:rStyle w:val="InternetLink"/>
                  <w:rFonts w:ascii="Times New Roman;sans-serif" w:hAnsi="Times New Roman;sans-serif"/>
                  <w:b w:val="false"/>
                  <w:strike w:val="false"/>
                  <w:dstrike w:val="false"/>
                  <w:color w:val="000000"/>
                  <w:sz w:val="24"/>
                  <w:u w:val="none"/>
                  <w:effect w:val="none"/>
                </w:rPr>
                <w:t>Conversion of Foreign Currency.</w:t>
              </w:r>
            </w:hyperlink>
          </w:p>
        </w:tc>
        <w:tc>
          <w:tcPr>
            <w:tcW w:w="393"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w:anchor="i0d3f5b1a05824808a0c79fc0f3ab5fa4_211">
              <w:r>
                <w:rPr>
                  <w:rStyle w:val="InternetLink"/>
                  <w:rFonts w:ascii="Times New Roman;sans-serif" w:hAnsi="Times New Roman;sans-serif"/>
                  <w:b w:val="false"/>
                  <w:color w:val="000000"/>
                  <w:sz w:val="24"/>
                  <w:u w:val="single"/>
                </w:rPr>
                <w:t>17</w:t>
              </w:r>
            </w:hyperlink>
          </w:p>
        </w:tc>
      </w:tr>
      <w:tr>
        <w:trPr/>
        <w:tc>
          <w:tcPr>
            <w:tcW w:w="9812"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w:anchor="i0d3f5b1a05824808a0c79fc0f3ab5fa4_211">
              <w:r>
                <w:rPr>
                  <w:rStyle w:val="InternetLink"/>
                  <w:rFonts w:ascii="Times New Roman;sans-serif" w:hAnsi="Times New Roman;sans-serif"/>
                  <w:b w:val="false"/>
                  <w:strike w:val="false"/>
                  <w:dstrike w:val="false"/>
                  <w:color w:val="000000"/>
                  <w:sz w:val="24"/>
                  <w:u w:val="none"/>
                  <w:effect w:val="none"/>
                </w:rPr>
                <w:t>SECTION 4.6.</w:t>
              </w:r>
            </w:hyperlink>
            <w:hyperlink w:anchor="i0d3f5b1a05824808a0c79fc0f3ab5fa4_211">
              <w:r>
                <w:rPr>
                  <w:rStyle w:val="InternetLink"/>
                  <w:strike w:val="false"/>
                  <w:dstrike w:val="false"/>
                  <w:color w:val="000000"/>
                  <w:u w:val="none"/>
                  <w:effect w:val="none"/>
                </w:rPr>
                <w:t>    </w:t>
              </w:r>
            </w:hyperlink>
            <w:hyperlink w:anchor="i0d3f5b1a05824808a0c79fc0f3ab5fa4_211">
              <w:r>
                <w:rPr>
                  <w:rStyle w:val="InternetLink"/>
                  <w:rFonts w:ascii="Times New Roman;sans-serif" w:hAnsi="Times New Roman;sans-serif"/>
                  <w:b w:val="false"/>
                  <w:strike w:val="false"/>
                  <w:dstrike w:val="false"/>
                  <w:color w:val="000000"/>
                  <w:sz w:val="24"/>
                  <w:u w:val="none"/>
                  <w:effect w:val="none"/>
                </w:rPr>
                <w:t>Fixing of Record Date.</w:t>
              </w:r>
            </w:hyperlink>
          </w:p>
        </w:tc>
        <w:tc>
          <w:tcPr>
            <w:tcW w:w="393"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w:anchor="i0d3f5b1a05824808a0c79fc0f3ab5fa4_211">
              <w:r>
                <w:rPr>
                  <w:rStyle w:val="InternetLink"/>
                  <w:rFonts w:ascii="Times New Roman;sans-serif" w:hAnsi="Times New Roman;sans-serif"/>
                  <w:b w:val="false"/>
                  <w:color w:val="000000"/>
                  <w:sz w:val="24"/>
                  <w:u w:val="single"/>
                </w:rPr>
                <w:t>19</w:t>
              </w:r>
            </w:hyperlink>
          </w:p>
        </w:tc>
      </w:tr>
      <w:tr>
        <w:trPr/>
        <w:tc>
          <w:tcPr>
            <w:tcW w:w="9812"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w:anchor="i0d3f5b1a05824808a0c79fc0f3ab5fa4_211">
              <w:r>
                <w:rPr>
                  <w:rStyle w:val="InternetLink"/>
                  <w:rFonts w:ascii="Times New Roman;sans-serif" w:hAnsi="Times New Roman;sans-serif"/>
                  <w:b w:val="false"/>
                  <w:strike w:val="false"/>
                  <w:dstrike w:val="false"/>
                  <w:color w:val="000000"/>
                  <w:sz w:val="24"/>
                  <w:u w:val="none"/>
                  <w:effect w:val="none"/>
                </w:rPr>
                <w:t>SECTION 4.7.</w:t>
              </w:r>
            </w:hyperlink>
            <w:hyperlink w:anchor="i0d3f5b1a05824808a0c79fc0f3ab5fa4_211">
              <w:r>
                <w:rPr>
                  <w:rStyle w:val="InternetLink"/>
                  <w:strike w:val="false"/>
                  <w:dstrike w:val="false"/>
                  <w:color w:val="000000"/>
                  <w:u w:val="none"/>
                  <w:effect w:val="none"/>
                </w:rPr>
                <w:t>    </w:t>
              </w:r>
            </w:hyperlink>
            <w:hyperlink w:anchor="i0d3f5b1a05824808a0c79fc0f3ab5fa4_211">
              <w:r>
                <w:rPr>
                  <w:rStyle w:val="InternetLink"/>
                  <w:rFonts w:ascii="Times New Roman;sans-serif" w:hAnsi="Times New Roman;sans-serif"/>
                  <w:b w:val="false"/>
                  <w:strike w:val="false"/>
                  <w:dstrike w:val="false"/>
                  <w:color w:val="000000"/>
                  <w:sz w:val="24"/>
                  <w:u w:val="none"/>
                  <w:effect w:val="none"/>
                </w:rPr>
                <w:t>Voting of Deposited Shares.</w:t>
              </w:r>
            </w:hyperlink>
          </w:p>
        </w:tc>
        <w:tc>
          <w:tcPr>
            <w:tcW w:w="393"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w:anchor="i0d3f5b1a05824808a0c79fc0f3ab5fa4_211">
              <w:r>
                <w:rPr>
                  <w:rStyle w:val="InternetLink"/>
                  <w:rFonts w:ascii="Times New Roman;sans-serif" w:hAnsi="Times New Roman;sans-serif"/>
                  <w:b w:val="false"/>
                  <w:color w:val="000000"/>
                  <w:sz w:val="24"/>
                  <w:u w:val="single"/>
                </w:rPr>
                <w:t>19</w:t>
              </w:r>
            </w:hyperlink>
          </w:p>
        </w:tc>
      </w:tr>
      <w:tr>
        <w:trPr/>
        <w:tc>
          <w:tcPr>
            <w:tcW w:w="9812"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w:anchor="i0d3f5b1a05824808a0c79fc0f3ab5fa4_211">
              <w:r>
                <w:rPr>
                  <w:rStyle w:val="InternetLink"/>
                  <w:rFonts w:ascii="Times New Roman;sans-serif" w:hAnsi="Times New Roman;sans-serif"/>
                  <w:b w:val="false"/>
                  <w:strike w:val="false"/>
                  <w:dstrike w:val="false"/>
                  <w:color w:val="000000"/>
                  <w:sz w:val="24"/>
                  <w:u w:val="none"/>
                  <w:effect w:val="none"/>
                </w:rPr>
                <w:t>SECTION 4.8.</w:t>
              </w:r>
            </w:hyperlink>
            <w:hyperlink w:anchor="i0d3f5b1a05824808a0c79fc0f3ab5fa4_211">
              <w:r>
                <w:rPr>
                  <w:rStyle w:val="InternetLink"/>
                  <w:strike w:val="false"/>
                  <w:dstrike w:val="false"/>
                  <w:color w:val="000000"/>
                  <w:u w:val="none"/>
                  <w:effect w:val="none"/>
                </w:rPr>
                <w:t>    </w:t>
              </w:r>
            </w:hyperlink>
            <w:hyperlink w:anchor="i0d3f5b1a05824808a0c79fc0f3ab5fa4_211">
              <w:r>
                <w:rPr>
                  <w:rStyle w:val="InternetLink"/>
                  <w:rFonts w:ascii="Times New Roman;sans-serif" w:hAnsi="Times New Roman;sans-serif"/>
                  <w:b w:val="false"/>
                  <w:strike w:val="false"/>
                  <w:dstrike w:val="false"/>
                  <w:color w:val="000000"/>
                  <w:sz w:val="24"/>
                  <w:u w:val="none"/>
                  <w:effect w:val="none"/>
                </w:rPr>
                <w:t>Tender and Exchange Offers; Redemption, Replacement or Cancellation of Deposited Securities.</w:t>
              </w:r>
            </w:hyperlink>
          </w:p>
        </w:tc>
        <w:tc>
          <w:tcPr>
            <w:tcW w:w="393"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w:anchor="i0d3f5b1a05824808a0c79fc0f3ab5fa4_211">
              <w:r>
                <w:rPr>
                  <w:rStyle w:val="InternetLink"/>
                  <w:rFonts w:ascii="Times New Roman;sans-serif" w:hAnsi="Times New Roman;sans-serif"/>
                  <w:b w:val="false"/>
                  <w:color w:val="000000"/>
                  <w:sz w:val="24"/>
                  <w:u w:val="single"/>
                </w:rPr>
                <w:t>21</w:t>
              </w:r>
            </w:hyperlink>
          </w:p>
        </w:tc>
      </w:tr>
      <w:tr>
        <w:trPr/>
        <w:tc>
          <w:tcPr>
            <w:tcW w:w="9812"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w:anchor="i0d3f5b1a05824808a0c79fc0f3ab5fa4_211">
              <w:r>
                <w:rPr>
                  <w:rStyle w:val="InternetLink"/>
                  <w:rFonts w:ascii="Times New Roman;sans-serif" w:hAnsi="Times New Roman;sans-serif"/>
                  <w:b w:val="false"/>
                  <w:strike w:val="false"/>
                  <w:dstrike w:val="false"/>
                  <w:color w:val="000000"/>
                  <w:sz w:val="24"/>
                  <w:u w:val="none"/>
                  <w:effect w:val="none"/>
                </w:rPr>
                <w:t>SECTION 4.9.</w:t>
              </w:r>
            </w:hyperlink>
            <w:hyperlink w:anchor="i0d3f5b1a05824808a0c79fc0f3ab5fa4_211">
              <w:r>
                <w:rPr>
                  <w:rStyle w:val="InternetLink"/>
                  <w:strike w:val="false"/>
                  <w:dstrike w:val="false"/>
                  <w:color w:val="000000"/>
                  <w:u w:val="none"/>
                  <w:effect w:val="none"/>
                </w:rPr>
                <w:t>    </w:t>
              </w:r>
            </w:hyperlink>
            <w:hyperlink w:anchor="i0d3f5b1a05824808a0c79fc0f3ab5fa4_211">
              <w:r>
                <w:rPr>
                  <w:rStyle w:val="InternetLink"/>
                  <w:rFonts w:ascii="Times New Roman;sans-serif" w:hAnsi="Times New Roman;sans-serif"/>
                  <w:b w:val="false"/>
                  <w:strike w:val="false"/>
                  <w:dstrike w:val="false"/>
                  <w:color w:val="000000"/>
                  <w:sz w:val="24"/>
                  <w:u w:val="none"/>
                  <w:effect w:val="none"/>
                </w:rPr>
                <w:t>Reports.</w:t>
              </w:r>
            </w:hyperlink>
          </w:p>
        </w:tc>
        <w:tc>
          <w:tcPr>
            <w:tcW w:w="393"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w:anchor="i0d3f5b1a05824808a0c79fc0f3ab5fa4_211">
              <w:r>
                <w:rPr>
                  <w:rStyle w:val="InternetLink"/>
                  <w:rFonts w:ascii="Times New Roman;sans-serif" w:hAnsi="Times New Roman;sans-serif"/>
                  <w:b w:val="false"/>
                  <w:color w:val="000000"/>
                  <w:sz w:val="24"/>
                  <w:u w:val="single"/>
                </w:rPr>
                <w:t>22</w:t>
              </w:r>
            </w:hyperlink>
          </w:p>
        </w:tc>
      </w:tr>
      <w:tr>
        <w:trPr/>
        <w:tc>
          <w:tcPr>
            <w:tcW w:w="9812"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w:anchor="i0d3f5b1a05824808a0c79fc0f3ab5fa4_211">
              <w:r>
                <w:rPr>
                  <w:rStyle w:val="InternetLink"/>
                  <w:rFonts w:ascii="Times New Roman;sans-serif" w:hAnsi="Times New Roman;sans-serif"/>
                  <w:b w:val="false"/>
                  <w:strike w:val="false"/>
                  <w:dstrike w:val="false"/>
                  <w:color w:val="000000"/>
                  <w:sz w:val="24"/>
                  <w:u w:val="none"/>
                  <w:effect w:val="none"/>
                </w:rPr>
                <w:t>SECTION 4.10.</w:t>
              </w:r>
            </w:hyperlink>
            <w:hyperlink w:anchor="i0d3f5b1a05824808a0c79fc0f3ab5fa4_211">
              <w:r>
                <w:rPr>
                  <w:rStyle w:val="InternetLink"/>
                  <w:strike w:val="false"/>
                  <w:dstrike w:val="false"/>
                  <w:color w:val="000000"/>
                  <w:u w:val="none"/>
                  <w:effect w:val="none"/>
                </w:rPr>
                <w:t>    </w:t>
              </w:r>
            </w:hyperlink>
            <w:hyperlink w:anchor="i0d3f5b1a05824808a0c79fc0f3ab5fa4_211">
              <w:r>
                <w:rPr>
                  <w:rStyle w:val="InternetLink"/>
                  <w:rFonts w:ascii="Times New Roman;sans-serif" w:hAnsi="Times New Roman;sans-serif"/>
                  <w:b w:val="false"/>
                  <w:strike w:val="false"/>
                  <w:dstrike w:val="false"/>
                  <w:color w:val="000000"/>
                  <w:sz w:val="24"/>
                  <w:u w:val="none"/>
                  <w:effect w:val="none"/>
                </w:rPr>
                <w:t>Lists of Owners.</w:t>
              </w:r>
            </w:hyperlink>
          </w:p>
        </w:tc>
        <w:tc>
          <w:tcPr>
            <w:tcW w:w="393"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w:anchor="i0d3f5b1a05824808a0c79fc0f3ab5fa4_211">
              <w:r>
                <w:rPr>
                  <w:rStyle w:val="InternetLink"/>
                  <w:rFonts w:ascii="Times New Roman;sans-serif" w:hAnsi="Times New Roman;sans-serif"/>
                  <w:b w:val="false"/>
                  <w:color w:val="000000"/>
                  <w:sz w:val="24"/>
                  <w:u w:val="single"/>
                </w:rPr>
                <w:t>23</w:t>
              </w:r>
            </w:hyperlink>
          </w:p>
        </w:tc>
      </w:tr>
      <w:tr>
        <w:trPr/>
        <w:tc>
          <w:tcPr>
            <w:tcW w:w="9812"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w:anchor="i0d3f5b1a05824808a0c79fc0f3ab5fa4_211">
              <w:r>
                <w:rPr>
                  <w:rStyle w:val="InternetLink"/>
                  <w:rFonts w:ascii="Times New Roman;sans-serif" w:hAnsi="Times New Roman;sans-serif"/>
                  <w:b w:val="false"/>
                  <w:strike w:val="false"/>
                  <w:dstrike w:val="false"/>
                  <w:color w:val="000000"/>
                  <w:sz w:val="24"/>
                  <w:u w:val="none"/>
                  <w:effect w:val="none"/>
                </w:rPr>
                <w:t>SECTION 4.11.</w:t>
              </w:r>
            </w:hyperlink>
            <w:hyperlink w:anchor="i0d3f5b1a05824808a0c79fc0f3ab5fa4_211">
              <w:r>
                <w:rPr>
                  <w:rStyle w:val="InternetLink"/>
                  <w:strike w:val="false"/>
                  <w:dstrike w:val="false"/>
                  <w:color w:val="000000"/>
                  <w:u w:val="none"/>
                  <w:effect w:val="none"/>
                </w:rPr>
                <w:t>    </w:t>
              </w:r>
            </w:hyperlink>
            <w:hyperlink w:anchor="i0d3f5b1a05824808a0c79fc0f3ab5fa4_211">
              <w:r>
                <w:rPr>
                  <w:rStyle w:val="InternetLink"/>
                  <w:rFonts w:ascii="Times New Roman;sans-serif" w:hAnsi="Times New Roman;sans-serif"/>
                  <w:b w:val="false"/>
                  <w:strike w:val="false"/>
                  <w:dstrike w:val="false"/>
                  <w:color w:val="000000"/>
                  <w:sz w:val="24"/>
                  <w:u w:val="none"/>
                  <w:effect w:val="none"/>
                </w:rPr>
                <w:t>Withholding.</w:t>
              </w:r>
            </w:hyperlink>
          </w:p>
        </w:tc>
        <w:tc>
          <w:tcPr>
            <w:tcW w:w="393"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w:anchor="i0d3f5b1a05824808a0c79fc0f3ab5fa4_211">
              <w:r>
                <w:rPr>
                  <w:rStyle w:val="InternetLink"/>
                  <w:rFonts w:ascii="Times New Roman;sans-serif" w:hAnsi="Times New Roman;sans-serif"/>
                  <w:b w:val="false"/>
                  <w:color w:val="000000"/>
                  <w:sz w:val="24"/>
                  <w:u w:val="single"/>
                </w:rPr>
                <w:t>23</w:t>
              </w:r>
            </w:hyperlink>
          </w:p>
        </w:tc>
      </w:tr>
      <w:tr>
        <w:trPr/>
        <w:tc>
          <w:tcPr>
            <w:tcW w:w="9812"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w:anchor="i0d3f5b1a05824808a0c79fc0f3ab5fa4_211">
              <w:r>
                <w:rPr>
                  <w:rStyle w:val="InternetLink"/>
                  <w:rFonts w:ascii="Times New Roman;sans-serif" w:hAnsi="Times New Roman;sans-serif"/>
                  <w:b w:val="false"/>
                  <w:strike w:val="false"/>
                  <w:dstrike w:val="false"/>
                  <w:color w:val="000000"/>
                  <w:sz w:val="24"/>
                  <w:u w:val="none"/>
                  <w:effect w:val="none"/>
                </w:rPr>
                <w:t>ARTICLE 5.</w:t>
              </w:r>
            </w:hyperlink>
            <w:hyperlink w:anchor="i0d3f5b1a05824808a0c79fc0f3ab5fa4_211">
              <w:r>
                <w:rPr>
                  <w:rStyle w:val="InternetLink"/>
                  <w:strike w:val="false"/>
                  <w:dstrike w:val="false"/>
                  <w:color w:val="000000"/>
                  <w:u w:val="none"/>
                  <w:effect w:val="none"/>
                </w:rPr>
                <w:t>    </w:t>
              </w:r>
            </w:hyperlink>
            <w:hyperlink w:anchor="i0d3f5b1a05824808a0c79fc0f3ab5fa4_211">
              <w:r>
                <w:rPr>
                  <w:rStyle w:val="InternetLink"/>
                </w:rPr>
                <w:t>THE DEPOSITARY, THE CUSTODIANS AND THE COMPANY</w:t>
              </w:r>
            </w:hyperlink>
            <w:hyperlink w:anchor="i0d3f5b1a05824808a0c79fc0f3ab5fa4_211">
              <w:r>
                <w:rPr>
                  <w:rStyle w:val="InternetLink"/>
                </w:rPr>
                <w:t>    </w:t>
              </w:r>
            </w:hyperlink>
          </w:p>
        </w:tc>
        <w:tc>
          <w:tcPr>
            <w:tcW w:w="393"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w:anchor="i0d3f5b1a05824808a0c79fc0f3ab5fa4_211">
              <w:r>
                <w:rPr>
                  <w:rStyle w:val="InternetLink"/>
                  <w:rFonts w:ascii="Times New Roman;sans-serif" w:hAnsi="Times New Roman;sans-serif"/>
                  <w:b w:val="false"/>
                  <w:color w:val="000000"/>
                  <w:sz w:val="24"/>
                  <w:u w:val="single"/>
                </w:rPr>
                <w:t>23</w:t>
              </w:r>
            </w:hyperlink>
          </w:p>
        </w:tc>
      </w:tr>
      <w:tr>
        <w:trPr/>
        <w:tc>
          <w:tcPr>
            <w:tcW w:w="9812"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w:anchor="i0d3f5b1a05824808a0c79fc0f3ab5fa4_211">
              <w:r>
                <w:rPr>
                  <w:rStyle w:val="InternetLink"/>
                  <w:rFonts w:ascii="Times New Roman;sans-serif" w:hAnsi="Times New Roman;sans-serif"/>
                  <w:b w:val="false"/>
                  <w:strike w:val="false"/>
                  <w:dstrike w:val="false"/>
                  <w:color w:val="000000"/>
                  <w:sz w:val="24"/>
                  <w:u w:val="none"/>
                  <w:effect w:val="none"/>
                </w:rPr>
                <w:t>SECTION 5.1.</w:t>
              </w:r>
            </w:hyperlink>
            <w:hyperlink w:anchor="i0d3f5b1a05824808a0c79fc0f3ab5fa4_211">
              <w:r>
                <w:rPr>
                  <w:rStyle w:val="InternetLink"/>
                  <w:strike w:val="false"/>
                  <w:dstrike w:val="false"/>
                  <w:color w:val="000000"/>
                  <w:u w:val="none"/>
                  <w:effect w:val="none"/>
                </w:rPr>
                <w:t>    </w:t>
              </w:r>
            </w:hyperlink>
            <w:hyperlink w:anchor="i0d3f5b1a05824808a0c79fc0f3ab5fa4_211">
              <w:r>
                <w:rPr>
                  <w:rStyle w:val="InternetLink"/>
                </w:rPr>
                <w:t>Maintenance of Office and Register by the Depositary.</w:t>
              </w:r>
            </w:hyperlink>
            <w:hyperlink w:anchor="i0d3f5b1a05824808a0c79fc0f3ab5fa4_211">
              <w:r>
                <w:rPr>
                  <w:rStyle w:val="InternetLink"/>
                </w:rPr>
                <w:t>    </w:t>
              </w:r>
            </w:hyperlink>
          </w:p>
        </w:tc>
        <w:tc>
          <w:tcPr>
            <w:tcW w:w="393"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w:anchor="i0d3f5b1a05824808a0c79fc0f3ab5fa4_211">
              <w:r>
                <w:rPr>
                  <w:rStyle w:val="InternetLink"/>
                  <w:rFonts w:ascii="Times New Roman;sans-serif" w:hAnsi="Times New Roman;sans-serif"/>
                  <w:b w:val="false"/>
                  <w:color w:val="000000"/>
                  <w:sz w:val="24"/>
                  <w:u w:val="single"/>
                </w:rPr>
                <w:t>23</w:t>
              </w:r>
            </w:hyperlink>
          </w:p>
        </w:tc>
      </w:tr>
      <w:tr>
        <w:trPr/>
        <w:tc>
          <w:tcPr>
            <w:tcW w:w="9812"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w:anchor="i0d3f5b1a05824808a0c79fc0f3ab5fa4_211">
              <w:r>
                <w:rPr>
                  <w:rStyle w:val="InternetLink"/>
                  <w:rFonts w:ascii="Times New Roman;sans-serif" w:hAnsi="Times New Roman;sans-serif"/>
                  <w:b w:val="false"/>
                  <w:strike w:val="false"/>
                  <w:dstrike w:val="false"/>
                  <w:color w:val="000000"/>
                  <w:sz w:val="24"/>
                  <w:u w:val="none"/>
                  <w:effect w:val="none"/>
                </w:rPr>
                <w:t>SECTION 5.2.</w:t>
              </w:r>
            </w:hyperlink>
            <w:hyperlink w:anchor="i0d3f5b1a05824808a0c79fc0f3ab5fa4_211">
              <w:r>
                <w:rPr>
                  <w:rStyle w:val="InternetLink"/>
                  <w:strike w:val="false"/>
                  <w:dstrike w:val="false"/>
                  <w:color w:val="000000"/>
                  <w:u w:val="none"/>
                  <w:effect w:val="none"/>
                </w:rPr>
                <w:t>    </w:t>
              </w:r>
            </w:hyperlink>
            <w:hyperlink w:anchor="i0d3f5b1a05824808a0c79fc0f3ab5fa4_211">
              <w:r>
                <w:rPr>
                  <w:rStyle w:val="InternetLink"/>
                  <w:rFonts w:ascii="Times New Roman;sans-serif" w:hAnsi="Times New Roman;sans-serif"/>
                  <w:b w:val="false"/>
                  <w:strike w:val="false"/>
                  <w:dstrike w:val="false"/>
                  <w:color w:val="000000"/>
                  <w:sz w:val="24"/>
                  <w:u w:val="none"/>
                  <w:effect w:val="none"/>
                </w:rPr>
                <w:t>Prevention or Delay of Performance by the Company or the Depositary.</w:t>
              </w:r>
            </w:hyperlink>
          </w:p>
        </w:tc>
        <w:tc>
          <w:tcPr>
            <w:tcW w:w="393"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w:anchor="i0d3f5b1a05824808a0c79fc0f3ab5fa4_211">
              <w:r>
                <w:rPr>
                  <w:rStyle w:val="InternetLink"/>
                  <w:rFonts w:ascii="Times New Roman;sans-serif" w:hAnsi="Times New Roman;sans-serif"/>
                  <w:b w:val="false"/>
                  <w:color w:val="000000"/>
                  <w:sz w:val="24"/>
                  <w:u w:val="single"/>
                </w:rPr>
                <w:t>24</w:t>
              </w:r>
            </w:hyperlink>
          </w:p>
        </w:tc>
      </w:tr>
      <w:tr>
        <w:trPr/>
        <w:tc>
          <w:tcPr>
            <w:tcW w:w="9812"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w:anchor="i0d3f5b1a05824808a0c79fc0f3ab5fa4_211">
              <w:r>
                <w:rPr>
                  <w:rStyle w:val="InternetLink"/>
                  <w:rFonts w:ascii="Times New Roman;sans-serif" w:hAnsi="Times New Roman;sans-serif"/>
                  <w:b w:val="false"/>
                  <w:strike w:val="false"/>
                  <w:dstrike w:val="false"/>
                  <w:color w:val="000000"/>
                  <w:sz w:val="24"/>
                  <w:u w:val="none"/>
                  <w:effect w:val="none"/>
                </w:rPr>
                <w:t>SECTION 5.3.</w:t>
              </w:r>
            </w:hyperlink>
            <w:hyperlink w:anchor="i0d3f5b1a05824808a0c79fc0f3ab5fa4_211">
              <w:r>
                <w:rPr>
                  <w:rStyle w:val="InternetLink"/>
                  <w:strike w:val="false"/>
                  <w:dstrike w:val="false"/>
                  <w:color w:val="000000"/>
                  <w:u w:val="none"/>
                  <w:effect w:val="none"/>
                </w:rPr>
                <w:t>    </w:t>
              </w:r>
            </w:hyperlink>
            <w:hyperlink w:anchor="i0d3f5b1a05824808a0c79fc0f3ab5fa4_211">
              <w:r>
                <w:rPr>
                  <w:rStyle w:val="InternetLink"/>
                  <w:rFonts w:ascii="Times New Roman;sans-serif" w:hAnsi="Times New Roman;sans-serif"/>
                  <w:b w:val="false"/>
                  <w:strike w:val="false"/>
                  <w:dstrike w:val="false"/>
                  <w:color w:val="000000"/>
                  <w:sz w:val="24"/>
                  <w:u w:val="none"/>
                  <w:effect w:val="none"/>
                </w:rPr>
                <w:t>Obligations of the Depositary and the Company.</w:t>
              </w:r>
            </w:hyperlink>
          </w:p>
        </w:tc>
        <w:tc>
          <w:tcPr>
            <w:tcW w:w="393"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w:anchor="i0d3f5b1a05824808a0c79fc0f3ab5fa4_211">
              <w:r>
                <w:rPr>
                  <w:rStyle w:val="InternetLink"/>
                  <w:rFonts w:ascii="Times New Roman;sans-serif" w:hAnsi="Times New Roman;sans-serif"/>
                  <w:b w:val="false"/>
                  <w:color w:val="000000"/>
                  <w:sz w:val="24"/>
                  <w:u w:val="single"/>
                </w:rPr>
                <w:t>25</w:t>
              </w:r>
            </w:hyperlink>
          </w:p>
        </w:tc>
      </w:tr>
      <w:tr>
        <w:trPr/>
        <w:tc>
          <w:tcPr>
            <w:tcW w:w="9812"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w:anchor="i0d3f5b1a05824808a0c79fc0f3ab5fa4_211">
              <w:r>
                <w:rPr>
                  <w:rStyle w:val="InternetLink"/>
                  <w:rFonts w:ascii="Times New Roman;sans-serif" w:hAnsi="Times New Roman;sans-serif"/>
                  <w:b w:val="false"/>
                  <w:strike w:val="false"/>
                  <w:dstrike w:val="false"/>
                  <w:color w:val="000000"/>
                  <w:sz w:val="24"/>
                  <w:u w:val="none"/>
                  <w:effect w:val="none"/>
                </w:rPr>
                <w:t>SECTION 5.4.</w:t>
              </w:r>
            </w:hyperlink>
            <w:hyperlink w:anchor="i0d3f5b1a05824808a0c79fc0f3ab5fa4_211">
              <w:r>
                <w:rPr>
                  <w:rStyle w:val="InternetLink"/>
                  <w:strike w:val="false"/>
                  <w:dstrike w:val="false"/>
                  <w:color w:val="000000"/>
                  <w:u w:val="none"/>
                  <w:effect w:val="none"/>
                </w:rPr>
                <w:t>    </w:t>
              </w:r>
            </w:hyperlink>
            <w:hyperlink w:anchor="i0d3f5b1a05824808a0c79fc0f3ab5fa4_211">
              <w:r>
                <w:rPr>
                  <w:rStyle w:val="InternetLink"/>
                  <w:rFonts w:ascii="Times New Roman;sans-serif" w:hAnsi="Times New Roman;sans-serif"/>
                  <w:b w:val="false"/>
                  <w:strike w:val="false"/>
                  <w:dstrike w:val="false"/>
                  <w:color w:val="000000"/>
                  <w:sz w:val="24"/>
                  <w:u w:val="none"/>
                  <w:effect w:val="none"/>
                </w:rPr>
                <w:t>Resignation and Removal of the Depositary.</w:t>
              </w:r>
            </w:hyperlink>
          </w:p>
        </w:tc>
        <w:tc>
          <w:tcPr>
            <w:tcW w:w="393"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w:anchor="i0d3f5b1a05824808a0c79fc0f3ab5fa4_211">
              <w:r>
                <w:rPr>
                  <w:rStyle w:val="InternetLink"/>
                  <w:rFonts w:ascii="Times New Roman;sans-serif" w:hAnsi="Times New Roman;sans-serif"/>
                  <w:b w:val="false"/>
                  <w:color w:val="000000"/>
                  <w:sz w:val="24"/>
                  <w:u w:val="single"/>
                </w:rPr>
                <w:t>26</w:t>
              </w:r>
            </w:hyperlink>
          </w:p>
        </w:tc>
      </w:tr>
      <w:tr>
        <w:trPr/>
        <w:tc>
          <w:tcPr>
            <w:tcW w:w="9812"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w:anchor="i0d3f5b1a05824808a0c79fc0f3ab5fa4_211">
              <w:r>
                <w:rPr>
                  <w:rStyle w:val="InternetLink"/>
                  <w:rFonts w:ascii="Times New Roman;sans-serif" w:hAnsi="Times New Roman;sans-serif"/>
                  <w:b w:val="false"/>
                  <w:strike w:val="false"/>
                  <w:dstrike w:val="false"/>
                  <w:color w:val="000000"/>
                  <w:sz w:val="24"/>
                  <w:u w:val="none"/>
                  <w:effect w:val="none"/>
                </w:rPr>
                <w:t>SECTION 5.5.</w:t>
              </w:r>
            </w:hyperlink>
            <w:hyperlink w:anchor="i0d3f5b1a05824808a0c79fc0f3ab5fa4_211">
              <w:r>
                <w:rPr>
                  <w:rStyle w:val="InternetLink"/>
                  <w:strike w:val="false"/>
                  <w:dstrike w:val="false"/>
                  <w:color w:val="000000"/>
                  <w:u w:val="none"/>
                  <w:effect w:val="none"/>
                </w:rPr>
                <w:t>    </w:t>
              </w:r>
            </w:hyperlink>
            <w:hyperlink w:anchor="i0d3f5b1a05824808a0c79fc0f3ab5fa4_211">
              <w:r>
                <w:rPr>
                  <w:rStyle w:val="InternetLink"/>
                  <w:rFonts w:ascii="Times New Roman;sans-serif" w:hAnsi="Times New Roman;sans-serif"/>
                  <w:b w:val="false"/>
                  <w:strike w:val="false"/>
                  <w:dstrike w:val="false"/>
                  <w:color w:val="000000"/>
                  <w:sz w:val="24"/>
                  <w:u w:val="none"/>
                  <w:effect w:val="none"/>
                </w:rPr>
                <w:t>The Custodians.</w:t>
              </w:r>
            </w:hyperlink>
          </w:p>
        </w:tc>
        <w:tc>
          <w:tcPr>
            <w:tcW w:w="393"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w:anchor="i0d3f5b1a05824808a0c79fc0f3ab5fa4_211">
              <w:r>
                <w:rPr>
                  <w:rStyle w:val="InternetLink"/>
                  <w:rFonts w:ascii="Times New Roman;sans-serif" w:hAnsi="Times New Roman;sans-serif"/>
                  <w:b w:val="false"/>
                  <w:color w:val="000000"/>
                  <w:sz w:val="24"/>
                  <w:u w:val="single"/>
                </w:rPr>
                <w:t>27</w:t>
              </w:r>
            </w:hyperlink>
          </w:p>
        </w:tc>
      </w:tr>
      <w:tr>
        <w:trPr/>
        <w:tc>
          <w:tcPr>
            <w:tcW w:w="9812"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w:anchor="i0d3f5b1a05824808a0c79fc0f3ab5fa4_211">
              <w:r>
                <w:rPr>
                  <w:rStyle w:val="InternetLink"/>
                  <w:rFonts w:ascii="Times New Roman;sans-serif" w:hAnsi="Times New Roman;sans-serif"/>
                  <w:b w:val="false"/>
                  <w:strike w:val="false"/>
                  <w:dstrike w:val="false"/>
                  <w:color w:val="000000"/>
                  <w:sz w:val="24"/>
                  <w:u w:val="none"/>
                  <w:effect w:val="none"/>
                </w:rPr>
                <w:t>SECTION 5.6.</w:t>
              </w:r>
            </w:hyperlink>
            <w:hyperlink w:anchor="i0d3f5b1a05824808a0c79fc0f3ab5fa4_211">
              <w:r>
                <w:rPr>
                  <w:rStyle w:val="InternetLink"/>
                  <w:strike w:val="false"/>
                  <w:dstrike w:val="false"/>
                  <w:color w:val="000000"/>
                  <w:u w:val="none"/>
                  <w:effect w:val="none"/>
                </w:rPr>
                <w:t>    </w:t>
              </w:r>
            </w:hyperlink>
            <w:hyperlink w:anchor="i0d3f5b1a05824808a0c79fc0f3ab5fa4_211">
              <w:r>
                <w:rPr>
                  <w:rStyle w:val="InternetLink"/>
                  <w:rFonts w:ascii="Times New Roman;sans-serif" w:hAnsi="Times New Roman;sans-serif"/>
                  <w:b w:val="false"/>
                  <w:strike w:val="false"/>
                  <w:dstrike w:val="false"/>
                  <w:color w:val="000000"/>
                  <w:sz w:val="24"/>
                  <w:u w:val="none"/>
                  <w:effect w:val="none"/>
                </w:rPr>
                <w:t>Notices and Reports.</w:t>
              </w:r>
            </w:hyperlink>
          </w:p>
        </w:tc>
        <w:tc>
          <w:tcPr>
            <w:tcW w:w="393"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w:anchor="i0d3f5b1a05824808a0c79fc0f3ab5fa4_211">
              <w:r>
                <w:rPr>
                  <w:rStyle w:val="InternetLink"/>
                  <w:rFonts w:ascii="Times New Roman;sans-serif" w:hAnsi="Times New Roman;sans-serif"/>
                  <w:b w:val="false"/>
                  <w:color w:val="000000"/>
                  <w:sz w:val="24"/>
                  <w:u w:val="single"/>
                </w:rPr>
                <w:t>27</w:t>
              </w:r>
            </w:hyperlink>
          </w:p>
        </w:tc>
      </w:tr>
      <w:tr>
        <w:trPr/>
        <w:tc>
          <w:tcPr>
            <w:tcW w:w="9812"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w:anchor="i0d3f5b1a05824808a0c79fc0f3ab5fa4_211">
              <w:r>
                <w:rPr>
                  <w:rStyle w:val="InternetLink"/>
                  <w:rFonts w:ascii="Times New Roman;sans-serif" w:hAnsi="Times New Roman;sans-serif"/>
                  <w:b w:val="false"/>
                  <w:strike w:val="false"/>
                  <w:dstrike w:val="false"/>
                  <w:color w:val="000000"/>
                  <w:sz w:val="24"/>
                  <w:u w:val="none"/>
                  <w:effect w:val="none"/>
                </w:rPr>
                <w:t>SECTION 5.7.</w:t>
              </w:r>
            </w:hyperlink>
            <w:hyperlink w:anchor="i0d3f5b1a05824808a0c79fc0f3ab5fa4_211">
              <w:r>
                <w:rPr>
                  <w:rStyle w:val="InternetLink"/>
                  <w:strike w:val="false"/>
                  <w:dstrike w:val="false"/>
                  <w:color w:val="000000"/>
                  <w:u w:val="none"/>
                  <w:effect w:val="none"/>
                </w:rPr>
                <w:t>    </w:t>
              </w:r>
            </w:hyperlink>
            <w:hyperlink w:anchor="i0d3f5b1a05824808a0c79fc0f3ab5fa4_211">
              <w:r>
                <w:rPr>
                  <w:rStyle w:val="InternetLink"/>
                  <w:rFonts w:ascii="Times New Roman;sans-serif" w:hAnsi="Times New Roman;sans-serif"/>
                  <w:b w:val="false"/>
                  <w:strike w:val="false"/>
                  <w:dstrike w:val="false"/>
                  <w:color w:val="000000"/>
                  <w:sz w:val="24"/>
                  <w:u w:val="none"/>
                  <w:effect w:val="none"/>
                </w:rPr>
                <w:t>Distribution of Additional Shares, Rights, etc.</w:t>
              </w:r>
            </w:hyperlink>
          </w:p>
        </w:tc>
        <w:tc>
          <w:tcPr>
            <w:tcW w:w="393"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w:anchor="i0d3f5b1a05824808a0c79fc0f3ab5fa4_211">
              <w:r>
                <w:rPr>
                  <w:rStyle w:val="InternetLink"/>
                  <w:rFonts w:ascii="Times New Roman;sans-serif" w:hAnsi="Times New Roman;sans-serif"/>
                  <w:b w:val="false"/>
                  <w:color w:val="000000"/>
                  <w:sz w:val="24"/>
                  <w:u w:val="single"/>
                </w:rPr>
                <w:t>28</w:t>
              </w:r>
            </w:hyperlink>
          </w:p>
        </w:tc>
      </w:tr>
      <w:tr>
        <w:trPr/>
        <w:tc>
          <w:tcPr>
            <w:tcW w:w="9812"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w:anchor="i0d3f5b1a05824808a0c79fc0f3ab5fa4_211">
              <w:r>
                <w:rPr>
                  <w:rStyle w:val="InternetLink"/>
                  <w:rFonts w:ascii="Times New Roman;sans-serif" w:hAnsi="Times New Roman;sans-serif"/>
                  <w:b w:val="false"/>
                  <w:strike w:val="false"/>
                  <w:dstrike w:val="false"/>
                  <w:color w:val="000000"/>
                  <w:sz w:val="24"/>
                  <w:u w:val="none"/>
                  <w:effect w:val="none"/>
                </w:rPr>
                <w:t>SECTION 5.8.</w:t>
              </w:r>
            </w:hyperlink>
            <w:hyperlink w:anchor="i0d3f5b1a05824808a0c79fc0f3ab5fa4_211">
              <w:r>
                <w:rPr>
                  <w:rStyle w:val="InternetLink"/>
                  <w:strike w:val="false"/>
                  <w:dstrike w:val="false"/>
                  <w:color w:val="000000"/>
                  <w:u w:val="none"/>
                  <w:effect w:val="none"/>
                </w:rPr>
                <w:t>    </w:t>
              </w:r>
            </w:hyperlink>
            <w:hyperlink w:anchor="i0d3f5b1a05824808a0c79fc0f3ab5fa4_211">
              <w:r>
                <w:rPr>
                  <w:rStyle w:val="InternetLink"/>
                  <w:rFonts w:ascii="Times New Roman;sans-serif" w:hAnsi="Times New Roman;sans-serif"/>
                  <w:b w:val="false"/>
                  <w:strike w:val="false"/>
                  <w:dstrike w:val="false"/>
                  <w:color w:val="000000"/>
                  <w:sz w:val="24"/>
                  <w:u w:val="none"/>
                  <w:effect w:val="none"/>
                </w:rPr>
                <w:t>Indemnification.</w:t>
              </w:r>
            </w:hyperlink>
          </w:p>
        </w:tc>
        <w:tc>
          <w:tcPr>
            <w:tcW w:w="393"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w:anchor="i0d3f5b1a05824808a0c79fc0f3ab5fa4_211">
              <w:r>
                <w:rPr>
                  <w:rStyle w:val="InternetLink"/>
                  <w:rFonts w:ascii="Times New Roman;sans-serif" w:hAnsi="Times New Roman;sans-serif"/>
                  <w:b w:val="false"/>
                  <w:color w:val="000000"/>
                  <w:sz w:val="24"/>
                  <w:u w:val="single"/>
                </w:rPr>
                <w:t>28</w:t>
              </w:r>
            </w:hyperlink>
          </w:p>
        </w:tc>
      </w:tr>
      <w:tr>
        <w:trPr/>
        <w:tc>
          <w:tcPr>
            <w:tcW w:w="9812"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w:anchor="i0d3f5b1a05824808a0c79fc0f3ab5fa4_211">
              <w:r>
                <w:rPr>
                  <w:rStyle w:val="InternetLink"/>
                  <w:rFonts w:ascii="Times New Roman;sans-serif" w:hAnsi="Times New Roman;sans-serif"/>
                  <w:b w:val="false"/>
                  <w:strike w:val="false"/>
                  <w:dstrike w:val="false"/>
                  <w:color w:val="000000"/>
                  <w:sz w:val="24"/>
                  <w:u w:val="none"/>
                  <w:effect w:val="none"/>
                </w:rPr>
                <w:t>SECTION 5.9.</w:t>
              </w:r>
            </w:hyperlink>
            <w:hyperlink w:anchor="i0d3f5b1a05824808a0c79fc0f3ab5fa4_211">
              <w:r>
                <w:rPr>
                  <w:rStyle w:val="InternetLink"/>
                  <w:strike w:val="false"/>
                  <w:dstrike w:val="false"/>
                  <w:color w:val="000000"/>
                  <w:u w:val="none"/>
                  <w:effect w:val="none"/>
                </w:rPr>
                <w:t>    </w:t>
              </w:r>
            </w:hyperlink>
            <w:hyperlink w:anchor="i0d3f5b1a05824808a0c79fc0f3ab5fa4_211">
              <w:r>
                <w:rPr>
                  <w:rStyle w:val="InternetLink"/>
                  <w:rFonts w:ascii="Times New Roman;sans-serif" w:hAnsi="Times New Roman;sans-serif"/>
                  <w:b w:val="false"/>
                  <w:strike w:val="false"/>
                  <w:dstrike w:val="false"/>
                  <w:color w:val="000000"/>
                  <w:sz w:val="24"/>
                  <w:u w:val="none"/>
                  <w:effect w:val="none"/>
                </w:rPr>
                <w:t>Charges of Depositary.</w:t>
              </w:r>
            </w:hyperlink>
          </w:p>
        </w:tc>
        <w:tc>
          <w:tcPr>
            <w:tcW w:w="393"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w:anchor="i0d3f5b1a05824808a0c79fc0f3ab5fa4_211">
              <w:r>
                <w:rPr>
                  <w:rStyle w:val="InternetLink"/>
                  <w:rFonts w:ascii="Times New Roman;sans-serif" w:hAnsi="Times New Roman;sans-serif"/>
                  <w:b w:val="false"/>
                  <w:color w:val="000000"/>
                  <w:sz w:val="24"/>
                  <w:u w:val="single"/>
                </w:rPr>
                <w:t>29</w:t>
              </w:r>
            </w:hyperlink>
          </w:p>
        </w:tc>
      </w:tr>
      <w:tr>
        <w:trPr/>
        <w:tc>
          <w:tcPr>
            <w:tcW w:w="9812"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w:anchor="i0d3f5b1a05824808a0c79fc0f3ab5fa4_211">
              <w:r>
                <w:rPr>
                  <w:rStyle w:val="InternetLink"/>
                  <w:rFonts w:ascii="Times New Roman;sans-serif" w:hAnsi="Times New Roman;sans-serif"/>
                  <w:b w:val="false"/>
                  <w:strike w:val="false"/>
                  <w:dstrike w:val="false"/>
                  <w:color w:val="000000"/>
                  <w:sz w:val="24"/>
                  <w:u w:val="none"/>
                  <w:effect w:val="none"/>
                </w:rPr>
                <w:t>SECTION 5.10.</w:t>
              </w:r>
            </w:hyperlink>
            <w:hyperlink w:anchor="i0d3f5b1a05824808a0c79fc0f3ab5fa4_211">
              <w:r>
                <w:rPr>
                  <w:rStyle w:val="InternetLink"/>
                  <w:strike w:val="false"/>
                  <w:dstrike w:val="false"/>
                  <w:color w:val="000000"/>
                  <w:u w:val="none"/>
                  <w:effect w:val="none"/>
                </w:rPr>
                <w:t>    </w:t>
              </w:r>
            </w:hyperlink>
            <w:hyperlink w:anchor="i0d3f5b1a05824808a0c79fc0f3ab5fa4_211">
              <w:r>
                <w:rPr>
                  <w:rStyle w:val="InternetLink"/>
                  <w:rFonts w:ascii="Times New Roman;sans-serif" w:hAnsi="Times New Roman;sans-serif"/>
                  <w:b w:val="false"/>
                  <w:strike w:val="false"/>
                  <w:dstrike w:val="false"/>
                  <w:color w:val="000000"/>
                  <w:sz w:val="24"/>
                  <w:u w:val="none"/>
                  <w:effect w:val="none"/>
                </w:rPr>
                <w:t>Retention of Depositary Documents.</w:t>
              </w:r>
            </w:hyperlink>
          </w:p>
        </w:tc>
        <w:tc>
          <w:tcPr>
            <w:tcW w:w="393"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w:anchor="i0d3f5b1a05824808a0c79fc0f3ab5fa4_211">
              <w:r>
                <w:rPr>
                  <w:rStyle w:val="InternetLink"/>
                  <w:rFonts w:ascii="Times New Roman;sans-serif" w:hAnsi="Times New Roman;sans-serif"/>
                  <w:b w:val="false"/>
                  <w:color w:val="000000"/>
                  <w:sz w:val="24"/>
                  <w:u w:val="single"/>
                </w:rPr>
                <w:t>30</w:t>
              </w:r>
            </w:hyperlink>
          </w:p>
        </w:tc>
      </w:tr>
      <w:tr>
        <w:trPr/>
        <w:tc>
          <w:tcPr>
            <w:tcW w:w="9812"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w:anchor="i0d3f5b1a05824808a0c79fc0f3ab5fa4_211">
              <w:r>
                <w:rPr>
                  <w:rStyle w:val="InternetLink"/>
                  <w:rFonts w:ascii="Times New Roman;sans-serif" w:hAnsi="Times New Roman;sans-serif"/>
                  <w:b w:val="false"/>
                  <w:strike w:val="false"/>
                  <w:dstrike w:val="false"/>
                  <w:color w:val="000000"/>
                  <w:sz w:val="24"/>
                  <w:u w:val="none"/>
                  <w:effect w:val="none"/>
                </w:rPr>
                <w:t>SECTION 5.11.</w:t>
              </w:r>
            </w:hyperlink>
            <w:hyperlink w:anchor="i0d3f5b1a05824808a0c79fc0f3ab5fa4_211">
              <w:r>
                <w:rPr>
                  <w:rStyle w:val="InternetLink"/>
                  <w:strike w:val="false"/>
                  <w:dstrike w:val="false"/>
                  <w:color w:val="000000"/>
                  <w:u w:val="none"/>
                  <w:effect w:val="none"/>
                </w:rPr>
                <w:t>    </w:t>
              </w:r>
            </w:hyperlink>
            <w:hyperlink w:anchor="i0d3f5b1a05824808a0c79fc0f3ab5fa4_211">
              <w:r>
                <w:rPr>
                  <w:rStyle w:val="InternetLink"/>
                  <w:rFonts w:ascii="Times New Roman;sans-serif" w:hAnsi="Times New Roman;sans-serif"/>
                  <w:b w:val="false"/>
                  <w:strike w:val="false"/>
                  <w:dstrike w:val="false"/>
                  <w:color w:val="000000"/>
                  <w:sz w:val="24"/>
                  <w:u w:val="none"/>
                  <w:effect w:val="none"/>
                </w:rPr>
                <w:t>Exclusivity.</w:t>
              </w:r>
            </w:hyperlink>
          </w:p>
        </w:tc>
        <w:tc>
          <w:tcPr>
            <w:tcW w:w="393"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w:anchor="i0d3f5b1a05824808a0c79fc0f3ab5fa4_211">
              <w:r>
                <w:rPr>
                  <w:rStyle w:val="InternetLink"/>
                  <w:rFonts w:ascii="Times New Roman;sans-serif" w:hAnsi="Times New Roman;sans-serif"/>
                  <w:b w:val="false"/>
                  <w:color w:val="000000"/>
                  <w:sz w:val="24"/>
                  <w:u w:val="single"/>
                </w:rPr>
                <w:t>30</w:t>
              </w:r>
            </w:hyperlink>
          </w:p>
        </w:tc>
      </w:tr>
      <w:tr>
        <w:trPr/>
        <w:tc>
          <w:tcPr>
            <w:tcW w:w="9812"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w:anchor="i0d3f5b1a05824808a0c79fc0f3ab5fa4_211">
              <w:r>
                <w:rPr>
                  <w:rStyle w:val="InternetLink"/>
                  <w:rFonts w:ascii="Times New Roman;sans-serif" w:hAnsi="Times New Roman;sans-serif"/>
                  <w:b w:val="false"/>
                  <w:strike w:val="false"/>
                  <w:dstrike w:val="false"/>
                  <w:color w:val="000000"/>
                  <w:sz w:val="24"/>
                  <w:u w:val="none"/>
                  <w:effect w:val="none"/>
                </w:rPr>
                <w:t>SECTION 5.12.</w:t>
              </w:r>
            </w:hyperlink>
            <w:hyperlink w:anchor="i0d3f5b1a05824808a0c79fc0f3ab5fa4_211">
              <w:r>
                <w:rPr>
                  <w:rStyle w:val="InternetLink"/>
                  <w:strike w:val="false"/>
                  <w:dstrike w:val="false"/>
                  <w:color w:val="000000"/>
                  <w:u w:val="none"/>
                  <w:effect w:val="none"/>
                </w:rPr>
                <w:t>    </w:t>
              </w:r>
            </w:hyperlink>
            <w:hyperlink w:anchor="i0d3f5b1a05824808a0c79fc0f3ab5fa4_211">
              <w:r>
                <w:rPr>
                  <w:rStyle w:val="InternetLink"/>
                  <w:rFonts w:ascii="Times New Roman;sans-serif" w:hAnsi="Times New Roman;sans-serif"/>
                  <w:b w:val="false"/>
                  <w:strike w:val="false"/>
                  <w:dstrike w:val="false"/>
                  <w:color w:val="000000"/>
                  <w:sz w:val="24"/>
                  <w:u w:val="none"/>
                  <w:effect w:val="none"/>
                </w:rPr>
                <w:t>Information for Regulatory Compliance.</w:t>
              </w:r>
            </w:hyperlink>
          </w:p>
        </w:tc>
        <w:tc>
          <w:tcPr>
            <w:tcW w:w="393"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w:anchor="i0d3f5b1a05824808a0c79fc0f3ab5fa4_211">
              <w:r>
                <w:rPr>
                  <w:rStyle w:val="InternetLink"/>
                  <w:rFonts w:ascii="Times New Roman;sans-serif" w:hAnsi="Times New Roman;sans-serif"/>
                  <w:b w:val="false"/>
                  <w:color w:val="000000"/>
                  <w:sz w:val="24"/>
                  <w:u w:val="single"/>
                </w:rPr>
                <w:t>30</w:t>
              </w:r>
            </w:hyperlink>
          </w:p>
        </w:tc>
      </w:tr>
      <w:tr>
        <w:trPr/>
        <w:tc>
          <w:tcPr>
            <w:tcW w:w="9812"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w:anchor="i0d3f5b1a05824808a0c79fc0f3ab5fa4_211">
              <w:r>
                <w:rPr>
                  <w:rStyle w:val="InternetLink"/>
                  <w:rFonts w:ascii="Times New Roman;sans-serif" w:hAnsi="Times New Roman;sans-serif"/>
                  <w:b w:val="false"/>
                  <w:strike w:val="false"/>
                  <w:dstrike w:val="false"/>
                  <w:color w:val="000000"/>
                  <w:sz w:val="24"/>
                  <w:u w:val="none"/>
                  <w:effect w:val="none"/>
                </w:rPr>
                <w:t>ARTICLE 6.</w:t>
              </w:r>
            </w:hyperlink>
            <w:hyperlink w:anchor="i0d3f5b1a05824808a0c79fc0f3ab5fa4_211">
              <w:r>
                <w:rPr>
                  <w:rStyle w:val="InternetLink"/>
                  <w:strike w:val="false"/>
                  <w:dstrike w:val="false"/>
                  <w:color w:val="000000"/>
                  <w:u w:val="none"/>
                  <w:effect w:val="none"/>
                </w:rPr>
                <w:t>    </w:t>
              </w:r>
            </w:hyperlink>
            <w:hyperlink w:anchor="i0d3f5b1a05824808a0c79fc0f3ab5fa4_211">
              <w:r>
                <w:rPr>
                  <w:rStyle w:val="InternetLink"/>
                  <w:rFonts w:ascii="Times New Roman;sans-serif" w:hAnsi="Times New Roman;sans-serif"/>
                  <w:b w:val="false"/>
                  <w:strike w:val="false"/>
                  <w:dstrike w:val="false"/>
                  <w:color w:val="000000"/>
                  <w:sz w:val="24"/>
                  <w:u w:val="none"/>
                  <w:effect w:val="none"/>
                </w:rPr>
                <w:t>AMENDMENT AND TERMINATION</w:t>
              </w:r>
            </w:hyperlink>
          </w:p>
        </w:tc>
        <w:tc>
          <w:tcPr>
            <w:tcW w:w="393"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w:anchor="i0d3f5b1a05824808a0c79fc0f3ab5fa4_211">
              <w:r>
                <w:rPr>
                  <w:rStyle w:val="InternetLink"/>
                  <w:rFonts w:ascii="Times New Roman;sans-serif" w:hAnsi="Times New Roman;sans-serif"/>
                  <w:b w:val="false"/>
                  <w:color w:val="000000"/>
                  <w:sz w:val="24"/>
                  <w:u w:val="single"/>
                </w:rPr>
                <w:t>31</w:t>
              </w:r>
            </w:hyperlink>
          </w:p>
        </w:tc>
      </w:tr>
      <w:tr>
        <w:trPr/>
        <w:tc>
          <w:tcPr>
            <w:tcW w:w="9812"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w:anchor="i0d3f5b1a05824808a0c79fc0f3ab5fa4_211">
              <w:r>
                <w:rPr>
                  <w:rStyle w:val="InternetLink"/>
                  <w:rFonts w:ascii="Times New Roman;sans-serif" w:hAnsi="Times New Roman;sans-serif"/>
                  <w:b w:val="false"/>
                  <w:strike w:val="false"/>
                  <w:dstrike w:val="false"/>
                  <w:color w:val="000000"/>
                  <w:sz w:val="24"/>
                  <w:u w:val="none"/>
                  <w:effect w:val="none"/>
                </w:rPr>
                <w:t>SECTION 6.1.</w:t>
              </w:r>
            </w:hyperlink>
            <w:hyperlink w:anchor="i0d3f5b1a05824808a0c79fc0f3ab5fa4_211">
              <w:r>
                <w:rPr>
                  <w:rStyle w:val="InternetLink"/>
                  <w:strike w:val="false"/>
                  <w:dstrike w:val="false"/>
                  <w:color w:val="000000"/>
                  <w:u w:val="none"/>
                  <w:effect w:val="none"/>
                </w:rPr>
                <w:t>    </w:t>
              </w:r>
            </w:hyperlink>
            <w:hyperlink w:anchor="i0d3f5b1a05824808a0c79fc0f3ab5fa4_211">
              <w:r>
                <w:rPr>
                  <w:rStyle w:val="InternetLink"/>
                  <w:rFonts w:ascii="Times New Roman;sans-serif" w:hAnsi="Times New Roman;sans-serif"/>
                  <w:b w:val="false"/>
                  <w:strike w:val="false"/>
                  <w:dstrike w:val="false"/>
                  <w:color w:val="000000"/>
                  <w:sz w:val="24"/>
                  <w:u w:val="none"/>
                  <w:effect w:val="none"/>
                </w:rPr>
                <w:t>Amendment.</w:t>
              </w:r>
            </w:hyperlink>
          </w:p>
        </w:tc>
        <w:tc>
          <w:tcPr>
            <w:tcW w:w="393"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w:anchor="i0d3f5b1a05824808a0c79fc0f3ab5fa4_211">
              <w:r>
                <w:rPr>
                  <w:rStyle w:val="InternetLink"/>
                  <w:rFonts w:ascii="Times New Roman;sans-serif" w:hAnsi="Times New Roman;sans-serif"/>
                  <w:b w:val="false"/>
                  <w:color w:val="000000"/>
                  <w:sz w:val="24"/>
                  <w:u w:val="single"/>
                </w:rPr>
                <w:t>31</w:t>
              </w:r>
            </w:hyperlink>
          </w:p>
        </w:tc>
      </w:tr>
      <w:tr>
        <w:trPr/>
        <w:tc>
          <w:tcPr>
            <w:tcW w:w="9812"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w:anchor="i0d3f5b1a05824808a0c79fc0f3ab5fa4_211">
              <w:r>
                <w:rPr>
                  <w:rStyle w:val="InternetLink"/>
                  <w:rFonts w:ascii="Times New Roman;sans-serif" w:hAnsi="Times New Roman;sans-serif"/>
                  <w:b w:val="false"/>
                  <w:strike w:val="false"/>
                  <w:dstrike w:val="false"/>
                  <w:color w:val="000000"/>
                  <w:sz w:val="24"/>
                  <w:u w:val="none"/>
                  <w:effect w:val="none"/>
                </w:rPr>
                <w:t>SECTION 6.2.</w:t>
              </w:r>
            </w:hyperlink>
            <w:hyperlink w:anchor="i0d3f5b1a05824808a0c79fc0f3ab5fa4_211">
              <w:r>
                <w:rPr>
                  <w:rStyle w:val="InternetLink"/>
                  <w:strike w:val="false"/>
                  <w:dstrike w:val="false"/>
                  <w:color w:val="000000"/>
                  <w:u w:val="none"/>
                  <w:effect w:val="none"/>
                </w:rPr>
                <w:t>    </w:t>
              </w:r>
            </w:hyperlink>
            <w:hyperlink w:anchor="i0d3f5b1a05824808a0c79fc0f3ab5fa4_211">
              <w:r>
                <w:rPr>
                  <w:rStyle w:val="InternetLink"/>
                  <w:rFonts w:ascii="Times New Roman;sans-serif" w:hAnsi="Times New Roman;sans-serif"/>
                  <w:b w:val="false"/>
                  <w:strike w:val="false"/>
                  <w:dstrike w:val="false"/>
                  <w:color w:val="000000"/>
                  <w:sz w:val="24"/>
                  <w:u w:val="none"/>
                  <w:effect w:val="none"/>
                </w:rPr>
                <w:t>Termination.</w:t>
              </w:r>
            </w:hyperlink>
          </w:p>
        </w:tc>
        <w:tc>
          <w:tcPr>
            <w:tcW w:w="393"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w:anchor="i0d3f5b1a05824808a0c79fc0f3ab5fa4_211">
              <w:r>
                <w:rPr>
                  <w:rStyle w:val="InternetLink"/>
                  <w:rFonts w:ascii="Times New Roman;sans-serif" w:hAnsi="Times New Roman;sans-serif"/>
                  <w:b w:val="false"/>
                  <w:color w:val="000000"/>
                  <w:sz w:val="24"/>
                  <w:u w:val="single"/>
                </w:rPr>
                <w:t>31</w:t>
              </w:r>
            </w:hyperlink>
          </w:p>
        </w:tc>
      </w:tr>
      <w:tr>
        <w:trPr/>
        <w:tc>
          <w:tcPr>
            <w:tcW w:w="9812"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w:anchor="i0d3f5b1a05824808a0c79fc0f3ab5fa4_211">
              <w:r>
                <w:rPr>
                  <w:rStyle w:val="InternetLink"/>
                  <w:rFonts w:ascii="Times New Roman;sans-serif" w:hAnsi="Times New Roman;sans-serif"/>
                  <w:b w:val="false"/>
                  <w:strike w:val="false"/>
                  <w:dstrike w:val="false"/>
                  <w:color w:val="000000"/>
                  <w:sz w:val="24"/>
                  <w:u w:val="none"/>
                  <w:effect w:val="none"/>
                </w:rPr>
                <w:t>ARTICLE 7.</w:t>
              </w:r>
            </w:hyperlink>
            <w:hyperlink w:anchor="i0d3f5b1a05824808a0c79fc0f3ab5fa4_211">
              <w:r>
                <w:rPr>
                  <w:rStyle w:val="InternetLink"/>
                  <w:strike w:val="false"/>
                  <w:dstrike w:val="false"/>
                  <w:color w:val="000000"/>
                  <w:u w:val="none"/>
                  <w:effect w:val="none"/>
                </w:rPr>
                <w:t>    </w:t>
              </w:r>
            </w:hyperlink>
            <w:hyperlink w:anchor="i0d3f5b1a05824808a0c79fc0f3ab5fa4_211">
              <w:r>
                <w:rPr>
                  <w:rStyle w:val="InternetLink"/>
                  <w:rFonts w:ascii="Times New Roman;sans-serif" w:hAnsi="Times New Roman;sans-serif"/>
                  <w:b w:val="false"/>
                  <w:strike w:val="false"/>
                  <w:dstrike w:val="false"/>
                  <w:color w:val="000000"/>
                  <w:sz w:val="24"/>
                  <w:u w:val="none"/>
                  <w:effect w:val="none"/>
                </w:rPr>
                <w:t>MISCELLANEOUS</w:t>
              </w:r>
            </w:hyperlink>
          </w:p>
        </w:tc>
        <w:tc>
          <w:tcPr>
            <w:tcW w:w="393"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w:anchor="i0d3f5b1a05824808a0c79fc0f3ab5fa4_211">
              <w:r>
                <w:rPr>
                  <w:rStyle w:val="InternetLink"/>
                  <w:rFonts w:ascii="Times New Roman;sans-serif" w:hAnsi="Times New Roman;sans-serif"/>
                  <w:b w:val="false"/>
                  <w:color w:val="000000"/>
                  <w:sz w:val="24"/>
                  <w:u w:val="single"/>
                </w:rPr>
                <w:t>32</w:t>
              </w:r>
            </w:hyperlink>
          </w:p>
        </w:tc>
      </w:tr>
      <w:tr>
        <w:trPr/>
        <w:tc>
          <w:tcPr>
            <w:tcW w:w="9812"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w:anchor="i0d3f5b1a05824808a0c79fc0f3ab5fa4_211">
              <w:r>
                <w:rPr>
                  <w:rStyle w:val="InternetLink"/>
                  <w:rFonts w:ascii="Times New Roman;sans-serif" w:hAnsi="Times New Roman;sans-serif"/>
                  <w:b w:val="false"/>
                  <w:strike w:val="false"/>
                  <w:dstrike w:val="false"/>
                  <w:color w:val="000000"/>
                  <w:sz w:val="24"/>
                  <w:u w:val="none"/>
                  <w:effect w:val="none"/>
                </w:rPr>
                <w:t>SECTION 7.1.</w:t>
              </w:r>
            </w:hyperlink>
            <w:hyperlink w:anchor="i0d3f5b1a05824808a0c79fc0f3ab5fa4_211">
              <w:r>
                <w:rPr>
                  <w:rStyle w:val="InternetLink"/>
                  <w:strike w:val="false"/>
                  <w:dstrike w:val="false"/>
                  <w:color w:val="000000"/>
                  <w:u w:val="none"/>
                  <w:effect w:val="none"/>
                </w:rPr>
                <w:t>    </w:t>
              </w:r>
            </w:hyperlink>
            <w:hyperlink w:anchor="i0d3f5b1a05824808a0c79fc0f3ab5fa4_211">
              <w:r>
                <w:rPr>
                  <w:rStyle w:val="InternetLink"/>
                  <w:rFonts w:ascii="Times New Roman;sans-serif" w:hAnsi="Times New Roman;sans-serif"/>
                  <w:b w:val="false"/>
                  <w:strike w:val="false"/>
                  <w:dstrike w:val="false"/>
                  <w:color w:val="000000"/>
                  <w:sz w:val="24"/>
                  <w:u w:val="none"/>
                  <w:effect w:val="none"/>
                </w:rPr>
                <w:t>Counterparts; Signatures; Delivery.</w:t>
              </w:r>
            </w:hyperlink>
          </w:p>
        </w:tc>
        <w:tc>
          <w:tcPr>
            <w:tcW w:w="393"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w:anchor="i0d3f5b1a05824808a0c79fc0f3ab5fa4_211">
              <w:r>
                <w:rPr>
                  <w:rStyle w:val="InternetLink"/>
                  <w:rFonts w:ascii="Times New Roman;sans-serif" w:hAnsi="Times New Roman;sans-serif"/>
                  <w:b w:val="false"/>
                  <w:color w:val="000000"/>
                  <w:sz w:val="24"/>
                  <w:u w:val="single"/>
                </w:rPr>
                <w:t>32</w:t>
              </w:r>
            </w:hyperlink>
          </w:p>
        </w:tc>
      </w:tr>
    </w:tbl>
    <w:p>
      <w:pPr>
        <w:pStyle w:val="TextBody"/>
        <w:spacing w:before="120" w:after="240"/>
        <w:jc w:val="center"/>
        <w:rPr/>
      </w:pPr>
      <w:r>
        <w:br w:type="page"/>
      </w:r>
      <w:r>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6480175" cy="869950"/>
                <wp:effectExtent l="0" t="0" r="0" b="0"/>
                <wp:wrapNone/>
                <wp:docPr id="308" name="Frame305"/>
                <a:graphic xmlns:a="http://schemas.openxmlformats.org/drawingml/2006/main">
                  <a:graphicData uri="http://schemas.microsoft.com/office/word/2010/wordprocessingShape">
                    <wps:wsp>
                      <wps:cNvSpPr txBox="1"/>
                      <wps:spPr>
                        <a:xfrm>
                          <a:off x="0" y="0"/>
                          <a:ext cx="6480175" cy="869950"/>
                        </a:xfrm>
                        <a:prstGeom prst="rect"/>
                      </wps:spPr>
                      <wps:txbx>
                        <w:txbxContent>
                          <w:p>
                            <w:pPr>
                              <w:pStyle w:val="TextBody"/>
                              <w:spacing w:lineRule="auto" w:line="288"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-2-</w:t>
                            </w:r>
                          </w:p>
                          <w:p>
                            <w:pPr>
                              <w:pStyle w:val="TextBody"/>
                              <w:spacing w:before="24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8.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spacing w:lineRule="auto" w:line="288"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-2-</w:t>
                      </w:r>
                    </w:p>
                    <w:p>
                      <w:pPr>
                        <w:pStyle w:val="TextBody"/>
                        <w:spacing w:before="240" w:after="283"/>
                        <w:jc w:val="center"/>
                        <w:rPr/>
                      </w:pPr>
                      <w:r>
                        <w:rPr/>
                      </w:r>
                    </w:p>
                  </w:txbxContent>
                </v:textbox>
              </v:rect>
            </w:pict>
          </mc:Fallback>
        </mc:AlternateContent>
      </w:r>
    </w:p>
    <w:tbl>
      <w:tblPr>
        <w:tblW w:w="10205" w:type="dxa"/>
        <w:jc w:val="left"/>
        <w:tblInd w:w="0" w:type="dxa"/>
        <w:tblCellMar>
          <w:top w:w="28" w:type="dxa"/>
          <w:left w:w="28" w:type="dxa"/>
          <w:bottom w:w="28" w:type="dxa"/>
          <w:right w:w="28" w:type="dxa"/>
        </w:tblCellMar>
      </w:tblPr>
      <w:tblGrid>
        <w:gridCol w:w="3568"/>
        <w:gridCol w:w="3115"/>
        <w:gridCol w:w="3130"/>
        <w:gridCol w:w="114"/>
        <w:gridCol w:w="114"/>
        <w:gridCol w:w="164"/>
      </w:tblGrid>
      <w:tr>
        <w:trPr/>
        <w:tc>
          <w:tcPr>
            <w:tcW w:w="3568" w:type="dxa"/>
            <w:tcBorders/>
            <w:shd w:fill="auto" w:val="clear"/>
            <w:vAlign w:val="center"/>
          </w:tcPr>
          <w:p>
            <w:pPr>
              <w:pStyle w:val="TableContents"/>
              <w:spacing w:before="0" w:after="283"/>
              <w:rPr>
                <w:sz w:val="4"/>
                <w:szCs w:val="4"/>
              </w:rPr>
            </w:pPr>
            <w:r>
              <w:rPr>
                <w:sz w:val="4"/>
                <w:szCs w:val="4"/>
              </w:rPr>
            </w:r>
          </w:p>
        </w:tc>
        <w:tc>
          <w:tcPr>
            <w:tcW w:w="3115" w:type="dxa"/>
            <w:tcBorders/>
            <w:shd w:fill="auto" w:val="clear"/>
            <w:vAlign w:val="center"/>
          </w:tcPr>
          <w:p>
            <w:pPr>
              <w:pStyle w:val="TableContents"/>
              <w:spacing w:before="0" w:after="283"/>
              <w:rPr>
                <w:sz w:val="4"/>
                <w:szCs w:val="4"/>
              </w:rPr>
            </w:pPr>
            <w:r>
              <w:rPr>
                <w:sz w:val="4"/>
                <w:szCs w:val="4"/>
              </w:rPr>
            </w:r>
          </w:p>
        </w:tc>
        <w:tc>
          <w:tcPr>
            <w:tcW w:w="3130"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r>
      <w:tr>
        <w:trPr/>
        <w:tc>
          <w:tcPr>
            <w:tcW w:w="9813"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w:anchor="i0d3f5b1a05824808a0c79fc0f3ab5fa4_211">
              <w:r>
                <w:rPr>
                  <w:rStyle w:val="InternetLink"/>
                  <w:rFonts w:ascii="Times New Roman;sans-serif" w:hAnsi="Times New Roman;sans-serif"/>
                  <w:b w:val="false"/>
                  <w:strike w:val="false"/>
                  <w:dstrike w:val="false"/>
                  <w:color w:val="000000"/>
                  <w:sz w:val="24"/>
                  <w:u w:val="none"/>
                  <w:effect w:val="none"/>
                </w:rPr>
                <w:t>SECTION 7.2.</w:t>
              </w:r>
            </w:hyperlink>
            <w:hyperlink w:anchor="i0d3f5b1a05824808a0c79fc0f3ab5fa4_211">
              <w:r>
                <w:rPr>
                  <w:rStyle w:val="InternetLink"/>
                  <w:strike w:val="false"/>
                  <w:dstrike w:val="false"/>
                  <w:color w:val="000000"/>
                  <w:u w:val="none"/>
                  <w:effect w:val="none"/>
                </w:rPr>
                <w:t>    </w:t>
              </w:r>
            </w:hyperlink>
            <w:hyperlink w:anchor="i0d3f5b1a05824808a0c79fc0f3ab5fa4_211">
              <w:r>
                <w:rPr>
                  <w:rStyle w:val="InternetLink"/>
                  <w:rFonts w:ascii="Times New Roman;sans-serif" w:hAnsi="Times New Roman;sans-serif"/>
                  <w:b w:val="false"/>
                  <w:strike w:val="false"/>
                  <w:dstrike w:val="false"/>
                  <w:color w:val="000000"/>
                  <w:sz w:val="24"/>
                  <w:u w:val="none"/>
                  <w:effect w:val="none"/>
                </w:rPr>
                <w:t>No Third Party Beneficiaries.</w:t>
              </w:r>
            </w:hyperlink>
          </w:p>
        </w:tc>
        <w:tc>
          <w:tcPr>
            <w:tcW w:w="392"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w:anchor="i0d3f5b1a05824808a0c79fc0f3ab5fa4_211">
              <w:r>
                <w:rPr>
                  <w:rStyle w:val="InternetLink"/>
                  <w:rFonts w:ascii="Times New Roman;sans-serif" w:hAnsi="Times New Roman;sans-serif"/>
                  <w:b w:val="false"/>
                  <w:color w:val="000000"/>
                  <w:sz w:val="24"/>
                  <w:u w:val="single"/>
                </w:rPr>
                <w:t>33</w:t>
              </w:r>
            </w:hyperlink>
          </w:p>
        </w:tc>
      </w:tr>
      <w:tr>
        <w:trPr/>
        <w:tc>
          <w:tcPr>
            <w:tcW w:w="9813"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w:anchor="i0d3f5b1a05824808a0c79fc0f3ab5fa4_211">
              <w:r>
                <w:rPr>
                  <w:rStyle w:val="InternetLink"/>
                  <w:rFonts w:ascii="Times New Roman;sans-serif" w:hAnsi="Times New Roman;sans-serif"/>
                  <w:b w:val="false"/>
                  <w:strike w:val="false"/>
                  <w:dstrike w:val="false"/>
                  <w:color w:val="000000"/>
                  <w:sz w:val="24"/>
                  <w:u w:val="none"/>
                  <w:effect w:val="none"/>
                </w:rPr>
                <w:t>SECTION 7.3.</w:t>
              </w:r>
            </w:hyperlink>
            <w:hyperlink w:anchor="i0d3f5b1a05824808a0c79fc0f3ab5fa4_211">
              <w:r>
                <w:rPr>
                  <w:rStyle w:val="InternetLink"/>
                  <w:strike w:val="false"/>
                  <w:dstrike w:val="false"/>
                  <w:color w:val="000000"/>
                  <w:u w:val="none"/>
                  <w:effect w:val="none"/>
                </w:rPr>
                <w:t>    </w:t>
              </w:r>
            </w:hyperlink>
            <w:hyperlink w:anchor="i0d3f5b1a05824808a0c79fc0f3ab5fa4_211">
              <w:r>
                <w:rPr>
                  <w:rStyle w:val="InternetLink"/>
                  <w:rFonts w:ascii="Times New Roman;sans-serif" w:hAnsi="Times New Roman;sans-serif"/>
                  <w:b w:val="false"/>
                  <w:strike w:val="false"/>
                  <w:dstrike w:val="false"/>
                  <w:color w:val="000000"/>
                  <w:sz w:val="24"/>
                  <w:u w:val="none"/>
                  <w:effect w:val="none"/>
                </w:rPr>
                <w:t>Severability.</w:t>
              </w:r>
            </w:hyperlink>
          </w:p>
        </w:tc>
        <w:tc>
          <w:tcPr>
            <w:tcW w:w="392"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w:anchor="i0d3f5b1a05824808a0c79fc0f3ab5fa4_211">
              <w:r>
                <w:rPr>
                  <w:rStyle w:val="InternetLink"/>
                  <w:rFonts w:ascii="Times New Roman;sans-serif" w:hAnsi="Times New Roman;sans-serif"/>
                  <w:b w:val="false"/>
                  <w:color w:val="000000"/>
                  <w:sz w:val="24"/>
                  <w:u w:val="single"/>
                </w:rPr>
                <w:t>33</w:t>
              </w:r>
            </w:hyperlink>
          </w:p>
        </w:tc>
      </w:tr>
      <w:tr>
        <w:trPr/>
        <w:tc>
          <w:tcPr>
            <w:tcW w:w="9813"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w:anchor="i0d3f5b1a05824808a0c79fc0f3ab5fa4_211">
              <w:r>
                <w:rPr>
                  <w:rStyle w:val="InternetLink"/>
                  <w:rFonts w:ascii="Times New Roman;sans-serif" w:hAnsi="Times New Roman;sans-serif"/>
                  <w:b w:val="false"/>
                  <w:strike w:val="false"/>
                  <w:dstrike w:val="false"/>
                  <w:color w:val="000000"/>
                  <w:sz w:val="24"/>
                  <w:u w:val="none"/>
                  <w:effect w:val="none"/>
                </w:rPr>
                <w:t>SECTION 7.4.</w:t>
              </w:r>
            </w:hyperlink>
            <w:hyperlink w:anchor="i0d3f5b1a05824808a0c79fc0f3ab5fa4_211">
              <w:r>
                <w:rPr>
                  <w:rStyle w:val="InternetLink"/>
                  <w:strike w:val="false"/>
                  <w:dstrike w:val="false"/>
                  <w:color w:val="000000"/>
                  <w:u w:val="none"/>
                  <w:effect w:val="none"/>
                </w:rPr>
                <w:t>    </w:t>
              </w:r>
            </w:hyperlink>
            <w:hyperlink w:anchor="i0d3f5b1a05824808a0c79fc0f3ab5fa4_211">
              <w:r>
                <w:rPr>
                  <w:rStyle w:val="InternetLink"/>
                  <w:rFonts w:ascii="Times New Roman;sans-serif" w:hAnsi="Times New Roman;sans-serif"/>
                  <w:b w:val="false"/>
                  <w:strike w:val="false"/>
                  <w:dstrike w:val="false"/>
                  <w:color w:val="000000"/>
                  <w:sz w:val="24"/>
                  <w:u w:val="none"/>
                  <w:effect w:val="none"/>
                </w:rPr>
                <w:t>Owners and Holders as Parties; Binding Effect.</w:t>
              </w:r>
            </w:hyperlink>
          </w:p>
        </w:tc>
        <w:tc>
          <w:tcPr>
            <w:tcW w:w="392"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w:anchor="i0d3f5b1a05824808a0c79fc0f3ab5fa4_211">
              <w:r>
                <w:rPr>
                  <w:rStyle w:val="InternetLink"/>
                  <w:rFonts w:ascii="Times New Roman;sans-serif" w:hAnsi="Times New Roman;sans-serif"/>
                  <w:b w:val="false"/>
                  <w:color w:val="000000"/>
                  <w:sz w:val="24"/>
                  <w:u w:val="single"/>
                </w:rPr>
                <w:t>33</w:t>
              </w:r>
            </w:hyperlink>
          </w:p>
        </w:tc>
      </w:tr>
      <w:tr>
        <w:trPr/>
        <w:tc>
          <w:tcPr>
            <w:tcW w:w="9813"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w:anchor="i0d3f5b1a05824808a0c79fc0f3ab5fa4_211">
              <w:r>
                <w:rPr>
                  <w:rStyle w:val="InternetLink"/>
                  <w:rFonts w:ascii="Times New Roman;sans-serif" w:hAnsi="Times New Roman;sans-serif"/>
                  <w:b w:val="false"/>
                  <w:strike w:val="false"/>
                  <w:dstrike w:val="false"/>
                  <w:color w:val="000000"/>
                  <w:sz w:val="24"/>
                  <w:u w:val="none"/>
                  <w:effect w:val="none"/>
                </w:rPr>
                <w:t>SECTION 7.5.</w:t>
              </w:r>
            </w:hyperlink>
            <w:hyperlink w:anchor="i0d3f5b1a05824808a0c79fc0f3ab5fa4_211">
              <w:r>
                <w:rPr>
                  <w:rStyle w:val="InternetLink"/>
                  <w:strike w:val="false"/>
                  <w:dstrike w:val="false"/>
                  <w:color w:val="000000"/>
                  <w:u w:val="none"/>
                  <w:effect w:val="none"/>
                </w:rPr>
                <w:t>    </w:t>
              </w:r>
            </w:hyperlink>
            <w:hyperlink w:anchor="i0d3f5b1a05824808a0c79fc0f3ab5fa4_211">
              <w:r>
                <w:rPr>
                  <w:rStyle w:val="InternetLink"/>
                  <w:rFonts w:ascii="Times New Roman;sans-serif" w:hAnsi="Times New Roman;sans-serif"/>
                  <w:b w:val="false"/>
                  <w:strike w:val="false"/>
                  <w:dstrike w:val="false"/>
                  <w:color w:val="000000"/>
                  <w:sz w:val="24"/>
                  <w:u w:val="none"/>
                  <w:effect w:val="none"/>
                </w:rPr>
                <w:t>Notices.</w:t>
              </w:r>
            </w:hyperlink>
          </w:p>
        </w:tc>
        <w:tc>
          <w:tcPr>
            <w:tcW w:w="392"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w:anchor="i0d3f5b1a05824808a0c79fc0f3ab5fa4_211">
              <w:r>
                <w:rPr>
                  <w:rStyle w:val="InternetLink"/>
                  <w:rFonts w:ascii="Times New Roman;sans-serif" w:hAnsi="Times New Roman;sans-serif"/>
                  <w:b w:val="false"/>
                  <w:color w:val="000000"/>
                  <w:sz w:val="24"/>
                  <w:u w:val="single"/>
                </w:rPr>
                <w:t>33</w:t>
              </w:r>
            </w:hyperlink>
          </w:p>
        </w:tc>
      </w:tr>
      <w:tr>
        <w:trPr/>
        <w:tc>
          <w:tcPr>
            <w:tcW w:w="9813"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w:anchor="i0d3f5b1a05824808a0c79fc0f3ab5fa4_211">
              <w:r>
                <w:rPr>
                  <w:rStyle w:val="InternetLink"/>
                  <w:rFonts w:ascii="Times New Roman;sans-serif" w:hAnsi="Times New Roman;sans-serif"/>
                  <w:b w:val="false"/>
                  <w:strike w:val="false"/>
                  <w:dstrike w:val="false"/>
                  <w:color w:val="000000"/>
                  <w:sz w:val="24"/>
                  <w:u w:val="none"/>
                  <w:effect w:val="none"/>
                </w:rPr>
                <w:t>SECTION 7.6.</w:t>
              </w:r>
            </w:hyperlink>
            <w:hyperlink w:anchor="i0d3f5b1a05824808a0c79fc0f3ab5fa4_211">
              <w:r>
                <w:rPr>
                  <w:rStyle w:val="InternetLink"/>
                  <w:strike w:val="false"/>
                  <w:dstrike w:val="false"/>
                  <w:color w:val="000000"/>
                  <w:u w:val="none"/>
                  <w:effect w:val="none"/>
                </w:rPr>
                <w:t>    </w:t>
              </w:r>
            </w:hyperlink>
            <w:hyperlink w:anchor="i0d3f5b1a05824808a0c79fc0f3ab5fa4_211">
              <w:r>
                <w:rPr>
                  <w:rStyle w:val="InternetLink"/>
                  <w:rFonts w:ascii="Times New Roman;sans-serif" w:hAnsi="Times New Roman;sans-serif"/>
                  <w:b w:val="false"/>
                  <w:strike w:val="false"/>
                  <w:dstrike w:val="false"/>
                  <w:color w:val="000000"/>
                  <w:sz w:val="24"/>
                  <w:u w:val="none"/>
                  <w:effect w:val="none"/>
                </w:rPr>
                <w:t>Appointment of Agent for Service of Process; Submission to Jurisdiction; Jury Trial Waiver.</w:t>
              </w:r>
            </w:hyperlink>
          </w:p>
        </w:tc>
        <w:tc>
          <w:tcPr>
            <w:tcW w:w="392"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w:anchor="i0d3f5b1a05824808a0c79fc0f3ab5fa4_211">
              <w:r>
                <w:rPr>
                  <w:rStyle w:val="InternetLink"/>
                  <w:rFonts w:ascii="Times New Roman;sans-serif" w:hAnsi="Times New Roman;sans-serif"/>
                  <w:b w:val="false"/>
                  <w:color w:val="000000"/>
                  <w:sz w:val="24"/>
                  <w:u w:val="single"/>
                </w:rPr>
                <w:t>35</w:t>
              </w:r>
            </w:hyperlink>
          </w:p>
        </w:tc>
      </w:tr>
      <w:tr>
        <w:trPr/>
        <w:tc>
          <w:tcPr>
            <w:tcW w:w="9813"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w:anchor="i0d3f5b1a05824808a0c79fc0f3ab5fa4_211">
              <w:r>
                <w:rPr>
                  <w:rStyle w:val="InternetLink"/>
                  <w:rFonts w:ascii="Times New Roman;sans-serif" w:hAnsi="Times New Roman;sans-serif"/>
                  <w:b w:val="false"/>
                  <w:strike w:val="false"/>
                  <w:dstrike w:val="false"/>
                  <w:color w:val="000000"/>
                  <w:sz w:val="24"/>
                  <w:u w:val="none"/>
                  <w:effect w:val="none"/>
                </w:rPr>
                <w:t>SECTION 7.7.</w:t>
              </w:r>
            </w:hyperlink>
            <w:hyperlink w:anchor="i0d3f5b1a05824808a0c79fc0f3ab5fa4_211">
              <w:r>
                <w:rPr>
                  <w:rStyle w:val="InternetLink"/>
                  <w:strike w:val="false"/>
                  <w:dstrike w:val="false"/>
                  <w:color w:val="000000"/>
                  <w:u w:val="none"/>
                  <w:effect w:val="none"/>
                </w:rPr>
                <w:t>    </w:t>
              </w:r>
            </w:hyperlink>
            <w:hyperlink w:anchor="i0d3f5b1a05824808a0c79fc0f3ab5fa4_211">
              <w:r>
                <w:rPr>
                  <w:rStyle w:val="InternetLink"/>
                  <w:rFonts w:ascii="Times New Roman;sans-serif" w:hAnsi="Times New Roman;sans-serif"/>
                  <w:b w:val="false"/>
                  <w:strike w:val="false"/>
                  <w:dstrike w:val="false"/>
                  <w:color w:val="000000"/>
                  <w:sz w:val="24"/>
                  <w:u w:val="none"/>
                  <w:effect w:val="none"/>
                </w:rPr>
                <w:t>Waiver of Immunities.</w:t>
              </w:r>
            </w:hyperlink>
          </w:p>
        </w:tc>
        <w:tc>
          <w:tcPr>
            <w:tcW w:w="392"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w:anchor="i0d3f5b1a05824808a0c79fc0f3ab5fa4_211">
              <w:r>
                <w:rPr>
                  <w:rStyle w:val="InternetLink"/>
                  <w:rFonts w:ascii="Times New Roman;sans-serif" w:hAnsi="Times New Roman;sans-serif"/>
                  <w:b w:val="false"/>
                  <w:color w:val="000000"/>
                  <w:sz w:val="24"/>
                  <w:u w:val="single"/>
                </w:rPr>
                <w:t>36</w:t>
              </w:r>
            </w:hyperlink>
          </w:p>
        </w:tc>
      </w:tr>
      <w:tr>
        <w:trPr/>
        <w:tc>
          <w:tcPr>
            <w:tcW w:w="9813"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w:anchor="i0d3f5b1a05824808a0c79fc0f3ab5fa4_211">
              <w:r>
                <w:rPr>
                  <w:rStyle w:val="InternetLink"/>
                  <w:rFonts w:ascii="Times New Roman;sans-serif" w:hAnsi="Times New Roman;sans-serif"/>
                  <w:b w:val="false"/>
                  <w:strike w:val="false"/>
                  <w:dstrike w:val="false"/>
                  <w:color w:val="000000"/>
                  <w:sz w:val="24"/>
                  <w:u w:val="none"/>
                  <w:effect w:val="none"/>
                </w:rPr>
                <w:t>SECTION 7.8.</w:t>
              </w:r>
            </w:hyperlink>
            <w:hyperlink w:anchor="i0d3f5b1a05824808a0c79fc0f3ab5fa4_211">
              <w:r>
                <w:rPr>
                  <w:rStyle w:val="InternetLink"/>
                  <w:strike w:val="false"/>
                  <w:dstrike w:val="false"/>
                  <w:color w:val="000000"/>
                  <w:u w:val="none"/>
                  <w:effect w:val="none"/>
                </w:rPr>
                <w:t>    </w:t>
              </w:r>
            </w:hyperlink>
            <w:hyperlink w:anchor="i0d3f5b1a05824808a0c79fc0f3ab5fa4_211">
              <w:r>
                <w:rPr>
                  <w:rStyle w:val="InternetLink"/>
                  <w:rFonts w:ascii="Times New Roman;sans-serif" w:hAnsi="Times New Roman;sans-serif"/>
                  <w:b w:val="false"/>
                  <w:strike w:val="false"/>
                  <w:dstrike w:val="false"/>
                  <w:color w:val="000000"/>
                  <w:sz w:val="24"/>
                  <w:u w:val="none"/>
                  <w:effect w:val="none"/>
                </w:rPr>
                <w:t>Governing Law.</w:t>
              </w:r>
            </w:hyperlink>
          </w:p>
        </w:tc>
        <w:tc>
          <w:tcPr>
            <w:tcW w:w="392"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pPr>
            <w:hyperlink w:anchor="i0d3f5b1a05824808a0c79fc0f3ab5fa4_211">
              <w:r>
                <w:rPr>
                  <w:rStyle w:val="InternetLink"/>
                  <w:rFonts w:ascii="Times New Roman;sans-serif" w:hAnsi="Times New Roman;sans-serif"/>
                  <w:b w:val="false"/>
                  <w:color w:val="000000"/>
                  <w:sz w:val="24"/>
                  <w:u w:val="single"/>
                </w:rPr>
                <w:t>36</w:t>
              </w:r>
            </w:hyperlink>
          </w:p>
        </w:tc>
      </w:tr>
    </w:tbl>
    <w:p>
      <w:pPr>
        <w:pStyle w:val="TextBody"/>
        <w:spacing w:before="0" w:after="0"/>
        <w:ind w:left="0" w:right="0" w:hanging="720"/>
        <w:jc w:val="both"/>
        <w:rPr/>
      </w:pPr>
      <w:r>
        <w:rPr/>
      </w:r>
    </w:p>
    <w:p>
      <w:pPr>
        <w:pStyle w:val="TextBody"/>
        <w:spacing w:before="0" w:after="48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6480175" cy="869950"/>
                <wp:effectExtent l="0" t="0" r="0" b="0"/>
                <wp:wrapNone/>
                <wp:docPr id="309" name="Frame306"/>
                <a:graphic xmlns:a="http://schemas.openxmlformats.org/drawingml/2006/main">
                  <a:graphicData uri="http://schemas.microsoft.com/office/word/2010/wordprocessingShape">
                    <wps:wsp>
                      <wps:cNvSpPr txBox="1"/>
                      <wps:spPr>
                        <a:xfrm>
                          <a:off x="0" y="0"/>
                          <a:ext cx="6480175" cy="869950"/>
                        </a:xfrm>
                        <a:prstGeom prst="rect"/>
                      </wps:spPr>
                      <wps:txbx>
                        <w:txbxContent>
                          <w:p>
                            <w:pPr>
                              <w:pStyle w:val="TextBody"/>
                              <w:spacing w:lineRule="auto" w:line="288"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-3-</w:t>
                            </w:r>
                          </w:p>
                          <w:p>
                            <w:pPr>
                              <w:pStyle w:val="TextBody"/>
                              <w:spacing w:before="24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-3-</w:t>
                      </w:r>
                    </w:p>
                    <w:p>
                      <w:pPr>
                        <w:pStyle w:val="TextBody"/>
                        <w:spacing w:before="240" w:after="283"/>
                        <w:jc w:val="center"/>
                        <w:rPr/>
                      </w:pPr>
                      <w:r>
                        <w:rPr/>
                      </w:r>
                    </w:p>
                  </w:txbxContent>
                </v:textbox>
              </v:rect>
            </w:pict>
          </mc:Fallback>
        </mc:AlternateContent>
      </w:r>
    </w:p>
    <w:p>
      <w:pPr>
        <w:pStyle w:val="TextBody"/>
        <w:spacing w:lineRule="auto" w:line="288"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DEPOSIT AGREEMENT</w:t>
      </w:r>
    </w:p>
    <w:p>
      <w:pPr>
        <w:pStyle w:val="TextBody"/>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DEPOSIT AGREEMENT dated as of June 25, 2020 among AGORA, INC., a company incorporated under the laws of the Cayman Islands (herein called the Company), THE BANK OF NEW YORK MELLON, a New York banking corporation (herein called the Depositary), and all Owners and Holders (each as hereinafter defined) from time to time of American Depositary Shares issued hereunder.</w:t>
      </w:r>
    </w:p>
    <w:p>
      <w:pPr>
        <w:pStyle w:val="TextBody"/>
        <w:spacing w:lineRule="auto" w:line="288"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W I T N E S S E T H:</w:t>
      </w:r>
    </w:p>
    <w:p>
      <w:pPr>
        <w:pStyle w:val="TextBody"/>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WHEREAS, the Company desires to provide, as set forth in this Deposit Agreement, for the deposit of Shares (as hereinafter defined) of the Company from time to time with the Depositary or with the Custodian (as hereinafter defined) under this Deposit Agreement, for the creation of American Depositary Shares representing the Shares so deposited and for the execution and delivery of American Depositary Receipts evidencing the American Depositary Shares; and </w:t>
      </w:r>
    </w:p>
    <w:p>
      <w:pPr>
        <w:pStyle w:val="TextBody"/>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WHEREAS, the American Depositary Receipts are to be substantially in the form of Exhibit A annexed to this Deposit Agreement, with appropriate insertions, modifications and omissions, as set forth in this Deposit Agreement;</w:t>
      </w:r>
    </w:p>
    <w:p>
      <w:pPr>
        <w:pStyle w:val="TextBody"/>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NOW, THEREFORE, in consideration of the premises, it is agreed by and between the parties hereto as follows:</w:t>
      </w:r>
    </w:p>
    <w:p>
      <w:pPr>
        <w:pStyle w:val="TextBody"/>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ARTICLE 1.DEFINITIONS</w:t>
      </w:r>
    </w:p>
    <w:p>
      <w:pPr>
        <w:pStyle w:val="TextBody"/>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The following definitions shall for all purposes, unless otherwise clearly indicated, apply to the respective terms used in this Deposit Agreement:</w:t>
      </w:r>
    </w:p>
    <w:p>
      <w:pPr>
        <w:pStyle w:val="TextBody"/>
        <w:spacing w:lineRule="auto" w:line="288" w:before="0" w:after="240"/>
        <w:ind w:left="0" w:right="0" w:firstLine="1080"/>
        <w:jc w:val="both"/>
        <w:rPr/>
      </w:pPr>
      <w:r>
        <w:rPr>
          <w:rFonts w:ascii="Times New Roman;sans-serif" w:hAnsi="Times New Roman;sans-serif"/>
          <w:b w:val="false"/>
          <w:color w:val="000000"/>
          <w:sz w:val="24"/>
        </w:rPr>
        <w:t>SECTION 1.1        </w:t>
      </w:r>
      <w:r>
        <w:rPr>
          <w:rFonts w:ascii="Times New Roman;sans-serif" w:hAnsi="Times New Roman;sans-serif"/>
          <w:b w:val="false"/>
          <w:color w:val="000000"/>
          <w:sz w:val="24"/>
          <w:u w:val="single"/>
        </w:rPr>
        <w:t>American Depositary Shares.</w:t>
      </w:r>
    </w:p>
    <w:p>
      <w:pPr>
        <w:pStyle w:val="TextBody"/>
        <w:spacing w:lineRule="auto" w:line="288" w:before="0" w:after="240"/>
        <w:ind w:left="0" w:right="0" w:firstLine="1440"/>
        <w:jc w:val="both"/>
        <w:rPr/>
      </w:pPr>
      <w:r>
        <w:rPr>
          <w:rFonts w:ascii="Times New Roman;sans-serif" w:hAnsi="Times New Roman;sans-serif"/>
          <w:b w:val="false"/>
          <w:color w:val="000000"/>
          <w:sz w:val="24"/>
        </w:rPr>
        <w:t>The term “</w:t>
      </w:r>
      <w:r>
        <w:rPr>
          <w:rFonts w:ascii="Times New Roman;sans-serif" w:hAnsi="Times New Roman;sans-serif"/>
          <w:b w:val="false"/>
          <w:color w:val="000000"/>
          <w:sz w:val="24"/>
          <w:u w:val="single"/>
        </w:rPr>
        <w:t>American Depositary Shares</w:t>
      </w:r>
      <w:r>
        <w:rPr>
          <w:color w:val="000000"/>
        </w:rPr>
        <w:t xml:space="preserve">” </w:t>
      </w:r>
      <w:r>
        <w:rPr>
          <w:rFonts w:ascii="Times New Roman;sans-serif" w:hAnsi="Times New Roman;sans-serif"/>
          <w:b w:val="false"/>
          <w:color w:val="000000"/>
          <w:sz w:val="24"/>
        </w:rPr>
        <w:t xml:space="preserve">shall mean the securities created under this Deposit Agreement representing rights with respect to the Deposited Securities. American Depositary Shares may be certificated securities evidenced by Receipts or uncertificated securities. The form of Receipt annexed as Exhibit A to this Deposit Agreement shall be the prospectus required under the Securities Act of 1933 for sales of both certificated and uncertificated American Depositary Shares. Except for those provisions of this Deposit Agreement that refer specifically to Receipts, all the provisions of this Deposit Agreement shall apply to both certificated and uncertificated American Depositary Shares. </w:t>
      </w:r>
    </w:p>
    <w:p>
      <w:pPr>
        <w:pStyle w:val="TextBody"/>
        <w:spacing w:lineRule="auto" w:line="288" w:before="0" w:after="240"/>
        <w:ind w:left="0" w:right="0" w:firstLine="1440"/>
        <w:jc w:val="both"/>
        <w:rPr/>
      </w:pPr>
      <w:r>
        <w:rPr>
          <w:rFonts w:ascii="Times New Roman;sans-serif" w:hAnsi="Times New Roman;sans-serif"/>
          <w:b w:val="false"/>
          <w:color w:val="000000"/>
          <w:sz w:val="24"/>
        </w:rPr>
        <w:t xml:space="preserve">Each American Depositary Share shall represent the number of Shares specified in Exhibit A to this Deposit Agreement, </w:t>
      </w:r>
      <w:r>
        <w:rPr>
          <w:rFonts w:ascii="Times New Roman;sans-serif" w:hAnsi="Times New Roman;sans-serif"/>
          <w:b w:val="false"/>
          <w:color w:val="000000"/>
          <w:sz w:val="24"/>
          <w:u w:val="single"/>
        </w:rPr>
        <w:t>except that</w:t>
      </w:r>
      <w:r>
        <w:rPr>
          <w:rFonts w:ascii="Times New Roman;sans-serif" w:hAnsi="Times New Roman;sans-serif"/>
          <w:b w:val="false"/>
          <w:color w:val="000000"/>
          <w:sz w:val="24"/>
        </w:rPr>
        <w:t xml:space="preserve">, if there is a distribution upon Deposited Securities covered by Section 4.3, a change in Deposited Securities </w:t>
      </w:r>
      <w:r>
        <w:br w:type="page"/>
      </w:r>
    </w:p>
    <w:p>
      <w:pPr>
        <w:pStyle w:val="TextBody"/>
        <w:spacing w:before="120" w:after="240"/>
        <w:jc w:val="center"/>
        <w:rPr/>
      </w:pPr>
      <w:r>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6480175" cy="327660"/>
                <wp:effectExtent l="0" t="0" r="0" b="0"/>
                <wp:wrapNone/>
                <wp:docPr id="310" name="Frame307"/>
                <a:graphic xmlns:a="http://schemas.openxmlformats.org/drawingml/2006/main">
                  <a:graphicData uri="http://schemas.microsoft.com/office/word/2010/wordprocessingShape">
                    <wps:wsp>
                      <wps:cNvSpPr txBox="1"/>
                      <wps:spPr>
                        <a:xfrm>
                          <a:off x="0" y="0"/>
                          <a:ext cx="6480175" cy="327660"/>
                        </a:xfrm>
                        <a:prstGeom prst="rect"/>
                      </wps:spPr>
                      <wps:txbx>
                        <w:txbxContent>
                          <w:p>
                            <w:pPr>
                              <w:pStyle w:val="TextBody"/>
                              <w:spacing w:lineRule="auto" w:line="288" w:before="24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- 1 -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spacing w:lineRule="auto" w:line="288" w:before="24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- 1 -</w:t>
                      </w:r>
                    </w:p>
                  </w:txbxContent>
                </v:textbox>
              </v:rect>
            </w:pict>
          </mc:Fallback>
        </mc:AlternateContent>
      </w:r>
    </w:p>
    <w:p>
      <w:pPr>
        <w:pStyle w:val="TextBody"/>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covered by Section 4.8 with respect to which additional American Depositary Shares are not delivered or a sale of Deposited Securities under Section 3.2 or 4.8, each American Depositary Share shall thereafter represent the amount of Shares or other Deposited Securities that are then on deposit per American Depositary Share after giving effect to that distribution, change or sale.</w:t>
      </w:r>
    </w:p>
    <w:p>
      <w:pPr>
        <w:pStyle w:val="TextBody"/>
        <w:spacing w:lineRule="auto" w:line="288" w:before="0" w:after="240"/>
        <w:ind w:left="0" w:right="0" w:firstLine="1080"/>
        <w:jc w:val="both"/>
        <w:rPr/>
      </w:pPr>
      <w:r>
        <w:rPr>
          <w:rFonts w:ascii="Times New Roman;sans-serif" w:hAnsi="Times New Roman;sans-serif"/>
          <w:b w:val="false"/>
          <w:color w:val="000000"/>
          <w:sz w:val="24"/>
        </w:rPr>
        <w:t>SECTION 1.2        </w:t>
      </w:r>
      <w:r>
        <w:rPr>
          <w:rFonts w:ascii="Times New Roman;sans-serif" w:hAnsi="Times New Roman;sans-serif"/>
          <w:b w:val="false"/>
          <w:color w:val="000000"/>
          <w:sz w:val="24"/>
          <w:u w:val="single"/>
        </w:rPr>
        <w:t>Commission.</w:t>
      </w:r>
    </w:p>
    <w:p>
      <w:pPr>
        <w:pStyle w:val="TextBody"/>
        <w:spacing w:lineRule="auto" w:line="288" w:before="0" w:after="240"/>
        <w:ind w:left="0" w:right="0" w:firstLine="1440"/>
        <w:jc w:val="both"/>
        <w:rPr/>
      </w:pPr>
      <w:r>
        <w:rPr>
          <w:rFonts w:ascii="Times New Roman;sans-serif" w:hAnsi="Times New Roman;sans-serif"/>
          <w:b w:val="false"/>
          <w:color w:val="000000"/>
          <w:sz w:val="24"/>
        </w:rPr>
        <w:t>The term “</w:t>
      </w:r>
      <w:r>
        <w:rPr>
          <w:rFonts w:ascii="Times New Roman;sans-serif" w:hAnsi="Times New Roman;sans-serif"/>
          <w:b w:val="false"/>
          <w:color w:val="000000"/>
          <w:sz w:val="24"/>
          <w:u w:val="single"/>
        </w:rPr>
        <w:t>Commission</w:t>
      </w:r>
      <w:r>
        <w:rPr>
          <w:color w:val="000000"/>
        </w:rPr>
        <w:t xml:space="preserve">” </w:t>
      </w:r>
      <w:r>
        <w:rPr>
          <w:rFonts w:ascii="Times New Roman;sans-serif" w:hAnsi="Times New Roman;sans-serif"/>
          <w:b w:val="false"/>
          <w:color w:val="000000"/>
          <w:sz w:val="24"/>
        </w:rPr>
        <w:t>shall mean the Securities and Exchange Commission of the United States or any successor governmental agency in the United States.</w:t>
      </w:r>
    </w:p>
    <w:p>
      <w:pPr>
        <w:pStyle w:val="TextBody"/>
        <w:spacing w:lineRule="auto" w:line="288" w:before="0" w:after="240"/>
        <w:ind w:left="0" w:right="0" w:firstLine="1080"/>
        <w:jc w:val="both"/>
        <w:rPr/>
      </w:pPr>
      <w:r>
        <w:rPr>
          <w:rFonts w:ascii="Times New Roman;sans-serif" w:hAnsi="Times New Roman;sans-serif"/>
          <w:b w:val="false"/>
          <w:color w:val="000000"/>
          <w:sz w:val="24"/>
        </w:rPr>
        <w:t>SECTION 1.3        </w:t>
      </w:r>
      <w:r>
        <w:rPr>
          <w:rFonts w:ascii="Times New Roman;sans-serif" w:hAnsi="Times New Roman;sans-serif"/>
          <w:b w:val="false"/>
          <w:color w:val="000000"/>
          <w:sz w:val="24"/>
          <w:u w:val="single"/>
        </w:rPr>
        <w:t>Company.</w:t>
      </w:r>
    </w:p>
    <w:p>
      <w:pPr>
        <w:pStyle w:val="TextBody"/>
        <w:spacing w:lineRule="auto" w:line="288" w:before="0" w:after="240"/>
        <w:ind w:left="0" w:right="0" w:firstLine="1440"/>
        <w:jc w:val="both"/>
        <w:rPr/>
      </w:pPr>
      <w:r>
        <w:rPr>
          <w:rFonts w:ascii="Times New Roman;sans-serif" w:hAnsi="Times New Roman;sans-serif"/>
          <w:b w:val="false"/>
          <w:color w:val="000000"/>
          <w:sz w:val="24"/>
        </w:rPr>
        <w:t>The term “</w:t>
      </w:r>
      <w:r>
        <w:rPr>
          <w:rFonts w:ascii="Times New Roman;sans-serif" w:hAnsi="Times New Roman;sans-serif"/>
          <w:b w:val="false"/>
          <w:color w:val="000000"/>
          <w:sz w:val="24"/>
          <w:u w:val="single"/>
        </w:rPr>
        <w:t>Company</w:t>
      </w:r>
      <w:r>
        <w:rPr>
          <w:color w:val="000000"/>
        </w:rPr>
        <w:t xml:space="preserve">” </w:t>
      </w:r>
      <w:r>
        <w:rPr>
          <w:rFonts w:ascii="Times New Roman;sans-serif" w:hAnsi="Times New Roman;sans-serif"/>
          <w:b w:val="false"/>
          <w:color w:val="000000"/>
          <w:sz w:val="24"/>
        </w:rPr>
        <w:t>shall mean Agora, Inc., a company incorporated under the laws of the Cayman Islands, and its successors.</w:t>
      </w:r>
    </w:p>
    <w:p>
      <w:pPr>
        <w:pStyle w:val="TextBody"/>
        <w:spacing w:lineRule="auto" w:line="288" w:before="0" w:after="240"/>
        <w:ind w:left="0" w:right="0" w:firstLine="1080"/>
        <w:jc w:val="both"/>
        <w:rPr/>
      </w:pPr>
      <w:r>
        <w:rPr>
          <w:rFonts w:ascii="Times New Roman;sans-serif" w:hAnsi="Times New Roman;sans-serif"/>
          <w:b w:val="false"/>
          <w:color w:val="000000"/>
          <w:sz w:val="24"/>
        </w:rPr>
        <w:t>SECTION 1.4        </w:t>
      </w:r>
      <w:r>
        <w:rPr>
          <w:rFonts w:ascii="Times New Roman;sans-serif" w:hAnsi="Times New Roman;sans-serif"/>
          <w:b w:val="false"/>
          <w:color w:val="000000"/>
          <w:sz w:val="24"/>
          <w:u w:val="single"/>
        </w:rPr>
        <w:t>Custodian.</w:t>
      </w:r>
    </w:p>
    <w:p>
      <w:pPr>
        <w:pStyle w:val="TextBody"/>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The term “Custodian” shall mean The Hongkong and Shanghai Banking Corporation Limited, as custodian for the Depositary in Hong Kong for the purposes of this Deposit Agreement, and any other firm or corporation the Depositary appoints under Section 5.5 as a substitute or additional custodian under this Deposit Agreement, and shall also mean all of them collectively.</w:t>
      </w:r>
    </w:p>
    <w:p>
      <w:pPr>
        <w:pStyle w:val="TextBody"/>
        <w:spacing w:lineRule="auto" w:line="288" w:before="0" w:after="240"/>
        <w:ind w:left="0" w:right="0" w:firstLine="1080"/>
        <w:jc w:val="both"/>
        <w:rPr/>
      </w:pPr>
      <w:r>
        <w:rPr>
          <w:rFonts w:ascii="Times New Roman;sans-serif" w:hAnsi="Times New Roman;sans-serif"/>
          <w:b w:val="false"/>
          <w:color w:val="000000"/>
          <w:sz w:val="24"/>
        </w:rPr>
        <w:t>SECTION 1.5        </w:t>
      </w:r>
      <w:r>
        <w:rPr>
          <w:rFonts w:ascii="Times New Roman;sans-serif" w:hAnsi="Times New Roman;sans-serif"/>
          <w:b w:val="false"/>
          <w:color w:val="000000"/>
          <w:sz w:val="24"/>
          <w:u w:val="single"/>
        </w:rPr>
        <w:t>Deliver; Surrender.</w:t>
      </w:r>
    </w:p>
    <w:p>
      <w:pPr>
        <w:pStyle w:val="TextBody"/>
        <w:spacing w:lineRule="auto" w:line="288" w:before="0" w:after="240"/>
        <w:ind w:left="0" w:right="0" w:firstLine="1440"/>
        <w:jc w:val="both"/>
        <w:rPr/>
      </w:pPr>
      <w:r>
        <w:rPr>
          <w:rFonts w:ascii="Times New Roman;sans-serif" w:hAnsi="Times New Roman;sans-serif"/>
          <w:b w:val="false"/>
          <w:color w:val="000000"/>
          <w:sz w:val="24"/>
        </w:rPr>
        <w:t>(a)    The term “</w:t>
      </w:r>
      <w:r>
        <w:rPr>
          <w:rFonts w:ascii="Times New Roman;sans-serif" w:hAnsi="Times New Roman;sans-serif"/>
          <w:b w:val="false"/>
          <w:color w:val="000000"/>
          <w:sz w:val="24"/>
          <w:u w:val="single"/>
        </w:rPr>
        <w:t>deliver</w:t>
      </w:r>
      <w:r>
        <w:rPr>
          <w:color w:val="000000"/>
        </w:rPr>
        <w:t>”</w:t>
      </w:r>
      <w:r>
        <w:rPr>
          <w:rFonts w:ascii="Times New Roman;sans-serif" w:hAnsi="Times New Roman;sans-serif"/>
          <w:b w:val="false"/>
          <w:color w:val="000000"/>
          <w:sz w:val="24"/>
        </w:rPr>
        <w:t>, or its noun form, when used with respect to Shares or other Deposited Securities, shall mean (i) book-entry transfer of those Shares or other Deposited Securities to an account maintained by an institution authorized under applicable law to effect transfers of such securities designated by the person entitled to that delivery or (ii) physical transfer of certificates evidencing those Shares or other Deposited Securities registered in the name of, or duly endorsed or accompanied by proper instruments of transfer to, the person entitled to that delivery.</w:t>
      </w:r>
    </w:p>
    <w:p>
      <w:pPr>
        <w:pStyle w:val="TextBody"/>
        <w:spacing w:lineRule="auto" w:line="288" w:before="0" w:after="240"/>
        <w:ind w:left="0" w:right="0" w:firstLine="1440"/>
        <w:jc w:val="both"/>
        <w:rPr/>
      </w:pPr>
      <w:r>
        <w:rPr>
          <w:rFonts w:ascii="Times New Roman;sans-serif" w:hAnsi="Times New Roman;sans-serif"/>
          <w:b w:val="false"/>
          <w:color w:val="000000"/>
          <w:sz w:val="24"/>
        </w:rPr>
        <w:t>(b)    The term “</w:t>
      </w:r>
      <w:r>
        <w:rPr>
          <w:rFonts w:ascii="Times New Roman;sans-serif" w:hAnsi="Times New Roman;sans-serif"/>
          <w:b w:val="false"/>
          <w:color w:val="000000"/>
          <w:sz w:val="24"/>
          <w:u w:val="single"/>
        </w:rPr>
        <w:t>deliver</w:t>
      </w:r>
      <w:r>
        <w:rPr>
          <w:color w:val="000000"/>
        </w:rPr>
        <w:t>”</w:t>
      </w:r>
      <w:r>
        <w:rPr>
          <w:rFonts w:ascii="Times New Roman;sans-serif" w:hAnsi="Times New Roman;sans-serif"/>
          <w:b w:val="false"/>
          <w:color w:val="000000"/>
          <w:sz w:val="24"/>
        </w:rPr>
        <w:t xml:space="preserve">, or its noun form, when used with respect to American Depositary Shares, shall mean (i) registration of those American Depositary Shares in the name of DTC or its nominee and book-entry transfer of those American Depositary Shares to an account at DTC designated by the person entitled to that delivery, (ii) registration of those American Depositary Shares not evidenced by a Receipt on the books of the Depositary in the name requested by the person entitled to that delivery and mailing to that person of a statement confirming that registration or (iii) if requested by the person entitled to that delivery, execution and delivery at the Depositary’s Office to the person entitled to that delivery of one or more Receipts </w:t>
      </w:r>
      <w:r>
        <w:br w:type="page"/>
      </w:r>
    </w:p>
    <w:p>
      <w:pPr>
        <w:pStyle w:val="TextBody"/>
        <w:spacing w:before="120" w:after="240"/>
        <w:jc w:val="center"/>
        <w:rPr/>
      </w:pPr>
      <w:r>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6480175" cy="869950"/>
                <wp:effectExtent l="0" t="0" r="0" b="0"/>
                <wp:wrapNone/>
                <wp:docPr id="311" name="Frame308"/>
                <a:graphic xmlns:a="http://schemas.openxmlformats.org/drawingml/2006/main">
                  <a:graphicData uri="http://schemas.microsoft.com/office/word/2010/wordprocessingShape">
                    <wps:wsp>
                      <wps:cNvSpPr txBox="1"/>
                      <wps:spPr>
                        <a:xfrm>
                          <a:off x="0" y="0"/>
                          <a:ext cx="6480175" cy="869950"/>
                        </a:xfrm>
                        <a:prstGeom prst="rect"/>
                      </wps:spPr>
                      <wps:txbx>
                        <w:txbxContent>
                          <w:p>
                            <w:pPr>
                              <w:pStyle w:val="TextBody"/>
                              <w:spacing w:lineRule="auto" w:line="288"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-2-</w:t>
                            </w:r>
                          </w:p>
                          <w:p>
                            <w:pPr>
                              <w:pStyle w:val="TextBody"/>
                              <w:spacing w:before="24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8.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spacing w:lineRule="auto" w:line="288"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-2-</w:t>
                      </w:r>
                    </w:p>
                    <w:p>
                      <w:pPr>
                        <w:pStyle w:val="TextBody"/>
                        <w:spacing w:before="240" w:after="283"/>
                        <w:jc w:val="center"/>
                        <w:rPr/>
                      </w:pPr>
                      <w:r>
                        <w:rPr/>
                      </w:r>
                    </w:p>
                  </w:txbxContent>
                </v:textbox>
              </v:rect>
            </w:pict>
          </mc:Fallback>
        </mc:AlternateContent>
      </w:r>
    </w:p>
    <w:p>
      <w:pPr>
        <w:pStyle w:val="TextBody"/>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evidencing those American Depositary Shares registered in the name requested by that person.</w:t>
      </w:r>
    </w:p>
    <w:p>
      <w:pPr>
        <w:pStyle w:val="TextBody"/>
        <w:spacing w:lineRule="auto" w:line="288" w:before="0" w:after="240"/>
        <w:ind w:left="0" w:right="0" w:firstLine="1440"/>
        <w:jc w:val="both"/>
        <w:rPr/>
      </w:pPr>
      <w:r>
        <w:rPr>
          <w:rFonts w:ascii="Times New Roman;sans-serif" w:hAnsi="Times New Roman;sans-serif"/>
          <w:b w:val="false"/>
          <w:color w:val="000000"/>
          <w:sz w:val="24"/>
        </w:rPr>
        <w:t>(c)    The term “</w:t>
      </w:r>
      <w:r>
        <w:rPr>
          <w:rFonts w:ascii="Times New Roman;sans-serif" w:hAnsi="Times New Roman;sans-serif"/>
          <w:b w:val="false"/>
          <w:color w:val="000000"/>
          <w:sz w:val="24"/>
          <w:u w:val="single"/>
        </w:rPr>
        <w:t>surrender</w:t>
      </w:r>
      <w:r>
        <w:rPr>
          <w:color w:val="000000"/>
        </w:rPr>
        <w:t>”</w:t>
      </w:r>
      <w:r>
        <w:rPr>
          <w:rFonts w:ascii="Times New Roman;sans-serif" w:hAnsi="Times New Roman;sans-serif"/>
          <w:b w:val="false"/>
          <w:color w:val="000000"/>
          <w:sz w:val="24"/>
        </w:rPr>
        <w:t xml:space="preserve">, when used with respect to American Depositary Shares, shall mean (i) one or more book-entry transfers of American Depositary Shares to the DTC account of the Depositary, (ii) delivery to the Depositary at its Office of an instruction to surrender American Depositary Shares not evidenced by a Receipt or (iii) surrender to the Depositary at its Office of one or more Receipts evidencing American Depositary Shares. </w:t>
      </w:r>
    </w:p>
    <w:p>
      <w:pPr>
        <w:pStyle w:val="TextBody"/>
        <w:spacing w:lineRule="auto" w:line="288" w:before="0" w:after="240"/>
        <w:ind w:left="0" w:right="0" w:firstLine="1080"/>
        <w:jc w:val="both"/>
        <w:rPr/>
      </w:pPr>
      <w:r>
        <w:rPr>
          <w:rFonts w:ascii="Times New Roman;sans-serif" w:hAnsi="Times New Roman;sans-serif"/>
          <w:b w:val="false"/>
          <w:color w:val="000000"/>
          <w:sz w:val="24"/>
        </w:rPr>
        <w:t>SECTION 1.6        </w:t>
      </w:r>
      <w:r>
        <w:rPr>
          <w:rFonts w:ascii="Times New Roman;sans-serif" w:hAnsi="Times New Roman;sans-serif"/>
          <w:b w:val="false"/>
          <w:color w:val="000000"/>
          <w:sz w:val="24"/>
          <w:u w:val="single"/>
        </w:rPr>
        <w:t>Deposit Agreement.</w:t>
      </w:r>
    </w:p>
    <w:p>
      <w:pPr>
        <w:pStyle w:val="TextBody"/>
        <w:spacing w:lineRule="auto" w:line="288" w:before="0" w:after="240"/>
        <w:ind w:left="0" w:right="0" w:firstLine="1440"/>
        <w:jc w:val="both"/>
        <w:rPr/>
      </w:pPr>
      <w:r>
        <w:rPr>
          <w:rFonts w:ascii="Times New Roman;sans-serif" w:hAnsi="Times New Roman;sans-serif"/>
          <w:b w:val="false"/>
          <w:color w:val="000000"/>
          <w:sz w:val="24"/>
        </w:rPr>
        <w:t>The term “</w:t>
      </w:r>
      <w:r>
        <w:rPr>
          <w:rFonts w:ascii="Times New Roman;sans-serif" w:hAnsi="Times New Roman;sans-serif"/>
          <w:b w:val="false"/>
          <w:color w:val="000000"/>
          <w:sz w:val="24"/>
          <w:u w:val="single"/>
        </w:rPr>
        <w:t>Deposit Agreement</w:t>
      </w:r>
      <w:r>
        <w:rPr>
          <w:color w:val="000000"/>
        </w:rPr>
        <w:t xml:space="preserve">” </w:t>
      </w:r>
      <w:r>
        <w:rPr>
          <w:rFonts w:ascii="Times New Roman;sans-serif" w:hAnsi="Times New Roman;sans-serif"/>
          <w:b w:val="false"/>
          <w:color w:val="000000"/>
          <w:sz w:val="24"/>
        </w:rPr>
        <w:t>shall mean this Deposit Agreement, as it may be amended from time to time in accordance with the provisions of this Deposit Agreement.</w:t>
      </w:r>
    </w:p>
    <w:p>
      <w:pPr>
        <w:pStyle w:val="TextBody"/>
        <w:spacing w:lineRule="auto" w:line="288" w:before="0" w:after="240"/>
        <w:ind w:left="0" w:right="0" w:firstLine="1080"/>
        <w:jc w:val="both"/>
        <w:rPr/>
      </w:pPr>
      <w:r>
        <w:rPr>
          <w:rFonts w:ascii="Times New Roman;sans-serif" w:hAnsi="Times New Roman;sans-serif"/>
          <w:b w:val="false"/>
          <w:color w:val="000000"/>
          <w:sz w:val="24"/>
        </w:rPr>
        <w:t>SECTION 1.7        </w:t>
      </w:r>
      <w:r>
        <w:rPr>
          <w:rFonts w:ascii="Times New Roman;sans-serif" w:hAnsi="Times New Roman;sans-serif"/>
          <w:b w:val="false"/>
          <w:color w:val="000000"/>
          <w:sz w:val="24"/>
          <w:u w:val="single"/>
        </w:rPr>
        <w:t>Depositary; Depositary’s Office.</w:t>
      </w:r>
    </w:p>
    <w:p>
      <w:pPr>
        <w:pStyle w:val="TextBody"/>
        <w:spacing w:lineRule="auto" w:line="288" w:before="0" w:after="240"/>
        <w:ind w:left="0" w:right="0" w:firstLine="1440"/>
        <w:jc w:val="both"/>
        <w:rPr/>
      </w:pPr>
      <w:r>
        <w:rPr>
          <w:rFonts w:ascii="Times New Roman;sans-serif" w:hAnsi="Times New Roman;sans-serif"/>
          <w:b w:val="false"/>
          <w:color w:val="000000"/>
          <w:sz w:val="24"/>
        </w:rPr>
        <w:t>The term “</w:t>
      </w:r>
      <w:r>
        <w:rPr>
          <w:rFonts w:ascii="Times New Roman;sans-serif" w:hAnsi="Times New Roman;sans-serif"/>
          <w:b w:val="false"/>
          <w:color w:val="000000"/>
          <w:sz w:val="24"/>
          <w:u w:val="single"/>
        </w:rPr>
        <w:t>Depositary</w:t>
      </w:r>
      <w:r>
        <w:rPr>
          <w:color w:val="000000"/>
        </w:rPr>
        <w:t xml:space="preserve">” </w:t>
      </w:r>
      <w:r>
        <w:rPr>
          <w:rFonts w:ascii="Times New Roman;sans-serif" w:hAnsi="Times New Roman;sans-serif"/>
          <w:b w:val="false"/>
          <w:color w:val="000000"/>
          <w:sz w:val="24"/>
        </w:rPr>
        <w:t>shall mean The Bank of New York Mellon, a New York banking corporation, and any successor as depositary under this Deposit Agreement. The term “</w:t>
      </w:r>
      <w:r>
        <w:rPr>
          <w:rFonts w:ascii="Times New Roman;sans-serif" w:hAnsi="Times New Roman;sans-serif"/>
          <w:b w:val="false"/>
          <w:color w:val="000000"/>
          <w:sz w:val="24"/>
          <w:u w:val="single"/>
        </w:rPr>
        <w:t>Office</w:t>
      </w:r>
      <w:r>
        <w:rPr>
          <w:color w:val="000000"/>
        </w:rPr>
        <w:t>”</w:t>
      </w:r>
      <w:r>
        <w:rPr>
          <w:rFonts w:ascii="Times New Roman;sans-serif" w:hAnsi="Times New Roman;sans-serif"/>
          <w:b w:val="false"/>
          <w:color w:val="000000"/>
          <w:sz w:val="24"/>
        </w:rPr>
        <w:t>, when used with respect to the Depositary, shall mean the office at which its depositary receipts business is administered, which, at the date of this Deposit Agreement, is located at 240 Greenwich Street, New York, New York 10286.</w:t>
      </w:r>
    </w:p>
    <w:p>
      <w:pPr>
        <w:pStyle w:val="TextBody"/>
        <w:spacing w:lineRule="auto" w:line="288" w:before="0" w:after="240"/>
        <w:ind w:left="0" w:right="0" w:firstLine="1080"/>
        <w:jc w:val="both"/>
        <w:rPr/>
      </w:pPr>
      <w:r>
        <w:rPr>
          <w:rFonts w:ascii="Times New Roman;sans-serif" w:hAnsi="Times New Roman;sans-serif"/>
          <w:b w:val="false"/>
          <w:color w:val="000000"/>
          <w:sz w:val="24"/>
        </w:rPr>
        <w:t>SECTION 1.8        </w:t>
      </w:r>
      <w:r>
        <w:rPr>
          <w:rFonts w:ascii="Times New Roman;sans-serif" w:hAnsi="Times New Roman;sans-serif"/>
          <w:b w:val="false"/>
          <w:color w:val="000000"/>
          <w:sz w:val="24"/>
          <w:u w:val="single"/>
        </w:rPr>
        <w:t>Deposited Securities.</w:t>
      </w:r>
    </w:p>
    <w:p>
      <w:pPr>
        <w:pStyle w:val="TextBody"/>
        <w:spacing w:lineRule="auto" w:line="288" w:before="0" w:after="240"/>
        <w:ind w:left="0" w:right="0" w:firstLine="1440"/>
        <w:jc w:val="both"/>
        <w:rPr/>
      </w:pPr>
      <w:r>
        <w:rPr>
          <w:rFonts w:ascii="Times New Roman;sans-serif" w:hAnsi="Times New Roman;sans-serif"/>
          <w:b w:val="false"/>
          <w:color w:val="000000"/>
          <w:sz w:val="24"/>
        </w:rPr>
        <w:t>The term “</w:t>
      </w:r>
      <w:r>
        <w:rPr>
          <w:rFonts w:ascii="Times New Roman;sans-serif" w:hAnsi="Times New Roman;sans-serif"/>
          <w:b w:val="false"/>
          <w:color w:val="000000"/>
          <w:sz w:val="24"/>
          <w:u w:val="single"/>
        </w:rPr>
        <w:t>Deposited Securities</w:t>
      </w:r>
      <w:r>
        <w:rPr>
          <w:color w:val="000000"/>
        </w:rPr>
        <w:t xml:space="preserve">” </w:t>
      </w:r>
      <w:r>
        <w:rPr>
          <w:rFonts w:ascii="Times New Roman;sans-serif" w:hAnsi="Times New Roman;sans-serif"/>
          <w:b w:val="false"/>
          <w:color w:val="000000"/>
          <w:sz w:val="24"/>
        </w:rPr>
        <w:t>as of any time shall mean Shares at such time deposited or deemed to be deposited under this Deposit Agreement, including without limitation, Shares that have not been successfully delivered upon surrender of American Depositary Shares, and any and all other securities, property and cash received by the Depositary or the Custodian in respect of Deposited Securities and at that time held under this Deposit Agreement.</w:t>
      </w:r>
    </w:p>
    <w:p>
      <w:pPr>
        <w:pStyle w:val="TextBody"/>
        <w:spacing w:lineRule="auto" w:line="288" w:before="0" w:after="240"/>
        <w:ind w:left="0" w:right="0" w:firstLine="1080"/>
        <w:jc w:val="both"/>
        <w:rPr/>
      </w:pPr>
      <w:r>
        <w:rPr>
          <w:rFonts w:ascii="Times New Roman;sans-serif" w:hAnsi="Times New Roman;sans-serif"/>
          <w:b w:val="false"/>
          <w:color w:val="000000"/>
          <w:sz w:val="24"/>
        </w:rPr>
        <w:t>SECTION 1.9        </w:t>
      </w:r>
      <w:r>
        <w:rPr>
          <w:rFonts w:ascii="Times New Roman;sans-serif" w:hAnsi="Times New Roman;sans-serif"/>
          <w:b w:val="false"/>
          <w:color w:val="000000"/>
          <w:sz w:val="24"/>
          <w:u w:val="single"/>
        </w:rPr>
        <w:t>Disseminate.</w:t>
      </w:r>
    </w:p>
    <w:p>
      <w:pPr>
        <w:pStyle w:val="TextBody"/>
        <w:spacing w:lineRule="auto" w:line="288" w:before="0" w:after="240"/>
        <w:ind w:left="0" w:right="0" w:firstLine="1440"/>
        <w:jc w:val="both"/>
        <w:rPr/>
      </w:pPr>
      <w:r>
        <w:rPr>
          <w:rFonts w:ascii="Times New Roman;sans-serif" w:hAnsi="Times New Roman;sans-serif"/>
          <w:b w:val="false"/>
          <w:color w:val="000000"/>
          <w:sz w:val="24"/>
        </w:rPr>
        <w:t>The term “</w:t>
      </w:r>
      <w:r>
        <w:rPr>
          <w:rFonts w:ascii="Times New Roman;sans-serif" w:hAnsi="Times New Roman;sans-serif"/>
          <w:b w:val="false"/>
          <w:color w:val="000000"/>
          <w:sz w:val="24"/>
          <w:u w:val="single"/>
        </w:rPr>
        <w:t>Disseminate</w:t>
      </w:r>
      <w:r>
        <w:rPr>
          <w:rFonts w:ascii="Times New Roman;sans-serif" w:hAnsi="Times New Roman;sans-serif"/>
          <w:b w:val="false"/>
          <w:color w:val="000000"/>
          <w:sz w:val="24"/>
        </w:rPr>
        <w:t>,” when referring to a notice or other information to be sent by the Depositary to Owners, shall mean (i) sending that information to Owners in paper form by mail or another means or (ii) with the consent of Owners, another procedure that has the effect of making the information available to Owners, which may include (A) sending the information by electronic mail or electronic messaging or (B) sending in paper form or by electronic mail or messaging a statement that the information is available and may be accessed by the Owner on an Internet website and that it will be sent in paper form upon request by the Owner, when that information is so available and is sent in paper form as promptly as practicable upon request.</w:t>
      </w:r>
      <w:r>
        <w:br w:type="page"/>
      </w:r>
    </w:p>
    <w:p>
      <w:pPr>
        <w:pStyle w:val="TextBody"/>
        <w:spacing w:before="120" w:after="240"/>
        <w:jc w:val="center"/>
        <w:rPr/>
      </w:pPr>
      <w:r>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6480175" cy="869950"/>
                <wp:effectExtent l="0" t="0" r="0" b="0"/>
                <wp:wrapNone/>
                <wp:docPr id="312" name="Frame309"/>
                <a:graphic xmlns:a="http://schemas.openxmlformats.org/drawingml/2006/main">
                  <a:graphicData uri="http://schemas.microsoft.com/office/word/2010/wordprocessingShape">
                    <wps:wsp>
                      <wps:cNvSpPr txBox="1"/>
                      <wps:spPr>
                        <a:xfrm>
                          <a:off x="0" y="0"/>
                          <a:ext cx="6480175" cy="869950"/>
                        </a:xfrm>
                        <a:prstGeom prst="rect"/>
                      </wps:spPr>
                      <wps:txbx>
                        <w:txbxContent>
                          <w:p>
                            <w:pPr>
                              <w:pStyle w:val="TextBody"/>
                              <w:spacing w:lineRule="auto" w:line="288"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-3-</w:t>
                            </w:r>
                          </w:p>
                          <w:p>
                            <w:pPr>
                              <w:pStyle w:val="TextBody"/>
                              <w:spacing w:before="24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8.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spacing w:lineRule="auto" w:line="288"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-3-</w:t>
                      </w:r>
                    </w:p>
                    <w:p>
                      <w:pPr>
                        <w:pStyle w:val="TextBody"/>
                        <w:spacing w:before="240" w:after="283"/>
                        <w:jc w:val="center"/>
                        <w:rPr/>
                      </w:pPr>
                      <w:r>
                        <w:rPr/>
                      </w:r>
                    </w:p>
                  </w:txbxContent>
                </v:textbox>
              </v:rect>
            </w:pict>
          </mc:Fallback>
        </mc:AlternateContent>
      </w:r>
    </w:p>
    <w:p>
      <w:pPr>
        <w:pStyle w:val="TextBody"/>
        <w:spacing w:lineRule="auto" w:line="288" w:before="0" w:after="240"/>
        <w:ind w:left="0" w:right="0" w:firstLine="1080"/>
        <w:jc w:val="both"/>
        <w:rPr/>
      </w:pPr>
      <w:r>
        <w:rPr>
          <w:rFonts w:ascii="Times New Roman;sans-serif" w:hAnsi="Times New Roman;sans-serif"/>
          <w:b w:val="false"/>
          <w:color w:val="000000"/>
          <w:sz w:val="24"/>
        </w:rPr>
        <w:t>SECTION 1.10        </w:t>
      </w:r>
      <w:r>
        <w:rPr>
          <w:rFonts w:ascii="Times New Roman;sans-serif" w:hAnsi="Times New Roman;sans-serif"/>
          <w:b w:val="false"/>
          <w:color w:val="000000"/>
          <w:sz w:val="24"/>
          <w:u w:val="single"/>
        </w:rPr>
        <w:t>Dollars.</w:t>
      </w:r>
    </w:p>
    <w:p>
      <w:pPr>
        <w:pStyle w:val="TextBody"/>
        <w:spacing w:lineRule="auto" w:line="288" w:before="0" w:after="240"/>
        <w:ind w:left="0" w:right="0" w:firstLine="1440"/>
        <w:jc w:val="both"/>
        <w:rPr/>
      </w:pPr>
      <w:r>
        <w:rPr>
          <w:rFonts w:ascii="Times New Roman;sans-serif" w:hAnsi="Times New Roman;sans-serif"/>
          <w:b w:val="false"/>
          <w:color w:val="000000"/>
          <w:sz w:val="24"/>
        </w:rPr>
        <w:t>The term “</w:t>
      </w:r>
      <w:r>
        <w:rPr>
          <w:rFonts w:ascii="Times New Roman;sans-serif" w:hAnsi="Times New Roman;sans-serif"/>
          <w:b w:val="false"/>
          <w:color w:val="000000"/>
          <w:sz w:val="24"/>
          <w:u w:val="single"/>
        </w:rPr>
        <w:t>Dollars</w:t>
      </w:r>
      <w:r>
        <w:rPr>
          <w:color w:val="000000"/>
        </w:rPr>
        <w:t xml:space="preserve">” </w:t>
      </w:r>
      <w:r>
        <w:rPr>
          <w:rFonts w:ascii="Times New Roman;sans-serif" w:hAnsi="Times New Roman;sans-serif"/>
          <w:b w:val="false"/>
          <w:color w:val="000000"/>
          <w:sz w:val="24"/>
        </w:rPr>
        <w:t>shall mean United States dollars.</w:t>
      </w:r>
    </w:p>
    <w:p>
      <w:pPr>
        <w:pStyle w:val="TextBody"/>
        <w:spacing w:lineRule="auto" w:line="288" w:before="0" w:after="240"/>
        <w:ind w:left="0" w:right="0" w:firstLine="1080"/>
        <w:jc w:val="both"/>
        <w:rPr/>
      </w:pPr>
      <w:r>
        <w:rPr>
          <w:rFonts w:ascii="Times New Roman;sans-serif" w:hAnsi="Times New Roman;sans-serif"/>
          <w:b w:val="false"/>
          <w:color w:val="000000"/>
          <w:sz w:val="24"/>
        </w:rPr>
        <w:t>SECTION 1.11        </w:t>
      </w:r>
      <w:r>
        <w:rPr>
          <w:rFonts w:ascii="Times New Roman;sans-serif" w:hAnsi="Times New Roman;sans-serif"/>
          <w:b w:val="false"/>
          <w:color w:val="000000"/>
          <w:sz w:val="24"/>
          <w:u w:val="single"/>
        </w:rPr>
        <w:t>DTC.</w:t>
      </w:r>
    </w:p>
    <w:p>
      <w:pPr>
        <w:pStyle w:val="TextBody"/>
        <w:spacing w:lineRule="auto" w:line="288" w:before="0" w:after="240"/>
        <w:ind w:left="0" w:right="0" w:firstLine="1440"/>
        <w:jc w:val="both"/>
        <w:rPr/>
      </w:pPr>
      <w:r>
        <w:rPr>
          <w:rFonts w:ascii="Times New Roman;sans-serif" w:hAnsi="Times New Roman;sans-serif"/>
          <w:b w:val="false"/>
          <w:color w:val="000000"/>
          <w:sz w:val="24"/>
        </w:rPr>
        <w:t>The term “</w:t>
      </w:r>
      <w:r>
        <w:rPr>
          <w:rFonts w:ascii="Times New Roman;sans-serif" w:hAnsi="Times New Roman;sans-serif"/>
          <w:b w:val="false"/>
          <w:color w:val="000000"/>
          <w:sz w:val="24"/>
          <w:u w:val="single"/>
        </w:rPr>
        <w:t>DTC</w:t>
      </w:r>
      <w:r>
        <w:rPr>
          <w:color w:val="000000"/>
        </w:rPr>
        <w:t xml:space="preserve">” </w:t>
      </w:r>
      <w:r>
        <w:rPr>
          <w:rFonts w:ascii="Times New Roman;sans-serif" w:hAnsi="Times New Roman;sans-serif"/>
          <w:b w:val="false"/>
          <w:color w:val="000000"/>
          <w:sz w:val="24"/>
        </w:rPr>
        <w:t>shall mean The Depository Trust Company or its successor.</w:t>
      </w:r>
    </w:p>
    <w:p>
      <w:pPr>
        <w:pStyle w:val="TextBody"/>
        <w:spacing w:lineRule="auto" w:line="288" w:before="0" w:after="240"/>
        <w:ind w:left="0" w:right="0" w:firstLine="1080"/>
        <w:jc w:val="both"/>
        <w:rPr/>
      </w:pPr>
      <w:r>
        <w:rPr>
          <w:rFonts w:ascii="Times New Roman;sans-serif" w:hAnsi="Times New Roman;sans-serif"/>
          <w:b w:val="false"/>
          <w:color w:val="000000"/>
          <w:sz w:val="24"/>
        </w:rPr>
        <w:t>SECTION 1.12        </w:t>
      </w:r>
      <w:r>
        <w:rPr>
          <w:rFonts w:ascii="Times New Roman;sans-serif" w:hAnsi="Times New Roman;sans-serif"/>
          <w:b w:val="false"/>
          <w:color w:val="000000"/>
          <w:sz w:val="24"/>
          <w:u w:val="single"/>
        </w:rPr>
        <w:t>Foreign Registrar.</w:t>
      </w:r>
    </w:p>
    <w:p>
      <w:pPr>
        <w:pStyle w:val="TextBody"/>
        <w:spacing w:lineRule="auto" w:line="288" w:before="0" w:after="240"/>
        <w:ind w:left="0" w:right="0" w:firstLine="1440"/>
        <w:jc w:val="both"/>
        <w:rPr/>
      </w:pPr>
      <w:r>
        <w:rPr>
          <w:rFonts w:ascii="Times New Roman;sans-serif" w:hAnsi="Times New Roman;sans-serif"/>
          <w:b w:val="false"/>
          <w:color w:val="000000"/>
          <w:sz w:val="24"/>
        </w:rPr>
        <w:t>The term “</w:t>
      </w:r>
      <w:r>
        <w:rPr>
          <w:rFonts w:ascii="Times New Roman;sans-serif" w:hAnsi="Times New Roman;sans-serif"/>
          <w:b w:val="false"/>
          <w:color w:val="000000"/>
          <w:sz w:val="24"/>
          <w:u w:val="single"/>
        </w:rPr>
        <w:t>Foreign Registrar</w:t>
      </w:r>
      <w:r>
        <w:rPr>
          <w:color w:val="000000"/>
        </w:rPr>
        <w:t xml:space="preserve">” </w:t>
      </w:r>
      <w:r>
        <w:rPr>
          <w:rFonts w:ascii="Times New Roman;sans-serif" w:hAnsi="Times New Roman;sans-serif"/>
          <w:b w:val="false"/>
          <w:color w:val="000000"/>
          <w:sz w:val="24"/>
        </w:rPr>
        <w:t>shall mean the entity that carries out the duties of registrar for the Shares and any other agent of the Company for the transfer and registration of Shares, including, without limitation, any securities depository for the Shares.</w:t>
      </w:r>
    </w:p>
    <w:p>
      <w:pPr>
        <w:pStyle w:val="TextBody"/>
        <w:spacing w:lineRule="auto" w:line="288" w:before="0" w:after="240"/>
        <w:ind w:left="0" w:right="0" w:firstLine="1080"/>
        <w:jc w:val="both"/>
        <w:rPr/>
      </w:pPr>
      <w:r>
        <w:rPr>
          <w:rFonts w:ascii="Times New Roman;sans-serif" w:hAnsi="Times New Roman;sans-serif"/>
          <w:b w:val="false"/>
          <w:color w:val="000000"/>
          <w:sz w:val="24"/>
        </w:rPr>
        <w:t>SECTION 1.13        </w:t>
      </w:r>
      <w:r>
        <w:rPr>
          <w:rFonts w:ascii="Times New Roman;sans-serif" w:hAnsi="Times New Roman;sans-serif"/>
          <w:b w:val="false"/>
          <w:color w:val="000000"/>
          <w:sz w:val="24"/>
          <w:u w:val="single"/>
        </w:rPr>
        <w:t>Holder.</w:t>
      </w:r>
    </w:p>
    <w:p>
      <w:pPr>
        <w:pStyle w:val="TextBody"/>
        <w:spacing w:lineRule="auto" w:line="288" w:before="0" w:after="240"/>
        <w:ind w:left="0" w:right="0" w:firstLine="1440"/>
        <w:jc w:val="both"/>
        <w:rPr/>
      </w:pPr>
      <w:r>
        <w:rPr>
          <w:rFonts w:ascii="Times New Roman;sans-serif" w:hAnsi="Times New Roman;sans-serif"/>
          <w:b w:val="false"/>
          <w:color w:val="000000"/>
          <w:sz w:val="24"/>
        </w:rPr>
        <w:t>The term “</w:t>
      </w:r>
      <w:r>
        <w:rPr>
          <w:rFonts w:ascii="Times New Roman;sans-serif" w:hAnsi="Times New Roman;sans-serif"/>
          <w:b w:val="false"/>
          <w:color w:val="000000"/>
          <w:sz w:val="24"/>
          <w:u w:val="single"/>
        </w:rPr>
        <w:t>Holder</w:t>
      </w:r>
      <w:r>
        <w:rPr>
          <w:color w:val="000000"/>
        </w:rPr>
        <w:t xml:space="preserve">” </w:t>
      </w:r>
      <w:r>
        <w:rPr>
          <w:rFonts w:ascii="Times New Roman;sans-serif" w:hAnsi="Times New Roman;sans-serif"/>
          <w:b w:val="false"/>
          <w:color w:val="000000"/>
          <w:sz w:val="24"/>
        </w:rPr>
        <w:t>shall mean any person holding a Receipt or a security entitlement or other interest in American Depositary Shares, whether for its own account or for the account of another person, but that is not the Owner of that Receipt or those American Depositary Shares.</w:t>
      </w:r>
    </w:p>
    <w:p>
      <w:pPr>
        <w:pStyle w:val="TextBody"/>
        <w:spacing w:lineRule="auto" w:line="288" w:before="0" w:after="240"/>
        <w:ind w:left="0" w:right="0" w:firstLine="1080"/>
        <w:jc w:val="both"/>
        <w:rPr/>
      </w:pPr>
      <w:r>
        <w:rPr>
          <w:rFonts w:ascii="Times New Roman;sans-serif" w:hAnsi="Times New Roman;sans-serif"/>
          <w:b w:val="false"/>
          <w:color w:val="000000"/>
          <w:sz w:val="24"/>
        </w:rPr>
        <w:t>SECTION 1.14        </w:t>
      </w:r>
      <w:r>
        <w:rPr>
          <w:rFonts w:ascii="Times New Roman;sans-serif" w:hAnsi="Times New Roman;sans-serif"/>
          <w:b w:val="false"/>
          <w:color w:val="000000"/>
          <w:sz w:val="24"/>
          <w:u w:val="single"/>
        </w:rPr>
        <w:t>Owner.</w:t>
      </w:r>
    </w:p>
    <w:p>
      <w:pPr>
        <w:pStyle w:val="TextBody"/>
        <w:spacing w:lineRule="auto" w:line="288" w:before="0" w:after="240"/>
        <w:ind w:left="0" w:right="0" w:firstLine="1440"/>
        <w:jc w:val="both"/>
        <w:rPr/>
      </w:pPr>
      <w:r>
        <w:rPr>
          <w:rFonts w:ascii="Times New Roman;sans-serif" w:hAnsi="Times New Roman;sans-serif"/>
          <w:b w:val="false"/>
          <w:color w:val="000000"/>
          <w:sz w:val="24"/>
        </w:rPr>
        <w:t>The term “</w:t>
      </w:r>
      <w:r>
        <w:rPr>
          <w:rFonts w:ascii="Times New Roman;sans-serif" w:hAnsi="Times New Roman;sans-serif"/>
          <w:b w:val="false"/>
          <w:color w:val="000000"/>
          <w:sz w:val="24"/>
          <w:u w:val="single"/>
        </w:rPr>
        <w:t>Owner</w:t>
      </w:r>
      <w:r>
        <w:rPr>
          <w:color w:val="000000"/>
        </w:rPr>
        <w:t xml:space="preserve">” </w:t>
      </w:r>
      <w:r>
        <w:rPr>
          <w:rFonts w:ascii="Times New Roman;sans-serif" w:hAnsi="Times New Roman;sans-serif"/>
          <w:b w:val="false"/>
          <w:color w:val="000000"/>
          <w:sz w:val="24"/>
        </w:rPr>
        <w:t>shall mean the person in whose name American Depositary Shares are registered on the books of the Depositary maintained for that purpose.</w:t>
      </w:r>
    </w:p>
    <w:p>
      <w:pPr>
        <w:pStyle w:val="TextBody"/>
        <w:spacing w:lineRule="auto" w:line="288" w:before="0" w:after="240"/>
        <w:ind w:left="0" w:right="0" w:firstLine="1080"/>
        <w:jc w:val="both"/>
        <w:rPr/>
      </w:pPr>
      <w:r>
        <w:rPr>
          <w:rFonts w:ascii="Times New Roman;sans-serif" w:hAnsi="Times New Roman;sans-serif"/>
          <w:b w:val="false"/>
          <w:color w:val="000000"/>
          <w:sz w:val="24"/>
        </w:rPr>
        <w:t>SECTION 1.15        </w:t>
      </w:r>
      <w:r>
        <w:rPr>
          <w:rFonts w:ascii="Times New Roman;sans-serif" w:hAnsi="Times New Roman;sans-serif"/>
          <w:b w:val="false"/>
          <w:color w:val="000000"/>
          <w:sz w:val="24"/>
          <w:u w:val="single"/>
        </w:rPr>
        <w:t>Receipts.</w:t>
      </w:r>
    </w:p>
    <w:p>
      <w:pPr>
        <w:pStyle w:val="TextBody"/>
        <w:spacing w:lineRule="auto" w:line="288" w:before="0" w:after="240"/>
        <w:ind w:left="0" w:right="0" w:firstLine="1440"/>
        <w:jc w:val="both"/>
        <w:rPr/>
      </w:pPr>
      <w:r>
        <w:rPr>
          <w:rFonts w:ascii="Times New Roman;sans-serif" w:hAnsi="Times New Roman;sans-serif"/>
          <w:b w:val="false"/>
          <w:color w:val="000000"/>
          <w:sz w:val="24"/>
        </w:rPr>
        <w:t>The term “</w:t>
      </w:r>
      <w:r>
        <w:rPr>
          <w:rFonts w:ascii="Times New Roman;sans-serif" w:hAnsi="Times New Roman;sans-serif"/>
          <w:b w:val="false"/>
          <w:color w:val="000000"/>
          <w:sz w:val="24"/>
          <w:u w:val="single"/>
        </w:rPr>
        <w:t>Receipts</w:t>
      </w:r>
      <w:r>
        <w:rPr>
          <w:color w:val="000000"/>
        </w:rPr>
        <w:t xml:space="preserve">” </w:t>
      </w:r>
      <w:r>
        <w:rPr>
          <w:rFonts w:ascii="Times New Roman;sans-serif" w:hAnsi="Times New Roman;sans-serif"/>
          <w:b w:val="false"/>
          <w:color w:val="000000"/>
          <w:sz w:val="24"/>
        </w:rPr>
        <w:t>shall mean the American Depositary Receipts issued under this Deposit Agreement evidencing certificated American Depositary Shares, as the same may be amended from time to time in accordance with the provisions of this Deposit Agreement.</w:t>
      </w:r>
    </w:p>
    <w:p>
      <w:pPr>
        <w:pStyle w:val="TextBody"/>
        <w:spacing w:lineRule="auto" w:line="288" w:before="0" w:after="240"/>
        <w:ind w:left="0" w:right="0" w:firstLine="1080"/>
        <w:jc w:val="both"/>
        <w:rPr/>
      </w:pPr>
      <w:r>
        <w:rPr>
          <w:rFonts w:ascii="Times New Roman;sans-serif" w:hAnsi="Times New Roman;sans-serif"/>
          <w:b w:val="false"/>
          <w:color w:val="000000"/>
          <w:sz w:val="24"/>
        </w:rPr>
        <w:t>SECTION 1.16        </w:t>
      </w:r>
      <w:r>
        <w:rPr>
          <w:rFonts w:ascii="Times New Roman;sans-serif" w:hAnsi="Times New Roman;sans-serif"/>
          <w:b w:val="false"/>
          <w:color w:val="000000"/>
          <w:sz w:val="24"/>
          <w:u w:val="single"/>
        </w:rPr>
        <w:t>Registrar.</w:t>
      </w:r>
    </w:p>
    <w:p>
      <w:pPr>
        <w:pStyle w:val="TextBody"/>
        <w:spacing w:lineRule="auto" w:line="288" w:before="0" w:after="240"/>
        <w:ind w:left="0" w:right="0" w:firstLine="1440"/>
        <w:jc w:val="both"/>
        <w:rPr/>
      </w:pPr>
      <w:r>
        <w:rPr>
          <w:rFonts w:ascii="Times New Roman;sans-serif" w:hAnsi="Times New Roman;sans-serif"/>
          <w:b w:val="false"/>
          <w:color w:val="000000"/>
          <w:sz w:val="24"/>
        </w:rPr>
        <w:t>The term “</w:t>
      </w:r>
      <w:r>
        <w:rPr>
          <w:rFonts w:ascii="Times New Roman;sans-serif" w:hAnsi="Times New Roman;sans-serif"/>
          <w:b w:val="false"/>
          <w:color w:val="000000"/>
          <w:sz w:val="24"/>
          <w:u w:val="single"/>
        </w:rPr>
        <w:t>Registrar</w:t>
      </w:r>
      <w:r>
        <w:rPr>
          <w:color w:val="000000"/>
        </w:rPr>
        <w:t xml:space="preserve">” </w:t>
      </w:r>
      <w:r>
        <w:rPr>
          <w:rFonts w:ascii="Times New Roman;sans-serif" w:hAnsi="Times New Roman;sans-serif"/>
          <w:b w:val="false"/>
          <w:color w:val="000000"/>
          <w:sz w:val="24"/>
        </w:rPr>
        <w:t xml:space="preserve">shall mean any corporation or other entity that is appointed by the Depositary to register American Depositary Shares and transfers of American Depositary Shares as provided in this Deposit Agreement. </w:t>
      </w:r>
      <w:r>
        <w:br w:type="page"/>
      </w:r>
    </w:p>
    <w:p>
      <w:pPr>
        <w:pStyle w:val="TextBody"/>
        <w:spacing w:before="120" w:after="240"/>
        <w:jc w:val="center"/>
        <w:rPr/>
      </w:pPr>
      <w:r>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6480175" cy="869950"/>
                <wp:effectExtent l="0" t="0" r="0" b="0"/>
                <wp:wrapNone/>
                <wp:docPr id="313" name="Frame310"/>
                <a:graphic xmlns:a="http://schemas.openxmlformats.org/drawingml/2006/main">
                  <a:graphicData uri="http://schemas.microsoft.com/office/word/2010/wordprocessingShape">
                    <wps:wsp>
                      <wps:cNvSpPr txBox="1"/>
                      <wps:spPr>
                        <a:xfrm>
                          <a:off x="0" y="0"/>
                          <a:ext cx="6480175" cy="869950"/>
                        </a:xfrm>
                        <a:prstGeom prst="rect"/>
                      </wps:spPr>
                      <wps:txbx>
                        <w:txbxContent>
                          <w:p>
                            <w:pPr>
                              <w:pStyle w:val="TextBody"/>
                              <w:spacing w:lineRule="auto" w:line="288"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-4-</w:t>
                            </w:r>
                          </w:p>
                          <w:p>
                            <w:pPr>
                              <w:pStyle w:val="TextBody"/>
                              <w:spacing w:before="24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8.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spacing w:lineRule="auto" w:line="288"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-4-</w:t>
                      </w:r>
                    </w:p>
                    <w:p>
                      <w:pPr>
                        <w:pStyle w:val="TextBody"/>
                        <w:spacing w:before="240" w:after="283"/>
                        <w:jc w:val="center"/>
                        <w:rPr/>
                      </w:pPr>
                      <w:r>
                        <w:rPr/>
                      </w:r>
                    </w:p>
                  </w:txbxContent>
                </v:textbox>
              </v:rect>
            </w:pict>
          </mc:Fallback>
        </mc:AlternateContent>
      </w:r>
    </w:p>
    <w:p>
      <w:pPr>
        <w:pStyle w:val="TextBody"/>
        <w:spacing w:lineRule="auto" w:line="288" w:before="0" w:after="240"/>
        <w:ind w:left="0" w:right="0" w:firstLine="1080"/>
        <w:jc w:val="both"/>
        <w:rPr/>
      </w:pPr>
      <w:r>
        <w:rPr>
          <w:rFonts w:ascii="Times New Roman;sans-serif" w:hAnsi="Times New Roman;sans-serif"/>
          <w:b w:val="false"/>
          <w:color w:val="000000"/>
          <w:sz w:val="24"/>
        </w:rPr>
        <w:t>SECTION 1.17        </w:t>
      </w:r>
      <w:r>
        <w:rPr>
          <w:rFonts w:ascii="Times New Roman;sans-serif" w:hAnsi="Times New Roman;sans-serif"/>
          <w:b w:val="false"/>
          <w:color w:val="000000"/>
          <w:sz w:val="24"/>
          <w:u w:val="single"/>
        </w:rPr>
        <w:t>Replacement.</w:t>
      </w:r>
    </w:p>
    <w:p>
      <w:pPr>
        <w:pStyle w:val="TextBody"/>
        <w:spacing w:lineRule="auto" w:line="288" w:before="0" w:after="240"/>
        <w:ind w:left="0" w:right="0" w:firstLine="1440"/>
        <w:jc w:val="both"/>
        <w:rPr/>
      </w:pPr>
      <w:r>
        <w:rPr>
          <w:rFonts w:ascii="Times New Roman;sans-serif" w:hAnsi="Times New Roman;sans-serif"/>
          <w:b w:val="false"/>
          <w:color w:val="000000"/>
          <w:sz w:val="24"/>
        </w:rPr>
        <w:t>The term “</w:t>
      </w:r>
      <w:r>
        <w:rPr>
          <w:rFonts w:ascii="Times New Roman;sans-serif" w:hAnsi="Times New Roman;sans-serif"/>
          <w:b w:val="false"/>
          <w:color w:val="000000"/>
          <w:sz w:val="24"/>
          <w:u w:val="single"/>
        </w:rPr>
        <w:t>Replacement</w:t>
      </w:r>
      <w:r>
        <w:rPr>
          <w:color w:val="000000"/>
        </w:rPr>
        <w:t xml:space="preserve">” </w:t>
      </w:r>
      <w:r>
        <w:rPr>
          <w:rFonts w:ascii="Times New Roman;sans-serif" w:hAnsi="Times New Roman;sans-serif"/>
          <w:b w:val="false"/>
          <w:color w:val="000000"/>
          <w:sz w:val="24"/>
        </w:rPr>
        <w:t xml:space="preserve">shall have the meaning assigned to it in Section 4.8. </w:t>
      </w:r>
    </w:p>
    <w:p>
      <w:pPr>
        <w:pStyle w:val="TextBody"/>
        <w:spacing w:lineRule="auto" w:line="288" w:before="0" w:after="240"/>
        <w:ind w:left="0" w:right="0" w:firstLine="1080"/>
        <w:jc w:val="both"/>
        <w:rPr/>
      </w:pPr>
      <w:r>
        <w:rPr>
          <w:rFonts w:ascii="Times New Roman;sans-serif" w:hAnsi="Times New Roman;sans-serif"/>
          <w:b w:val="false"/>
          <w:color w:val="000000"/>
          <w:sz w:val="24"/>
        </w:rPr>
        <w:t>SECTION 1.18        </w:t>
      </w:r>
      <w:r>
        <w:rPr>
          <w:rFonts w:ascii="Times New Roman;sans-serif" w:hAnsi="Times New Roman;sans-serif"/>
          <w:b w:val="false"/>
          <w:color w:val="000000"/>
          <w:sz w:val="24"/>
          <w:u w:val="single"/>
        </w:rPr>
        <w:t>Restricted Securities.</w:t>
      </w:r>
    </w:p>
    <w:p>
      <w:pPr>
        <w:pStyle w:val="TextBody"/>
        <w:spacing w:lineRule="auto" w:line="288" w:before="0" w:after="240"/>
        <w:ind w:left="0" w:right="0" w:firstLine="1440"/>
        <w:jc w:val="both"/>
        <w:rPr/>
      </w:pPr>
      <w:r>
        <w:rPr>
          <w:rFonts w:ascii="Times New Roman;sans-serif" w:hAnsi="Times New Roman;sans-serif"/>
          <w:b w:val="false"/>
          <w:color w:val="000000"/>
          <w:sz w:val="24"/>
        </w:rPr>
        <w:t>The term “</w:t>
      </w:r>
      <w:r>
        <w:rPr>
          <w:rFonts w:ascii="Times New Roman;sans-serif" w:hAnsi="Times New Roman;sans-serif"/>
          <w:b w:val="false"/>
          <w:color w:val="000000"/>
          <w:sz w:val="24"/>
          <w:u w:val="single"/>
        </w:rPr>
        <w:t>Restricted Securities</w:t>
      </w:r>
      <w:r>
        <w:rPr>
          <w:color w:val="000000"/>
        </w:rPr>
        <w:t xml:space="preserve">” </w:t>
      </w:r>
      <w:r>
        <w:rPr>
          <w:rFonts w:ascii="Times New Roman;sans-serif" w:hAnsi="Times New Roman;sans-serif"/>
          <w:b w:val="false"/>
          <w:color w:val="000000"/>
          <w:sz w:val="24"/>
        </w:rPr>
        <w:t>shall mean Shares that (i) are “restricted securities,” as defined in Rule 144 under the Securities Act of 1933, except for Shares that could be resold in reliance on Rule 144 without any conditions, (ii) are beneficially owned by an officer, director (or person performing similar functions) or other affiliate of the Company, (iii) otherwise would require registration under the Securities Act of 1933 in connection with the public offer and sale thereof in the United States or (iv) are subject to other restrictions on sale or deposit under the laws of the Cayman Islands, a shareholder agreement or the articles of association or similar document of the Company.</w:t>
      </w:r>
    </w:p>
    <w:p>
      <w:pPr>
        <w:pStyle w:val="TextBody"/>
        <w:spacing w:lineRule="auto" w:line="288" w:before="0" w:after="240"/>
        <w:ind w:left="0" w:right="0" w:firstLine="1080"/>
        <w:jc w:val="both"/>
        <w:rPr/>
      </w:pPr>
      <w:r>
        <w:rPr>
          <w:rFonts w:ascii="Times New Roman;sans-serif" w:hAnsi="Times New Roman;sans-serif"/>
          <w:b w:val="false"/>
          <w:color w:val="000000"/>
          <w:sz w:val="24"/>
        </w:rPr>
        <w:t>SECTION 1.19        </w:t>
      </w:r>
      <w:r>
        <w:rPr>
          <w:rFonts w:ascii="Times New Roman;sans-serif" w:hAnsi="Times New Roman;sans-serif"/>
          <w:b w:val="false"/>
          <w:color w:val="000000"/>
          <w:sz w:val="24"/>
          <w:u w:val="single"/>
        </w:rPr>
        <w:t>Securities Act of 1933.</w:t>
      </w:r>
    </w:p>
    <w:p>
      <w:pPr>
        <w:pStyle w:val="TextBody"/>
        <w:spacing w:lineRule="auto" w:line="288" w:before="0" w:after="240"/>
        <w:ind w:left="0" w:right="0" w:firstLine="1440"/>
        <w:jc w:val="both"/>
        <w:rPr/>
      </w:pPr>
      <w:r>
        <w:rPr>
          <w:rFonts w:ascii="Times New Roman;sans-serif" w:hAnsi="Times New Roman;sans-serif"/>
          <w:b w:val="false"/>
          <w:color w:val="000000"/>
          <w:sz w:val="24"/>
        </w:rPr>
        <w:t>The term “</w:t>
      </w:r>
      <w:r>
        <w:rPr>
          <w:rFonts w:ascii="Times New Roman;sans-serif" w:hAnsi="Times New Roman;sans-serif"/>
          <w:b w:val="false"/>
          <w:color w:val="000000"/>
          <w:sz w:val="24"/>
          <w:u w:val="single"/>
        </w:rPr>
        <w:t>Securities Act of 1933</w:t>
      </w:r>
      <w:r>
        <w:rPr>
          <w:color w:val="000000"/>
        </w:rPr>
        <w:t xml:space="preserve">” </w:t>
      </w:r>
      <w:r>
        <w:rPr>
          <w:rFonts w:ascii="Times New Roman;sans-serif" w:hAnsi="Times New Roman;sans-serif"/>
          <w:b w:val="false"/>
          <w:color w:val="000000"/>
          <w:sz w:val="24"/>
        </w:rPr>
        <w:t>shall mean the United States Securities Act of 1933, as from time to time amended.</w:t>
      </w:r>
    </w:p>
    <w:p>
      <w:pPr>
        <w:pStyle w:val="TextBody"/>
        <w:spacing w:lineRule="auto" w:line="288" w:before="0" w:after="240"/>
        <w:ind w:left="0" w:right="0" w:firstLine="1080"/>
        <w:jc w:val="both"/>
        <w:rPr/>
      </w:pPr>
      <w:r>
        <w:rPr>
          <w:rFonts w:ascii="Times New Roman;sans-serif" w:hAnsi="Times New Roman;sans-serif"/>
          <w:b w:val="false"/>
          <w:color w:val="000000"/>
          <w:sz w:val="24"/>
        </w:rPr>
        <w:t>SECTION 1.20        </w:t>
      </w:r>
      <w:r>
        <w:rPr>
          <w:rFonts w:ascii="Times New Roman;sans-serif" w:hAnsi="Times New Roman;sans-serif"/>
          <w:b w:val="false"/>
          <w:color w:val="000000"/>
          <w:sz w:val="24"/>
          <w:u w:val="single"/>
        </w:rPr>
        <w:t>Shares.</w:t>
      </w:r>
    </w:p>
    <w:p>
      <w:pPr>
        <w:pStyle w:val="TextBody"/>
        <w:spacing w:lineRule="auto" w:line="288" w:before="0" w:after="240"/>
        <w:ind w:left="0" w:right="0" w:firstLine="1440"/>
        <w:jc w:val="both"/>
        <w:rPr/>
      </w:pPr>
      <w:r>
        <w:rPr>
          <w:rFonts w:ascii="Times New Roman;sans-serif" w:hAnsi="Times New Roman;sans-serif"/>
          <w:b w:val="false"/>
          <w:color w:val="000000"/>
          <w:sz w:val="24"/>
        </w:rPr>
        <w:t>The term “</w:t>
      </w:r>
      <w:r>
        <w:rPr>
          <w:rFonts w:ascii="Times New Roman;sans-serif" w:hAnsi="Times New Roman;sans-serif"/>
          <w:b w:val="false"/>
          <w:color w:val="000000"/>
          <w:sz w:val="24"/>
          <w:u w:val="single"/>
        </w:rPr>
        <w:t>Shares</w:t>
      </w:r>
      <w:r>
        <w:rPr>
          <w:color w:val="000000"/>
        </w:rPr>
        <w:t xml:space="preserve">” </w:t>
      </w:r>
      <w:r>
        <w:rPr>
          <w:rFonts w:ascii="Times New Roman;sans-serif" w:hAnsi="Times New Roman;sans-serif"/>
          <w:b w:val="false"/>
          <w:color w:val="000000"/>
          <w:sz w:val="24"/>
        </w:rPr>
        <w:t xml:space="preserve">shall mean Class A ordinary shares of the Company that are validly issued and outstanding, fully paid and nonassessable and that were not issued in violation of any pre-emptive or similar rights of the holders of outstanding securities of the Company;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if there shall occur any change in nominal or par value, a split-up or consolidation or any other reclassification or, upon the occurrence of an event described in Section 4.8, an exchange or conversion in respect of the Shares of the Company, the term “Shares” shall thereafter also mean the successor securities resulting from such change in nominal value, split-up or consolidation or such other reclassification or such exchange or conversion.</w:t>
      </w:r>
    </w:p>
    <w:p>
      <w:pPr>
        <w:pStyle w:val="TextBody"/>
        <w:spacing w:lineRule="auto" w:line="288" w:before="0" w:after="240"/>
        <w:ind w:left="0" w:right="0" w:firstLine="1080"/>
        <w:jc w:val="both"/>
        <w:rPr/>
      </w:pPr>
      <w:r>
        <w:rPr>
          <w:rFonts w:ascii="Times New Roman;sans-serif" w:hAnsi="Times New Roman;sans-serif"/>
          <w:b w:val="false"/>
          <w:color w:val="000000"/>
          <w:sz w:val="24"/>
        </w:rPr>
        <w:t>SECTION 1.21        </w:t>
      </w:r>
      <w:r>
        <w:rPr>
          <w:rFonts w:ascii="Times New Roman;sans-serif" w:hAnsi="Times New Roman;sans-serif"/>
          <w:b w:val="false"/>
          <w:color w:val="000000"/>
          <w:sz w:val="24"/>
          <w:u w:val="single"/>
        </w:rPr>
        <w:t>SWIFT.</w:t>
      </w:r>
    </w:p>
    <w:p>
      <w:pPr>
        <w:pStyle w:val="TextBody"/>
        <w:spacing w:lineRule="auto" w:line="288" w:before="0" w:after="240"/>
        <w:ind w:left="0" w:right="0" w:firstLine="1440"/>
        <w:jc w:val="both"/>
        <w:rPr/>
      </w:pPr>
      <w:r>
        <w:rPr>
          <w:rFonts w:ascii="Times New Roman;sans-serif" w:hAnsi="Times New Roman;sans-serif"/>
          <w:b w:val="false"/>
          <w:color w:val="000000"/>
          <w:sz w:val="24"/>
        </w:rPr>
        <w:t>The term “</w:t>
      </w:r>
      <w:r>
        <w:rPr>
          <w:rFonts w:ascii="Times New Roman;sans-serif" w:hAnsi="Times New Roman;sans-serif"/>
          <w:b w:val="false"/>
          <w:color w:val="000000"/>
          <w:sz w:val="24"/>
          <w:u w:val="single"/>
        </w:rPr>
        <w:t>SWIFT</w:t>
      </w:r>
      <w:r>
        <w:rPr>
          <w:color w:val="000000"/>
        </w:rPr>
        <w:t xml:space="preserve">” </w:t>
      </w:r>
      <w:r>
        <w:rPr>
          <w:rFonts w:ascii="Times New Roman;sans-serif" w:hAnsi="Times New Roman;sans-serif"/>
          <w:b w:val="false"/>
          <w:color w:val="000000"/>
          <w:sz w:val="24"/>
        </w:rPr>
        <w:t>shall mean the financial messaging network operated by the Society for Worldwide Interbank Financial Telecommunication, or its successor.</w:t>
      </w:r>
    </w:p>
    <w:p>
      <w:pPr>
        <w:pStyle w:val="TextBody"/>
        <w:spacing w:lineRule="auto" w:line="288" w:before="0" w:after="240"/>
        <w:ind w:left="0" w:right="0" w:firstLine="1080"/>
        <w:jc w:val="both"/>
        <w:rPr/>
      </w:pPr>
      <w:r>
        <w:rPr>
          <w:rFonts w:ascii="Times New Roman;sans-serif" w:hAnsi="Times New Roman;sans-serif"/>
          <w:b w:val="false"/>
          <w:color w:val="000000"/>
          <w:sz w:val="24"/>
        </w:rPr>
        <w:t>SECTION 1.22        </w:t>
      </w:r>
      <w:r>
        <w:rPr>
          <w:rFonts w:ascii="Times New Roman;sans-serif" w:hAnsi="Times New Roman;sans-serif"/>
          <w:b w:val="false"/>
          <w:color w:val="000000"/>
          <w:sz w:val="24"/>
          <w:u w:val="single"/>
        </w:rPr>
        <w:t>Termination Option Event.</w:t>
      </w:r>
    </w:p>
    <w:p>
      <w:pPr>
        <w:pStyle w:val="TextBody"/>
        <w:spacing w:lineRule="auto" w:line="288" w:before="0" w:after="240"/>
        <w:ind w:left="0" w:right="0" w:firstLine="1440"/>
        <w:jc w:val="both"/>
        <w:rPr/>
      </w:pPr>
      <w:r>
        <w:rPr>
          <w:rFonts w:ascii="Times New Roman;sans-serif" w:hAnsi="Times New Roman;sans-serif"/>
          <w:b w:val="false"/>
          <w:color w:val="000000"/>
          <w:sz w:val="24"/>
        </w:rPr>
        <w:t>The term “</w:t>
      </w:r>
      <w:r>
        <w:rPr>
          <w:rFonts w:ascii="Times New Roman;sans-serif" w:hAnsi="Times New Roman;sans-serif"/>
          <w:b w:val="false"/>
          <w:color w:val="000000"/>
          <w:sz w:val="24"/>
          <w:u w:val="single"/>
        </w:rPr>
        <w:t>Termination Option Event</w:t>
      </w:r>
      <w:r>
        <w:rPr>
          <w:color w:val="000000"/>
        </w:rPr>
        <w:t xml:space="preserve">” </w:t>
      </w:r>
      <w:r>
        <w:rPr>
          <w:rFonts w:ascii="Times New Roman;sans-serif" w:hAnsi="Times New Roman;sans-serif"/>
          <w:b w:val="false"/>
          <w:color w:val="000000"/>
          <w:sz w:val="24"/>
        </w:rPr>
        <w:t>shall mean any of the following events or conditions:</w:t>
      </w:r>
      <w:r>
        <w:br w:type="page"/>
      </w:r>
    </w:p>
    <w:p>
      <w:pPr>
        <w:pStyle w:val="TextBody"/>
        <w:spacing w:before="120" w:after="240"/>
        <w:jc w:val="center"/>
        <w:rPr/>
      </w:pPr>
      <w:r>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6480175" cy="869950"/>
                <wp:effectExtent l="0" t="0" r="0" b="0"/>
                <wp:wrapNone/>
                <wp:docPr id="314" name="Frame311"/>
                <a:graphic xmlns:a="http://schemas.openxmlformats.org/drawingml/2006/main">
                  <a:graphicData uri="http://schemas.microsoft.com/office/word/2010/wordprocessingShape">
                    <wps:wsp>
                      <wps:cNvSpPr txBox="1"/>
                      <wps:spPr>
                        <a:xfrm>
                          <a:off x="0" y="0"/>
                          <a:ext cx="6480175" cy="869950"/>
                        </a:xfrm>
                        <a:prstGeom prst="rect"/>
                      </wps:spPr>
                      <wps:txbx>
                        <w:txbxContent>
                          <w:p>
                            <w:pPr>
                              <w:pStyle w:val="TextBody"/>
                              <w:spacing w:lineRule="auto" w:line="288"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-5-</w:t>
                            </w:r>
                          </w:p>
                          <w:p>
                            <w:pPr>
                              <w:pStyle w:val="TextBody"/>
                              <w:spacing w:before="24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8.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spacing w:lineRule="auto" w:line="288"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-5-</w:t>
                      </w:r>
                    </w:p>
                    <w:p>
                      <w:pPr>
                        <w:pStyle w:val="TextBody"/>
                        <w:spacing w:before="240" w:after="283"/>
                        <w:jc w:val="center"/>
                        <w:rPr/>
                      </w:pPr>
                      <w:r>
                        <w:rPr/>
                      </w:r>
                    </w:p>
                  </w:txbxContent>
                </v:textbox>
              </v:rect>
            </w:pict>
          </mc:Fallback>
        </mc:AlternateContent>
      </w:r>
    </w:p>
    <w:p>
      <w:pPr>
        <w:pStyle w:val="TextBody"/>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    the Company institutes proceedings to be adjudicated as bankrupt or insolvent, consents to the institution of bankruptcy or insolvency proceedings against it, files a petition or answer or consent seeking reorganization or relief under any applicable law in respect of bankruptcy or insolvency, consents to the filing of any petition of that kind or to the appointment of a receiver, liquidator, assignee, trustee, custodian or sequestrator (or other similar official) of it or any substantial part of its property or makes an assignment for the benefit of creditors, or admits its inability to pay its debts as they become due in the ordinary course of business;</w:t>
      </w:r>
    </w:p>
    <w:p>
      <w:pPr>
        <w:pStyle w:val="TextBody"/>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(ii)    the American Depositary Shares are delisted from a stock exchange in the United States on which the American Depositary Shares were listed and, 30 days after that delisting, the American Depositary Shares have not been listed on another stock exchange in the United States, nor is there a symbol available for over-the-counter trading of the American Depositary Shares in the United States; or</w:t>
      </w:r>
    </w:p>
    <w:p>
      <w:pPr>
        <w:pStyle w:val="TextBody"/>
        <w:spacing w:lineRule="auto" w:line="288" w:before="0" w:after="240"/>
        <w:ind w:left="0" w:right="0" w:firstLine="1440"/>
        <w:jc w:val="both"/>
        <w:rPr/>
      </w:pPr>
      <w:r>
        <w:rPr>
          <w:rFonts w:ascii="Times New Roman;sans-serif" w:hAnsi="Times New Roman;sans-serif"/>
          <w:b w:val="false"/>
          <w:color w:val="000000"/>
          <w:sz w:val="24"/>
        </w:rPr>
        <w:t xml:space="preserve">(iii)    an event or condition that is defined as a </w:t>
      </w:r>
      <w:r>
        <w:rPr>
          <w:rFonts w:ascii="Times New Roman;sans-serif" w:hAnsi="Times New Roman;sans-serif"/>
          <w:b w:val="false"/>
          <w:color w:val="000000"/>
          <w:sz w:val="24"/>
          <w:u w:val="single"/>
        </w:rPr>
        <w:t>Termination Option Event</w:t>
      </w:r>
      <w:r>
        <w:rPr>
          <w:color w:val="000000"/>
        </w:rPr>
        <w:t xml:space="preserve"> </w:t>
      </w:r>
      <w:r>
        <w:rPr>
          <w:rFonts w:ascii="Times New Roman;sans-serif" w:hAnsi="Times New Roman;sans-serif"/>
          <w:b w:val="false"/>
          <w:color w:val="000000"/>
          <w:sz w:val="24"/>
        </w:rPr>
        <w:t>in Section 4.1, 4.2 or 4.8.</w:t>
      </w:r>
    </w:p>
    <w:p>
      <w:pPr>
        <w:pStyle w:val="TextBody"/>
        <w:spacing w:lineRule="auto" w:line="288" w:before="0" w:after="240"/>
        <w:ind w:left="0" w:right="0" w:hanging="1496"/>
        <w:jc w:val="both"/>
        <w:rPr>
          <w:rFonts w:ascii="Times New Roman;sans-serif" w:hAnsi="Times New Roman;sans-serif"/>
          <w:b w:val="false"/>
          <w:color w:val="000000"/>
          <w:sz w:val="24"/>
        </w:rPr>
      </w:pPr>
      <w:r>
        <w:rPr>
          <w:rFonts w:ascii="Times New Roman;sans-serif" w:hAnsi="Times New Roman;sans-serif"/>
          <w:b w:val="false"/>
          <w:color w:val="000000"/>
          <w:sz w:val="24"/>
        </w:rPr>
        <w:t>ARTICLE 2.FORM OF RECEIPTS, DEPOSIT OF SHARES, DELIVERY, TRANSFER AND SURRENDER OF AMERICAN DEPOSITARY SHARES</w:t>
      </w:r>
    </w:p>
    <w:p>
      <w:pPr>
        <w:pStyle w:val="TextBody"/>
        <w:spacing w:lineRule="auto" w:line="288" w:before="0" w:after="240"/>
        <w:ind w:left="0" w:right="0" w:firstLine="1080"/>
        <w:jc w:val="both"/>
        <w:rPr/>
      </w:pPr>
      <w:r>
        <w:rPr>
          <w:rFonts w:ascii="Times New Roman;sans-serif" w:hAnsi="Times New Roman;sans-serif"/>
          <w:b w:val="false"/>
          <w:color w:val="000000"/>
          <w:sz w:val="24"/>
        </w:rPr>
        <w:t>SECTION 2.1        </w:t>
      </w:r>
      <w:r>
        <w:rPr>
          <w:rFonts w:ascii="Times New Roman;sans-serif" w:hAnsi="Times New Roman;sans-serif"/>
          <w:b w:val="false"/>
          <w:color w:val="000000"/>
          <w:sz w:val="24"/>
          <w:u w:val="single"/>
        </w:rPr>
        <w:t>Form of Receipts; Registration and Transferability of American Depositary Shares.</w:t>
      </w:r>
    </w:p>
    <w:p>
      <w:pPr>
        <w:pStyle w:val="TextBody"/>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Definitive Receipts shall be substantially in the form set forth in Exhibit A to this Deposit Agreement, with appropriate insertions, modifications and omissions, as permitted under this Deposit Agreement. No Receipt shall be entitled to any benefits under this Deposit Agreement or be valid or obligatory for any purpose, unless that Receipt has been (i) executed by the Depositary by the manual signature of a duly authorized officer of the Depositary or (ii) executed by the facsimile signature of a duly authorized officer of the Depositary and countersigned by the manual signature of a duly authorized signatory of the Depositary or the Registrar or a co-registrar. The Depositary shall maintain books on which (x) each Receipt so executed and delivered as provided in this Deposit Agreement and each transfer of that Receipt and (y) all American Depositary Shares delivered as provided in this Deposit Agreement and all registrations of transfer of American Depositary Shares, shall be registered. A Receipt bearing the facsimile signature of a person that was at any time a proper officer of the Depositary shall, subject to the other provisions of this paragraph, bind the Depositary, even if that person was not a proper officer of the Depositary on the date of issuance of that Receipt. </w:t>
      </w:r>
    </w:p>
    <w:p>
      <w:pPr>
        <w:pStyle w:val="TextBody"/>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The Receipts and statements confirming registration of American Depositary Shares may have incorporated in or attached to them such legends or recitals </w:t>
      </w:r>
      <w:r>
        <w:br w:type="page"/>
      </w:r>
    </w:p>
    <w:p>
      <w:pPr>
        <w:pStyle w:val="TextBody"/>
        <w:spacing w:before="120" w:after="240"/>
        <w:jc w:val="center"/>
        <w:rPr/>
      </w:pPr>
      <w:r>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6480175" cy="869950"/>
                <wp:effectExtent l="0" t="0" r="0" b="0"/>
                <wp:wrapNone/>
                <wp:docPr id="315" name="Frame312"/>
                <a:graphic xmlns:a="http://schemas.openxmlformats.org/drawingml/2006/main">
                  <a:graphicData uri="http://schemas.microsoft.com/office/word/2010/wordprocessingShape">
                    <wps:wsp>
                      <wps:cNvSpPr txBox="1"/>
                      <wps:spPr>
                        <a:xfrm>
                          <a:off x="0" y="0"/>
                          <a:ext cx="6480175" cy="869950"/>
                        </a:xfrm>
                        <a:prstGeom prst="rect"/>
                      </wps:spPr>
                      <wps:txbx>
                        <w:txbxContent>
                          <w:p>
                            <w:pPr>
                              <w:pStyle w:val="TextBody"/>
                              <w:spacing w:lineRule="auto" w:line="288"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-6-</w:t>
                            </w:r>
                          </w:p>
                          <w:p>
                            <w:pPr>
                              <w:pStyle w:val="TextBody"/>
                              <w:spacing w:before="24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8.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spacing w:lineRule="auto" w:line="288"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-6-</w:t>
                      </w:r>
                    </w:p>
                    <w:p>
                      <w:pPr>
                        <w:pStyle w:val="TextBody"/>
                        <w:spacing w:before="240" w:after="283"/>
                        <w:jc w:val="center"/>
                        <w:rPr/>
                      </w:pPr>
                      <w:r>
                        <w:rPr/>
                      </w:r>
                    </w:p>
                  </w:txbxContent>
                </v:textbox>
              </v:rect>
            </w:pict>
          </mc:Fallback>
        </mc:AlternateContent>
      </w:r>
    </w:p>
    <w:p>
      <w:pPr>
        <w:pStyle w:val="TextBody"/>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or modifications not inconsistent with the provisions of this Deposit Agreement as may be reasonably required by the Depositary or required to comply with any applicable law or regulations thereunder or with the rules and regulations of any securities exchange upon which American Depositary Shares may be listed or to conform with any usage with respect thereto, or to indicate any special limitations or restrictions to which any particular Receipts and American Depositary Shares are subject by reason of the date of issuance of the underlying Deposited Securities or otherwise.</w:t>
      </w:r>
    </w:p>
    <w:p>
      <w:pPr>
        <w:pStyle w:val="TextBody"/>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American Depositary Shares evidenced by a Receipt, when the Receipt is properly endorsed or accompanied by proper instruments of transfer, shall be transferable as certificated registered securities under the laws of the State of New York. American Depositary Shares not evidenced by Receipts shall be transferable as uncertificated registered securities under the laws of the State of New York. The Depositary, notwithstanding any notice to the contrary, may treat the Owner of American Depositary Shares as the absolute owner thereof for the purpose of determining the person entitled to distribution of dividends or other distributions or to any notice provided for in this Deposit Agreement and for all other purposes, and neither the Depositary nor the Company shall have any obligation or be subject to any liability under this Deposit Agreement to any Holder of American Depositary Shares (but only to the Owner of those American Depositary Shares).</w:t>
      </w:r>
    </w:p>
    <w:p>
      <w:pPr>
        <w:pStyle w:val="TextBody"/>
        <w:spacing w:lineRule="auto" w:line="288" w:before="0" w:after="240"/>
        <w:ind w:left="0" w:right="0" w:firstLine="1080"/>
        <w:jc w:val="both"/>
        <w:rPr/>
      </w:pPr>
      <w:r>
        <w:rPr>
          <w:rFonts w:ascii="Times New Roman;sans-serif" w:hAnsi="Times New Roman;sans-serif"/>
          <w:b w:val="false"/>
          <w:color w:val="000000"/>
          <w:sz w:val="24"/>
        </w:rPr>
        <w:t xml:space="preserve">SECTION 2.2 </w:t>
      </w:r>
      <w:r>
        <w:rPr>
          <w:rFonts w:ascii="Times New Roman;sans-serif" w:hAnsi="Times New Roman;sans-serif"/>
          <w:b w:val="false"/>
          <w:color w:val="000000"/>
          <w:sz w:val="24"/>
          <w:u w:val="single"/>
        </w:rPr>
        <w:t>Deposit of Shares.</w:t>
      </w:r>
    </w:p>
    <w:p>
      <w:pPr>
        <w:pStyle w:val="TextBody"/>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Subject to the terms and conditions of this Deposit Agreement, Shares or evidence of rights to receive Shares may be deposited under this Deposit Agreement by delivery thereof to any Custodian, accompanied by any appropriate instruments or instructions for transfer, or endorsement, in form satisfactory to the Custodian.</w:t>
      </w:r>
    </w:p>
    <w:p>
      <w:pPr>
        <w:pStyle w:val="TextBody"/>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The Depositary shall refuse, and shall instruct the Custodian to refuse, to accept Shares for deposit if the Depositary has received a notice from the Company that the Company has restricted transfer of those Shares under the Company’s articles of association or any applicable laws or that the deposit would result in any violation of the Company’s articles of association or any applicable laws. The Company shall notify the Depositary in writing with respect to any restrictions on transfer of its Shares for deposit under this Deposit Agreement.</w:t>
      </w:r>
    </w:p>
    <w:p>
      <w:pPr>
        <w:pStyle w:val="TextBody"/>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As conditions of accepting Shares for deposit, the Depositary may require (i) any certification as may be reasonably required by the Depositary or the Custodian in accordance with the provisions of this Deposit Agreement, (ii) a written order directing the Depositary to deliver to, or upon the written order of, the person or persons stated in that order American Depositary Shares representing those deposited Shares, (iii) evidence satisfactory to the Depositary that those Shares have been re-registered in the books of the Company or the Foreign Registrar in the name of the Depositary, a Custodian or a </w:t>
      </w:r>
      <w:r>
        <w:br w:type="page"/>
      </w:r>
    </w:p>
    <w:p>
      <w:pPr>
        <w:pStyle w:val="TextBody"/>
        <w:spacing w:before="120" w:after="240"/>
        <w:jc w:val="center"/>
        <w:rPr/>
      </w:pPr>
      <w:r>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6480175" cy="869950"/>
                <wp:effectExtent l="0" t="0" r="0" b="0"/>
                <wp:wrapNone/>
                <wp:docPr id="316" name="Frame313"/>
                <a:graphic xmlns:a="http://schemas.openxmlformats.org/drawingml/2006/main">
                  <a:graphicData uri="http://schemas.microsoft.com/office/word/2010/wordprocessingShape">
                    <wps:wsp>
                      <wps:cNvSpPr txBox="1"/>
                      <wps:spPr>
                        <a:xfrm>
                          <a:off x="0" y="0"/>
                          <a:ext cx="6480175" cy="869950"/>
                        </a:xfrm>
                        <a:prstGeom prst="rect"/>
                      </wps:spPr>
                      <wps:txbx>
                        <w:txbxContent>
                          <w:p>
                            <w:pPr>
                              <w:pStyle w:val="TextBody"/>
                              <w:spacing w:lineRule="auto" w:line="288"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-7-</w:t>
                            </w:r>
                          </w:p>
                          <w:p>
                            <w:pPr>
                              <w:pStyle w:val="TextBody"/>
                              <w:spacing w:before="24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8.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spacing w:lineRule="auto" w:line="288"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-7-</w:t>
                      </w:r>
                    </w:p>
                    <w:p>
                      <w:pPr>
                        <w:pStyle w:val="TextBody"/>
                        <w:spacing w:before="240" w:after="283"/>
                        <w:jc w:val="center"/>
                        <w:rPr/>
                      </w:pPr>
                      <w:r>
                        <w:rPr/>
                      </w:r>
                    </w:p>
                  </w:txbxContent>
                </v:textbox>
              </v:rect>
            </w:pict>
          </mc:Fallback>
        </mc:AlternateContent>
      </w:r>
    </w:p>
    <w:p>
      <w:pPr>
        <w:pStyle w:val="TextBody"/>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nominee of the Depositary or a Custodian, (iv) evidence satisfactory to the Depositary that any necessary approval for the transfer or deposit has been granted by any governmental body in each applicable jurisdiction and (v) an agreement or assignment, or other instrument satisfactory to the Depositary, that provides for the prompt transfer to the Custodian of any dividend, or right to subscribe for additional Shares or to receive other property, that any person in whose name those Shares are or have been recorded may thereafter receive upon or in respect of those Shares, or, in lieu thereof, such agreement of indemnity or other agreement as shall be satisfactory to the Depositary.</w:t>
      </w:r>
    </w:p>
    <w:p>
      <w:pPr>
        <w:pStyle w:val="TextBody"/>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At the request and risk and expense of a person proposing to deposit Shares, and for the account of that person, the Depositary may receive certificates for Shares to be deposited, together with the other instruments specified in this Section, for the purpose of forwarding those Share certificates to the Custodian for deposit under this Deposit Agreement.</w:t>
      </w:r>
    </w:p>
    <w:p>
      <w:pPr>
        <w:pStyle w:val="TextBody"/>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The Depositary shall instruct each Custodian that, upon each delivery to a Custodian of a certificate or certificates for Shares to be deposited under this Deposit Agreement, together with the other documents specified in this Section, that Custodian shall, as soon as transfer and recordation can be accomplished, present that certificate or those certificates to the Company or the Foreign Registrar, if applicable, for transfer and recordation of the Shares being deposited in the name of the Depositary or its nominee or that Custodian or its nominee.</w:t>
      </w:r>
    </w:p>
    <w:p>
      <w:pPr>
        <w:pStyle w:val="TextBody"/>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Deposited Securities shall be held by the Depositary or by a Custodian for the account and to the order of the Depositary or at such other place or places as the Depositary shall determine.</w:t>
      </w:r>
    </w:p>
    <w:p>
      <w:pPr>
        <w:pStyle w:val="TextBody"/>
        <w:spacing w:lineRule="auto" w:line="288" w:before="0" w:after="240"/>
        <w:ind w:left="0" w:right="0" w:firstLine="1080"/>
        <w:jc w:val="both"/>
        <w:rPr/>
      </w:pPr>
      <w:r>
        <w:rPr>
          <w:rFonts w:ascii="Times New Roman;sans-serif" w:hAnsi="Times New Roman;sans-serif"/>
          <w:b w:val="false"/>
          <w:color w:val="000000"/>
          <w:sz w:val="24"/>
        </w:rPr>
        <w:t xml:space="preserve">SECTION 2.3 </w:t>
      </w:r>
      <w:r>
        <w:rPr>
          <w:rFonts w:ascii="Times New Roman;sans-serif" w:hAnsi="Times New Roman;sans-serif"/>
          <w:b w:val="false"/>
          <w:color w:val="000000"/>
          <w:sz w:val="24"/>
          <w:u w:val="single"/>
        </w:rPr>
        <w:t>Delivery of American Depositary Shares.</w:t>
      </w:r>
    </w:p>
    <w:p>
      <w:pPr>
        <w:pStyle w:val="TextBody"/>
        <w:spacing w:lineRule="auto" w:line="288" w:before="0" w:after="240"/>
        <w:ind w:left="0" w:right="0" w:firstLine="1440"/>
        <w:jc w:val="both"/>
        <w:rPr/>
      </w:pPr>
      <w:r>
        <w:rPr>
          <w:rFonts w:ascii="Times New Roman;sans-serif" w:hAnsi="Times New Roman;sans-serif"/>
          <w:b w:val="false"/>
          <w:color w:val="000000"/>
          <w:sz w:val="24"/>
        </w:rPr>
        <w:t xml:space="preserve">The Depositary shall instruct each Custodian that, upon receipt by that Custodian of any deposit pursuant to Section 2.2, together with the other documents or evidence required under that Section, that Custodian shall notify the Depositary of that deposit and the person or persons to whom or upon whose written order American Depositary Shares are deliverable in respect thereof. Upon receiving a notice of a deposit from a Custodian, or upon the receipt of Shares or evidence of the right to receive Shares by the Depositary, the Depositary, subject to the terms and conditions of this Deposit Agreement, shall deliver, to or upon the order of the person or persons entitled thereto, the number of American Depositary Shares issuable in respect of that deposit, but only upon payment to the Depositary of the fees and expenses of the Depositary for the delivery of those American Depositary Shares as provided in Section 5.9, and of all taxes and governmental charges and fees payable in connection with that deposit and the transfer of the deposited Shares.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the Depositary shall deliver only whole numbers of American Depositary Shares.</w:t>
      </w:r>
      <w:r>
        <w:br w:type="page"/>
      </w:r>
    </w:p>
    <w:p>
      <w:pPr>
        <w:pStyle w:val="TextBody"/>
        <w:spacing w:before="120" w:after="240"/>
        <w:jc w:val="center"/>
        <w:rPr/>
      </w:pPr>
      <w:r>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6480175" cy="869950"/>
                <wp:effectExtent l="0" t="0" r="0" b="0"/>
                <wp:wrapNone/>
                <wp:docPr id="317" name="Frame314"/>
                <a:graphic xmlns:a="http://schemas.openxmlformats.org/drawingml/2006/main">
                  <a:graphicData uri="http://schemas.microsoft.com/office/word/2010/wordprocessingShape">
                    <wps:wsp>
                      <wps:cNvSpPr txBox="1"/>
                      <wps:spPr>
                        <a:xfrm>
                          <a:off x="0" y="0"/>
                          <a:ext cx="6480175" cy="869950"/>
                        </a:xfrm>
                        <a:prstGeom prst="rect"/>
                      </wps:spPr>
                      <wps:txbx>
                        <w:txbxContent>
                          <w:p>
                            <w:pPr>
                              <w:pStyle w:val="TextBody"/>
                              <w:spacing w:lineRule="auto" w:line="288"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-8-</w:t>
                            </w:r>
                          </w:p>
                          <w:p>
                            <w:pPr>
                              <w:pStyle w:val="TextBody"/>
                              <w:spacing w:before="24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8.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spacing w:lineRule="auto" w:line="288"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-8-</w:t>
                      </w:r>
                    </w:p>
                    <w:p>
                      <w:pPr>
                        <w:pStyle w:val="TextBody"/>
                        <w:spacing w:before="240" w:after="283"/>
                        <w:jc w:val="center"/>
                        <w:rPr/>
                      </w:pPr>
                      <w:r>
                        <w:rPr/>
                      </w:r>
                    </w:p>
                  </w:txbxContent>
                </v:textbox>
              </v:rect>
            </w:pict>
          </mc:Fallback>
        </mc:AlternateContent>
      </w:r>
    </w:p>
    <w:p>
      <w:pPr>
        <w:pStyle w:val="TextBody"/>
        <w:spacing w:lineRule="auto" w:line="288" w:before="0" w:after="240"/>
        <w:ind w:left="0" w:right="0" w:firstLine="1080"/>
        <w:jc w:val="both"/>
        <w:rPr/>
      </w:pPr>
      <w:r>
        <w:rPr>
          <w:rFonts w:ascii="Times New Roman;sans-serif" w:hAnsi="Times New Roman;sans-serif"/>
          <w:b w:val="false"/>
          <w:color w:val="000000"/>
          <w:sz w:val="24"/>
        </w:rPr>
        <w:t xml:space="preserve">SECTION 2.4 </w:t>
      </w:r>
      <w:r>
        <w:rPr>
          <w:rFonts w:ascii="Times New Roman;sans-serif" w:hAnsi="Times New Roman;sans-serif"/>
          <w:b w:val="false"/>
          <w:color w:val="000000"/>
          <w:sz w:val="24"/>
          <w:u w:val="single"/>
        </w:rPr>
        <w:t>Registration of Transfer of American Depositary Shares; Combination and Split-up of Receipts; Interchange of Certificated and Uncertificated American Depositary Shares.</w:t>
      </w:r>
    </w:p>
    <w:p>
      <w:pPr>
        <w:pStyle w:val="TextBody"/>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The Depositary, subject to the terms and conditions of this Deposit Agreement, shall register a transfer of American Depositary Shares on its transfer books upon (i) in the case of certificated American Depositary Shares, surrender of the Receipt evidencing those American Depositary Shares, by the Owner or by a duly authorized attorney, properly endorsed or accompanied by proper instruments of transfer or (ii) in the case of uncertificated American Depositary Shares, receipt from the Owner of a proper instruction (including, for the avoidance of doubt, instructions through DRS and Profile as provided in Section 2.9), and, in either case, duly stamped as may be required by the laws of the State of New York and of the United States of America. Upon registration of a transfer, the Depositary shall deliver the transferred American Depositary Shares to or upon the order of the person entitled thereto. </w:t>
      </w:r>
    </w:p>
    <w:p>
      <w:pPr>
        <w:pStyle w:val="TextBody"/>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The Depositary, subject to the terms and conditions of this Deposit Agreement, shall upon surrender of a Receipt or Receipts for the purpose of effecting a split-up or combination of such Receipt or Receipts, execute and deliver a new Receipt or Receipts for any authorized number of American Depositary Shares requested, evidencing the same aggregate number of American Depositary Shares as the Receipt or Receipts surrendered.</w:t>
      </w:r>
    </w:p>
    <w:p>
      <w:pPr>
        <w:pStyle w:val="TextBody"/>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The Depositary, upon surrender of certificated American Depositary Shares for the purpose of exchanging for uncertificated American Depositary Shares, shall cancel the Receipt evidencing those certificated American Depositary Shares and send the Owner a statement confirming that the Owner is the owner of the same number of uncertificated American Depositary Shares. The Depositary, upon receipt of a proper instruction (including, for the avoidance of doubt, instructions through DRS and Profile as provided in Section 2.9) from the Owner of uncertificated American Depositary Shares for the purpose of exchanging for certificated American Depositary Shares, shall cancel those uncertificated American Depositary Shares and register and deliver to the Owner a Receipt evidencing the same number of certificated American Depositary Shares.</w:t>
      </w:r>
    </w:p>
    <w:p>
      <w:pPr>
        <w:pStyle w:val="TextBody"/>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The Depositary may appoint one or more co-transfer agents for the purpose of effecting registration of transfers of American Depositary Shares and combinations and split-ups of Receipts at designated transfer offices on behalf of the Depositary. In carrying out its functions, a co-transfer agent may require evidence of authority and compliance with applicable laws and other requirements by Owners or persons entitled to American Depositary Shares and will be entitled to protection and indemnity to the same extent as the Depositary. </w:t>
      </w:r>
      <w:r>
        <w:br w:type="page"/>
      </w:r>
    </w:p>
    <w:p>
      <w:pPr>
        <w:pStyle w:val="TextBody"/>
        <w:spacing w:before="120" w:after="240"/>
        <w:jc w:val="center"/>
        <w:rPr/>
      </w:pPr>
      <w:r>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6480175" cy="869950"/>
                <wp:effectExtent l="0" t="0" r="0" b="0"/>
                <wp:wrapNone/>
                <wp:docPr id="318" name="Frame315"/>
                <a:graphic xmlns:a="http://schemas.openxmlformats.org/drawingml/2006/main">
                  <a:graphicData uri="http://schemas.microsoft.com/office/word/2010/wordprocessingShape">
                    <wps:wsp>
                      <wps:cNvSpPr txBox="1"/>
                      <wps:spPr>
                        <a:xfrm>
                          <a:off x="0" y="0"/>
                          <a:ext cx="6480175" cy="869950"/>
                        </a:xfrm>
                        <a:prstGeom prst="rect"/>
                      </wps:spPr>
                      <wps:txbx>
                        <w:txbxContent>
                          <w:p>
                            <w:pPr>
                              <w:pStyle w:val="TextBody"/>
                              <w:spacing w:lineRule="auto" w:line="288"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-9-</w:t>
                            </w:r>
                          </w:p>
                          <w:p>
                            <w:pPr>
                              <w:pStyle w:val="TextBody"/>
                              <w:spacing w:before="24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8.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spacing w:lineRule="auto" w:line="288"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-9-</w:t>
                      </w:r>
                    </w:p>
                    <w:p>
                      <w:pPr>
                        <w:pStyle w:val="TextBody"/>
                        <w:spacing w:before="240" w:after="283"/>
                        <w:jc w:val="center"/>
                        <w:rPr/>
                      </w:pPr>
                      <w:r>
                        <w:rPr/>
                      </w:r>
                    </w:p>
                  </w:txbxContent>
                </v:textbox>
              </v:rect>
            </w:pict>
          </mc:Fallback>
        </mc:AlternateContent>
      </w:r>
    </w:p>
    <w:p>
      <w:pPr>
        <w:pStyle w:val="TextBody"/>
        <w:spacing w:lineRule="auto" w:line="288" w:before="0" w:after="240"/>
        <w:ind w:left="0" w:right="0" w:firstLine="1080"/>
        <w:jc w:val="both"/>
        <w:rPr/>
      </w:pPr>
      <w:r>
        <w:rPr>
          <w:rFonts w:ascii="Times New Roman;sans-serif" w:hAnsi="Times New Roman;sans-serif"/>
          <w:b w:val="false"/>
          <w:color w:val="000000"/>
          <w:sz w:val="24"/>
        </w:rPr>
        <w:t xml:space="preserve">SECTION 2.5 </w:t>
      </w:r>
      <w:r>
        <w:rPr>
          <w:rFonts w:ascii="Times New Roman;sans-serif" w:hAnsi="Times New Roman;sans-serif"/>
          <w:b w:val="false"/>
          <w:color w:val="000000"/>
          <w:sz w:val="24"/>
          <w:u w:val="single"/>
        </w:rPr>
        <w:t>Surrender of American Depositary Shares and Withdrawal of Deposited Securities.</w:t>
      </w:r>
    </w:p>
    <w:p>
      <w:pPr>
        <w:pStyle w:val="TextBody"/>
        <w:spacing w:lineRule="auto" w:line="288" w:before="0" w:after="240"/>
        <w:ind w:left="0" w:right="0" w:firstLine="1440"/>
        <w:jc w:val="both"/>
        <w:rPr/>
      </w:pPr>
      <w:r>
        <w:rPr>
          <w:rFonts w:ascii="Times New Roman;sans-serif" w:hAnsi="Times New Roman;sans-serif"/>
          <w:b w:val="false"/>
          <w:color w:val="000000"/>
          <w:sz w:val="24"/>
        </w:rPr>
        <w:t xml:space="preserve">Upon surrender of American Depositary Shares for the purpose of withdrawal of the Deposited Securities represented thereby and payment of the fee of the Depositary for the surrender of American Depositary Shares as provided in Section 5.9 and payment of all taxes and governmental charges payable in connection with that surrender and withdrawal of the Deposited Securities, and subject to the terms and conditions of this Deposit Agreement, the Owner of those American Depositary Shares shall be entitled to delivery (to the extent delivery can then be lawfully and practicably made), to or as instructed by that Owner, of the amount of Deposited Securities at the time represented by those American Depositary Shares, </w:t>
      </w:r>
      <w:r>
        <w:rPr>
          <w:rFonts w:ascii="Times New Roman;sans-serif" w:hAnsi="Times New Roman;sans-serif"/>
          <w:b w:val="false"/>
          <w:color w:val="000000"/>
          <w:sz w:val="24"/>
          <w:u w:val="single"/>
        </w:rPr>
        <w:t>but not</w:t>
      </w:r>
      <w:r>
        <w:rPr>
          <w:color w:val="000000"/>
        </w:rPr>
        <w:t xml:space="preserve"> </w:t>
      </w:r>
      <w:r>
        <w:rPr>
          <w:rFonts w:ascii="Times New Roman;sans-serif" w:hAnsi="Times New Roman;sans-serif"/>
          <w:b w:val="false"/>
          <w:color w:val="000000"/>
          <w:sz w:val="24"/>
        </w:rPr>
        <w:t xml:space="preserve">any money or other property as to which a record date for distribution to Owners has passed (since money or other property of that kind will be delivered or paid on the scheduled payment date to the Owner as of that record date), </w:t>
      </w:r>
      <w:r>
        <w:rPr>
          <w:rFonts w:ascii="Times New Roman;sans-serif" w:hAnsi="Times New Roman;sans-serif"/>
          <w:b w:val="false"/>
          <w:color w:val="000000"/>
          <w:sz w:val="24"/>
          <w:u w:val="single"/>
        </w:rPr>
        <w:t>and except that</w:t>
      </w:r>
      <w:r>
        <w:rPr>
          <w:color w:val="000000"/>
        </w:rPr>
        <w:t xml:space="preserve"> </w:t>
      </w:r>
      <w:r>
        <w:rPr>
          <w:rFonts w:ascii="Times New Roman;sans-serif" w:hAnsi="Times New Roman;sans-serif"/>
          <w:b w:val="false"/>
          <w:color w:val="000000"/>
          <w:sz w:val="24"/>
        </w:rPr>
        <w:t>the Depositary shall not be required to accept surrender of American Depositary Shares for the purpose of withdrawal to the extent it would require delivery of a fraction of a Deposited Security. That delivery shall be made, as provided in this Section, without unreasonable delay.</w:t>
      </w:r>
    </w:p>
    <w:p>
      <w:pPr>
        <w:pStyle w:val="TextBody"/>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As a condition of accepting a surrender of American Depositary Shares for the purpose of withdrawal of Deposited Securities, the Depositary may require (i) that each surrendered Receipt be properly endorsed in blank or accompanied by proper instruments of transfer in blank and (ii) that the surrendering Owner execute and deliver to the Depositary a written order directing the Depositary to cause the Deposited Securities being withdrawn to be delivered to or upon the written order of a person or persons designated in that order. </w:t>
      </w:r>
    </w:p>
    <w:p>
      <w:pPr>
        <w:pStyle w:val="TextBody"/>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Thereupon, the Depositary shall direct the Custodian to deliver, subject to Sections 2.6, 3.1 and 3.2, the other terms and conditions of this Deposit Agreement and local market rules and practices, to the surrendering Owner or to or upon the written order of the person or persons designated in the order delivered to the Depositary as above provided, the amount of Deposited Securities represented by the surrendered American Depositary Shares, and the Depositary may charge the surrendering Owner a fee and its expenses for giving that direction by cable (including SWIFT) or facsimile transmission.</w:t>
      </w:r>
    </w:p>
    <w:p>
      <w:pPr>
        <w:pStyle w:val="TextBody"/>
        <w:spacing w:lineRule="auto" w:line="288" w:before="0" w:after="240"/>
        <w:ind w:left="0" w:right="0" w:firstLine="1440"/>
        <w:jc w:val="both"/>
        <w:rPr/>
      </w:pPr>
      <w:r>
        <w:rPr>
          <w:rFonts w:ascii="Times New Roman;sans-serif" w:hAnsi="Times New Roman;sans-serif"/>
          <w:b w:val="false"/>
          <w:color w:val="000000"/>
          <w:sz w:val="24"/>
        </w:rPr>
        <w:t xml:space="preserve">If Deposited Securities are delivered physically upon surrender of American Depositary Shares for the purpose of withdrawal, that delivery will be made at the Custodian’s office, </w:t>
      </w:r>
      <w:r>
        <w:rPr>
          <w:rFonts w:ascii="Times New Roman;sans-serif" w:hAnsi="Times New Roman;sans-serif"/>
          <w:b w:val="false"/>
          <w:color w:val="000000"/>
          <w:sz w:val="24"/>
          <w:u w:val="single"/>
        </w:rPr>
        <w:t>except that</w:t>
      </w:r>
      <w:r>
        <w:rPr>
          <w:rFonts w:ascii="Times New Roman;sans-serif" w:hAnsi="Times New Roman;sans-serif"/>
          <w:b w:val="false"/>
          <w:color w:val="000000"/>
          <w:sz w:val="24"/>
        </w:rPr>
        <w:t xml:space="preserve">, at the request, risk and expense of an Owner surrendering American Depositary Shares for withdrawal of Deposited Securities, and for the account of that Owner, the Depositary shall direct the Custodian to forward any cash or other property comprising, and forward a certificate or certificates, if applicable, and other proper documents of title, if any, for, the Deposited Securities represented by the </w:t>
      </w:r>
      <w:r>
        <w:br w:type="page"/>
      </w:r>
    </w:p>
    <w:p>
      <w:pPr>
        <w:pStyle w:val="TextBody"/>
        <w:spacing w:before="120" w:after="240"/>
        <w:jc w:val="center"/>
        <w:rPr/>
      </w:pPr>
      <w:r>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6480175" cy="869950"/>
                <wp:effectExtent l="0" t="0" r="0" b="0"/>
                <wp:wrapNone/>
                <wp:docPr id="319" name="Frame316"/>
                <a:graphic xmlns:a="http://schemas.openxmlformats.org/drawingml/2006/main">
                  <a:graphicData uri="http://schemas.microsoft.com/office/word/2010/wordprocessingShape">
                    <wps:wsp>
                      <wps:cNvSpPr txBox="1"/>
                      <wps:spPr>
                        <a:xfrm>
                          <a:off x="0" y="0"/>
                          <a:ext cx="6480175" cy="869950"/>
                        </a:xfrm>
                        <a:prstGeom prst="rect"/>
                      </wps:spPr>
                      <wps:txbx>
                        <w:txbxContent>
                          <w:p>
                            <w:pPr>
                              <w:pStyle w:val="TextBody"/>
                              <w:spacing w:lineRule="auto" w:line="288"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-10-</w:t>
                            </w:r>
                          </w:p>
                          <w:p>
                            <w:pPr>
                              <w:pStyle w:val="TextBody"/>
                              <w:spacing w:before="24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8.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spacing w:lineRule="auto" w:line="288"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-10-</w:t>
                      </w:r>
                    </w:p>
                    <w:p>
                      <w:pPr>
                        <w:pStyle w:val="TextBody"/>
                        <w:spacing w:before="240" w:after="283"/>
                        <w:jc w:val="center"/>
                        <w:rPr/>
                      </w:pPr>
                      <w:r>
                        <w:rPr/>
                      </w:r>
                    </w:p>
                  </w:txbxContent>
                </v:textbox>
              </v:rect>
            </w:pict>
          </mc:Fallback>
        </mc:AlternateContent>
      </w:r>
    </w:p>
    <w:p>
      <w:pPr>
        <w:pStyle w:val="TextBody"/>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surrendered American Depositary Shares to the Depositary for delivery at the Depositary’s Office or to another address specified in the order received from the surrendering Owner.</w:t>
      </w:r>
    </w:p>
    <w:p>
      <w:pPr>
        <w:pStyle w:val="TextBody"/>
        <w:spacing w:lineRule="auto" w:line="288" w:before="0" w:after="240"/>
        <w:ind w:left="0" w:right="0" w:firstLine="1080"/>
        <w:jc w:val="both"/>
        <w:rPr/>
      </w:pPr>
      <w:r>
        <w:rPr>
          <w:rFonts w:ascii="Times New Roman;sans-serif" w:hAnsi="Times New Roman;sans-serif"/>
          <w:b w:val="false"/>
          <w:color w:val="000000"/>
          <w:sz w:val="24"/>
        </w:rPr>
        <w:t xml:space="preserve">SECTION 2.6 </w:t>
      </w:r>
      <w:r>
        <w:rPr>
          <w:rFonts w:ascii="Times New Roman;sans-serif" w:hAnsi="Times New Roman;sans-serif"/>
          <w:b w:val="false"/>
          <w:color w:val="000000"/>
          <w:sz w:val="24"/>
          <w:u w:val="single"/>
        </w:rPr>
        <w:t>Limitations on Delivery, Registration of Transfer and Surrender of American Depositary Shares.</w:t>
      </w:r>
    </w:p>
    <w:p>
      <w:pPr>
        <w:pStyle w:val="TextBody"/>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As a condition precedent to the delivery, registration of transfer or surrender of any American Depositary Shares or split-up or combination of any Receipt or withdrawal of any Deposited Securities, the Depositary, Custodian or Registrar may require payment from the depositor of Shares or the presenter of the Receipt or instruction for registration of transfer or surrender of American Depositary Shares not evidenced by a Receipt of a sum sufficient to reimburse it for any tax or other governmental charge and any stock transfer or registration fee with respect thereto (including any such tax or charge and fee with respect to Shares being deposited or withdrawn) and payment of any applicable fees as provided in this Deposit Agreement, may require the production of proof satisfactory to it as to the identity and genuineness of any signature and may also require compliance with any regulations the Depositary may establish consistent with the provisions of this Deposit Agreement, including, without limitation, this Section 2.6.</w:t>
      </w:r>
    </w:p>
    <w:p>
      <w:pPr>
        <w:pStyle w:val="TextBody"/>
        <w:spacing w:lineRule="auto" w:line="288" w:before="0" w:after="240"/>
        <w:ind w:left="0" w:right="0" w:firstLine="1440"/>
        <w:jc w:val="both"/>
        <w:rPr/>
      </w:pPr>
      <w:r>
        <w:rPr>
          <w:rFonts w:ascii="Times New Roman;sans-serif" w:hAnsi="Times New Roman;sans-serif"/>
          <w:b w:val="false"/>
          <w:color w:val="000000"/>
          <w:sz w:val="24"/>
        </w:rPr>
        <w:t xml:space="preserve">The Depositary may refuse to accept deposits of Shares for delivery of American Depositary Shares or to register transfers of American Depositary Shares in particular instances, or may suspend deposits of Shares or registration of transfer generally, whenever it or the Company considers it necessary or advisable to do so. The Depositary may refuse surrenders of American Depositary Shares for the purpose of withdrawal of Deposited Securities in particular instances, or may suspend surrenders for the purpose of withdrawal generally, </w:t>
      </w:r>
      <w:r>
        <w:rPr>
          <w:rFonts w:ascii="Times New Roman;sans-serif" w:hAnsi="Times New Roman;sans-serif"/>
          <w:b w:val="false"/>
          <w:color w:val="000000"/>
          <w:sz w:val="24"/>
          <w:u w:val="single"/>
        </w:rPr>
        <w:t>but, notwithstanding anything to the contrary in this Deposit Agreement, only for</w:t>
      </w:r>
      <w:r>
        <w:rPr>
          <w:color w:val="000000"/>
        </w:rPr>
        <w:t xml:space="preserve"> </w:t>
      </w:r>
      <w:r>
        <w:rPr>
          <w:rFonts w:ascii="Times New Roman;sans-serif" w:hAnsi="Times New Roman;sans-serif"/>
          <w:b w:val="false"/>
          <w:color w:val="000000"/>
          <w:sz w:val="24"/>
        </w:rPr>
        <w:t xml:space="preserve">(i) temporary delays caused by closing of the Depositary’s register or the register of holders of Shares maintained by the Company or the Foreign Registrar, or the deposit of Shares, in connection with voting at a shareholders’ meeting or the payment of dividends, (ii) the payment of fees, taxes and similar charges, (iii) compliance with any U.S. or foreign laws or governmental regulations relating to the American Depositary Shares or to the withdrawal of the Deposited Securities or (iv) any other reason that, at the time, is permitted under paragraph I(A)(1) of the General Instructions to Form F-6 under the Securities Act of 1993 or any successor to that provision. </w:t>
      </w:r>
    </w:p>
    <w:p>
      <w:pPr>
        <w:pStyle w:val="TextBody"/>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The Depositary shall not knowingly accept for deposit under this Deposit Agreement any Shares that, at the time of deposit, are Restricted Securities.</w:t>
      </w:r>
      <w:r>
        <w:br w:type="page"/>
      </w:r>
    </w:p>
    <w:p>
      <w:pPr>
        <w:pStyle w:val="TextBody"/>
        <w:spacing w:before="120" w:after="240"/>
        <w:jc w:val="center"/>
        <w:rPr/>
      </w:pPr>
      <w:r>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6480175" cy="869950"/>
                <wp:effectExtent l="0" t="0" r="0" b="0"/>
                <wp:wrapNone/>
                <wp:docPr id="320" name="Frame317"/>
                <a:graphic xmlns:a="http://schemas.openxmlformats.org/drawingml/2006/main">
                  <a:graphicData uri="http://schemas.microsoft.com/office/word/2010/wordprocessingShape">
                    <wps:wsp>
                      <wps:cNvSpPr txBox="1"/>
                      <wps:spPr>
                        <a:xfrm>
                          <a:off x="0" y="0"/>
                          <a:ext cx="6480175" cy="869950"/>
                        </a:xfrm>
                        <a:prstGeom prst="rect"/>
                      </wps:spPr>
                      <wps:txbx>
                        <w:txbxContent>
                          <w:p>
                            <w:pPr>
                              <w:pStyle w:val="TextBody"/>
                              <w:spacing w:lineRule="auto" w:line="288"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-11-</w:t>
                            </w:r>
                          </w:p>
                          <w:p>
                            <w:pPr>
                              <w:pStyle w:val="TextBody"/>
                              <w:spacing w:before="24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8.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spacing w:lineRule="auto" w:line="288"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-11-</w:t>
                      </w:r>
                    </w:p>
                    <w:p>
                      <w:pPr>
                        <w:pStyle w:val="TextBody"/>
                        <w:spacing w:before="240" w:after="283"/>
                        <w:jc w:val="center"/>
                        <w:rPr/>
                      </w:pPr>
                      <w:r>
                        <w:rPr/>
                      </w:r>
                    </w:p>
                  </w:txbxContent>
                </v:textbox>
              </v:rect>
            </w:pict>
          </mc:Fallback>
        </mc:AlternateContent>
      </w:r>
    </w:p>
    <w:p>
      <w:pPr>
        <w:pStyle w:val="TextBody"/>
        <w:spacing w:lineRule="auto" w:line="288" w:before="0" w:after="240"/>
        <w:ind w:left="0" w:right="0" w:firstLine="1080"/>
        <w:jc w:val="both"/>
        <w:rPr/>
      </w:pPr>
      <w:r>
        <w:rPr>
          <w:rFonts w:ascii="Times New Roman;sans-serif" w:hAnsi="Times New Roman;sans-serif"/>
          <w:b w:val="false"/>
          <w:color w:val="000000"/>
          <w:sz w:val="24"/>
        </w:rPr>
        <w:t xml:space="preserve">SECTION 2.7 </w:t>
      </w:r>
      <w:r>
        <w:rPr>
          <w:rFonts w:ascii="Times New Roman;sans-serif" w:hAnsi="Times New Roman;sans-serif"/>
          <w:b w:val="false"/>
          <w:color w:val="000000"/>
          <w:sz w:val="24"/>
          <w:u w:val="single"/>
        </w:rPr>
        <w:t>Lost Receipts, etc.</w:t>
      </w:r>
    </w:p>
    <w:p>
      <w:pPr>
        <w:pStyle w:val="TextBody"/>
        <w:spacing w:lineRule="auto" w:line="288" w:before="0" w:after="240"/>
        <w:ind w:left="0" w:right="0" w:firstLine="1440"/>
        <w:jc w:val="both"/>
        <w:rPr/>
      </w:pPr>
      <w:r>
        <w:rPr>
          <w:rFonts w:ascii="Times New Roman;sans-serif" w:hAnsi="Times New Roman;sans-serif"/>
          <w:b w:val="false"/>
          <w:color w:val="000000"/>
          <w:sz w:val="24"/>
        </w:rPr>
        <w:t xml:space="preserve">If a Receipt is mutilated, destroyed, lost or stolen, the Depositary shall deliver to the Owner the American Depositary Shares evidenced by that Receipt in uncertificated form or, if requested by the Owner, execute and deliver a new Receipt of like tenor in exchange and substitution for such mutilated Receipt, upon surrender and cancellation of that mutilated Receipt, or in lieu of and in substitution for that destroyed, lost or stolen Receipt.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before the Depositary will deliver American Depositary Shares in uncertificated form or execute and deliver a new Receipt, in substitution for a destroyed, lost or stolen Receipt, the Owner must (a) file with the Depositary (i) a request for that replacement before the Depositary has notice that the Receipt has been acquired by a bona fide purchaser and (ii) a sufficient indemnity bond and (b) satisfy any other reasonable requirements imposed by the Depositary.</w:t>
      </w:r>
    </w:p>
    <w:p>
      <w:pPr>
        <w:pStyle w:val="TextBody"/>
        <w:spacing w:lineRule="auto" w:line="288" w:before="0" w:after="240"/>
        <w:ind w:left="0" w:right="0" w:firstLine="1080"/>
        <w:jc w:val="both"/>
        <w:rPr/>
      </w:pPr>
      <w:r>
        <w:rPr>
          <w:rFonts w:ascii="Times New Roman;sans-serif" w:hAnsi="Times New Roman;sans-serif"/>
          <w:b w:val="false"/>
          <w:color w:val="000000"/>
          <w:sz w:val="24"/>
        </w:rPr>
        <w:t xml:space="preserve">SECTION 2.8 </w:t>
      </w:r>
      <w:r>
        <w:rPr>
          <w:rFonts w:ascii="Times New Roman;sans-serif" w:hAnsi="Times New Roman;sans-serif"/>
          <w:b w:val="false"/>
          <w:color w:val="000000"/>
          <w:sz w:val="24"/>
          <w:u w:val="single"/>
        </w:rPr>
        <w:t>Cancellation and Destruction of Surrendered Receipts.</w:t>
      </w:r>
    </w:p>
    <w:p>
      <w:pPr>
        <w:pStyle w:val="TextBody"/>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The Depositary shall cancel all Receipts surrendered to it and is authorized to destroy Receipts so cancelled.</w:t>
      </w:r>
    </w:p>
    <w:p>
      <w:pPr>
        <w:pStyle w:val="TextBody"/>
        <w:spacing w:lineRule="auto" w:line="288" w:before="0" w:after="240"/>
        <w:ind w:left="0" w:right="0" w:firstLine="1080"/>
        <w:jc w:val="both"/>
        <w:rPr/>
      </w:pPr>
      <w:r>
        <w:rPr>
          <w:rFonts w:ascii="Times New Roman;sans-serif" w:hAnsi="Times New Roman;sans-serif"/>
          <w:b w:val="false"/>
          <w:color w:val="000000"/>
          <w:sz w:val="24"/>
        </w:rPr>
        <w:t xml:space="preserve">SECTION 2.9 </w:t>
      </w:r>
      <w:r>
        <w:rPr>
          <w:rFonts w:ascii="Times New Roman;sans-serif" w:hAnsi="Times New Roman;sans-serif"/>
          <w:b w:val="false"/>
          <w:color w:val="000000"/>
          <w:sz w:val="24"/>
          <w:u w:val="single"/>
        </w:rPr>
        <w:t>DTC Direct Registration System and Profile Modification System.</w:t>
      </w:r>
    </w:p>
    <w:p>
      <w:pPr>
        <w:pStyle w:val="TextBody"/>
        <w:spacing w:lineRule="auto" w:line="288" w:before="0" w:after="240"/>
        <w:ind w:left="0" w:right="0" w:firstLine="1440"/>
        <w:jc w:val="both"/>
        <w:rPr/>
      </w:pPr>
      <w:r>
        <w:rPr>
          <w:rFonts w:ascii="Times New Roman;sans-serif" w:hAnsi="Times New Roman;sans-serif"/>
          <w:b w:val="false"/>
          <w:color w:val="000000"/>
          <w:sz w:val="24"/>
        </w:rPr>
        <w:t>(a)    Notwithstanding the provisions of Section 2.4, the parties acknowledge that DTC’s Direct Registration System (“</w:t>
      </w:r>
      <w:r>
        <w:rPr>
          <w:rFonts w:ascii="Times New Roman;sans-serif" w:hAnsi="Times New Roman;sans-serif"/>
          <w:b w:val="false"/>
          <w:color w:val="000000"/>
          <w:sz w:val="24"/>
          <w:u w:val="single"/>
        </w:rPr>
        <w:t>DRS</w:t>
      </w:r>
      <w:r>
        <w:rPr>
          <w:color w:val="000000"/>
        </w:rPr>
        <w:t>”</w:t>
      </w:r>
      <w:r>
        <w:rPr>
          <w:rFonts w:ascii="Times New Roman;sans-serif" w:hAnsi="Times New Roman;sans-serif"/>
          <w:b w:val="false"/>
          <w:color w:val="000000"/>
          <w:sz w:val="24"/>
        </w:rPr>
        <w:t>) and Profile Modification System (“</w:t>
      </w:r>
      <w:r>
        <w:rPr>
          <w:rFonts w:ascii="Times New Roman;sans-serif" w:hAnsi="Times New Roman;sans-serif"/>
          <w:b w:val="false"/>
          <w:color w:val="000000"/>
          <w:sz w:val="24"/>
          <w:u w:val="single"/>
        </w:rPr>
        <w:t>Profile</w:t>
      </w:r>
      <w:r>
        <w:rPr>
          <w:color w:val="000000"/>
        </w:rPr>
        <w:t>”</w:t>
      </w:r>
      <w:r>
        <w:rPr>
          <w:rFonts w:ascii="Times New Roman;sans-serif" w:hAnsi="Times New Roman;sans-serif"/>
          <w:b w:val="false"/>
          <w:color w:val="000000"/>
          <w:sz w:val="24"/>
        </w:rPr>
        <w:t>) apply to the American Depositary Shares upon acceptance thereof to DRS by DTC. DRS is the system administered by DTC that facilitates interchange between registered holding of uncertificated securities and holding of security entitlements in those securities through DTC and a DTC participant. Profile is a required feature of DRS that allows a DTC participant, claiming to act on behalf of an Owner of American Depositary Shares, to direct the Depositary to register a transfer of those American Depositary Shares to DTC or its nominee and to deliver those American Depositary Shares to the DTC account of that DTC participant without receipt by the Depositary of prior authorization from the Owner to register that transfer.</w:t>
      </w:r>
    </w:p>
    <w:p>
      <w:pPr>
        <w:pStyle w:val="TextBody"/>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(b)    In connection with DRS/Profile, the parties acknowledge that the Depositary will not determine whether the DTC participant that is claiming to be acting on behalf of an Owner in requesting a registration of transfer and delivery as described in paragraph (a) above has the actual authority to act on behalf of that Owner (notwithstanding any requirements under the Uniform Commercial Code). For the avoidance of doubt, the provisions of Sections 5.3 and 5.8 apply to the matters arising from the use of the DRS/Profile. The parties agree that the Depositary’s reliance on and compliance with instructions received by the Depositary through the DRS/Profile system </w:t>
      </w:r>
      <w:r>
        <w:br w:type="page"/>
      </w:r>
    </w:p>
    <w:p>
      <w:pPr>
        <w:pStyle w:val="TextBody"/>
        <w:spacing w:before="120" w:after="240"/>
        <w:jc w:val="center"/>
        <w:rPr/>
      </w:pPr>
      <w:r>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6480175" cy="869950"/>
                <wp:effectExtent l="0" t="0" r="0" b="0"/>
                <wp:wrapNone/>
                <wp:docPr id="321" name="Frame318"/>
                <a:graphic xmlns:a="http://schemas.openxmlformats.org/drawingml/2006/main">
                  <a:graphicData uri="http://schemas.microsoft.com/office/word/2010/wordprocessingShape">
                    <wps:wsp>
                      <wps:cNvSpPr txBox="1"/>
                      <wps:spPr>
                        <a:xfrm>
                          <a:off x="0" y="0"/>
                          <a:ext cx="6480175" cy="869950"/>
                        </a:xfrm>
                        <a:prstGeom prst="rect"/>
                      </wps:spPr>
                      <wps:txbx>
                        <w:txbxContent>
                          <w:p>
                            <w:pPr>
                              <w:pStyle w:val="TextBody"/>
                              <w:spacing w:lineRule="auto" w:line="288"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-12-</w:t>
                            </w:r>
                          </w:p>
                          <w:p>
                            <w:pPr>
                              <w:pStyle w:val="TextBody"/>
                              <w:spacing w:before="24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8.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spacing w:lineRule="auto" w:line="288"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-12-</w:t>
                      </w:r>
                    </w:p>
                    <w:p>
                      <w:pPr>
                        <w:pStyle w:val="TextBody"/>
                        <w:spacing w:before="240" w:after="283"/>
                        <w:jc w:val="center"/>
                        <w:rPr/>
                      </w:pPr>
                      <w:r>
                        <w:rPr/>
                      </w:r>
                    </w:p>
                  </w:txbxContent>
                </v:textbox>
              </v:rect>
            </w:pict>
          </mc:Fallback>
        </mc:AlternateContent>
      </w:r>
    </w:p>
    <w:p>
      <w:pPr>
        <w:pStyle w:val="TextBody"/>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and otherwise in accordance with this Deposit Agreement shall not constitute negligence or bad faith on the part of the Depositary.</w:t>
      </w:r>
    </w:p>
    <w:p>
      <w:pPr>
        <w:pStyle w:val="TextBody"/>
        <w:spacing w:lineRule="auto" w:line="288" w:before="0" w:after="240"/>
        <w:ind w:left="0" w:right="0" w:hanging="1496"/>
        <w:jc w:val="both"/>
        <w:rPr>
          <w:rFonts w:ascii="Times New Roman;sans-serif" w:hAnsi="Times New Roman;sans-serif"/>
          <w:b w:val="false"/>
          <w:color w:val="000000"/>
          <w:sz w:val="24"/>
        </w:rPr>
      </w:pPr>
      <w:r>
        <w:rPr>
          <w:rFonts w:ascii="Times New Roman;sans-serif" w:hAnsi="Times New Roman;sans-serif"/>
          <w:b w:val="false"/>
          <w:color w:val="000000"/>
          <w:sz w:val="24"/>
        </w:rPr>
        <w:t>ARTICLE 3.CERTAIN OBLIGATIONS OF OWNERS AND HOLDERS OF AMERICAN DEPOSITARY SHARES</w:t>
      </w:r>
    </w:p>
    <w:p>
      <w:pPr>
        <w:pStyle w:val="TextBody"/>
        <w:spacing w:lineRule="auto" w:line="288" w:before="0" w:after="240"/>
        <w:ind w:left="0" w:right="0" w:firstLine="1080"/>
        <w:jc w:val="both"/>
        <w:rPr/>
      </w:pPr>
      <w:r>
        <w:rPr>
          <w:rFonts w:ascii="Times New Roman;sans-serif" w:hAnsi="Times New Roman;sans-serif"/>
          <w:b w:val="false"/>
          <w:color w:val="000000"/>
          <w:sz w:val="24"/>
        </w:rPr>
        <w:t xml:space="preserve">SECTION 3.1 </w:t>
      </w:r>
      <w:r>
        <w:rPr>
          <w:rFonts w:ascii="Times New Roman;sans-serif" w:hAnsi="Times New Roman;sans-serif"/>
          <w:b w:val="false"/>
          <w:color w:val="000000"/>
          <w:sz w:val="24"/>
          <w:u w:val="single"/>
        </w:rPr>
        <w:t>Filing Proofs, Certificates and Other Information.</w:t>
      </w:r>
    </w:p>
    <w:p>
      <w:pPr>
        <w:pStyle w:val="TextBody"/>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Any person presenting Shares for deposit or any Owner or Holder may be required from time to time to file with the Depositary or the Custodian such proof of citizenship or residence, exchange control approval, or such information relating to the registration on the books of the Company or the Foreign Registrar, if applicable, to execute such certificates and to make such representations and warranties, as the Depositary may reasonably deem necessary or proper, or as the Company may reasonably require by written request to the Depositary. The Depositary may withhold the delivery or registration of transfer of American Depositary Shares, the distribution of any dividend or other distribution or of the proceeds thereof or the delivery of any Deposited Securities until that proof or other information is filed or those certificates are executed or those representations and warranties are made. The Depositary shall provide the Company, upon the Company’s written request and at the Company’s expense, as promptly as practicable, with copies of any information or other materials which the Depositary receives pursuant to this Section, to the extent that the requested disclosure is permitted under applicable law. </w:t>
      </w:r>
    </w:p>
    <w:p>
      <w:pPr>
        <w:pStyle w:val="TextBody"/>
        <w:spacing w:lineRule="auto" w:line="288" w:before="0" w:after="240"/>
        <w:ind w:left="0" w:right="0" w:firstLine="1080"/>
        <w:jc w:val="both"/>
        <w:rPr/>
      </w:pPr>
      <w:r>
        <w:rPr>
          <w:rFonts w:ascii="Times New Roman;sans-serif" w:hAnsi="Times New Roman;sans-serif"/>
          <w:b w:val="false"/>
          <w:color w:val="000000"/>
          <w:sz w:val="24"/>
        </w:rPr>
        <w:t xml:space="preserve">SECTION 3.2 </w:t>
      </w:r>
      <w:r>
        <w:rPr>
          <w:rFonts w:ascii="Times New Roman;sans-serif" w:hAnsi="Times New Roman;sans-serif"/>
          <w:b w:val="false"/>
          <w:color w:val="000000"/>
          <w:sz w:val="24"/>
          <w:u w:val="single"/>
        </w:rPr>
        <w:t>Liability of Owner for Taxes.</w:t>
      </w:r>
    </w:p>
    <w:p>
      <w:pPr>
        <w:pStyle w:val="TextBody"/>
        <w:spacing w:lineRule="auto" w:line="288" w:before="0" w:after="240"/>
        <w:ind w:left="0" w:right="0" w:firstLine="1440"/>
        <w:jc w:val="both"/>
        <w:rPr/>
      </w:pPr>
      <w:r>
        <w:rPr>
          <w:rFonts w:ascii="Times New Roman;sans-serif" w:hAnsi="Times New Roman;sans-serif"/>
          <w:b w:val="false"/>
          <w:color w:val="000000"/>
          <w:sz w:val="24"/>
        </w:rPr>
        <w:t xml:space="preserve">If any tax or other governmental charge shall become payable by the Custodian or the Depositary with respect to or in connection with any American Depositary Shares or any Deposited Securities represented by any American Depositary Shares or in connection with a transaction to which Section 4.8 applies, that tax or other governmental charge shall be payable by the Owner of those American Depositary Shares to the Depositary. The Depositary may refuse to register any transfer of those American Depositary Shares or any withdrawal of Deposited Securities represented by those American Depositary Shares until that payment is made, and may withhold any dividends or other distributions or the proceeds thereof, or may sell for the account of the Owner any part or all of the Deposited Securities represented by those American Depositary Shares and apply those dividends or other distributions or the net proceeds of any sale of that kind in payment of that tax or other governmental charge </w:t>
      </w:r>
      <w:r>
        <w:rPr>
          <w:rFonts w:ascii="Times New Roman;sans-serif" w:hAnsi="Times New Roman;sans-serif"/>
          <w:b w:val="false"/>
          <w:color w:val="000000"/>
          <w:sz w:val="24"/>
          <w:u w:val="single"/>
        </w:rPr>
        <w:t>but</w:t>
      </w:r>
      <w:r>
        <w:rPr>
          <w:rFonts w:ascii="Times New Roman;sans-serif" w:hAnsi="Times New Roman;sans-serif"/>
          <w:b w:val="false"/>
          <w:color w:val="000000"/>
          <w:sz w:val="24"/>
        </w:rPr>
        <w:t xml:space="preserve">, even after a sale of that kind, the Owner of those American Depositary Shares shall remain liable for any deficiency. The Depositary shall distribute any net proceeds of a sale made under this Section that are not used to pay taxes or governmental charges to the Owners entitled to them in accordance with Section 4.1. If the number of Shares represented by each American Depositary Share decreases as a result of a sale of Deposited Securities under </w:t>
      </w:r>
      <w:r>
        <w:br w:type="page"/>
      </w:r>
    </w:p>
    <w:p>
      <w:pPr>
        <w:pStyle w:val="TextBody"/>
        <w:spacing w:before="120" w:after="240"/>
        <w:jc w:val="center"/>
        <w:rPr/>
      </w:pPr>
      <w:r>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6480175" cy="869950"/>
                <wp:effectExtent l="0" t="0" r="0" b="0"/>
                <wp:wrapNone/>
                <wp:docPr id="322" name="Frame319"/>
                <a:graphic xmlns:a="http://schemas.openxmlformats.org/drawingml/2006/main">
                  <a:graphicData uri="http://schemas.microsoft.com/office/word/2010/wordprocessingShape">
                    <wps:wsp>
                      <wps:cNvSpPr txBox="1"/>
                      <wps:spPr>
                        <a:xfrm>
                          <a:off x="0" y="0"/>
                          <a:ext cx="6480175" cy="869950"/>
                        </a:xfrm>
                        <a:prstGeom prst="rect"/>
                      </wps:spPr>
                      <wps:txbx>
                        <w:txbxContent>
                          <w:p>
                            <w:pPr>
                              <w:pStyle w:val="TextBody"/>
                              <w:spacing w:lineRule="auto" w:line="288"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-13-</w:t>
                            </w:r>
                          </w:p>
                          <w:p>
                            <w:pPr>
                              <w:pStyle w:val="TextBody"/>
                              <w:spacing w:before="24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8.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spacing w:lineRule="auto" w:line="288"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-13-</w:t>
                      </w:r>
                    </w:p>
                    <w:p>
                      <w:pPr>
                        <w:pStyle w:val="TextBody"/>
                        <w:spacing w:before="240" w:after="283"/>
                        <w:jc w:val="center"/>
                        <w:rPr/>
                      </w:pPr>
                      <w:r>
                        <w:rPr/>
                      </w:r>
                    </w:p>
                  </w:txbxContent>
                </v:textbox>
              </v:rect>
            </w:pict>
          </mc:Fallback>
        </mc:AlternateContent>
      </w:r>
    </w:p>
    <w:p>
      <w:pPr>
        <w:pStyle w:val="TextBody"/>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this Section, the Depositary may call for surrender of the American Depositary Shares to be exchanged on a mandatory basis for a lesser number of American Depositary Shares and may sell American Depositary Shares to the extent necessary to avoid distributing fractions of American Depositary Shares in that exchange and distribute the net proceeds of that sale to the Owners entitled to them.</w:t>
      </w:r>
    </w:p>
    <w:p>
      <w:pPr>
        <w:pStyle w:val="TextBody"/>
        <w:spacing w:lineRule="auto" w:line="288" w:before="0" w:after="240"/>
        <w:ind w:left="0" w:right="0" w:firstLine="1080"/>
        <w:jc w:val="both"/>
        <w:rPr/>
      </w:pPr>
      <w:r>
        <w:rPr>
          <w:rFonts w:ascii="Times New Roman;sans-serif" w:hAnsi="Times New Roman;sans-serif"/>
          <w:b w:val="false"/>
          <w:color w:val="000000"/>
          <w:sz w:val="24"/>
        </w:rPr>
        <w:t xml:space="preserve">SECTION 3.3 </w:t>
      </w:r>
      <w:r>
        <w:rPr>
          <w:rFonts w:ascii="Times New Roman;sans-serif" w:hAnsi="Times New Roman;sans-serif"/>
          <w:b w:val="false"/>
          <w:color w:val="000000"/>
          <w:sz w:val="24"/>
          <w:u w:val="single"/>
        </w:rPr>
        <w:t>Warranties on Deposit of Shares.</w:t>
      </w:r>
    </w:p>
    <w:p>
      <w:pPr>
        <w:pStyle w:val="TextBody"/>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Every person depositing Shares under this Deposit Agreement shall be deemed thereby to represent and warrant that those Shares and each certificate therefor, if applicable, are validly issued, fully paid and nonassessable and were not issued in violation of any preemptive or similar rights of the holders of outstanding securities of the Company and that the person making that deposit is duly authorized so to do. Every depositing person shall also be deemed to represent that the Shares, at the time of deposit, are not Restricted Securities. All representations and warranties deemed made under this Section shall survive the deposit of Shares and delivery of American Depositary Shares.</w:t>
      </w:r>
    </w:p>
    <w:p>
      <w:pPr>
        <w:pStyle w:val="TextBody"/>
        <w:spacing w:lineRule="auto" w:line="288" w:before="0" w:after="240"/>
        <w:ind w:left="0" w:right="0" w:firstLine="1080"/>
        <w:jc w:val="both"/>
        <w:rPr/>
      </w:pPr>
      <w:r>
        <w:rPr>
          <w:rFonts w:ascii="Times New Roman;sans-serif" w:hAnsi="Times New Roman;sans-serif"/>
          <w:b w:val="false"/>
          <w:color w:val="000000"/>
          <w:sz w:val="24"/>
        </w:rPr>
        <w:t xml:space="preserve">SECTION 3.4 </w:t>
      </w:r>
      <w:r>
        <w:rPr>
          <w:rFonts w:ascii="Times New Roman;sans-serif" w:hAnsi="Times New Roman;sans-serif"/>
          <w:b w:val="false"/>
          <w:color w:val="000000"/>
          <w:sz w:val="24"/>
          <w:u w:val="single"/>
        </w:rPr>
        <w:t>Disclosure of Interests.</w:t>
      </w:r>
    </w:p>
    <w:p>
      <w:pPr>
        <w:pStyle w:val="TextBody"/>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When required in order to comply with applicable laws and regulations or the articles of association or similar document of the Company, the Company may from time to time request each Owner and Holder to provide to the Depositary information relating to: (a) the capacity in which it holds American Depositary Shares, (b) the identity of any Holders or other persons or entities then or previously interested in those American Depositary Shares and the nature of those interests and (c) any other matter where disclosure of such matter is required for that compliance.  Each Owner and Holder agrees to provide all information known to it in response to a request made pursuant to this Section.  Each Holder consents to the disclosure by the Depositary and the Owner or any other Holder through which it holds American Depositary Shares, directly or indirectly, of all information responsive to a request made pursuant to this Section relating to that Holder that is known to that Owner or other Holder.  The Depositary agrees to use reasonable efforts to comply with written instructions requesting that the Depositary forward any request authorized under this Section to the Owners and to forward to the Company any responses it receives in response to that request. The Depositary may charge the Company a fee and its expenses for complying with requests under this Section 3.4.</w:t>
      </w:r>
    </w:p>
    <w:p>
      <w:pPr>
        <w:pStyle w:val="TextBody"/>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ARTICLE 4.THE DEPOSITED SECURITIES</w:t>
      </w:r>
    </w:p>
    <w:p>
      <w:pPr>
        <w:pStyle w:val="TextBody"/>
        <w:spacing w:lineRule="auto" w:line="288" w:before="0" w:after="240"/>
        <w:ind w:left="0" w:right="0" w:firstLine="1080"/>
        <w:jc w:val="both"/>
        <w:rPr/>
      </w:pPr>
      <w:r>
        <w:rPr>
          <w:rFonts w:ascii="Times New Roman;sans-serif" w:hAnsi="Times New Roman;sans-serif"/>
          <w:b w:val="false"/>
          <w:color w:val="000000"/>
          <w:sz w:val="24"/>
        </w:rPr>
        <w:t xml:space="preserve">SECTION 4.1 </w:t>
      </w:r>
      <w:r>
        <w:rPr>
          <w:rFonts w:ascii="Times New Roman;sans-serif" w:hAnsi="Times New Roman;sans-serif"/>
          <w:b w:val="false"/>
          <w:color w:val="000000"/>
          <w:sz w:val="24"/>
          <w:u w:val="single"/>
        </w:rPr>
        <w:t>Cash Distributions.</w:t>
      </w:r>
    </w:p>
    <w:p>
      <w:pPr>
        <w:pStyle w:val="TextBody"/>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Whenever the Depositary receives any cash dividend or other cash distribution on Deposited Securities, the Depositary shall, subject to the provisions of </w:t>
      </w:r>
      <w:r>
        <w:br w:type="page"/>
      </w:r>
    </w:p>
    <w:p>
      <w:pPr>
        <w:pStyle w:val="TextBody"/>
        <w:spacing w:before="120" w:after="240"/>
        <w:jc w:val="center"/>
        <w:rPr/>
      </w:pPr>
      <w:r>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6480175" cy="869950"/>
                <wp:effectExtent l="0" t="0" r="0" b="0"/>
                <wp:wrapNone/>
                <wp:docPr id="323" name="Frame320"/>
                <a:graphic xmlns:a="http://schemas.openxmlformats.org/drawingml/2006/main">
                  <a:graphicData uri="http://schemas.microsoft.com/office/word/2010/wordprocessingShape">
                    <wps:wsp>
                      <wps:cNvSpPr txBox="1"/>
                      <wps:spPr>
                        <a:xfrm>
                          <a:off x="0" y="0"/>
                          <a:ext cx="6480175" cy="869950"/>
                        </a:xfrm>
                        <a:prstGeom prst="rect"/>
                      </wps:spPr>
                      <wps:txbx>
                        <w:txbxContent>
                          <w:p>
                            <w:pPr>
                              <w:pStyle w:val="TextBody"/>
                              <w:spacing w:lineRule="auto" w:line="288"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-14-</w:t>
                            </w:r>
                          </w:p>
                          <w:p>
                            <w:pPr>
                              <w:pStyle w:val="TextBody"/>
                              <w:spacing w:before="24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8.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spacing w:lineRule="auto" w:line="288"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-14-</w:t>
                      </w:r>
                    </w:p>
                    <w:p>
                      <w:pPr>
                        <w:pStyle w:val="TextBody"/>
                        <w:spacing w:before="240" w:after="283"/>
                        <w:jc w:val="center"/>
                        <w:rPr/>
                      </w:pPr>
                      <w:r>
                        <w:rPr/>
                      </w:r>
                    </w:p>
                  </w:txbxContent>
                </v:textbox>
              </v:rect>
            </w:pict>
          </mc:Fallback>
        </mc:AlternateContent>
      </w:r>
    </w:p>
    <w:p>
      <w:pPr>
        <w:pStyle w:val="TextBody"/>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Section 4.5, convert that dividend or other distribution into Dollars and as promptly as practicable, distribute the amount thus received (net of the fees and expenses of the Depositary as provided in Section 5.9) to the Owners entitled thereto, in proportion to the number of American Depositary Shares representing those Deposited Securities held by them respectively; provided, however, that if the Custodian or the Depositary shall be required to withhold and does withhold from that cash dividend or other cash distribution an amount on account of taxes or other governmental charges, the amount distributed to the Owners of the American Depositary Shares representing those Deposited Securities shall be reduced accordingly. However, the Depositary will not pay any Owner a fraction of one cent, but will round each Owner’s entitlement to the nearest whole cent.</w:t>
      </w:r>
    </w:p>
    <w:p>
      <w:pPr>
        <w:pStyle w:val="TextBody"/>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The Company or its agent will remit to the appropriate governmental agency in each applicable jurisdiction all amounts withheld and owing to such agency. </w:t>
      </w:r>
    </w:p>
    <w:p>
      <w:pPr>
        <w:pStyle w:val="TextBody"/>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If a cash distribution would represent a return of all or substantially all the value of the Deposited Securities underlying American Depositary Shares, the Depositary may require surrender of those American Depositary Shares and may require payment of or deduct the fee for surrender of American Depositary Shares (whether or not it is also requiring surrender of American Depositary Shares) as a condition of making that cash distribution. A distribution of that kind shall be a Termination Option Event. </w:t>
      </w:r>
    </w:p>
    <w:p>
      <w:pPr>
        <w:pStyle w:val="TextBody"/>
        <w:spacing w:lineRule="auto" w:line="288" w:before="0" w:after="240"/>
        <w:ind w:left="0" w:right="0" w:firstLine="1080"/>
        <w:jc w:val="both"/>
        <w:rPr/>
      </w:pPr>
      <w:r>
        <w:rPr>
          <w:rFonts w:ascii="Times New Roman;sans-serif" w:hAnsi="Times New Roman;sans-serif"/>
          <w:b w:val="false"/>
          <w:color w:val="000000"/>
          <w:sz w:val="24"/>
        </w:rPr>
        <w:t xml:space="preserve">SECTION 4.2 </w:t>
      </w:r>
      <w:r>
        <w:rPr>
          <w:rFonts w:ascii="Times New Roman;sans-serif" w:hAnsi="Times New Roman;sans-serif"/>
          <w:b w:val="false"/>
          <w:color w:val="000000"/>
          <w:sz w:val="24"/>
          <w:u w:val="single"/>
        </w:rPr>
        <w:t>Distributions Other Than Cash, Shares or Rights.</w:t>
      </w:r>
    </w:p>
    <w:p>
      <w:pPr>
        <w:pStyle w:val="TextBody"/>
        <w:spacing w:lineRule="auto" w:line="288" w:before="0" w:after="240"/>
        <w:ind w:left="0" w:right="0" w:firstLine="1440"/>
        <w:jc w:val="both"/>
        <w:rPr/>
      </w:pPr>
      <w:r>
        <w:rPr>
          <w:rFonts w:ascii="Times New Roman;sans-serif" w:hAnsi="Times New Roman;sans-serif"/>
          <w:b w:val="false"/>
          <w:color w:val="000000"/>
          <w:sz w:val="24"/>
        </w:rPr>
        <w:t xml:space="preserve">Subject to the provisions of Sections 4.11 and 5.9, whenever the Depositary receives any distribution other than a distribution described in Section 4.1, 4.3 or 4.4 on Deposited Securities (but not in exchange for or in conversion or in lieu of Deposited Securities), the Depositary shall cause the securities or property received by it to be distributed to the Owners entitled thereto, after deduction or upon payment of any fees and expenses of the Depositary and any taxes or other governmental charges, in proportion to the number of American Depositary Shares representing such Deposited Securities held by them respectively, in any manner that the Depositary may reasonably deem equitable and practicable for accomplishing that distribution (which may be a distribution of depositary shares representing the securities received);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if in the opinion of the Depositary such distribution cannot be made proportionately among the Owners entitled thereto, or if for any other reason (including, but not limited to, any requirement that the Company or the Depositary withhold an amount on account of taxes or other governmental charges or that securities received must be registered under the Securities Act of 1933 in order to be distributed to Owners or Holders) the Depositary deems such distribution not to be lawful and feasible, the Depositary, after consultation with the Company to the extent practicable, may adopt such other method as it may deem equitable and practicable for the purpose of effecting such distribution, including, but not limited to, the public or private sale of the securities or property thus received, or any part thereof, and distribution of the net proceeds of any such sale (net of </w:t>
      </w:r>
      <w:r>
        <w:br w:type="page"/>
      </w:r>
    </w:p>
    <w:p>
      <w:pPr>
        <w:pStyle w:val="TextBody"/>
        <w:spacing w:before="120" w:after="240"/>
        <w:jc w:val="center"/>
        <w:rPr/>
      </w:pPr>
      <w:r>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6480175" cy="869950"/>
                <wp:effectExtent l="0" t="0" r="0" b="0"/>
                <wp:wrapNone/>
                <wp:docPr id="324" name="Frame321"/>
                <a:graphic xmlns:a="http://schemas.openxmlformats.org/drawingml/2006/main">
                  <a:graphicData uri="http://schemas.microsoft.com/office/word/2010/wordprocessingShape">
                    <wps:wsp>
                      <wps:cNvSpPr txBox="1"/>
                      <wps:spPr>
                        <a:xfrm>
                          <a:off x="0" y="0"/>
                          <a:ext cx="6480175" cy="869950"/>
                        </a:xfrm>
                        <a:prstGeom prst="rect"/>
                      </wps:spPr>
                      <wps:txbx>
                        <w:txbxContent>
                          <w:p>
                            <w:pPr>
                              <w:pStyle w:val="TextBody"/>
                              <w:spacing w:lineRule="auto" w:line="288"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-15-</w:t>
                            </w:r>
                          </w:p>
                          <w:p>
                            <w:pPr>
                              <w:pStyle w:val="TextBody"/>
                              <w:spacing w:before="24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8.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spacing w:lineRule="auto" w:line="288"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-15-</w:t>
                      </w:r>
                    </w:p>
                    <w:p>
                      <w:pPr>
                        <w:pStyle w:val="TextBody"/>
                        <w:spacing w:before="240" w:after="283"/>
                        <w:jc w:val="center"/>
                        <w:rPr/>
                      </w:pPr>
                      <w:r>
                        <w:rPr/>
                      </w:r>
                    </w:p>
                  </w:txbxContent>
                </v:textbox>
              </v:rect>
            </w:pict>
          </mc:Fallback>
        </mc:AlternateContent>
      </w:r>
    </w:p>
    <w:p>
      <w:pPr>
        <w:pStyle w:val="TextBody"/>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the fees and expenses of the Depositary as provided in Section 5.9) to the Owners entitled thereto, all in the manner and subject to the conditions set forth in Section 4.1. The Depositary may withhold any distribution of securities under this Section 4.2 if it has not received satisfactory assurances from the Company that the distribution does not require registration under the Securities Act of 1933. The Depositary may sell, by public or private sale, an amount of securities or other property it would otherwise distribute under this Section 4.2 that is sufficient to pay its fees and expenses in respect of that distribution.</w:t>
      </w:r>
    </w:p>
    <w:p>
      <w:pPr>
        <w:pStyle w:val="TextBody"/>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If a distribution under this Section 4.2 would represent a return of all or substantially all the value of the Deposited Securities underlying American Depositary Shares, the Depositary may require surrender of those American Depositary Shares and may require payment of or deduct the fee for surrender of American Depositary Shares (whether or not it is also requiring surrender of American Depositary Shares) as a condition of making that distribution. A distribution of that kind shall be a Termination Option Event.</w:t>
      </w:r>
    </w:p>
    <w:p>
      <w:pPr>
        <w:pStyle w:val="TextBody"/>
        <w:spacing w:lineRule="auto" w:line="288" w:before="0" w:after="240"/>
        <w:ind w:left="0" w:right="0" w:firstLine="1080"/>
        <w:jc w:val="both"/>
        <w:rPr/>
      </w:pPr>
      <w:r>
        <w:rPr>
          <w:rFonts w:ascii="Times New Roman;sans-serif" w:hAnsi="Times New Roman;sans-serif"/>
          <w:b w:val="false"/>
          <w:color w:val="000000"/>
          <w:sz w:val="24"/>
        </w:rPr>
        <w:t xml:space="preserve">SECTION 4.3 </w:t>
      </w:r>
      <w:r>
        <w:rPr>
          <w:rFonts w:ascii="Times New Roman;sans-serif" w:hAnsi="Times New Roman;sans-serif"/>
          <w:b w:val="false"/>
          <w:color w:val="000000"/>
          <w:sz w:val="24"/>
          <w:u w:val="single"/>
        </w:rPr>
        <w:t>Distributions in Shares.</w:t>
      </w:r>
    </w:p>
    <w:p>
      <w:pPr>
        <w:pStyle w:val="TextBody"/>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Whenever the Depositary receives any distribution on Deposited Securities consisting of a dividend in, or free distribution of, Shares, the Depositary may, and if the Company so requests in writing, shall deliver to the Owners entitled thereto, in proportion to the number of American Depositary Shares representing those Deposited Securities held by them respectively, an aggregate number of American Depositary Shares representing the amount of Shares received as that dividend or free distribution, subject to the terms and conditions of this Deposit Agreement with respect to the deposit of Shares and issuance of American Depositary Shares, including withholding of any tax or governmental charge as provided in Section 4.11 and payment of the fees and expenses of the Depositary as provided in Section 5.9 (and the Depositary may sell, by public or private sale, an amount of the Shares received (or American Depositary Shares representing those Shares) sufficient to pay its fees and expenses in respect of that distribution). In lieu of delivering fractional American Depositary Shares, the Depositary may sell the amount of Shares represented by the aggregate of those fractions (or American Depositary Shares representing those Shares) and distribute the net proceeds, all in the manner and subject to the conditions described in Section 4.1. If and to the extent that additional American Depositary Shares are not delivered and Shares or American Depositary Shares are not sold, each American Depositary Share shall thenceforth also represent the additional Shares distributed on the Deposited Securities represented thereby.</w:t>
      </w:r>
    </w:p>
    <w:p>
      <w:pPr>
        <w:pStyle w:val="TextBody"/>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If the Company declares a distribution in which holders of Deposited Securities have a right to elect whether to receive cash, Shares or other securities or a combination of those things, or a right to elect to have a distribution sold on their behalf, </w:t>
      </w:r>
      <w:r>
        <w:br w:type="page"/>
      </w:r>
    </w:p>
    <w:p>
      <w:pPr>
        <w:pStyle w:val="TextBody"/>
        <w:spacing w:before="120" w:after="240"/>
        <w:jc w:val="center"/>
        <w:rPr/>
      </w:pPr>
      <w:r>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6480175" cy="869950"/>
                <wp:effectExtent l="0" t="0" r="0" b="0"/>
                <wp:wrapNone/>
                <wp:docPr id="325" name="Frame322"/>
                <a:graphic xmlns:a="http://schemas.openxmlformats.org/drawingml/2006/main">
                  <a:graphicData uri="http://schemas.microsoft.com/office/word/2010/wordprocessingShape">
                    <wps:wsp>
                      <wps:cNvSpPr txBox="1"/>
                      <wps:spPr>
                        <a:xfrm>
                          <a:off x="0" y="0"/>
                          <a:ext cx="6480175" cy="869950"/>
                        </a:xfrm>
                        <a:prstGeom prst="rect"/>
                      </wps:spPr>
                      <wps:txbx>
                        <w:txbxContent>
                          <w:p>
                            <w:pPr>
                              <w:pStyle w:val="TextBody"/>
                              <w:spacing w:lineRule="auto" w:line="288"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-16-</w:t>
                            </w:r>
                          </w:p>
                          <w:p>
                            <w:pPr>
                              <w:pStyle w:val="TextBody"/>
                              <w:spacing w:before="24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8.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spacing w:lineRule="auto" w:line="288"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-16-</w:t>
                      </w:r>
                    </w:p>
                    <w:p>
                      <w:pPr>
                        <w:pStyle w:val="TextBody"/>
                        <w:spacing w:before="240" w:after="283"/>
                        <w:jc w:val="center"/>
                        <w:rPr/>
                      </w:pPr>
                      <w:r>
                        <w:rPr/>
                      </w:r>
                    </w:p>
                  </w:txbxContent>
                </v:textbox>
              </v:rect>
            </w:pict>
          </mc:Fallback>
        </mc:AlternateContent>
      </w:r>
    </w:p>
    <w:p>
      <w:pPr>
        <w:pStyle w:val="TextBody"/>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the Depositary may, after consultation with the Company, make that right of election available for exercise by Owners in any manner the Depositary reasonably considers to be lawful and practical. As a condition of making a distribution election right available to Owners, the Depositary may require reasonably satisfactory assurances from the Company that doing so does not require registration of any securities under the Securities Act of 1933.</w:t>
      </w:r>
    </w:p>
    <w:p>
      <w:pPr>
        <w:pStyle w:val="TextBody"/>
        <w:spacing w:lineRule="auto" w:line="288" w:before="0" w:after="240"/>
        <w:ind w:left="0" w:right="0" w:firstLine="1080"/>
        <w:jc w:val="both"/>
        <w:rPr/>
      </w:pPr>
      <w:r>
        <w:rPr>
          <w:rFonts w:ascii="Times New Roman;sans-serif" w:hAnsi="Times New Roman;sans-serif"/>
          <w:b w:val="false"/>
          <w:color w:val="000000"/>
          <w:sz w:val="24"/>
        </w:rPr>
        <w:t xml:space="preserve">SECTION 4.4 </w:t>
      </w:r>
      <w:r>
        <w:rPr>
          <w:rFonts w:ascii="Times New Roman;sans-serif" w:hAnsi="Times New Roman;sans-serif"/>
          <w:b w:val="false"/>
          <w:color w:val="000000"/>
          <w:sz w:val="24"/>
          <w:u w:val="single"/>
        </w:rPr>
        <w:t>Rights.</w:t>
      </w:r>
    </w:p>
    <w:p>
      <w:pPr>
        <w:pStyle w:val="TextBody"/>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(a)    If rights are granted to the Depositary in respect of deposited Shares to purchase additional Shares or other securities, the Company and the Depositary shall endeavor to consult as to the actions, if any, the Depositary should take in connection with that grant of rights. The Depositary may, to the extent reasonably deemed by it to be lawful and practical (i) if requested in writing by the Company, grant to all or certain Owners rights to instruct the Depositary to purchase the securities to which the rights relate and deliver those securities or American Depositary Shares representing those securities to Owners, (ii) if requested in writing by the Company, deliver the rights to or to the order of certain Owners, or (iii) sell the rights to the extent practicable and distribute the net proceeds of that sale to Owners entitled to those proceeds. To the extent rights are not exercised, delivered or disposed of under (i), (ii) or (iii) above, the Depositary shall permit the rights to lapse unexercised.</w:t>
      </w:r>
    </w:p>
    <w:p>
      <w:pPr>
        <w:pStyle w:val="TextBody"/>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(b)    If the Depositary will act under (a)(i) above, the Company and the Depositary will enter into a separate agreement setting forth the conditions and procedures applicable to the particular offering. Upon instruction from an applicable Owner in the form the Depositary specified and upon payment by that Owner to the Depositary of an amount equal to the purchase price of the securities to be received upon the exercise of the rights, the Depositary shall, on behalf of that Owner, exercise the rights and purchase the securities. The purchased securities shall be delivered to, or as instructed by, the Depositary. The Depositary shall (i) deposit the purchased Shares under this Deposit Agreement and deliver American Depositary Shares representing those Shares to that Owner or (ii) deliver or cause the purchased Shares or other securities to be delivered to or to the order of that Owner. The Depositary will not act under (a)(i) above unless the offer and sale of the securities to which the rights relate are registered under the Securities Act of 1933 or the Depositary has received an opinion of United States counsel that is reasonably satisfactory to it to the effect that those securities may be sold and delivered to the applicable Owners without registration under the Securities Act of 1933. For the avoidance of doubt, nothing in this Deposit Agreement shall create any obligation on the part of the Company to file a registration statement with respect to rights or the underlying securities or to endeavor to have such a registration statement declared effective.</w:t>
      </w:r>
      <w:r>
        <w:br w:type="page"/>
      </w:r>
    </w:p>
    <w:p>
      <w:pPr>
        <w:pStyle w:val="TextBody"/>
        <w:spacing w:before="120" w:after="240"/>
        <w:jc w:val="center"/>
        <w:rPr/>
      </w:pPr>
      <w:r>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6480175" cy="869950"/>
                <wp:effectExtent l="0" t="0" r="0" b="0"/>
                <wp:wrapNone/>
                <wp:docPr id="326" name="Frame323"/>
                <a:graphic xmlns:a="http://schemas.openxmlformats.org/drawingml/2006/main">
                  <a:graphicData uri="http://schemas.microsoft.com/office/word/2010/wordprocessingShape">
                    <wps:wsp>
                      <wps:cNvSpPr txBox="1"/>
                      <wps:spPr>
                        <a:xfrm>
                          <a:off x="0" y="0"/>
                          <a:ext cx="6480175" cy="869950"/>
                        </a:xfrm>
                        <a:prstGeom prst="rect"/>
                      </wps:spPr>
                      <wps:txbx>
                        <w:txbxContent>
                          <w:p>
                            <w:pPr>
                              <w:pStyle w:val="TextBody"/>
                              <w:spacing w:lineRule="auto" w:line="288"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-17-</w:t>
                            </w:r>
                          </w:p>
                          <w:p>
                            <w:pPr>
                              <w:pStyle w:val="TextBody"/>
                              <w:spacing w:before="24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8.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spacing w:lineRule="auto" w:line="288"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-17-</w:t>
                      </w:r>
                    </w:p>
                    <w:p>
                      <w:pPr>
                        <w:pStyle w:val="TextBody"/>
                        <w:spacing w:before="240" w:after="283"/>
                        <w:jc w:val="center"/>
                        <w:rPr/>
                      </w:pPr>
                      <w:r>
                        <w:rPr/>
                      </w:r>
                    </w:p>
                  </w:txbxContent>
                </v:textbox>
              </v:rect>
            </w:pict>
          </mc:Fallback>
        </mc:AlternateContent>
      </w:r>
    </w:p>
    <w:p>
      <w:pPr>
        <w:pStyle w:val="TextBody"/>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(c)    If the Depositary will act under (a)(ii) above, the Company and the Depositary will enter into a separate agreement setting forth the conditions and procedures applicable to the particular offering. Upon (i) the request of an applicable Owner to deliver the rights allocable to the American Depositary Shares of that Owner to an account specified by that Owner to which the rights can be delivered and (ii) receipt of such documents as the Company and the Depositary agreed to require to comply with applicable law, the Depositary will deliver those rights as requested by that Owner.</w:t>
      </w:r>
    </w:p>
    <w:p>
      <w:pPr>
        <w:pStyle w:val="TextBody"/>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(d)    If the Depositary will act under (a)(iii) above, the Depositary will use reasonable efforts to sell the rights in proportion to the number of American Depositary Shares held by the applicable Owners and pay the net proceeds to the Owners otherwise entitled to the rights that were sold, upon an averaged or other practical basis without regard to any distinctions among such Owners because of exchange restrictions or the date of delivery of any American Depositary Shares or otherwise. </w:t>
      </w:r>
    </w:p>
    <w:p>
      <w:pPr>
        <w:pStyle w:val="TextBody"/>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(e)    Payment or deduction of the fees of the Depositary as provided in Section 5.9 and payment or deduction of the expenses of the Depositary and any applicable taxes or other governmental charges shall be conditions of any delivery of securities or payment of cash proceeds under this Section 4.4.</w:t>
      </w:r>
    </w:p>
    <w:p>
      <w:pPr>
        <w:pStyle w:val="TextBody"/>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(f)    The Depositary shall not be responsible for any failure to determine that it may be lawful or feasible to make rights available to or exercise rights on behalf of Owners in general or any Owner in particular, or to sell rights.</w:t>
      </w:r>
    </w:p>
    <w:p>
      <w:pPr>
        <w:pStyle w:val="TextBody"/>
        <w:spacing w:lineRule="auto" w:line="288" w:before="0" w:after="240"/>
        <w:ind w:left="0" w:right="0" w:firstLine="1080"/>
        <w:jc w:val="both"/>
        <w:rPr/>
      </w:pPr>
      <w:r>
        <w:rPr>
          <w:rFonts w:ascii="Times New Roman;sans-serif" w:hAnsi="Times New Roman;sans-serif"/>
          <w:b w:val="false"/>
          <w:color w:val="000000"/>
          <w:sz w:val="24"/>
        </w:rPr>
        <w:t xml:space="preserve">SECTION 4.5 </w:t>
      </w:r>
      <w:r>
        <w:rPr>
          <w:rFonts w:ascii="Times New Roman;sans-serif" w:hAnsi="Times New Roman;sans-serif"/>
          <w:b w:val="false"/>
          <w:color w:val="000000"/>
          <w:sz w:val="24"/>
          <w:u w:val="single"/>
        </w:rPr>
        <w:t>Conversion of Foreign Currency.</w:t>
      </w:r>
    </w:p>
    <w:p>
      <w:pPr>
        <w:pStyle w:val="TextBody"/>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Whenever the Depositary or the Custodian receives foreign currency, by way of dividends or other distributions or the net proceeds from the sale of securities, property or rights, and if at the time of the receipt thereof the foreign currency so received can in the judgment of the Depositary be converted on a reasonable basis into Dollars and the resulting Dollars transferred to the United States, the Depositary or one of its agents or affiliates or the Custodian shall convert or cause to be converted by sale or in any other manner that it may determine that foreign currency into Dollars, and those Dollars shall be, as promptly as practicable, distributed to the Owners entitled thereto.  A cash distribution may be made upon an averaged or other practicable basis without regard to any distinctions among Owners based on exchange restrictions, the date of delivery of any American Depositary Shares or otherwise and shall be net of any expenses of conversion into Dollars incurred by the Depositary as provided in Section 5.9.</w:t>
      </w:r>
    </w:p>
    <w:p>
      <w:pPr>
        <w:pStyle w:val="TextBody"/>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If a conversion of foreign currency or the repatriation or distribution of Dollars can be effected only with the approval or license of any government or agency thereof, the Depositary may, but will not be required to, file an application for that approval or license.</w:t>
      </w:r>
      <w:r>
        <w:br w:type="page"/>
      </w:r>
    </w:p>
    <w:p>
      <w:pPr>
        <w:pStyle w:val="TextBody"/>
        <w:spacing w:before="120" w:after="240"/>
        <w:jc w:val="center"/>
        <w:rPr/>
      </w:pPr>
      <w:r>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6480175" cy="869950"/>
                <wp:effectExtent l="0" t="0" r="0" b="0"/>
                <wp:wrapNone/>
                <wp:docPr id="327" name="Frame324"/>
                <a:graphic xmlns:a="http://schemas.openxmlformats.org/drawingml/2006/main">
                  <a:graphicData uri="http://schemas.microsoft.com/office/word/2010/wordprocessingShape">
                    <wps:wsp>
                      <wps:cNvSpPr txBox="1"/>
                      <wps:spPr>
                        <a:xfrm>
                          <a:off x="0" y="0"/>
                          <a:ext cx="6480175" cy="869950"/>
                        </a:xfrm>
                        <a:prstGeom prst="rect"/>
                      </wps:spPr>
                      <wps:txbx>
                        <w:txbxContent>
                          <w:p>
                            <w:pPr>
                              <w:pStyle w:val="TextBody"/>
                              <w:spacing w:lineRule="auto" w:line="288"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-18-</w:t>
                            </w:r>
                          </w:p>
                          <w:p>
                            <w:pPr>
                              <w:pStyle w:val="TextBody"/>
                              <w:spacing w:before="24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8.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spacing w:lineRule="auto" w:line="288"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-18-</w:t>
                      </w:r>
                    </w:p>
                    <w:p>
                      <w:pPr>
                        <w:pStyle w:val="TextBody"/>
                        <w:spacing w:before="240" w:after="283"/>
                        <w:jc w:val="center"/>
                        <w:rPr/>
                      </w:pPr>
                      <w:r>
                        <w:rPr/>
                      </w:r>
                    </w:p>
                  </w:txbxContent>
                </v:textbox>
              </v:rect>
            </w:pict>
          </mc:Fallback>
        </mc:AlternateContent>
      </w:r>
    </w:p>
    <w:p>
      <w:pPr>
        <w:pStyle w:val="TextBody"/>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If the Depositary determines that in its judgment any foreign currency received by the Depositary or the Custodian is not convertible on a reasonable basis into Dollars transferable to the United States, or if any approval or license of any government or agency thereof that is required for such conversion is not filed or sought by the Depositary or is not obtained within a reasonable period as determined by the Depositary, the Depositary may distribute the foreign currency received by the Depositary to, or in its discretion may hold such foreign currency uninvested and without liability for interest thereon for the respective accounts of, the Owners entitled to receive the same.</w:t>
      </w:r>
    </w:p>
    <w:p>
      <w:pPr>
        <w:pStyle w:val="TextBody"/>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If any conversion of foreign currency, in whole or in part, cannot be effected for distribution to some of the Owners entitled thereto, the Depositary may in its discretion make that conversion and distribution in Dollars to the extent practicable and permissible to the Owners entitled thereto and may distribute the balance of the foreign currency received by the Depositary to, or hold that balance uninvested and without liability for interest thereon for the account of, the Owners entitled thereto.</w:t>
      </w:r>
    </w:p>
    <w:p>
      <w:pPr>
        <w:pStyle w:val="TextBody"/>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The Depositary may convert currency itself or through any of its affiliates, or the Custodian or the Company may convert currency and pay Dollars to the Depositary. Where the Depositary converts currency itself or through any of its affiliates, the Depositary acts as principal for its own account and not as agent, advisor, broker or fiduciary on behalf of any other person and earns revenue, including, without limitation, transaction spreads, that it will retain for its own account.  The revenue is based on, among other things, the difference between the exchange rate assigned to the currency conversion made under this Deposit Agreement and the rate that the Depositary or its affiliate receives when buying or selling foreign currency for its own account.  The Depositary makes no representation that the exchange rate used or obtained by it or its affiliate in any currency conversion under this Deposit Agreement will be the most favorable rate that could be obtained at the time or that the method by which that rate will be determined will be the most favorable to Owners, subject to the Depositary’s obligations under Section 5.3.  The methodology used to determine exchange rates used in currency conversions made by the Depositary is available upon request. Where the Custodian converts currency, the Custodian has no obligation to obtain the most favorable rate that could be obtained at the time or to ensure that the method by which that rate will be determined will be the most favorable to Owners, and the Depositary makes no representation that the rate is the most favorable rate and will not be liable for any direct or indirect losses associated with the rate.  In certain instances, the Depositary may receive dividends or other distributions from the Company in Dollars that represent the proceeds of a conversion of foreign currency or translation from foreign currency at a rate that was obtained or determined by or on behalf of the Company and, in such cases, the Depositary will not engage in, or be responsible for, any foreign currency transactions and neither it nor the Company makes any representation that the rate obtained or determined by the Company is the most favorable rate and neither it nor the Company will be liable for any direct or indirect losses associated with the rate. </w:t>
      </w:r>
      <w:r>
        <w:br w:type="page"/>
      </w:r>
    </w:p>
    <w:p>
      <w:pPr>
        <w:pStyle w:val="TextBody"/>
        <w:spacing w:before="120" w:after="240"/>
        <w:jc w:val="center"/>
        <w:rPr/>
      </w:pPr>
      <w:r>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6480175" cy="869950"/>
                <wp:effectExtent l="0" t="0" r="0" b="0"/>
                <wp:wrapNone/>
                <wp:docPr id="328" name="Frame325"/>
                <a:graphic xmlns:a="http://schemas.openxmlformats.org/drawingml/2006/main">
                  <a:graphicData uri="http://schemas.microsoft.com/office/word/2010/wordprocessingShape">
                    <wps:wsp>
                      <wps:cNvSpPr txBox="1"/>
                      <wps:spPr>
                        <a:xfrm>
                          <a:off x="0" y="0"/>
                          <a:ext cx="6480175" cy="869950"/>
                        </a:xfrm>
                        <a:prstGeom prst="rect"/>
                      </wps:spPr>
                      <wps:txbx>
                        <w:txbxContent>
                          <w:p>
                            <w:pPr>
                              <w:pStyle w:val="TextBody"/>
                              <w:spacing w:lineRule="auto" w:line="288"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-19-</w:t>
                            </w:r>
                          </w:p>
                          <w:p>
                            <w:pPr>
                              <w:pStyle w:val="TextBody"/>
                              <w:spacing w:before="24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8.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spacing w:lineRule="auto" w:line="288"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-19-</w:t>
                      </w:r>
                    </w:p>
                    <w:p>
                      <w:pPr>
                        <w:pStyle w:val="TextBody"/>
                        <w:spacing w:before="240" w:after="283"/>
                        <w:jc w:val="center"/>
                        <w:rPr/>
                      </w:pPr>
                      <w:r>
                        <w:rPr/>
                      </w:r>
                    </w:p>
                  </w:txbxContent>
                </v:textbox>
              </v:rect>
            </w:pict>
          </mc:Fallback>
        </mc:AlternateContent>
      </w:r>
    </w:p>
    <w:p>
      <w:pPr>
        <w:pStyle w:val="TextBody"/>
        <w:spacing w:lineRule="auto" w:line="288" w:before="0" w:after="240"/>
        <w:ind w:left="0" w:right="0" w:firstLine="1080"/>
        <w:jc w:val="both"/>
        <w:rPr/>
      </w:pPr>
      <w:r>
        <w:rPr>
          <w:rFonts w:ascii="Times New Roman;sans-serif" w:hAnsi="Times New Roman;sans-serif"/>
          <w:b w:val="false"/>
          <w:color w:val="000000"/>
          <w:sz w:val="24"/>
        </w:rPr>
        <w:t xml:space="preserve">SECTION 4.6 </w:t>
      </w:r>
      <w:r>
        <w:rPr>
          <w:rFonts w:ascii="Times New Roman;sans-serif" w:hAnsi="Times New Roman;sans-serif"/>
          <w:b w:val="false"/>
          <w:color w:val="000000"/>
          <w:sz w:val="24"/>
          <w:u w:val="single"/>
        </w:rPr>
        <w:t>Fixing of Record Date.</w:t>
      </w:r>
    </w:p>
    <w:p>
      <w:pPr>
        <w:pStyle w:val="TextBody"/>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Whenever a cash dividend, cash distribution or any other distribution is made on Deposited Securities or rights to purchase Shares or other securities are issued with respect to Deposited Securities (which rights will be delivered to or exercised or sold on behalf of Owners in accordance with Section 4.4) or the Depositary receives notice that a distribution or issuance of that kind will be made, or whenever the Depositary receives notice that a meeting of holders of Shares will be held in respect of which the Company has requested the Depositary to send a notice under Section 4.7, or whenever the Depositary will assess a fee or charge against the Owners, or whenever the Depositary causes a change in the number of Shares that are represented by each American Depositary Share, or whenever the Depositary otherwise finds it necessary or convenient, the Depositary shall fix a record date, which shall be the same as, or as near as practicable to, any corresponding record date set by the Company with respect to Shares, (a) for the determination of the Owners (i) who shall be entitled to receive the benefit of that dividend or other distribution or those rights, (ii) who shall be entitled to give instructions for the exercise of voting rights at that meeting, (iii) who shall be responsible for that fee or charge or (iv) for any other purpose for which the record date was set, or (b) on or after which each American Depositary Share will represent the changed number of Shares. Subject to the provisions of Sections 4.1 through 4.5 and to the other terms and conditions of this Deposit Agreement, the Owners on a record date fixed by the Depositary shall be entitled to receive the amount distributable by the Depositary with respect to that dividend or other distribution or those rights or the net proceeds of sale thereof in proportion to the number of American Depositary Shares held by them respectively, to give voting instructions or to act in respect of the other matter for which that record date was fixed, or be responsible for that fee or charge, as the case may be.</w:t>
      </w:r>
    </w:p>
    <w:p>
      <w:pPr>
        <w:pStyle w:val="TextBody"/>
        <w:spacing w:lineRule="auto" w:line="288" w:before="0" w:after="240"/>
        <w:ind w:left="0" w:right="0" w:firstLine="1080"/>
        <w:jc w:val="both"/>
        <w:rPr/>
      </w:pPr>
      <w:r>
        <w:rPr>
          <w:rFonts w:ascii="Times New Roman;sans-serif" w:hAnsi="Times New Roman;sans-serif"/>
          <w:b w:val="false"/>
          <w:color w:val="000000"/>
          <w:sz w:val="24"/>
        </w:rPr>
        <w:t xml:space="preserve">SECTION 4.7 </w:t>
      </w:r>
      <w:r>
        <w:rPr>
          <w:rFonts w:ascii="Times New Roman;sans-serif" w:hAnsi="Times New Roman;sans-serif"/>
          <w:b w:val="false"/>
          <w:color w:val="000000"/>
          <w:sz w:val="24"/>
          <w:u w:val="single"/>
        </w:rPr>
        <w:t>Voting of Deposited Shares.</w:t>
      </w:r>
    </w:p>
    <w:p>
      <w:pPr>
        <w:pStyle w:val="TextBody"/>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(a)    Upon receipt of notice of any meeting of holders of Shares at which holders of Shares will be entitled to vote, if requested in writing by the Company, the Depositary shall, as soon as practicable thereafter, Disseminate to the Owners a notice, the form of which shall be in the sole discretion of the Depositary, that shall contain (i) the information contained in the notice of meeting received by the Depositary, (ii) a statement that the Owners as of the close of business on a specified record date will be entitled, subject to any applicable provision of the laws of the Cayman Islands and of the articles of association or similar documents of the Company, to instruct the Depositary as to the exercise of the voting rights pertaining to the amount of Shares represented by their respective American Depositary Shares, (iii) a statement as to the manner in which those instructions may be given including an express indication that instructions may be given or deemed given in accordance with the last sentence of paragraph (b) below, if no instruction is received, to the Depositary to give a </w:t>
      </w:r>
      <w:r>
        <w:br w:type="page"/>
      </w:r>
    </w:p>
    <w:p>
      <w:pPr>
        <w:pStyle w:val="TextBody"/>
        <w:spacing w:before="120" w:after="240"/>
        <w:jc w:val="center"/>
        <w:rPr/>
      </w:pPr>
      <w:r>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6480175" cy="869950"/>
                <wp:effectExtent l="0" t="0" r="0" b="0"/>
                <wp:wrapNone/>
                <wp:docPr id="329" name="Frame326"/>
                <a:graphic xmlns:a="http://schemas.openxmlformats.org/drawingml/2006/main">
                  <a:graphicData uri="http://schemas.microsoft.com/office/word/2010/wordprocessingShape">
                    <wps:wsp>
                      <wps:cNvSpPr txBox="1"/>
                      <wps:spPr>
                        <a:xfrm>
                          <a:off x="0" y="0"/>
                          <a:ext cx="6480175" cy="869950"/>
                        </a:xfrm>
                        <a:prstGeom prst="rect"/>
                      </wps:spPr>
                      <wps:txbx>
                        <w:txbxContent>
                          <w:p>
                            <w:pPr>
                              <w:pStyle w:val="TextBody"/>
                              <w:spacing w:lineRule="auto" w:line="288"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-20-</w:t>
                            </w:r>
                          </w:p>
                          <w:p>
                            <w:pPr>
                              <w:pStyle w:val="TextBody"/>
                              <w:spacing w:before="24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8.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spacing w:lineRule="auto" w:line="288"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-20-</w:t>
                      </w:r>
                    </w:p>
                    <w:p>
                      <w:pPr>
                        <w:pStyle w:val="TextBody"/>
                        <w:spacing w:before="240" w:after="283"/>
                        <w:jc w:val="center"/>
                        <w:rPr/>
                      </w:pPr>
                      <w:r>
                        <w:rPr/>
                      </w:r>
                    </w:p>
                  </w:txbxContent>
                </v:textbox>
              </v:rect>
            </w:pict>
          </mc:Fallback>
        </mc:AlternateContent>
      </w:r>
    </w:p>
    <w:p>
      <w:pPr>
        <w:pStyle w:val="TextBody"/>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discretionary proxy to a person designated by the Company, and (iv) the last date on which the Depositary will accept instructions (the “Instruction Cutoff Date”). </w:t>
      </w:r>
    </w:p>
    <w:p>
      <w:pPr>
        <w:pStyle w:val="TextBody"/>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(b)    Upon the written request of an Owner of American Depositary Shares, as of the date of the request or, if a record date was specified by the Depositary, as of that record date, received on or before any Instruction Cutoff Date established by the Depositary, the Depositary may, and if the Depositary sent a notice under the preceding paragraph shall, endeavor, in so far as practicable, to vote or cause to be voted the amount of deposited Shares represented by those American Depositary Shares in accordance with the instructions set forth in that request. The Depositary shall not vote or attempt to exercise the right to vote that attaches to the deposited Shares other than in accordance with instructions given by Owners and received by the Depositary or as provided in the following sentence. If:</w:t>
      </w:r>
    </w:p>
    <w:p>
      <w:pPr>
        <w:pStyle w:val="TextBody"/>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 the Company instructed the Depositary to Disseminate a notice under paragraph (a) above and complied with paragraph (d) below,</w:t>
      </w:r>
    </w:p>
    <w:p>
      <w:pPr>
        <w:pStyle w:val="TextBody"/>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(ii) no instructions are received by the Depositary from an Owner with respect to a matter and an amount of American Depositary Shares of that Owner on or before the Instruction Cutoff Date, and</w:t>
      </w:r>
    </w:p>
    <w:p>
      <w:pPr>
        <w:pStyle w:val="TextBody"/>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(iii) the Depositary has received from the Company, by the business day following the Instruction Cutoff Date, a written confirmation that, as of the Instruction Cutoff Date, (x) the Company wishes a proxy to be given under this sentence, (y) the Company reasonably does not know of any substantial opposition to the matter and (z) the matter is not materially adverse to the interests of shareholders,</w:t>
      </w:r>
    </w:p>
    <w:p>
      <w:pPr>
        <w:pStyle w:val="TextBody"/>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then, the Depositary shall deem that Owner to have instructed the Depositary to give a discretionary proxy to a person designated by the Company with respect to that matter and the amount of deposited Shares represented by that amount of American Depositary Shares and the Depositary shall give a discretionary proxy to a person designated by the Company to vote that amount of deposited Shares as to that matter. </w:t>
      </w:r>
    </w:p>
    <w:p>
      <w:pPr>
        <w:pStyle w:val="TextBody"/>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(c)    There can be no assurance that Owners generally or any Owner in particular will receive the notice described in paragraph (a) above in time to enable Owners to give instructions to the Depositary prior to the Instruction Cutoff Date.</w:t>
      </w:r>
    </w:p>
    <w:p>
      <w:pPr>
        <w:pStyle w:val="TextBody"/>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(d)    In order to give Owners a reasonable opportunity to instruct the Depositary as to the exercise of voting rights relating to Shares, if the Company will request the Depositary to Disseminate a notice under paragraph (a) above, the Company shall give the Depositary notice of the meeting, details concerning the matters to be voted </w:t>
      </w:r>
      <w:r>
        <w:br w:type="page"/>
      </w:r>
    </w:p>
    <w:p>
      <w:pPr>
        <w:pStyle w:val="TextBody"/>
        <w:spacing w:before="120" w:after="240"/>
        <w:jc w:val="center"/>
        <w:rPr/>
      </w:pPr>
      <w:r>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6480175" cy="869950"/>
                <wp:effectExtent l="0" t="0" r="0" b="0"/>
                <wp:wrapNone/>
                <wp:docPr id="330" name="Frame327"/>
                <a:graphic xmlns:a="http://schemas.openxmlformats.org/drawingml/2006/main">
                  <a:graphicData uri="http://schemas.microsoft.com/office/word/2010/wordprocessingShape">
                    <wps:wsp>
                      <wps:cNvSpPr txBox="1"/>
                      <wps:spPr>
                        <a:xfrm>
                          <a:off x="0" y="0"/>
                          <a:ext cx="6480175" cy="869950"/>
                        </a:xfrm>
                        <a:prstGeom prst="rect"/>
                      </wps:spPr>
                      <wps:txbx>
                        <w:txbxContent>
                          <w:p>
                            <w:pPr>
                              <w:pStyle w:val="TextBody"/>
                              <w:spacing w:lineRule="auto" w:line="288"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-21-</w:t>
                            </w:r>
                          </w:p>
                          <w:p>
                            <w:pPr>
                              <w:pStyle w:val="TextBody"/>
                              <w:spacing w:before="24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8.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spacing w:lineRule="auto" w:line="288"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-21-</w:t>
                      </w:r>
                    </w:p>
                    <w:p>
                      <w:pPr>
                        <w:pStyle w:val="TextBody"/>
                        <w:spacing w:before="240" w:after="283"/>
                        <w:jc w:val="center"/>
                        <w:rPr/>
                      </w:pPr>
                      <w:r>
                        <w:rPr/>
                      </w:r>
                    </w:p>
                  </w:txbxContent>
                </v:textbox>
              </v:rect>
            </w:pict>
          </mc:Fallback>
        </mc:AlternateContent>
      </w:r>
    </w:p>
    <w:p>
      <w:pPr>
        <w:pStyle w:val="TextBody"/>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upon and copies of materials to be made available to holders of Shares in connection with the meeting not less than 45 days prior to the meeting date.</w:t>
      </w:r>
    </w:p>
    <w:p>
      <w:pPr>
        <w:pStyle w:val="TextBody"/>
        <w:spacing w:lineRule="auto" w:line="288" w:before="0" w:after="240"/>
        <w:ind w:left="0" w:right="0" w:firstLine="1080"/>
        <w:jc w:val="both"/>
        <w:rPr/>
      </w:pPr>
      <w:r>
        <w:rPr>
          <w:rFonts w:ascii="Times New Roman;sans-serif" w:hAnsi="Times New Roman;sans-serif"/>
          <w:b w:val="false"/>
          <w:color w:val="000000"/>
          <w:sz w:val="24"/>
        </w:rPr>
        <w:t xml:space="preserve">SECTION 4.8 </w:t>
      </w:r>
      <w:r>
        <w:rPr>
          <w:rFonts w:ascii="Times New Roman;sans-serif" w:hAnsi="Times New Roman;sans-serif"/>
          <w:b w:val="false"/>
          <w:color w:val="000000"/>
          <w:sz w:val="24"/>
          <w:u w:val="single"/>
        </w:rPr>
        <w:t>Tender and Exchange Offers; Redemption, Replacement or Cancellation of Deposited Securities.</w:t>
      </w:r>
    </w:p>
    <w:p>
      <w:pPr>
        <w:pStyle w:val="TextBody"/>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(a)    The Depositary shall not tender any Deposited Securities in response to any voluntary cash tender offer, exchange offer or similar offer made to holders of Deposited Securities (a “Voluntary Offer”), except when instructed in writing to do so by an Owner surrendering American Depositary Shares and subject to any conditions or procedures the Depositary may reasonably require.</w:t>
      </w:r>
    </w:p>
    <w:p>
      <w:pPr>
        <w:pStyle w:val="TextBody"/>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(b)    If the Depositary receives a written notice that Deposited Securities have been redeemed for cash or otherwise purchased for cash in a transaction that is mandatory and binding on the Depositary as a holder of those Deposited Securities (a “Redemption”), the Depositary, at the expense of the Company, shall (i) if required, surrender Deposited Securities that have been redeemed to the issuer of those securities or its agent on the redemption date, (ii) Disseminate a notice to Owners (A) notifying them of that Redemption, (B) calling for surrender of a corresponding number of American Depositary Shares and (C) notifying them that the called American Depositary Shares have been converted into a right only to receive the money received by the Depositary upon that Redemption and those net proceeds shall be the Deposited Securities to which Owners of those converted American Depositary Shares shall be entitled upon surrenders of those American Depositary Shares in accordance with Section 2.5 or 6.2 and (iii) distribute the money received upon that Redemption to the Owners entitled to it upon surrender by them of called American Depositary Shares in accordance with Section 2.5 (and, for the avoidance of doubt, Owners shall not be entitled to receive that money under Section 4.1). If the Redemption affects less than all the Deposited Securities, the Depositary shall call for surrender a corresponding portion of the outstanding American Depositary Shares and only those American Depositary Shares will automatically be converted into a right to receive the net proceeds of the Redemption. The Depositary shall allocate the American Depositary Shares converted under the preceding sentence among the Owners pro-rata to their respective holdings of American Depositary Shares immediately prior to the Redemption, except that the allocations may be adjusted so that no fraction of a converted American Depositary Share is allocated to any Owner. A Redemption of all or substantially all of the Deposited Securities shall be a Termination Option Event.</w:t>
      </w:r>
    </w:p>
    <w:p>
      <w:pPr>
        <w:pStyle w:val="TextBody"/>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(c)    If the Depositary is notified of or there occurs any change in nominal value or any subdivision, combination or any other reclassification of the Deposited Securities or any recapitalization, reorganization, sale of assets substantially as an entirety, merger or consolidation affecting the issuer of the Deposited Securities or to which it is a party that is mandatory and binding on the Depositary as a holder of </w:t>
      </w:r>
      <w:r>
        <w:br w:type="page"/>
      </w:r>
    </w:p>
    <w:p>
      <w:pPr>
        <w:pStyle w:val="TextBody"/>
        <w:spacing w:before="120" w:after="240"/>
        <w:jc w:val="center"/>
        <w:rPr/>
      </w:pPr>
      <w:r>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6480175" cy="869950"/>
                <wp:effectExtent l="0" t="0" r="0" b="0"/>
                <wp:wrapNone/>
                <wp:docPr id="331" name="Frame328"/>
                <a:graphic xmlns:a="http://schemas.openxmlformats.org/drawingml/2006/main">
                  <a:graphicData uri="http://schemas.microsoft.com/office/word/2010/wordprocessingShape">
                    <wps:wsp>
                      <wps:cNvSpPr txBox="1"/>
                      <wps:spPr>
                        <a:xfrm>
                          <a:off x="0" y="0"/>
                          <a:ext cx="6480175" cy="869950"/>
                        </a:xfrm>
                        <a:prstGeom prst="rect"/>
                      </wps:spPr>
                      <wps:txbx>
                        <w:txbxContent>
                          <w:p>
                            <w:pPr>
                              <w:pStyle w:val="TextBody"/>
                              <w:spacing w:lineRule="auto" w:line="288"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-22-</w:t>
                            </w:r>
                          </w:p>
                          <w:p>
                            <w:pPr>
                              <w:pStyle w:val="TextBody"/>
                              <w:spacing w:before="24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8.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spacing w:lineRule="auto" w:line="288"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-22-</w:t>
                      </w:r>
                    </w:p>
                    <w:p>
                      <w:pPr>
                        <w:pStyle w:val="TextBody"/>
                        <w:spacing w:before="240" w:after="283"/>
                        <w:jc w:val="center"/>
                        <w:rPr/>
                      </w:pPr>
                      <w:r>
                        <w:rPr/>
                      </w:r>
                    </w:p>
                  </w:txbxContent>
                </v:textbox>
              </v:rect>
            </w:pict>
          </mc:Fallback>
        </mc:AlternateContent>
      </w:r>
    </w:p>
    <w:p>
      <w:pPr>
        <w:pStyle w:val="TextBody"/>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Deposited Securities and, as a result, securities or other property have been or will be delivered in exchange, conversion, replacement or in lieu of, Deposited Securities (a “Replacement”), the Depositary shall, if required, surrender the old Deposited Securities affected by that Replacement of Shares and hold, as new Deposited Securities under this Deposit Agreement, the new securities or other property delivered to it in that Replacement. However, the Depositary may elect to sell those new Deposited Securities if in the reasonable opinion of the Depositary it is not lawful or not practical for it to hold those new Deposited Securities under this Deposit Agreement because those new Deposited Securities may not be distributed to Owners without registration under the Securities Act of 1933 or for any other reason, at public or private sale, at such places and on such terms as it reasonably deems proper and proceed as if those new Deposited Securities had been Redeemed under paragraph (b) above. A Replacement shall be a Termination Option Event. </w:t>
      </w:r>
    </w:p>
    <w:p>
      <w:pPr>
        <w:pStyle w:val="TextBody"/>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(d)    In the case of a Replacement where the new Deposited Securities will continue to be held under this Deposit Agreement, the Depositary may call for the surrender of outstanding Receipts to be exchanged for new Receipts specifically describing the new Deposited Securities and the number of those new Deposited Securities represented by each American Depositary Share. If the number of Shares represented by each American Depositary Share decreases as a result of a Replacement, the Depositary may call for surrender of the American Depositary Shares to be exchanged on a mandatory basis for a lesser number of American Depositary Shares and may sell American Depositary Shares to the extent necessary to avoid distributing fractions of American Depositary Shares in that exchange and distribute the net proceeds of that sale, as promptly as practicable, to the Owners entitled to them.</w:t>
      </w:r>
    </w:p>
    <w:p>
      <w:pPr>
        <w:pStyle w:val="TextBody"/>
        <w:spacing w:lineRule="auto" w:line="288" w:before="0" w:after="240"/>
        <w:ind w:left="0" w:right="0" w:firstLine="1440"/>
        <w:jc w:val="both"/>
        <w:rPr/>
      </w:pPr>
      <w:r>
        <w:rPr>
          <w:rFonts w:ascii="Times New Roman;sans-serif" w:hAnsi="Times New Roman;sans-serif"/>
          <w:b w:val="false"/>
          <w:color w:val="000000"/>
          <w:sz w:val="24"/>
        </w:rPr>
        <w:t xml:space="preserve">(e)    If there are no Deposited Securities with respect to American Depositary Shares, including if the Deposited Securities are cancelled, or the Deposited Securities with respect to American Depositary Shares have become apparently worthless, the Depositary may call for surrender of those American Depositary Shares or may cancel those American Depositary Shares, upon notice to Owners, and that condition shall be a </w:t>
      </w:r>
      <w:r>
        <w:rPr>
          <w:rFonts w:ascii="Times New Roman;sans-serif" w:hAnsi="Times New Roman;sans-serif"/>
          <w:b w:val="false"/>
          <w:color w:val="000000"/>
          <w:sz w:val="24"/>
          <w:u w:val="single"/>
        </w:rPr>
        <w:t>Termination Option Event</w:t>
      </w:r>
      <w:r>
        <w:rPr>
          <w:rFonts w:ascii="Times New Roman;sans-serif" w:hAnsi="Times New Roman;sans-serif"/>
          <w:b w:val="false"/>
          <w:color w:val="000000"/>
          <w:sz w:val="24"/>
        </w:rPr>
        <w:t>.</w:t>
      </w:r>
    </w:p>
    <w:p>
      <w:pPr>
        <w:pStyle w:val="TextBody"/>
        <w:spacing w:lineRule="auto" w:line="288" w:before="0" w:after="240"/>
        <w:ind w:left="0" w:right="0" w:firstLine="1080"/>
        <w:jc w:val="both"/>
        <w:rPr/>
      </w:pPr>
      <w:r>
        <w:rPr>
          <w:rFonts w:ascii="Times New Roman;sans-serif" w:hAnsi="Times New Roman;sans-serif"/>
          <w:b w:val="false"/>
          <w:color w:val="000000"/>
          <w:sz w:val="24"/>
        </w:rPr>
        <w:t xml:space="preserve">SECTION 4.9 </w:t>
      </w:r>
      <w:r>
        <w:rPr>
          <w:rFonts w:ascii="Times New Roman;sans-serif" w:hAnsi="Times New Roman;sans-serif"/>
          <w:b w:val="false"/>
          <w:color w:val="000000"/>
          <w:sz w:val="24"/>
          <w:u w:val="single"/>
        </w:rPr>
        <w:t>Reports.</w:t>
      </w:r>
    </w:p>
    <w:p>
      <w:pPr>
        <w:pStyle w:val="TextBody"/>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The Depositary shall make available for inspection by Owners at its Office any reports and communications, including any proxy solicitation material, received from the Company which are both (a) received by the Depositary as the holder of the Deposited Securities and (b) made generally available to the holders of those Deposited Securities by the Company. The Company shall furnish reports and communications, including any proxy soliciting material to which this Section applies, to the Depositary in English, to the extent those materials are required to be translated into English pursuant to any regulations of the Commission.</w:t>
      </w:r>
      <w:r>
        <w:br w:type="page"/>
      </w:r>
    </w:p>
    <w:p>
      <w:pPr>
        <w:pStyle w:val="TextBody"/>
        <w:spacing w:before="120" w:after="240"/>
        <w:jc w:val="center"/>
        <w:rPr/>
      </w:pPr>
      <w:r>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6480175" cy="869950"/>
                <wp:effectExtent l="0" t="0" r="0" b="0"/>
                <wp:wrapNone/>
                <wp:docPr id="332" name="Frame329"/>
                <a:graphic xmlns:a="http://schemas.openxmlformats.org/drawingml/2006/main">
                  <a:graphicData uri="http://schemas.microsoft.com/office/word/2010/wordprocessingShape">
                    <wps:wsp>
                      <wps:cNvSpPr txBox="1"/>
                      <wps:spPr>
                        <a:xfrm>
                          <a:off x="0" y="0"/>
                          <a:ext cx="6480175" cy="869950"/>
                        </a:xfrm>
                        <a:prstGeom prst="rect"/>
                      </wps:spPr>
                      <wps:txbx>
                        <w:txbxContent>
                          <w:p>
                            <w:pPr>
                              <w:pStyle w:val="TextBody"/>
                              <w:spacing w:lineRule="auto" w:line="288"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-23-</w:t>
                            </w:r>
                          </w:p>
                          <w:p>
                            <w:pPr>
                              <w:pStyle w:val="TextBody"/>
                              <w:spacing w:before="24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8.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spacing w:lineRule="auto" w:line="288"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-23-</w:t>
                      </w:r>
                    </w:p>
                    <w:p>
                      <w:pPr>
                        <w:pStyle w:val="TextBody"/>
                        <w:spacing w:before="240" w:after="283"/>
                        <w:jc w:val="center"/>
                        <w:rPr/>
                      </w:pPr>
                      <w:r>
                        <w:rPr/>
                      </w:r>
                    </w:p>
                  </w:txbxContent>
                </v:textbox>
              </v:rect>
            </w:pict>
          </mc:Fallback>
        </mc:AlternateContent>
      </w:r>
    </w:p>
    <w:p>
      <w:pPr>
        <w:pStyle w:val="TextBody"/>
        <w:spacing w:lineRule="auto" w:line="288" w:before="0" w:after="240"/>
        <w:ind w:left="0" w:right="0" w:firstLine="1080"/>
        <w:jc w:val="both"/>
        <w:rPr/>
      </w:pPr>
      <w:r>
        <w:rPr>
          <w:rFonts w:ascii="Times New Roman;sans-serif" w:hAnsi="Times New Roman;sans-serif"/>
          <w:b w:val="false"/>
          <w:color w:val="000000"/>
          <w:sz w:val="24"/>
        </w:rPr>
        <w:t xml:space="preserve">SECTION 4.10 </w:t>
      </w:r>
      <w:r>
        <w:rPr>
          <w:rFonts w:ascii="Times New Roman;sans-serif" w:hAnsi="Times New Roman;sans-serif"/>
          <w:b w:val="false"/>
          <w:color w:val="000000"/>
          <w:sz w:val="24"/>
          <w:u w:val="single"/>
        </w:rPr>
        <w:t>Lists of Owners.</w:t>
      </w:r>
    </w:p>
    <w:p>
      <w:pPr>
        <w:pStyle w:val="TextBody"/>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Upon written request by the Company, the Depositary shall, at the expense of the Company, furnish to it a list, as of a recent date, of the names, addresses and American Depositary Share holdings of all Owners.</w:t>
      </w:r>
    </w:p>
    <w:p>
      <w:pPr>
        <w:pStyle w:val="TextBody"/>
        <w:spacing w:lineRule="auto" w:line="288" w:before="0" w:after="240"/>
        <w:ind w:left="0" w:right="0" w:firstLine="1080"/>
        <w:jc w:val="both"/>
        <w:rPr/>
      </w:pPr>
      <w:r>
        <w:rPr>
          <w:rFonts w:ascii="Times New Roman;sans-serif" w:hAnsi="Times New Roman;sans-serif"/>
          <w:b w:val="false"/>
          <w:color w:val="000000"/>
          <w:sz w:val="24"/>
        </w:rPr>
        <w:t xml:space="preserve">SECTION 4.11 </w:t>
      </w:r>
      <w:r>
        <w:rPr>
          <w:rFonts w:ascii="Times New Roman;sans-serif" w:hAnsi="Times New Roman;sans-serif"/>
          <w:b w:val="false"/>
          <w:color w:val="000000"/>
          <w:sz w:val="24"/>
          <w:u w:val="single"/>
        </w:rPr>
        <w:t>Withholding.</w:t>
      </w:r>
    </w:p>
    <w:p>
      <w:pPr>
        <w:pStyle w:val="TextBody"/>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If the Depositary determines that any distribution received or to be made by the Depositary (including Shares and rights to subscribe therefor) is subject to any tax or other governmental charge that the Depositary is obligated to withhold, the Depositary may sell, by public or private sale, all or a portion of the distributed property (including Shares and rights to subscribe therefor) in the amounts and manner the Depositary deems necessary and practicable to pay those taxes or charges, and the Depositary shall distribute the net proceeds of that sale, after deduction of those taxes or charges, to the Owners entitled thereto in proportion to the number of American Depositary Shares held by them respectively.</w:t>
      </w:r>
    </w:p>
    <w:p>
      <w:pPr>
        <w:pStyle w:val="TextBody"/>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Services for Owners and Holders that may permit them to obtain reduced rates of tax withholding at source or reclaim excess tax withheld, and the fees and costs associated with using services of that kind, are not provided under, and are outside the scope of, this Deposit Agreement. </w:t>
      </w:r>
    </w:p>
    <w:p>
      <w:pPr>
        <w:pStyle w:val="TextBody"/>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Each Owner and Holder agrees to indemnify the Company, the Depositary, the Custodian and their respective directors, employees, agents and affiliates for, and hold each of them harmless against, any claim by any governmental authority with respect to taxes, additions to tax, penalties or interest arising out of any refund of taxes, reduced withholding at source or other tax benefit received by it.</w:t>
      </w:r>
    </w:p>
    <w:p>
      <w:pPr>
        <w:pStyle w:val="TextBody"/>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ARTICLE 5.THE DEPOSITARY, THE CUSTODIANS AND THE COMPANY</w:t>
      </w:r>
    </w:p>
    <w:p>
      <w:pPr>
        <w:pStyle w:val="TextBody"/>
        <w:spacing w:lineRule="auto" w:line="288" w:before="0" w:after="240"/>
        <w:ind w:left="0" w:right="0" w:firstLine="1080"/>
        <w:jc w:val="both"/>
        <w:rPr/>
      </w:pPr>
      <w:r>
        <w:rPr>
          <w:rFonts w:ascii="Times New Roman;sans-serif" w:hAnsi="Times New Roman;sans-serif"/>
          <w:b w:val="false"/>
          <w:color w:val="000000"/>
          <w:sz w:val="24"/>
        </w:rPr>
        <w:t xml:space="preserve">SECTION 5.1 </w:t>
      </w:r>
      <w:r>
        <w:rPr>
          <w:rFonts w:ascii="Times New Roman;sans-serif" w:hAnsi="Times New Roman;sans-serif"/>
          <w:b w:val="false"/>
          <w:color w:val="000000"/>
          <w:sz w:val="24"/>
          <w:u w:val="single"/>
        </w:rPr>
        <w:t>Maintenance of Office and Register by the Depositary.</w:t>
      </w:r>
    </w:p>
    <w:p>
      <w:pPr>
        <w:pStyle w:val="TextBody"/>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Until termination of this Deposit Agreement in accordance with its terms, the Depositary shall maintain facilities for the delivery, registration of transfers and surrender of American Depositary Shares in accordance with the provisions of this Deposit Agreement. </w:t>
      </w:r>
    </w:p>
    <w:p>
      <w:pPr>
        <w:pStyle w:val="TextBody"/>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The Depositary shall keep a register of all Owners and all outstanding American Depositary Shares, which shall be open for inspection by the Owners at the Depositary’s Office during regular business hours, but such inspection may only be for the purpose of communicating with Owners regarding the business of the Company or a matter related to this Deposit Agreement or the American Depositary Shares.</w:t>
      </w:r>
      <w:r>
        <w:br w:type="page"/>
      </w:r>
    </w:p>
    <w:p>
      <w:pPr>
        <w:pStyle w:val="TextBody"/>
        <w:spacing w:before="120" w:after="240"/>
        <w:jc w:val="center"/>
        <w:rPr/>
      </w:pPr>
      <w:r>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6480175" cy="869950"/>
                <wp:effectExtent l="0" t="0" r="0" b="0"/>
                <wp:wrapNone/>
                <wp:docPr id="333" name="Frame330"/>
                <a:graphic xmlns:a="http://schemas.openxmlformats.org/drawingml/2006/main">
                  <a:graphicData uri="http://schemas.microsoft.com/office/word/2010/wordprocessingShape">
                    <wps:wsp>
                      <wps:cNvSpPr txBox="1"/>
                      <wps:spPr>
                        <a:xfrm>
                          <a:off x="0" y="0"/>
                          <a:ext cx="6480175" cy="869950"/>
                        </a:xfrm>
                        <a:prstGeom prst="rect"/>
                      </wps:spPr>
                      <wps:txbx>
                        <w:txbxContent>
                          <w:p>
                            <w:pPr>
                              <w:pStyle w:val="TextBody"/>
                              <w:spacing w:lineRule="auto" w:line="288"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-24-</w:t>
                            </w:r>
                          </w:p>
                          <w:p>
                            <w:pPr>
                              <w:pStyle w:val="TextBody"/>
                              <w:spacing w:before="24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8.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spacing w:lineRule="auto" w:line="288"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-24-</w:t>
                      </w:r>
                    </w:p>
                    <w:p>
                      <w:pPr>
                        <w:pStyle w:val="TextBody"/>
                        <w:spacing w:before="240" w:after="283"/>
                        <w:jc w:val="center"/>
                        <w:rPr/>
                      </w:pPr>
                      <w:r>
                        <w:rPr/>
                      </w:r>
                    </w:p>
                  </w:txbxContent>
                </v:textbox>
              </v:rect>
            </w:pict>
          </mc:Fallback>
        </mc:AlternateContent>
      </w:r>
    </w:p>
    <w:p>
      <w:pPr>
        <w:pStyle w:val="TextBody"/>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The Depositary may close the register for delivery, registration of transfer or surrender for the purpose of withdrawal from time to time as provided in Section 2.6.</w:t>
      </w:r>
    </w:p>
    <w:p>
      <w:pPr>
        <w:pStyle w:val="TextBody"/>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If any American Depositary Shares are listed on one or more stock exchanges, the Depositary shall act as Registrar or appoint a Registrar or one or more coregistrars for registration of those American Depositary Shares in accordance with any requirements of that exchange or those exchanges. </w:t>
      </w:r>
    </w:p>
    <w:p>
      <w:pPr>
        <w:pStyle w:val="TextBody"/>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The Company shall have the right, at all reasonable times, upon written request, to inspect the transfer and registration records of the Depositary, the Registrar and any co-transfer agents or co-registrars and to require them to supply, at the Company’s expense (unless otherwise agreed in writing between the Company and the Depositary) copies of such portion of their records as the Company may reasonably request.</w:t>
      </w:r>
    </w:p>
    <w:p>
      <w:pPr>
        <w:pStyle w:val="TextBody"/>
        <w:spacing w:lineRule="auto" w:line="288" w:before="0" w:after="240"/>
        <w:ind w:left="0" w:right="0" w:firstLine="1080"/>
        <w:jc w:val="both"/>
        <w:rPr/>
      </w:pPr>
      <w:r>
        <w:rPr>
          <w:rFonts w:ascii="Times New Roman;sans-serif" w:hAnsi="Times New Roman;sans-serif"/>
          <w:b w:val="false"/>
          <w:color w:val="000000"/>
          <w:sz w:val="24"/>
        </w:rPr>
        <w:t xml:space="preserve">SECTION 5.2 </w:t>
      </w:r>
      <w:r>
        <w:rPr>
          <w:rFonts w:ascii="Times New Roman;sans-serif" w:hAnsi="Times New Roman;sans-serif"/>
          <w:b w:val="false"/>
          <w:color w:val="000000"/>
          <w:sz w:val="24"/>
          <w:u w:val="single"/>
        </w:rPr>
        <w:t>Prevention or Delay of Performance by the Company or the Depositary.</w:t>
      </w:r>
    </w:p>
    <w:p>
      <w:pPr>
        <w:pStyle w:val="TextBody"/>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Neither the Depositary nor the Company nor any of their respective directors, employees, agents or affiliates shall incur any liability to any Owner or Holder: </w:t>
      </w:r>
    </w:p>
    <w:p>
      <w:pPr>
        <w:pStyle w:val="TextBody"/>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 if by reason of (A) any provision of any present or future law or regulation or other act of the government of the United States, any State of the United States or any other state or jurisdiction, or of any governmental or regulatory authority or stock exchange; (B) (in the case of the Depositary only) any provision, present or future, of the articles of association or similar document of the Company, or any provision of any securities issued or distributed by the Company, or any offering or distribution thereof; or (C) any event or circumstance, whether natural or caused by a person or persons, that is beyond the ability of the Depositary or the Company, as the case may be, to prevent or counteract by reasonable care or effort (including, but not limited to, earthquakes, floods, severe storms, fires, explosions, war, terrorism, civil unrest, labor disputes, criminal acts or outbreaks of infectious disease; interruptions or malfunctions of utility services, Internet or other communications lines or systems; unauthorized access to or attacks on computer systems or websites; or other failures or malfunctions of computer hardware or software or other systems or equipment), the Depositary or the Company is, directly or indirectly, prevented from, forbidden to or delayed in, or could be subject to any civil or criminal penalty on account of doing or performing and therefore does not do or perform, any act or thing that, by the terms of this Deposit Agreement or the Deposited Securities, it is provided shall be done or performed;</w:t>
      </w:r>
    </w:p>
    <w:p>
      <w:pPr>
        <w:pStyle w:val="TextBody"/>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(ii) for any exercise of, or failure to exercise, any discretion provided for in this Deposit Agreement (including any determination by the Depositary or the </w:t>
      </w:r>
      <w:r>
        <w:br w:type="page"/>
      </w:r>
    </w:p>
    <w:p>
      <w:pPr>
        <w:pStyle w:val="TextBody"/>
        <w:spacing w:before="120" w:after="240"/>
        <w:jc w:val="center"/>
        <w:rPr/>
      </w:pPr>
      <w:r>
        <w:rPr/>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6480175" cy="869950"/>
                <wp:effectExtent l="0" t="0" r="0" b="0"/>
                <wp:wrapNone/>
                <wp:docPr id="334" name="Frame331"/>
                <a:graphic xmlns:a="http://schemas.openxmlformats.org/drawingml/2006/main">
                  <a:graphicData uri="http://schemas.microsoft.com/office/word/2010/wordprocessingShape">
                    <wps:wsp>
                      <wps:cNvSpPr txBox="1"/>
                      <wps:spPr>
                        <a:xfrm>
                          <a:off x="0" y="0"/>
                          <a:ext cx="6480175" cy="869950"/>
                        </a:xfrm>
                        <a:prstGeom prst="rect"/>
                      </wps:spPr>
                      <wps:txbx>
                        <w:txbxContent>
                          <w:p>
                            <w:pPr>
                              <w:pStyle w:val="TextBody"/>
                              <w:spacing w:lineRule="auto" w:line="288"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-25-</w:t>
                            </w:r>
                          </w:p>
                          <w:p>
                            <w:pPr>
                              <w:pStyle w:val="TextBody"/>
                              <w:spacing w:before="24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8.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spacing w:lineRule="auto" w:line="288"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-25-</w:t>
                      </w:r>
                    </w:p>
                    <w:p>
                      <w:pPr>
                        <w:pStyle w:val="TextBody"/>
                        <w:spacing w:before="240" w:after="283"/>
                        <w:jc w:val="center"/>
                        <w:rPr/>
                      </w:pPr>
                      <w:r>
                        <w:rPr/>
                      </w:r>
                    </w:p>
                  </w:txbxContent>
                </v:textbox>
              </v:rect>
            </w:pict>
          </mc:Fallback>
        </mc:AlternateContent>
      </w:r>
    </w:p>
    <w:p>
      <w:pPr>
        <w:pStyle w:val="TextBody"/>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Company, to take, or not take, any action that this Deposit Agreement provides the Depositary or the Company, as the case may be, may take);</w:t>
      </w:r>
    </w:p>
    <w:p>
      <w:pPr>
        <w:pStyle w:val="TextBody"/>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(iii) for the inability of any Owner or Holder to benefit from any distribution, offering, right or other benefit that is made available to holders of Deposited Securities but is not, under the terms of this Deposit Agreement, made available to Owners or Holders; or </w:t>
      </w:r>
    </w:p>
    <w:p>
      <w:pPr>
        <w:pStyle w:val="TextBody"/>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(iv) for any special, consequential or punitive damages for any breach of the terms of this Deposit Agreement. </w:t>
      </w:r>
    </w:p>
    <w:p>
      <w:pPr>
        <w:pStyle w:val="TextBody"/>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Where, by the terms of a distribution to which Section 4.1, 4.2 or 4.3 applies, or an offering to which Section 4.4 applies, or for any other reason, that distribution or offering may not be made available to Owners, and the Depositary may not dispose of that distribution or offering on behalf of Owners and make the net proceeds available to Owners, then the Depositary shall not make that distribution or offering available to Owners, and shall allow any rights, if applicable, to lapse.</w:t>
      </w:r>
    </w:p>
    <w:p>
      <w:pPr>
        <w:pStyle w:val="TextBody"/>
        <w:spacing w:lineRule="auto" w:line="288" w:before="0" w:after="240"/>
        <w:ind w:left="0" w:right="0" w:firstLine="1080"/>
        <w:jc w:val="both"/>
        <w:rPr/>
      </w:pPr>
      <w:r>
        <w:rPr>
          <w:rFonts w:ascii="Times New Roman;sans-serif" w:hAnsi="Times New Roman;sans-serif"/>
          <w:b w:val="false"/>
          <w:color w:val="000000"/>
          <w:sz w:val="24"/>
        </w:rPr>
        <w:t xml:space="preserve">SECTION 5.3 </w:t>
      </w:r>
      <w:r>
        <w:rPr>
          <w:rFonts w:ascii="Times New Roman;sans-serif" w:hAnsi="Times New Roman;sans-serif"/>
          <w:b w:val="false"/>
          <w:color w:val="000000"/>
          <w:sz w:val="24"/>
          <w:u w:val="single"/>
        </w:rPr>
        <w:t>Obligations of the Depositary and the Company.</w:t>
      </w:r>
    </w:p>
    <w:p>
      <w:pPr>
        <w:pStyle w:val="TextBody"/>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The Company assumes no obligation nor shall it be subject to any liability under this Deposit Agreement to any Owner or Holder, except that the Company agrees to perform its obligations specifically set forth in this Deposit Agreement without negligence or bad faith.</w:t>
      </w:r>
    </w:p>
    <w:p>
      <w:pPr>
        <w:pStyle w:val="TextBody"/>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The Depositary assumes no obligation nor shall it be subject to any liability under this Deposit Agreement to any Owner or Holder (including, without limitation, liability with respect to the validity or worth of the Deposited Securities), except that the Depositary agrees to perform its obligations specifically set forth in this Deposit Agreement without negligence or bad faith, and the Depositary shall not be a fiduciary or have any fiduciary duty to Owners or Holders.</w:t>
      </w:r>
    </w:p>
    <w:p>
      <w:pPr>
        <w:pStyle w:val="TextBody"/>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Neither the Depositary nor the Company shall be under any obligation to appear in, prosecute or defend any action, suit or other proceeding in respect of any Deposited Securities or in respect of the American Depositary Shares on behalf of any Owner or Holder or any other person.</w:t>
      </w:r>
    </w:p>
    <w:p>
      <w:pPr>
        <w:pStyle w:val="TextBody"/>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Each of the Depositary and the Company may rely, and shall be protected in relying upon, any written notice, request, direction or other document believed by it to be genuine and to have been signed or presented by the proper party or parties.</w:t>
      </w:r>
    </w:p>
    <w:p>
      <w:pPr>
        <w:pStyle w:val="TextBody"/>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Neither the Depositary nor the Company shall be liable for any action or non-action by it in reliance upon the advice of or information from legal counsel, </w:t>
      </w:r>
      <w:r>
        <w:br w:type="page"/>
      </w:r>
    </w:p>
    <w:p>
      <w:pPr>
        <w:pStyle w:val="TextBody"/>
        <w:spacing w:before="120" w:after="240"/>
        <w:jc w:val="center"/>
        <w:rPr/>
      </w:pPr>
      <w:r>
        <w:rPr/>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6480175" cy="869950"/>
                <wp:effectExtent l="0" t="0" r="0" b="0"/>
                <wp:wrapNone/>
                <wp:docPr id="335" name="Frame332"/>
                <a:graphic xmlns:a="http://schemas.openxmlformats.org/drawingml/2006/main">
                  <a:graphicData uri="http://schemas.microsoft.com/office/word/2010/wordprocessingShape">
                    <wps:wsp>
                      <wps:cNvSpPr txBox="1"/>
                      <wps:spPr>
                        <a:xfrm>
                          <a:off x="0" y="0"/>
                          <a:ext cx="6480175" cy="869950"/>
                        </a:xfrm>
                        <a:prstGeom prst="rect"/>
                      </wps:spPr>
                      <wps:txbx>
                        <w:txbxContent>
                          <w:p>
                            <w:pPr>
                              <w:pStyle w:val="TextBody"/>
                              <w:spacing w:lineRule="auto" w:line="288"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-26-</w:t>
                            </w:r>
                          </w:p>
                          <w:p>
                            <w:pPr>
                              <w:pStyle w:val="TextBody"/>
                              <w:spacing w:before="24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8.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spacing w:lineRule="auto" w:line="288"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-26-</w:t>
                      </w:r>
                    </w:p>
                    <w:p>
                      <w:pPr>
                        <w:pStyle w:val="TextBody"/>
                        <w:spacing w:before="240" w:after="283"/>
                        <w:jc w:val="center"/>
                        <w:rPr/>
                      </w:pPr>
                      <w:r>
                        <w:rPr/>
                      </w:r>
                    </w:p>
                  </w:txbxContent>
                </v:textbox>
              </v:rect>
            </w:pict>
          </mc:Fallback>
        </mc:AlternateContent>
      </w:r>
    </w:p>
    <w:p>
      <w:pPr>
        <w:pStyle w:val="TextBody"/>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accountants, any person presenting Shares for deposit, any Owner or any other person believed by it in good faith to be competent to give such advice or information.</w:t>
      </w:r>
    </w:p>
    <w:p>
      <w:pPr>
        <w:pStyle w:val="TextBody"/>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The Depositary shall not be liable for any acts or omissions made by a successor depositary whether in connection with a previous act or omission of the Depositary or in connection with any matter arising wholly after the removal or resignation of the Depositary, provided that in connection with the issue out of which such potential liability arises the Depositary performed its obligations without negligence or bad faith while it acted as Depositary.</w:t>
      </w:r>
    </w:p>
    <w:p>
      <w:pPr>
        <w:pStyle w:val="TextBody"/>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The Depositary shall not be liable for the acts or omissions of any securities depository, clearing agency or settlement system in connection with or arising out of book-entry settlement of American Depositary Shares or Deposited Securities or otherwise.</w:t>
      </w:r>
    </w:p>
    <w:p>
      <w:pPr>
        <w:pStyle w:val="TextBody"/>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In the absence of bad faith on its part, the Depositary shall not be responsible for any failure to carry out any instructions to vote any of the Deposited Securities, or for the manner in which any such vote is cast or the effect of any such vote. </w:t>
      </w:r>
    </w:p>
    <w:p>
      <w:pPr>
        <w:pStyle w:val="TextBody"/>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The Depositary shall have no duty to make any determination or provide any information as to the tax status of the Company. Neither the Depositary nor the Company shall have any liability for any tax consequences that may be incurred by Owners or Holders as a result of owning or holding American Depositary Shares. Neither Depositary nor the Company shall be liable for the inability or failure of an Owner or Holder to obtain the benefit of a foreign tax credit, reduced rate of withholding or refund of amounts withheld in respect of tax or any other tax benefit.</w:t>
      </w:r>
    </w:p>
    <w:p>
      <w:pPr>
        <w:pStyle w:val="TextBody"/>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No disclaimer of liability under the United States federal securities laws is intended by any provision of this Deposit Agreement.</w:t>
      </w:r>
    </w:p>
    <w:p>
      <w:pPr>
        <w:pStyle w:val="TextBody"/>
        <w:spacing w:lineRule="auto" w:line="288" w:before="0" w:after="240"/>
        <w:ind w:left="0" w:right="0" w:firstLine="1080"/>
        <w:jc w:val="both"/>
        <w:rPr/>
      </w:pPr>
      <w:r>
        <w:rPr>
          <w:rFonts w:ascii="Times New Roman;sans-serif" w:hAnsi="Times New Roman;sans-serif"/>
          <w:b w:val="false"/>
          <w:color w:val="000000"/>
          <w:sz w:val="24"/>
        </w:rPr>
        <w:t xml:space="preserve">SECTION 5.4 </w:t>
      </w:r>
      <w:r>
        <w:rPr>
          <w:rFonts w:ascii="Times New Roman;sans-serif" w:hAnsi="Times New Roman;sans-serif"/>
          <w:b w:val="false"/>
          <w:color w:val="000000"/>
          <w:sz w:val="24"/>
          <w:u w:val="single"/>
        </w:rPr>
        <w:t>Resignation and Removal of the Depositary.</w:t>
      </w:r>
    </w:p>
    <w:p>
      <w:pPr>
        <w:pStyle w:val="TextBody"/>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The Depositary may at any time resign as Depositary hereunder by written notice of its election so to do delivered to the Company, to become effective upon the appointment of a successor depositary and its acceptance of that appointment as provided in this Section. The effect of resignation if a successor depositary is not appointed is provided for in Section 6.2.</w:t>
      </w:r>
    </w:p>
    <w:p>
      <w:pPr>
        <w:pStyle w:val="TextBody"/>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The Depositary may at any time be removed by the Company by 90 days’ prior written notice of that removal, to become effective upon the later of (i) the 90th day after delivery of the notice to the Depositary and (ii) the appointment of a successor depositary and its acceptance of its appointment as provided in this Section.</w:t>
      </w:r>
      <w:r>
        <w:br w:type="page"/>
      </w:r>
    </w:p>
    <w:p>
      <w:pPr>
        <w:pStyle w:val="TextBody"/>
        <w:spacing w:before="120" w:after="240"/>
        <w:jc w:val="center"/>
        <w:rPr/>
      </w:pPr>
      <w:r>
        <w:rPr/>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6480175" cy="869950"/>
                <wp:effectExtent l="0" t="0" r="0" b="0"/>
                <wp:wrapNone/>
                <wp:docPr id="336" name="Frame333"/>
                <a:graphic xmlns:a="http://schemas.openxmlformats.org/drawingml/2006/main">
                  <a:graphicData uri="http://schemas.microsoft.com/office/word/2010/wordprocessingShape">
                    <wps:wsp>
                      <wps:cNvSpPr txBox="1"/>
                      <wps:spPr>
                        <a:xfrm>
                          <a:off x="0" y="0"/>
                          <a:ext cx="6480175" cy="869950"/>
                        </a:xfrm>
                        <a:prstGeom prst="rect"/>
                      </wps:spPr>
                      <wps:txbx>
                        <w:txbxContent>
                          <w:p>
                            <w:pPr>
                              <w:pStyle w:val="TextBody"/>
                              <w:spacing w:lineRule="auto" w:line="288"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-27-</w:t>
                            </w:r>
                          </w:p>
                          <w:p>
                            <w:pPr>
                              <w:pStyle w:val="TextBody"/>
                              <w:spacing w:before="24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8.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spacing w:lineRule="auto" w:line="288"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-27-</w:t>
                      </w:r>
                    </w:p>
                    <w:p>
                      <w:pPr>
                        <w:pStyle w:val="TextBody"/>
                        <w:spacing w:before="240" w:after="283"/>
                        <w:jc w:val="center"/>
                        <w:rPr/>
                      </w:pPr>
                      <w:r>
                        <w:rPr/>
                      </w:r>
                    </w:p>
                  </w:txbxContent>
                </v:textbox>
              </v:rect>
            </w:pict>
          </mc:Fallback>
        </mc:AlternateContent>
      </w:r>
    </w:p>
    <w:p>
      <w:pPr>
        <w:pStyle w:val="TextBody"/>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If the Depositary resigns or is removed, the Company shall use reasonable efforts to appoint a successor depositary, which shall be a bank or trust company having an office in the Borough of Manhattan, The City of New York. Every successor depositary shall execute and deliver to the Company an instrument in writing accepting its appointment under this Deposit Agreement. If the Depositary receives notice from the Company that a successor depositary has been appointed following its resignation or removal, the Depositary, upon payment of all sums due it from the Company, shall deliver to its successor a register listing all the Owners and their respective holdings of outstanding American Depositary Shares and shall deliver the Deposited Securities to or to the order of its successor. When the Depositary has taken the actions specified in the preceding sentence (i) the successor shall become the Depositary and shall have all the rights and shall assume all the duties of the Depositary under this Deposit Agreement and (ii) the predecessor depositary shall cease to be the Depositary and shall be discharged and released from all obligations under this Deposit Agreement, except for its duties under Section 5.8 with respect to the time before that discharge. A successor Depositary shall notify the Owners of its appointment as soon as practical after assuming the duties of Depositary.</w:t>
      </w:r>
    </w:p>
    <w:p>
      <w:pPr>
        <w:pStyle w:val="TextBody"/>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Any corporation or other entity into or with which the Depositary may be merged or consolidated shall be the successor of the Depositary without the execution or filing of any document or any further act.</w:t>
      </w:r>
    </w:p>
    <w:p>
      <w:pPr>
        <w:pStyle w:val="TextBody"/>
        <w:spacing w:lineRule="auto" w:line="288" w:before="0" w:after="240"/>
        <w:ind w:left="0" w:right="0" w:firstLine="1080"/>
        <w:jc w:val="both"/>
        <w:rPr/>
      </w:pPr>
      <w:r>
        <w:rPr>
          <w:rFonts w:ascii="Times New Roman;sans-serif" w:hAnsi="Times New Roman;sans-serif"/>
          <w:b w:val="false"/>
          <w:color w:val="000000"/>
          <w:sz w:val="24"/>
        </w:rPr>
        <w:t xml:space="preserve">SECTION 5.5 </w:t>
      </w:r>
      <w:r>
        <w:rPr>
          <w:rFonts w:ascii="Times New Roman;sans-serif" w:hAnsi="Times New Roman;sans-serif"/>
          <w:b w:val="false"/>
          <w:color w:val="000000"/>
          <w:sz w:val="24"/>
          <w:u w:val="single"/>
        </w:rPr>
        <w:t>The Custodians.</w:t>
      </w:r>
    </w:p>
    <w:p>
      <w:pPr>
        <w:pStyle w:val="TextBody"/>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The Custodian shall be subject at all times and in all respects to the directions of the Depositary and shall be responsible solely to it. The Depositary in its discretion may at any time appoint a substitute or additional custodian or custodians, each of which shall thereafter be one of the Custodians under this Deposit Agreement. If the Depositary receives notice that a Custodian is resigning and, upon the effectiveness of that resignation there would be no Custodian acting under this Deposit Agreement, the Depositary shall, as promptly as practicable after receiving that notice, appoint a substitute custodian or custodians, each of which shall thereafter be a Custodian under this Deposit Agreement. The Depositary shall notify the Company of the appointment of a substitute or additional Custodian as promptly as practicable. The Depositary shall require any Custodian that resigns or is removed to deliver all Deposited Securities held by it to another Custodian.</w:t>
      </w:r>
    </w:p>
    <w:p>
      <w:pPr>
        <w:pStyle w:val="TextBody"/>
        <w:spacing w:lineRule="auto" w:line="288" w:before="0" w:after="240"/>
        <w:ind w:left="0" w:right="0" w:firstLine="1080"/>
        <w:jc w:val="both"/>
        <w:rPr/>
      </w:pPr>
      <w:r>
        <w:rPr>
          <w:rFonts w:ascii="Times New Roman;sans-serif" w:hAnsi="Times New Roman;sans-serif"/>
          <w:b w:val="false"/>
          <w:color w:val="000000"/>
          <w:sz w:val="24"/>
        </w:rPr>
        <w:t xml:space="preserve">SECTION 5.6 </w:t>
      </w:r>
      <w:r>
        <w:rPr>
          <w:rFonts w:ascii="Times New Roman;sans-serif" w:hAnsi="Times New Roman;sans-serif"/>
          <w:b w:val="false"/>
          <w:color w:val="000000"/>
          <w:sz w:val="24"/>
          <w:u w:val="single"/>
        </w:rPr>
        <w:t>Notices and Reports.</w:t>
      </w:r>
    </w:p>
    <w:p>
      <w:pPr>
        <w:pStyle w:val="TextBody"/>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If the Company takes or decides to take any corporate action of a kind that is addressed in Sections 4.1 to 4.4, or 4.6 to 4.8, or that effects or will effect a change of the name or legal structure of the Company, or that effects or will effect a change to the Shares, the Company shall notify the Depositary and the Custodian of that action or </w:t>
      </w:r>
      <w:r>
        <w:br w:type="page"/>
      </w:r>
    </w:p>
    <w:p>
      <w:pPr>
        <w:pStyle w:val="TextBody"/>
        <w:spacing w:before="120" w:after="240"/>
        <w:jc w:val="center"/>
        <w:rPr/>
      </w:pPr>
      <w:r>
        <w:rPr/>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6480175" cy="869950"/>
                <wp:effectExtent l="0" t="0" r="0" b="0"/>
                <wp:wrapNone/>
                <wp:docPr id="337" name="Frame334"/>
                <a:graphic xmlns:a="http://schemas.openxmlformats.org/drawingml/2006/main">
                  <a:graphicData uri="http://schemas.microsoft.com/office/word/2010/wordprocessingShape">
                    <wps:wsp>
                      <wps:cNvSpPr txBox="1"/>
                      <wps:spPr>
                        <a:xfrm>
                          <a:off x="0" y="0"/>
                          <a:ext cx="6480175" cy="869950"/>
                        </a:xfrm>
                        <a:prstGeom prst="rect"/>
                      </wps:spPr>
                      <wps:txbx>
                        <w:txbxContent>
                          <w:p>
                            <w:pPr>
                              <w:pStyle w:val="TextBody"/>
                              <w:spacing w:lineRule="auto" w:line="288"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-28-</w:t>
                            </w:r>
                          </w:p>
                          <w:p>
                            <w:pPr>
                              <w:pStyle w:val="TextBody"/>
                              <w:spacing w:before="24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8.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spacing w:lineRule="auto" w:line="288"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-28-</w:t>
                      </w:r>
                    </w:p>
                    <w:p>
                      <w:pPr>
                        <w:pStyle w:val="TextBody"/>
                        <w:spacing w:before="240" w:after="283"/>
                        <w:jc w:val="center"/>
                        <w:rPr/>
                      </w:pPr>
                      <w:r>
                        <w:rPr/>
                      </w:r>
                    </w:p>
                  </w:txbxContent>
                </v:textbox>
              </v:rect>
            </w:pict>
          </mc:Fallback>
        </mc:AlternateContent>
      </w:r>
    </w:p>
    <w:p>
      <w:pPr>
        <w:pStyle w:val="TextBody"/>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decision as soon as it is lawful and practical to give that notice.  The notice shall be in English and shall include all details that the Company is required to include in any non-confidential notice to any governmental or regulatory authority or securities exchange or is required to make available generally to holders of Shares by publication or otherwise.</w:t>
      </w:r>
    </w:p>
    <w:p>
      <w:pPr>
        <w:pStyle w:val="TextBody"/>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The Company will arrange for the translation into English, if not already in English, to the extent required pursuant to any regulations of the Commission, and the prompt transmittal by the Company to the Depositary and the Custodian of all notices and any other reports and communications which are made generally available by the Company to holders of its Shares. If requested in writing by the Company, the Depositary will Disseminate, at the Company’s expense, those notices, reports and communications to all Owners or otherwise make them available to Owners in a manner that the Company specifies as substantially equivalent to the manner in which those communications are made available to holders of Shares and compliant with the requirements of any securities exchange on which the American Depositary Shares are listed. The Company will timely provide the Depositary with the quantity of such notices, reports, and communications, as requested by the Depositary from time to time, in order for the Depositary to effect that Dissemination.</w:t>
      </w:r>
    </w:p>
    <w:p>
      <w:pPr>
        <w:pStyle w:val="TextBody"/>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The Company represents that as of the date of this Deposit Agreement, the statements in Article 11 of the Receipt with respect to the Company’s obligation to file periodic reports under the United States Securities Exchange Act of 1934, as amended, are true and correct. The Company agrees to promptly notify the Depositary upon becoming aware of any change in the truth of any of those statements.</w:t>
      </w:r>
    </w:p>
    <w:p>
      <w:pPr>
        <w:pStyle w:val="TextBody"/>
        <w:spacing w:lineRule="auto" w:line="288" w:before="0" w:after="240"/>
        <w:ind w:left="0" w:right="0" w:firstLine="1080"/>
        <w:jc w:val="both"/>
        <w:rPr/>
      </w:pPr>
      <w:r>
        <w:rPr>
          <w:rFonts w:ascii="Times New Roman;sans-serif" w:hAnsi="Times New Roman;sans-serif"/>
          <w:b w:val="false"/>
          <w:color w:val="000000"/>
          <w:sz w:val="24"/>
        </w:rPr>
        <w:t xml:space="preserve">SECTION 5.7 </w:t>
      </w:r>
      <w:r>
        <w:rPr>
          <w:rFonts w:ascii="Times New Roman;sans-serif" w:hAnsi="Times New Roman;sans-serif"/>
          <w:b w:val="false"/>
          <w:color w:val="000000"/>
          <w:sz w:val="24"/>
          <w:u w:val="single"/>
        </w:rPr>
        <w:t>Distribution of Additional Shares, Rights, etc.</w:t>
      </w:r>
    </w:p>
    <w:p>
      <w:pPr>
        <w:pStyle w:val="TextBody"/>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If the Company or any affiliate of the Company determines to make any issuance or distribution of (1) additional Shares, (2) rights to subscribe for Shares, (3) securities convertible into Shares, or (4) rights to subscribe for such securities (each a “Distribution”), the Company shall notify the Depositary in writing in English as promptly as practicable and in any event before the Distribution starts and, if reasonably requested in writing by the Depositary, the Company shall, as promptly as practicable, furnish to the Depositary either (i) evidence satisfactory to the Depositary that the Distribution is registered under the Securities Act of 1933 or (ii) a written opinion from U.S. counsel for the Company that is reasonably satisfactory to the Depositary, stating that the Distribution does not require, or, if made in the United States, would not require, registration under the Securities Act of 1933. </w:t>
      </w:r>
    </w:p>
    <w:p>
      <w:pPr>
        <w:pStyle w:val="TextBody"/>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The Company agrees with the Depositary that neither the Company nor any company controlled by the Company will at any time deposit any Shares that, at the time of deposit, are Restricted Securities.</w:t>
      </w:r>
      <w:r>
        <w:br w:type="page"/>
      </w:r>
    </w:p>
    <w:p>
      <w:pPr>
        <w:pStyle w:val="TextBody"/>
        <w:spacing w:before="120" w:after="240"/>
        <w:jc w:val="center"/>
        <w:rPr/>
      </w:pPr>
      <w:r>
        <w:rPr/>
      </w:r>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6480175" cy="869950"/>
                <wp:effectExtent l="0" t="0" r="0" b="0"/>
                <wp:wrapNone/>
                <wp:docPr id="338" name="Frame335"/>
                <a:graphic xmlns:a="http://schemas.openxmlformats.org/drawingml/2006/main">
                  <a:graphicData uri="http://schemas.microsoft.com/office/word/2010/wordprocessingShape">
                    <wps:wsp>
                      <wps:cNvSpPr txBox="1"/>
                      <wps:spPr>
                        <a:xfrm>
                          <a:off x="0" y="0"/>
                          <a:ext cx="6480175" cy="869950"/>
                        </a:xfrm>
                        <a:prstGeom prst="rect"/>
                      </wps:spPr>
                      <wps:txbx>
                        <w:txbxContent>
                          <w:p>
                            <w:pPr>
                              <w:pStyle w:val="TextBody"/>
                              <w:spacing w:lineRule="auto" w:line="288"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-29-</w:t>
                            </w:r>
                          </w:p>
                          <w:p>
                            <w:pPr>
                              <w:pStyle w:val="TextBody"/>
                              <w:spacing w:before="24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8.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spacing w:lineRule="auto" w:line="288"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-29-</w:t>
                      </w:r>
                    </w:p>
                    <w:p>
                      <w:pPr>
                        <w:pStyle w:val="TextBody"/>
                        <w:spacing w:before="240" w:after="283"/>
                        <w:jc w:val="center"/>
                        <w:rPr/>
                      </w:pPr>
                      <w:r>
                        <w:rPr/>
                      </w:r>
                    </w:p>
                  </w:txbxContent>
                </v:textbox>
              </v:rect>
            </w:pict>
          </mc:Fallback>
        </mc:AlternateContent>
      </w:r>
    </w:p>
    <w:p>
      <w:pPr>
        <w:pStyle w:val="TextBody"/>
        <w:spacing w:lineRule="auto" w:line="288" w:before="0" w:after="240"/>
        <w:ind w:left="0" w:right="0" w:firstLine="1080"/>
        <w:jc w:val="both"/>
        <w:rPr/>
      </w:pPr>
      <w:r>
        <w:rPr>
          <w:rFonts w:ascii="Times New Roman;sans-serif" w:hAnsi="Times New Roman;sans-serif"/>
          <w:b w:val="false"/>
          <w:color w:val="000000"/>
          <w:sz w:val="24"/>
        </w:rPr>
        <w:t>SECTION 5.8 I</w:t>
      </w:r>
      <w:r>
        <w:rPr>
          <w:rFonts w:ascii="Times New Roman;sans-serif" w:hAnsi="Times New Roman;sans-serif"/>
          <w:b w:val="false"/>
          <w:color w:val="000000"/>
          <w:sz w:val="24"/>
          <w:u w:val="single"/>
        </w:rPr>
        <w:t>ndemnification.</w:t>
      </w:r>
    </w:p>
    <w:p>
      <w:pPr>
        <w:pStyle w:val="TextBody"/>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The Company agrees to indemnify the Depositary, its directors, employees, agents and affiliates and each Custodian against, and hold each of them harmless from, any liability or expense (including, but not limited to any documented fees and expenses incurred in seeking, enforcing or collecting such indemnity and the documented, reasonable fees and expenses of counsel) that may arise out of or in connection with (a) any registration with the Commission of American Depositary Shares or Deposited Securities or the offer or sale thereof in the United States or (b) acts performed or omitted, pursuant to the provisions of or in connection with this Deposit Agreement and the American Depositary Shares, as the same may be amended, modified or supplemented from time to time, (i) by either the Depositary or a Custodian or their respective directors, employees, agents and affiliates, except for any liability or expense arising out of the negligence or bad faith of either of them, or (ii) by the Company or any of its directors, employees, agents and affiliates. </w:t>
      </w:r>
    </w:p>
    <w:p>
      <w:pPr>
        <w:pStyle w:val="TextBody"/>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The indemnities contained in the preceding paragraph shall not extend to any losses arising out of information relating to the Depositary or any Custodian, as the case may be, furnished in writing by the Depositary to the Company expressly for use in any registration statement, proxy statement, prospectus or preliminary prospectus or any other offering documents relating to the American Depositary Shares (it being acknowledged that, as of the date of this Deposit Agreement, the Depositary has not furnished any information of that kind).</w:t>
      </w:r>
    </w:p>
    <w:p>
      <w:pPr>
        <w:pStyle w:val="TextBody"/>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The Depositary agrees to indemnify the Company, its directors, employees, agents and affiliates and hold them harmless from any liability or expense (including but not limited to any documented fees and expenses incurred in seeking, enforcing or collecting such indemnity and the documented, reasonable fees and expense of counsel) that may arise out of acts performed or omitted by the Depositary or any Custodian or their respective directors, employees, agents and affiliates due to their negligence or bad faith.</w:t>
      </w:r>
    </w:p>
    <w:p>
      <w:pPr>
        <w:pStyle w:val="TextBody"/>
        <w:spacing w:lineRule="auto" w:line="288" w:before="0" w:after="240"/>
        <w:ind w:left="0" w:right="0" w:firstLine="1080"/>
        <w:jc w:val="both"/>
        <w:rPr/>
      </w:pPr>
      <w:r>
        <w:rPr>
          <w:rFonts w:ascii="Times New Roman;sans-serif" w:hAnsi="Times New Roman;sans-serif"/>
          <w:b w:val="false"/>
          <w:color w:val="000000"/>
          <w:sz w:val="24"/>
        </w:rPr>
        <w:t xml:space="preserve">SECTION 5.9 </w:t>
      </w:r>
      <w:r>
        <w:rPr>
          <w:rFonts w:ascii="Times New Roman;sans-serif" w:hAnsi="Times New Roman;sans-serif"/>
          <w:b w:val="false"/>
          <w:color w:val="000000"/>
          <w:sz w:val="24"/>
          <w:u w:val="single"/>
        </w:rPr>
        <w:t>Charges of Depositary.</w:t>
      </w:r>
    </w:p>
    <w:p>
      <w:pPr>
        <w:pStyle w:val="TextBody"/>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The following charges shall be incurred by any party depositing or withdrawing Shares or by any party surrendering American Depositary Shares or to whom American Depositary Shares are issued (including, without limitation, issuance pursuant to a stock dividend or stock split declared by the Company or an exchange of stock regarding the American Depositary Shares or Deposited Securities or a delivery of American Depositary Shares pursuant to Section 4.3), or by Owners, as applicable: (1) taxes and other governmental charges, (2) such registration fees as may from time to time be in effect for the registration of transfers of Shares generally on the Share register of the Company or Foreign Registrar and applicable to transfers of Shares to or from the name </w:t>
      </w:r>
      <w:r>
        <w:br w:type="page"/>
      </w:r>
    </w:p>
    <w:p>
      <w:pPr>
        <w:pStyle w:val="TextBody"/>
        <w:spacing w:before="120" w:after="240"/>
        <w:jc w:val="center"/>
        <w:rPr/>
      </w:pPr>
      <w:r>
        <w:rPr/>
      </w:r>
      <w:r>
        <mc:AlternateContent>
          <mc:Choice Requires="wps">
            <w:drawing>
              <wp:anchor behindDoc="0" distT="0" distB="0" distL="0" distR="0" simplePos="0" locked="0" layoutInCell="1" allowOverlap="1" relativeHeight="340">
                <wp:simplePos x="0" y="0"/>
                <wp:positionH relativeFrom="character">
                  <wp:align>left</wp:align>
                </wp:positionH>
                <wp:positionV relativeFrom="line">
                  <wp:posOffset>635</wp:posOffset>
                </wp:positionV>
                <wp:extent cx="6480175" cy="869950"/>
                <wp:effectExtent l="0" t="0" r="0" b="0"/>
                <wp:wrapNone/>
                <wp:docPr id="339" name="Frame336"/>
                <a:graphic xmlns:a="http://schemas.openxmlformats.org/drawingml/2006/main">
                  <a:graphicData uri="http://schemas.microsoft.com/office/word/2010/wordprocessingShape">
                    <wps:wsp>
                      <wps:cNvSpPr txBox="1"/>
                      <wps:spPr>
                        <a:xfrm>
                          <a:off x="0" y="0"/>
                          <a:ext cx="6480175" cy="869950"/>
                        </a:xfrm>
                        <a:prstGeom prst="rect"/>
                      </wps:spPr>
                      <wps:txbx>
                        <w:txbxContent>
                          <w:p>
                            <w:pPr>
                              <w:pStyle w:val="TextBody"/>
                              <w:spacing w:lineRule="auto" w:line="288"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-30-</w:t>
                            </w:r>
                          </w:p>
                          <w:p>
                            <w:pPr>
                              <w:pStyle w:val="TextBody"/>
                              <w:spacing w:before="24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8.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spacing w:lineRule="auto" w:line="288"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-30-</w:t>
                      </w:r>
                    </w:p>
                    <w:p>
                      <w:pPr>
                        <w:pStyle w:val="TextBody"/>
                        <w:spacing w:before="240" w:after="283"/>
                        <w:jc w:val="center"/>
                        <w:rPr/>
                      </w:pPr>
                      <w:r>
                        <w:rPr/>
                      </w:r>
                    </w:p>
                  </w:txbxContent>
                </v:textbox>
              </v:rect>
            </w:pict>
          </mc:Fallback>
        </mc:AlternateContent>
      </w:r>
    </w:p>
    <w:p>
      <w:pPr>
        <w:pStyle w:val="TextBody"/>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of the Depositary or its nominee or the Custodian or its nominee on the making of deposits or withdrawals hereunder, (3) such cable (including SWIFT) and facsimile transmission fees and expenses as are expressly provided in this Deposit Agreement, (4) such expenses as are incurred by the Depositary in the conversion of foreign currency pursuant to Section 4.5, (5) a fee of $5.00 or less per 100 American Depositary Shares (or portion thereof) for the delivery of American Depositary Shares pursuant to Section 2.3, 4.3 or 4.4 and the surrender of American Depositary Shares pursuant to Section 2.5 or 6.2, (6) a fee of $.05 or less per American Depositary Share (or portion thereof) for any cash distribution made pursuant to this Deposit Agreement, including, but not limited to Sections 4.1 through 4.4 and Section 4.8, (7) a fee for the distribution of securities pursuant to Section 4.2 or of rights pursuant to Section 4.4 (where the Depositary will not exercise or sell those rights on behalf of Owners), such fee being in an amount equal to the fee for the execution and delivery of American Depositary Shares referred to above which would have been charged as a result of the deposit of such securities under this Deposit Agreement (for purposes of this item 7 treating all such securities as if they were Shares) but which securities are instead distributed by the Depositary to Owners, (8) in addition to any fee charged under item 6 above, a fee of $.05 or less per American Depositary Share (or portion thereof) per annum for depositary services, which will be payable as provided in item 9 below, and (9) any other charges payable by the Depositary or the Custodian, any of the Depositary’s or Custodian’s agents or the agents of the Depositary’s or Custodian’s agents, in connection with the servicing of Shares or other Deposited Securities (which charges shall be assessed against Owners as of the date or dates set by the Depositary in accordance with Section 4.6 and shall be payable at the sole discretion of the Depositary by billing those Owners for those charges or by deducting those charges from one or more cash dividends or other cash distributions).</w:t>
      </w:r>
    </w:p>
    <w:p>
      <w:pPr>
        <w:pStyle w:val="TextBody"/>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The Depositary may collect any of its fees by deduction from any cash distribution payable, or by selling a portion of any securities to be distributed, to Owners that are obligated to pay those fees.</w:t>
      </w:r>
    </w:p>
    <w:p>
      <w:pPr>
        <w:pStyle w:val="TextBody"/>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In performing its duties under this Deposit Agreement, the Depositary may use brokers, dealers, foreign currency dealers or other service providers that are owned by or affiliated with the Depositary and that may earn or share fees, spreads or commissions.</w:t>
      </w:r>
    </w:p>
    <w:p>
      <w:pPr>
        <w:pStyle w:val="TextBody"/>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The Depositary may own and deal in any class of securities of the Company and its affiliates and in American Depositary Shares.</w:t>
      </w:r>
    </w:p>
    <w:p>
      <w:pPr>
        <w:pStyle w:val="TextBody"/>
        <w:spacing w:lineRule="auto" w:line="288" w:before="0" w:after="240"/>
        <w:ind w:left="0" w:right="0" w:firstLine="1080"/>
        <w:jc w:val="both"/>
        <w:rPr/>
      </w:pPr>
      <w:r>
        <w:rPr>
          <w:rFonts w:ascii="Times New Roman;sans-serif" w:hAnsi="Times New Roman;sans-serif"/>
          <w:b w:val="false"/>
          <w:color w:val="000000"/>
          <w:sz w:val="24"/>
        </w:rPr>
        <w:t xml:space="preserve">SECTION 5.10 </w:t>
      </w:r>
      <w:r>
        <w:rPr>
          <w:rFonts w:ascii="Times New Roman;sans-serif" w:hAnsi="Times New Roman;sans-serif"/>
          <w:b w:val="false"/>
          <w:color w:val="000000"/>
          <w:sz w:val="24"/>
          <w:u w:val="single"/>
        </w:rPr>
        <w:t>Retention of Depositary Documents.</w:t>
      </w:r>
    </w:p>
    <w:p>
      <w:pPr>
        <w:pStyle w:val="TextBody"/>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The Depositary is authorized to destroy those documents, records, bills and other data compiled during the term of this Deposit Agreement at the times permitted by the laws or regulations governing the Depositary unless the Company requests in </w:t>
      </w:r>
      <w:r>
        <w:br w:type="page"/>
      </w:r>
    </w:p>
    <w:p>
      <w:pPr>
        <w:pStyle w:val="TextBody"/>
        <w:spacing w:before="120" w:after="240"/>
        <w:jc w:val="center"/>
        <w:rPr/>
      </w:pPr>
      <w:r>
        <w:rPr/>
      </w:r>
      <w:r>
        <mc:AlternateContent>
          <mc:Choice Requires="wps">
            <w:drawing>
              <wp:anchor behindDoc="0" distT="0" distB="0" distL="0" distR="0" simplePos="0" locked="0" layoutInCell="1" allowOverlap="1" relativeHeight="341">
                <wp:simplePos x="0" y="0"/>
                <wp:positionH relativeFrom="character">
                  <wp:align>left</wp:align>
                </wp:positionH>
                <wp:positionV relativeFrom="line">
                  <wp:posOffset>635</wp:posOffset>
                </wp:positionV>
                <wp:extent cx="6480175" cy="869950"/>
                <wp:effectExtent l="0" t="0" r="0" b="0"/>
                <wp:wrapNone/>
                <wp:docPr id="340" name="Frame337"/>
                <a:graphic xmlns:a="http://schemas.openxmlformats.org/drawingml/2006/main">
                  <a:graphicData uri="http://schemas.microsoft.com/office/word/2010/wordprocessingShape">
                    <wps:wsp>
                      <wps:cNvSpPr txBox="1"/>
                      <wps:spPr>
                        <a:xfrm>
                          <a:off x="0" y="0"/>
                          <a:ext cx="6480175" cy="869950"/>
                        </a:xfrm>
                        <a:prstGeom prst="rect"/>
                      </wps:spPr>
                      <wps:txbx>
                        <w:txbxContent>
                          <w:p>
                            <w:pPr>
                              <w:pStyle w:val="TextBody"/>
                              <w:spacing w:lineRule="auto" w:line="288"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-31-</w:t>
                            </w:r>
                          </w:p>
                          <w:p>
                            <w:pPr>
                              <w:pStyle w:val="TextBody"/>
                              <w:spacing w:before="24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8.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spacing w:lineRule="auto" w:line="288"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-31-</w:t>
                      </w:r>
                    </w:p>
                    <w:p>
                      <w:pPr>
                        <w:pStyle w:val="TextBody"/>
                        <w:spacing w:before="240" w:after="283"/>
                        <w:jc w:val="center"/>
                        <w:rPr/>
                      </w:pPr>
                      <w:r>
                        <w:rPr/>
                      </w:r>
                    </w:p>
                  </w:txbxContent>
                </v:textbox>
              </v:rect>
            </w:pict>
          </mc:Fallback>
        </mc:AlternateContent>
      </w:r>
    </w:p>
    <w:p>
      <w:pPr>
        <w:pStyle w:val="TextBody"/>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writing sufficiently in advance of any such destruction that those papers be retained for a longer period or turned over to the Company.</w:t>
      </w:r>
    </w:p>
    <w:p>
      <w:pPr>
        <w:pStyle w:val="TextBody"/>
        <w:spacing w:lineRule="auto" w:line="288" w:before="0" w:after="240"/>
        <w:ind w:left="0" w:right="0" w:firstLine="1080"/>
        <w:jc w:val="both"/>
        <w:rPr/>
      </w:pPr>
      <w:r>
        <w:rPr>
          <w:rFonts w:ascii="Times New Roman;sans-serif" w:hAnsi="Times New Roman;sans-serif"/>
          <w:b w:val="false"/>
          <w:color w:val="000000"/>
          <w:sz w:val="24"/>
        </w:rPr>
        <w:t xml:space="preserve">SECTION 5.11 </w:t>
      </w:r>
      <w:r>
        <w:rPr>
          <w:rFonts w:ascii="Times New Roman;sans-serif" w:hAnsi="Times New Roman;sans-serif"/>
          <w:b w:val="false"/>
          <w:color w:val="000000"/>
          <w:sz w:val="24"/>
          <w:u w:val="single"/>
        </w:rPr>
        <w:t>Exclusivity.</w:t>
      </w:r>
    </w:p>
    <w:p>
      <w:pPr>
        <w:pStyle w:val="TextBody"/>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Without prejudice to the Company’s rights under Section 5.4, the Company agrees not to appoint any other depositary for issuance of depositary shares, depositary receipts or any similar securities or instruments so long as The Bank of New York Mellon is acting as Depositary under this Deposit Agreement.</w:t>
      </w:r>
    </w:p>
    <w:p>
      <w:pPr>
        <w:pStyle w:val="TextBody"/>
        <w:spacing w:lineRule="auto" w:line="288" w:before="0" w:after="240"/>
        <w:ind w:left="0" w:right="0" w:firstLine="1080"/>
        <w:jc w:val="both"/>
        <w:rPr/>
      </w:pPr>
      <w:r>
        <w:rPr>
          <w:rFonts w:ascii="Times New Roman;sans-serif" w:hAnsi="Times New Roman;sans-serif"/>
          <w:b w:val="false"/>
          <w:color w:val="000000"/>
          <w:sz w:val="24"/>
        </w:rPr>
        <w:t xml:space="preserve">SECTION 5.12 </w:t>
      </w:r>
      <w:r>
        <w:rPr>
          <w:rFonts w:ascii="Times New Roman;sans-serif" w:hAnsi="Times New Roman;sans-serif"/>
          <w:b w:val="false"/>
          <w:color w:val="000000"/>
          <w:sz w:val="24"/>
          <w:u w:val="single"/>
        </w:rPr>
        <w:t>Information for Regulatory Compliance.</w:t>
      </w:r>
    </w:p>
    <w:p>
      <w:pPr>
        <w:pStyle w:val="TextBody"/>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Each of the Company and the Depositary shall provide to the other, as promptly as practicable, information from its records or otherwise available to it that is reasonably requested by the other to permit the other to comply with any applicable law or requirements of governmental or regulatory authorities.</w:t>
      </w:r>
    </w:p>
    <w:p>
      <w:pPr>
        <w:pStyle w:val="TextBody"/>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ARTICLE 6.AMENDMENT AND TERMINATION</w:t>
      </w:r>
    </w:p>
    <w:p>
      <w:pPr>
        <w:pStyle w:val="TextBody"/>
        <w:spacing w:lineRule="auto" w:line="288" w:before="0" w:after="240"/>
        <w:ind w:left="0" w:right="0" w:firstLine="1080"/>
        <w:jc w:val="both"/>
        <w:rPr/>
      </w:pPr>
      <w:r>
        <w:rPr>
          <w:rFonts w:ascii="Times New Roman;sans-serif" w:hAnsi="Times New Roman;sans-serif"/>
          <w:b w:val="false"/>
          <w:color w:val="000000"/>
          <w:sz w:val="24"/>
        </w:rPr>
        <w:t xml:space="preserve">SECTION 6.1 </w:t>
      </w:r>
      <w:r>
        <w:rPr>
          <w:rFonts w:ascii="Times New Roman;sans-serif" w:hAnsi="Times New Roman;sans-serif"/>
          <w:b w:val="false"/>
          <w:color w:val="000000"/>
          <w:sz w:val="24"/>
          <w:u w:val="single"/>
        </w:rPr>
        <w:t>Amendment.</w:t>
      </w:r>
    </w:p>
    <w:p>
      <w:pPr>
        <w:pStyle w:val="TextBody"/>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The form of the Receipts and any provisions of this Deposit Agreement may at any time and from time to time be amended by agreement between the Company and the Depositary without the consent of Owners or Holders in any respect that they may deem necessary or desirable. Any amendment that would impose or increase any fees or charges (other than taxes and other governmental charges, registration fees, cable (including SWIFT) or facsimile transmission costs, delivery costs or other such expenses), or that would otherwise prejudice any substantial existing right of Owners, shall, however, not become effective as to outstanding American Depositary Shares until the expiration of 30 days after notice of that amendment has been Disseminated to the Owners of outstanding American Depositary Shares. Every Owner and Holder, at the time any amendment so becomes effective, shall be deemed, by continuing to hold American Depositary Shares or any interest therein, to consent and agree to that amendment and to be bound by this Deposit Agreement as amended thereby. Upon the effectiveness of an amendment to the form of Receipt, including a change in the number of Shares represented by each American Depositary Share, the Depositary may call for surrender of Receipts to be replaced with new Receipts in the amended form or call for surrender of American Depositary Shares to effect that change of ratio. In no event shall any amendment impair the right of the Owner to surrender American Depositary Shares and receive delivery of the Deposited Securities represented thereby, except in order to comply with mandatory provisions of applicable law.</w:t>
      </w:r>
      <w:r>
        <w:br w:type="page"/>
      </w:r>
    </w:p>
    <w:p>
      <w:pPr>
        <w:pStyle w:val="TextBody"/>
        <w:spacing w:before="120" w:after="240"/>
        <w:jc w:val="center"/>
        <w:rPr/>
      </w:pPr>
      <w:r>
        <w:rPr/>
      </w:r>
      <w:r>
        <mc:AlternateContent>
          <mc:Choice Requires="wps">
            <w:drawing>
              <wp:anchor behindDoc="0" distT="0" distB="0" distL="0" distR="0" simplePos="0" locked="0" layoutInCell="1" allowOverlap="1" relativeHeight="342">
                <wp:simplePos x="0" y="0"/>
                <wp:positionH relativeFrom="character">
                  <wp:align>left</wp:align>
                </wp:positionH>
                <wp:positionV relativeFrom="line">
                  <wp:posOffset>635</wp:posOffset>
                </wp:positionV>
                <wp:extent cx="6480175" cy="869950"/>
                <wp:effectExtent l="0" t="0" r="0" b="0"/>
                <wp:wrapNone/>
                <wp:docPr id="341" name="Frame338"/>
                <a:graphic xmlns:a="http://schemas.openxmlformats.org/drawingml/2006/main">
                  <a:graphicData uri="http://schemas.microsoft.com/office/word/2010/wordprocessingShape">
                    <wps:wsp>
                      <wps:cNvSpPr txBox="1"/>
                      <wps:spPr>
                        <a:xfrm>
                          <a:off x="0" y="0"/>
                          <a:ext cx="6480175" cy="869950"/>
                        </a:xfrm>
                        <a:prstGeom prst="rect"/>
                      </wps:spPr>
                      <wps:txbx>
                        <w:txbxContent>
                          <w:p>
                            <w:pPr>
                              <w:pStyle w:val="TextBody"/>
                              <w:spacing w:lineRule="auto" w:line="288"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-32-</w:t>
                            </w:r>
                          </w:p>
                          <w:p>
                            <w:pPr>
                              <w:pStyle w:val="TextBody"/>
                              <w:spacing w:before="24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8.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spacing w:lineRule="auto" w:line="288"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-32-</w:t>
                      </w:r>
                    </w:p>
                    <w:p>
                      <w:pPr>
                        <w:pStyle w:val="TextBody"/>
                        <w:spacing w:before="240" w:after="283"/>
                        <w:jc w:val="center"/>
                        <w:rPr/>
                      </w:pPr>
                      <w:r>
                        <w:rPr/>
                      </w:r>
                    </w:p>
                  </w:txbxContent>
                </v:textbox>
              </v:rect>
            </w:pict>
          </mc:Fallback>
        </mc:AlternateContent>
      </w:r>
    </w:p>
    <w:p>
      <w:pPr>
        <w:pStyle w:val="TextBody"/>
        <w:spacing w:lineRule="auto" w:line="288" w:before="0" w:after="240"/>
        <w:ind w:left="0" w:right="0" w:firstLine="1080"/>
        <w:jc w:val="both"/>
        <w:rPr/>
      </w:pPr>
      <w:r>
        <w:rPr>
          <w:rFonts w:ascii="Times New Roman;sans-serif" w:hAnsi="Times New Roman;sans-serif"/>
          <w:b w:val="false"/>
          <w:color w:val="000000"/>
          <w:sz w:val="24"/>
        </w:rPr>
        <w:t xml:space="preserve">SECTION 6.2 </w:t>
      </w:r>
      <w:r>
        <w:rPr>
          <w:rFonts w:ascii="Times New Roman;sans-serif" w:hAnsi="Times New Roman;sans-serif"/>
          <w:b w:val="false"/>
          <w:color w:val="000000"/>
          <w:sz w:val="24"/>
          <w:u w:val="single"/>
        </w:rPr>
        <w:t>Termination.</w:t>
      </w:r>
    </w:p>
    <w:p>
      <w:pPr>
        <w:pStyle w:val="TextBody"/>
        <w:spacing w:lineRule="auto" w:line="288" w:before="0" w:after="240"/>
        <w:ind w:left="0" w:right="0" w:firstLine="1440"/>
        <w:jc w:val="both"/>
        <w:rPr/>
      </w:pPr>
      <w:r>
        <w:rPr>
          <w:rFonts w:ascii="Times New Roman;sans-serif" w:hAnsi="Times New Roman;sans-serif"/>
          <w:b w:val="false"/>
          <w:color w:val="000000"/>
          <w:sz w:val="24"/>
        </w:rPr>
        <w:t>(a)    The Company may initiate termination of this Deposit Agreement by notice to the Depositary. The Depositary may initiate termination of this Deposit Agreement if (i) at any time 60 days shall have expired after the Depositary delivered to the Company a written resignation notice and a successor depositary has not been appointed and accepted its appointment as provided in Section 5.4 or (ii) a Termination Option Event has occurred or will occur. If termination of this Deposit Agreement is initiated, the Depositary shall Disseminate a notice of termination to the Owners of all American Depositary Shares then outstanding setting a date for termination (the “</w:t>
      </w:r>
      <w:r>
        <w:rPr>
          <w:rFonts w:ascii="Times New Roman;sans-serif" w:hAnsi="Times New Roman;sans-serif"/>
          <w:b w:val="false"/>
          <w:color w:val="000000"/>
          <w:sz w:val="24"/>
          <w:u w:val="single"/>
        </w:rPr>
        <w:t>Termination Date</w:t>
      </w:r>
      <w:r>
        <w:rPr>
          <w:color w:val="000000"/>
        </w:rPr>
        <w:t>”</w:t>
      </w:r>
      <w:r>
        <w:rPr>
          <w:rFonts w:ascii="Times New Roman;sans-serif" w:hAnsi="Times New Roman;sans-serif"/>
          <w:b w:val="false"/>
          <w:color w:val="000000"/>
          <w:sz w:val="24"/>
        </w:rPr>
        <w:t xml:space="preserve">), which shall be at least 90 days after the date of that notice, and this Deposit Agreement shall terminate on that Termination Date. </w:t>
      </w:r>
    </w:p>
    <w:p>
      <w:pPr>
        <w:pStyle w:val="TextBody"/>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(b)    After the Termination Date, the Company shall be discharged from all obligations under this Deposit Agreement except for its obligations to the Depositary under Sections 5.8 and 5.9. </w:t>
      </w:r>
    </w:p>
    <w:p>
      <w:pPr>
        <w:pStyle w:val="TextBody"/>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(c)    At any time after the Termination Date, the Depositary may sell the Deposited Securities then held under this Deposit Agreement and may thereafter hold uninvested the net proceeds of any such sale, together with any other cash then held by it hereunder, unsegregated and without liability for interest, for the pro rata benefit of the Owners of American Depositary Shares that remain outstanding, and those Owners will be general creditors of the Depositary with respect to those net proceeds and that other cash. After making that sale, the Depositary shall be discharged from all obligations under this Deposit Agreement, except (i) to account to the Owners for the net proceeds and other cash (after deducting, in each case, the fee of the Depositary for the surrender of American Depositary Shares, any expenses for the account of the Owner of such American Depositary Shares in accordance with the terms and conditions of this Deposit Agreement and any applicable taxes or governmental charges) and subject to paragraph (d) below pay them to Owners upon surrender of American Depositary Shares in accordance with Section 2.5, and (ii) for its obligations under Section 5.8 and (iii) to act as provided in paragraph (d) below.</w:t>
      </w:r>
    </w:p>
    <w:p>
      <w:pPr>
        <w:pStyle w:val="TextBody"/>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(d)    After the Termination Date, if any American Depositary Shares shall remain outstanding, the Depositary shall continue to receive dividends and other distributions pertaining to Deposited Securities (that have not been sold), may sell rights and other property as provided in this Deposit Agreement and shall deliver Deposited Securities (or sale proceeds) upon surrender of American Depositary Shares (after payment or upon deduction, in each case, of the fee of the Depositary for the surrender of American Depositary Shares, any expenses for the account of the Owner of those American Depositary Shares in accordance with the terms and conditions of this Deposit Agreement and any applicable taxes or governmental charges). After the Termination Date, the Depositary shall not accept deposits of Shares or deliver American Depositary </w:t>
      </w:r>
      <w:r>
        <w:br w:type="page"/>
      </w:r>
    </w:p>
    <w:p>
      <w:pPr>
        <w:pStyle w:val="TextBody"/>
        <w:spacing w:before="120" w:after="240"/>
        <w:jc w:val="center"/>
        <w:rPr/>
      </w:pPr>
      <w:r>
        <w:rPr/>
      </w:r>
      <w:r>
        <mc:AlternateContent>
          <mc:Choice Requires="wps">
            <w:drawing>
              <wp:anchor behindDoc="0" distT="0" distB="0" distL="0" distR="0" simplePos="0" locked="0" layoutInCell="1" allowOverlap="1" relativeHeight="343">
                <wp:simplePos x="0" y="0"/>
                <wp:positionH relativeFrom="character">
                  <wp:align>left</wp:align>
                </wp:positionH>
                <wp:positionV relativeFrom="line">
                  <wp:posOffset>635</wp:posOffset>
                </wp:positionV>
                <wp:extent cx="6480175" cy="869950"/>
                <wp:effectExtent l="0" t="0" r="0" b="0"/>
                <wp:wrapNone/>
                <wp:docPr id="342" name="Frame339"/>
                <a:graphic xmlns:a="http://schemas.openxmlformats.org/drawingml/2006/main">
                  <a:graphicData uri="http://schemas.microsoft.com/office/word/2010/wordprocessingShape">
                    <wps:wsp>
                      <wps:cNvSpPr txBox="1"/>
                      <wps:spPr>
                        <a:xfrm>
                          <a:off x="0" y="0"/>
                          <a:ext cx="6480175" cy="869950"/>
                        </a:xfrm>
                        <a:prstGeom prst="rect"/>
                      </wps:spPr>
                      <wps:txbx>
                        <w:txbxContent>
                          <w:p>
                            <w:pPr>
                              <w:pStyle w:val="TextBody"/>
                              <w:spacing w:lineRule="auto" w:line="288"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-33-</w:t>
                            </w:r>
                          </w:p>
                          <w:p>
                            <w:pPr>
                              <w:pStyle w:val="TextBody"/>
                              <w:spacing w:before="24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8.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spacing w:lineRule="auto" w:line="288"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-33-</w:t>
                      </w:r>
                    </w:p>
                    <w:p>
                      <w:pPr>
                        <w:pStyle w:val="TextBody"/>
                        <w:spacing w:before="240" w:after="283"/>
                        <w:jc w:val="center"/>
                        <w:rPr/>
                      </w:pPr>
                      <w:r>
                        <w:rPr/>
                      </w:r>
                    </w:p>
                  </w:txbxContent>
                </v:textbox>
              </v:rect>
            </w:pict>
          </mc:Fallback>
        </mc:AlternateContent>
      </w:r>
    </w:p>
    <w:p>
      <w:pPr>
        <w:pStyle w:val="TextBody"/>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Shares. After the Termination Date, (i) the Depositary may refuse to accept surrenders of American Depositary Shares for the purpose of withdrawal of Deposited Securities (that have not been sold) or reverse previously accepted surrenders of that kind that have not settled if in its judgment the requested withdrawal would materially interfere with its efforts to sell the Deposited Securities, (ii) the Depositary will not be required to deliver cash proceeds of the sale of Deposited Securities until all Deposited Securities have been sold and (iii) the Depositary may discontinue the registration of transfers of American Depositary Shares and suspend the distribution of dividends and other distributions on Deposited Securities to the Owners and need not give any further notices or perform any further acts under this Deposit Agreement except as provided in this Section.</w:t>
      </w:r>
    </w:p>
    <w:p>
      <w:pPr>
        <w:pStyle w:val="TextBody"/>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ARTICLE 7.MISCELLANEOUS</w:t>
      </w:r>
    </w:p>
    <w:p>
      <w:pPr>
        <w:pStyle w:val="TextBody"/>
        <w:spacing w:lineRule="auto" w:line="288" w:before="0" w:after="240"/>
        <w:ind w:left="0" w:right="0" w:firstLine="1080"/>
        <w:jc w:val="both"/>
        <w:rPr/>
      </w:pPr>
      <w:r>
        <w:rPr>
          <w:rFonts w:ascii="Times New Roman;sans-serif" w:hAnsi="Times New Roman;sans-serif"/>
          <w:b w:val="false"/>
          <w:color w:val="000000"/>
          <w:sz w:val="24"/>
        </w:rPr>
        <w:t xml:space="preserve">SECTION 7.1 </w:t>
      </w:r>
      <w:r>
        <w:rPr>
          <w:rFonts w:ascii="Times New Roman;sans-serif" w:hAnsi="Times New Roman;sans-serif"/>
          <w:b w:val="false"/>
          <w:color w:val="000000"/>
          <w:sz w:val="24"/>
          <w:u w:val="single"/>
        </w:rPr>
        <w:t>Counterparts; Signatures; Delivery.</w:t>
      </w:r>
    </w:p>
    <w:p>
      <w:pPr>
        <w:pStyle w:val="TextBody"/>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This Deposit Agreement may be executed in any number of counterparts, each of which shall be deemed an original and all of those counterparts shall constitute one and the same instrument. Copies of this Deposit Agreement shall be filed with the Depositary and the Custodians and shall be open to inspection by any Owner or Holder during regular business hours.</w:t>
      </w:r>
    </w:p>
    <w:p>
      <w:pPr>
        <w:pStyle w:val="TextBody"/>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The exchange of copies of this Deposit Agreement and manually-signed signature pages by facsimile, or email attaching a pdf or similar bit-mapped image, shall constitute effective execution and delivery of this Deposit Agreement as to the parties to it; copies and signature pages so exchanged may be used in lieu of the original Deposit Agreement and signature pages for all purposes and shall have the same validity, legal effect and admissibility in evidence as an original manual signature; the parties to this Deposit Agreement hereby agree not to argue to the contrary. </w:t>
      </w:r>
    </w:p>
    <w:p>
      <w:pPr>
        <w:pStyle w:val="TextBody"/>
        <w:spacing w:lineRule="auto" w:line="288" w:before="0" w:after="240"/>
        <w:ind w:left="0" w:right="0" w:firstLine="1080"/>
        <w:jc w:val="both"/>
        <w:rPr/>
      </w:pPr>
      <w:r>
        <w:rPr>
          <w:rFonts w:ascii="Times New Roman;sans-serif" w:hAnsi="Times New Roman;sans-serif"/>
          <w:b w:val="false"/>
          <w:color w:val="000000"/>
          <w:sz w:val="24"/>
        </w:rPr>
        <w:t xml:space="preserve">SECTION 7.2 </w:t>
      </w:r>
      <w:r>
        <w:rPr>
          <w:rFonts w:ascii="Times New Roman;sans-serif" w:hAnsi="Times New Roman;sans-serif"/>
          <w:b w:val="false"/>
          <w:color w:val="000000"/>
          <w:sz w:val="24"/>
          <w:u w:val="single"/>
        </w:rPr>
        <w:t>No Third Party Beneficiaries.</w:t>
      </w:r>
    </w:p>
    <w:p>
      <w:pPr>
        <w:pStyle w:val="TextBody"/>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This Deposit Agreement is for the exclusive benefit of the Company, the Depositary, the Owners and the Holders and their respective successors and shall not be deemed to give any legal or equitable right, remedy or claim whatsoever to any other person.</w:t>
      </w:r>
    </w:p>
    <w:p>
      <w:pPr>
        <w:pStyle w:val="TextBody"/>
        <w:spacing w:lineRule="auto" w:line="288" w:before="0" w:after="240"/>
        <w:ind w:left="0" w:right="0" w:firstLine="1080"/>
        <w:jc w:val="both"/>
        <w:rPr/>
      </w:pPr>
      <w:r>
        <w:rPr>
          <w:rFonts w:ascii="Times New Roman;sans-serif" w:hAnsi="Times New Roman;sans-serif"/>
          <w:b w:val="false"/>
          <w:color w:val="000000"/>
          <w:sz w:val="24"/>
        </w:rPr>
        <w:t xml:space="preserve">SECTION 7.3 </w:t>
      </w:r>
      <w:r>
        <w:rPr>
          <w:rFonts w:ascii="Times New Roman;sans-serif" w:hAnsi="Times New Roman;sans-serif"/>
          <w:b w:val="false"/>
          <w:color w:val="000000"/>
          <w:sz w:val="24"/>
          <w:u w:val="single"/>
        </w:rPr>
        <w:t>Severability.</w:t>
      </w:r>
    </w:p>
    <w:p>
      <w:pPr>
        <w:pStyle w:val="TextBody"/>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In case any one or more of the provisions contained in this Deposit Agreement or in a Receipt should be or become invalid, illegal or unenforceable in any respect, the validity, legality and enforceability of the remaining provisions contained in this Deposit Agreement or that Receipt shall in no way be affected, prejudiced or disturbed thereby.</w:t>
      </w:r>
      <w:r>
        <w:br w:type="page"/>
      </w:r>
    </w:p>
    <w:p>
      <w:pPr>
        <w:pStyle w:val="TextBody"/>
        <w:spacing w:before="120" w:after="240"/>
        <w:jc w:val="center"/>
        <w:rPr/>
      </w:pPr>
      <w:r>
        <w:rPr/>
      </w:r>
      <w:r>
        <mc:AlternateContent>
          <mc:Choice Requires="wps">
            <w:drawing>
              <wp:anchor behindDoc="0" distT="0" distB="0" distL="0" distR="0" simplePos="0" locked="0" layoutInCell="1" allowOverlap="1" relativeHeight="344">
                <wp:simplePos x="0" y="0"/>
                <wp:positionH relativeFrom="character">
                  <wp:align>left</wp:align>
                </wp:positionH>
                <wp:positionV relativeFrom="line">
                  <wp:posOffset>635</wp:posOffset>
                </wp:positionV>
                <wp:extent cx="6480175" cy="869950"/>
                <wp:effectExtent l="0" t="0" r="0" b="0"/>
                <wp:wrapNone/>
                <wp:docPr id="343" name="Frame340"/>
                <a:graphic xmlns:a="http://schemas.openxmlformats.org/drawingml/2006/main">
                  <a:graphicData uri="http://schemas.microsoft.com/office/word/2010/wordprocessingShape">
                    <wps:wsp>
                      <wps:cNvSpPr txBox="1"/>
                      <wps:spPr>
                        <a:xfrm>
                          <a:off x="0" y="0"/>
                          <a:ext cx="6480175" cy="869950"/>
                        </a:xfrm>
                        <a:prstGeom prst="rect"/>
                      </wps:spPr>
                      <wps:txbx>
                        <w:txbxContent>
                          <w:p>
                            <w:pPr>
                              <w:pStyle w:val="TextBody"/>
                              <w:spacing w:lineRule="auto" w:line="288"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-34-</w:t>
                            </w:r>
                          </w:p>
                          <w:p>
                            <w:pPr>
                              <w:pStyle w:val="TextBody"/>
                              <w:spacing w:before="24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8.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spacing w:lineRule="auto" w:line="288"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-34-</w:t>
                      </w:r>
                    </w:p>
                    <w:p>
                      <w:pPr>
                        <w:pStyle w:val="TextBody"/>
                        <w:spacing w:before="240" w:after="283"/>
                        <w:jc w:val="center"/>
                        <w:rPr/>
                      </w:pPr>
                      <w:r>
                        <w:rPr/>
                      </w:r>
                    </w:p>
                  </w:txbxContent>
                </v:textbox>
              </v:rect>
            </w:pict>
          </mc:Fallback>
        </mc:AlternateContent>
      </w:r>
    </w:p>
    <w:p>
      <w:pPr>
        <w:pStyle w:val="TextBody"/>
        <w:spacing w:lineRule="auto" w:line="288" w:before="0" w:after="240"/>
        <w:ind w:left="0" w:right="0" w:firstLine="1080"/>
        <w:jc w:val="both"/>
        <w:rPr/>
      </w:pPr>
      <w:r>
        <w:rPr>
          <w:rFonts w:ascii="Times New Roman;sans-serif" w:hAnsi="Times New Roman;sans-serif"/>
          <w:b w:val="false"/>
          <w:color w:val="000000"/>
          <w:sz w:val="24"/>
        </w:rPr>
        <w:t xml:space="preserve">SECTION 7.4 </w:t>
      </w:r>
      <w:r>
        <w:rPr>
          <w:rFonts w:ascii="Times New Roman;sans-serif" w:hAnsi="Times New Roman;sans-serif"/>
          <w:b w:val="false"/>
          <w:color w:val="000000"/>
          <w:sz w:val="24"/>
          <w:u w:val="single"/>
        </w:rPr>
        <w:t>Owners and Holders as Parties; Binding Effect.</w:t>
      </w:r>
    </w:p>
    <w:p>
      <w:pPr>
        <w:pStyle w:val="TextBody"/>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The Owners and Holders from time to time shall be parties to this Deposit Agreement and shall be bound by all of the terms and conditions of this Deposit Agreement and of the Receipts by acceptance of American Depositary Shares or any interest therein.</w:t>
      </w:r>
    </w:p>
    <w:p>
      <w:pPr>
        <w:pStyle w:val="TextBody"/>
        <w:spacing w:lineRule="auto" w:line="288" w:before="0" w:after="240"/>
        <w:ind w:left="0" w:right="0" w:firstLine="1080"/>
        <w:jc w:val="both"/>
        <w:rPr/>
      </w:pPr>
      <w:r>
        <w:rPr>
          <w:rFonts w:ascii="Times New Roman;sans-serif" w:hAnsi="Times New Roman;sans-serif"/>
          <w:b w:val="false"/>
          <w:color w:val="000000"/>
          <w:sz w:val="24"/>
        </w:rPr>
        <w:t xml:space="preserve">SECTION 7.5 </w:t>
      </w:r>
      <w:r>
        <w:rPr>
          <w:rFonts w:ascii="Times New Roman;sans-serif" w:hAnsi="Times New Roman;sans-serif"/>
          <w:b w:val="false"/>
          <w:color w:val="000000"/>
          <w:sz w:val="24"/>
          <w:u w:val="single"/>
        </w:rPr>
        <w:t>Notices.</w:t>
      </w:r>
    </w:p>
    <w:p>
      <w:pPr>
        <w:pStyle w:val="TextBody"/>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Any and all notices to be given to the Company shall be in writing and shall be deemed to have been duly given if personally delivered or sent by domestic first class or international air mail or air courier or sent by facsimile transmission or email attaching a pdf or similar bit-mapped image of a signed writing, addressed to Agora, Inc., Floor 8, Building 12, Phase III of ChuangZhiTianDi, 333 Songhu Road, Yangpu District, Shanghai, People’s Republic of China, Attention: Chief Financial Officer, or any other place to which the Company may have transferred its principal office with notice to the Depositary.</w:t>
      </w:r>
    </w:p>
    <w:p>
      <w:pPr>
        <w:pStyle w:val="TextBody"/>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Any and all notices to be given to the Depositary shall be in writing and shall be deemed to have been duly given if in English and personally delivered or sent by first class domestic or international air mail or air courier or sent by facsimile transmission or email attaching a pdf or similar bit-mapped image of a signed writing, addressed to The Bank of New York Mellon, 240 Greenwich Street, New York, New York 10286, Attention: Depositary Receipt Administration, or any other place to which the Depositary may have transferred its Office with notice to the Company. </w:t>
      </w:r>
    </w:p>
    <w:p>
      <w:pPr>
        <w:pStyle w:val="TextBody"/>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Delivery of a notice to the Company or Depositary by mail or air courier shall be deemed effected when deposited, postage prepaid, in a post-office letter box or received by an air courier service. Delivery of a notice to the Company or Depositary sent by facsimile transmission or email shall be deemed effected when the recipient acknowledges receipt of that notice.</w:t>
      </w:r>
    </w:p>
    <w:p>
      <w:pPr>
        <w:pStyle w:val="TextBody"/>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A notice to be given to an Owner shall be deemed to have been duly given when Disseminated to that Owner. Dissemination in paper form will be effective when personally delivered or sent by first class domestic or international air mail or air courier, addressed to that Owner at the address of that Owner as it appears on the transfer books for American Depositary Shares of the Depositary, or, if that Owner has filed with the Depositary a written request that notices intended for that Owner be mailed to some other address, at the address designated in that request. Dissemination in electronic form will be effective when sent in the manner consented to by the Owner to the electronic address most recently provided by the Owner for that purpose.</w:t>
      </w:r>
      <w:r>
        <w:br w:type="page"/>
      </w:r>
    </w:p>
    <w:p>
      <w:pPr>
        <w:pStyle w:val="TextBody"/>
        <w:spacing w:before="120" w:after="240"/>
        <w:jc w:val="center"/>
        <w:rPr/>
      </w:pPr>
      <w:r>
        <w:rPr/>
      </w:r>
      <w:r>
        <mc:AlternateContent>
          <mc:Choice Requires="wps">
            <w:drawing>
              <wp:anchor behindDoc="0" distT="0" distB="0" distL="0" distR="0" simplePos="0" locked="0" layoutInCell="1" allowOverlap="1" relativeHeight="345">
                <wp:simplePos x="0" y="0"/>
                <wp:positionH relativeFrom="character">
                  <wp:align>left</wp:align>
                </wp:positionH>
                <wp:positionV relativeFrom="line">
                  <wp:posOffset>635</wp:posOffset>
                </wp:positionV>
                <wp:extent cx="6480175" cy="869950"/>
                <wp:effectExtent l="0" t="0" r="0" b="0"/>
                <wp:wrapNone/>
                <wp:docPr id="344" name="Frame341"/>
                <a:graphic xmlns:a="http://schemas.openxmlformats.org/drawingml/2006/main">
                  <a:graphicData uri="http://schemas.microsoft.com/office/word/2010/wordprocessingShape">
                    <wps:wsp>
                      <wps:cNvSpPr txBox="1"/>
                      <wps:spPr>
                        <a:xfrm>
                          <a:off x="0" y="0"/>
                          <a:ext cx="6480175" cy="869950"/>
                        </a:xfrm>
                        <a:prstGeom prst="rect"/>
                      </wps:spPr>
                      <wps:txbx>
                        <w:txbxContent>
                          <w:p>
                            <w:pPr>
                              <w:pStyle w:val="TextBody"/>
                              <w:spacing w:lineRule="auto" w:line="288"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-35-</w:t>
                            </w:r>
                          </w:p>
                          <w:p>
                            <w:pPr>
                              <w:pStyle w:val="TextBody"/>
                              <w:spacing w:before="24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8.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spacing w:lineRule="auto" w:line="288"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-35-</w:t>
                      </w:r>
                    </w:p>
                    <w:p>
                      <w:pPr>
                        <w:pStyle w:val="TextBody"/>
                        <w:spacing w:before="240" w:after="283"/>
                        <w:jc w:val="center"/>
                        <w:rPr/>
                      </w:pPr>
                      <w:r>
                        <w:rPr/>
                      </w:r>
                    </w:p>
                  </w:txbxContent>
                </v:textbox>
              </v:rect>
            </w:pict>
          </mc:Fallback>
        </mc:AlternateContent>
      </w:r>
    </w:p>
    <w:p>
      <w:pPr>
        <w:pStyle w:val="TextBody"/>
        <w:spacing w:lineRule="auto" w:line="288" w:before="0" w:after="240"/>
        <w:ind w:left="0" w:right="0" w:firstLine="1080"/>
        <w:jc w:val="both"/>
        <w:rPr/>
      </w:pPr>
      <w:r>
        <w:rPr>
          <w:rFonts w:ascii="Times New Roman;sans-serif" w:hAnsi="Times New Roman;sans-serif"/>
          <w:b w:val="false"/>
          <w:color w:val="000000"/>
          <w:sz w:val="24"/>
        </w:rPr>
        <w:t xml:space="preserve">SECTION 7.6 </w:t>
      </w:r>
      <w:r>
        <w:rPr>
          <w:rFonts w:ascii="Times New Roman;sans-serif" w:hAnsi="Times New Roman;sans-serif"/>
          <w:b w:val="false"/>
          <w:color w:val="000000"/>
          <w:sz w:val="24"/>
          <w:u w:val="single"/>
        </w:rPr>
        <w:t>Arbitration; Settlement of Disputes.</w:t>
      </w:r>
    </w:p>
    <w:p>
      <w:pPr>
        <w:pStyle w:val="TextBody"/>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Any controversy, claim or cause of action brought by any party hereto against the Company arising out of or relating to the Shares or other Deposited Securities, the American Depositary Shares, the Receipts or this Deposit Agreement, or the breach hereof or thereof, if so elected by the claimant, shall be settled by arbitration in accordance with the International Arbitration Rules of the American Arbitration Association, and judgment upon the award rendered by the arbitrators may be entered in any court having jurisdiction thereof.</w:t>
      </w:r>
    </w:p>
    <w:p>
      <w:pPr>
        <w:pStyle w:val="TextBody"/>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The place of the arbitration shall be The City of New York, State of New York, United States of America, and the language of the arbitration shall be English.</w:t>
      </w:r>
    </w:p>
    <w:p>
      <w:pPr>
        <w:pStyle w:val="TextBody"/>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The number of arbitrators shall be three, each of whom shall be disinterested in the dispute or controversy, shall have no connection with any party thereto, and shall be an attorney experienced in international securities transactions. Each party shall appoint one arbitrator and the two arbitrators shall select a third arbitrator who shall serve as chairperson of the tribunal. If a dispute, controversy or cause of action shall involve more than two parties, the parties shall attempt to align themselves in two sides (i.e., claimant(s) and respondent(s)), each of which shall appoint one arbitrator as if there were only two parties to such dispute, controversy or cause of action. If such alignment and appointment shall not have occurred within thirty (30) calendar days after the initiating party serves the arbitration demand, the American Arbitration Association shall appoint the three arbitrators, each of whom shall have the qualifications described above. The parties and the American Arbitration Association may appoint from among the nationals of any country, whether or not a party is a national of that country.</w:t>
      </w:r>
    </w:p>
    <w:p>
      <w:pPr>
        <w:pStyle w:val="TextBody"/>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The arbitral tribunal shall have no authority to award any consequential, special or punitive damages or other damages not measured by the prevailing party’s actual damages and may not, in any event, make any ruling, finding or award that does not conform to the terms and conditions of this Deposit Agreement.</w:t>
      </w:r>
    </w:p>
    <w:p>
      <w:pPr>
        <w:pStyle w:val="TextBody"/>
        <w:spacing w:lineRule="auto" w:line="288" w:before="0" w:after="240"/>
        <w:ind w:left="0" w:right="0" w:firstLine="1080"/>
        <w:jc w:val="both"/>
        <w:rPr/>
      </w:pPr>
      <w:r>
        <w:rPr>
          <w:rFonts w:ascii="Times New Roman;sans-serif" w:hAnsi="Times New Roman;sans-serif"/>
          <w:b w:val="false"/>
          <w:color w:val="000000"/>
          <w:sz w:val="24"/>
        </w:rPr>
        <w:t xml:space="preserve">SECTION 7.7 </w:t>
      </w:r>
      <w:r>
        <w:rPr>
          <w:rFonts w:ascii="Times New Roman;sans-serif" w:hAnsi="Times New Roman;sans-serif"/>
          <w:b w:val="false"/>
          <w:color w:val="000000"/>
          <w:sz w:val="24"/>
          <w:u w:val="single"/>
        </w:rPr>
        <w:t>Appointment of Agent for Service of Process; Submission to Jurisdiction; Jury Trial Waiver.</w:t>
      </w:r>
    </w:p>
    <w:p>
      <w:pPr>
        <w:pStyle w:val="TextBody"/>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The Company hereby (i) designates and appoints the person named in Exhibit A to this Deposit Agreement as the Company’s authorized agent in the United States upon which process may be served in any suit or proceeding (including any arbitration proceeding) arising out of or relating to the Shares or Deposited Securities, the American Depositary Shares, the Receipts or this Deposit Agreement (a “Proceeding”), (ii) consents and submits to the jurisdiction of any state or federal court in the State of New York in which any Proceeding may be instituted and (iii) agrees that service of process upon said authorized agent shall be deemed in every respect effective service of </w:t>
      </w:r>
      <w:r>
        <w:br w:type="page"/>
      </w:r>
    </w:p>
    <w:p>
      <w:pPr>
        <w:pStyle w:val="TextBody"/>
        <w:spacing w:before="120" w:after="240"/>
        <w:jc w:val="center"/>
        <w:rPr/>
      </w:pPr>
      <w:r>
        <w:rPr/>
      </w:r>
      <w:r>
        <mc:AlternateContent>
          <mc:Choice Requires="wps">
            <w:drawing>
              <wp:anchor behindDoc="0" distT="0" distB="0" distL="0" distR="0" simplePos="0" locked="0" layoutInCell="1" allowOverlap="1" relativeHeight="346">
                <wp:simplePos x="0" y="0"/>
                <wp:positionH relativeFrom="character">
                  <wp:align>left</wp:align>
                </wp:positionH>
                <wp:positionV relativeFrom="line">
                  <wp:posOffset>635</wp:posOffset>
                </wp:positionV>
                <wp:extent cx="6480175" cy="869950"/>
                <wp:effectExtent l="0" t="0" r="0" b="0"/>
                <wp:wrapNone/>
                <wp:docPr id="345" name="Frame342"/>
                <a:graphic xmlns:a="http://schemas.openxmlformats.org/drawingml/2006/main">
                  <a:graphicData uri="http://schemas.microsoft.com/office/word/2010/wordprocessingShape">
                    <wps:wsp>
                      <wps:cNvSpPr txBox="1"/>
                      <wps:spPr>
                        <a:xfrm>
                          <a:off x="0" y="0"/>
                          <a:ext cx="6480175" cy="869950"/>
                        </a:xfrm>
                        <a:prstGeom prst="rect"/>
                      </wps:spPr>
                      <wps:txbx>
                        <w:txbxContent>
                          <w:p>
                            <w:pPr>
                              <w:pStyle w:val="TextBody"/>
                              <w:spacing w:lineRule="auto" w:line="288"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-36-</w:t>
                            </w:r>
                          </w:p>
                          <w:p>
                            <w:pPr>
                              <w:pStyle w:val="TextBody"/>
                              <w:spacing w:before="24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8.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spacing w:lineRule="auto" w:line="288"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-36-</w:t>
                      </w:r>
                    </w:p>
                    <w:p>
                      <w:pPr>
                        <w:pStyle w:val="TextBody"/>
                        <w:spacing w:before="240" w:after="283"/>
                        <w:jc w:val="center"/>
                        <w:rPr/>
                      </w:pPr>
                      <w:r>
                        <w:rPr/>
                      </w:r>
                    </w:p>
                  </w:txbxContent>
                </v:textbox>
              </v:rect>
            </w:pict>
          </mc:Fallback>
        </mc:AlternateContent>
      </w:r>
    </w:p>
    <w:p>
      <w:pPr>
        <w:pStyle w:val="TextBody"/>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process upon the Company in any Proceeding. The Company agrees to deliver to the Depositary, upon the execution and delivery of this Deposit Agreement, a written acceptance by the agent named in Exhibit A to this Deposit Agreement of its appointment as process agent. The Company further agrees to take any and all action, including the filing of any and all such documents and instruments, as may be necessary to continue that designation and appointment in full force and effect, or to appoint and maintain the appointment of another process agent located in the United States as required above, and to deliver to the Depositary a written acceptance by that agent of that appointment, for so long as any American Depositary Shares or Receipts remain outstanding or this Deposit Agreement remains in force. In the event the Company fails to maintain the designation and appointment of a process agent in the United States in full force and effect, the Company hereby waives personal service of process upon it and consents that a service of process in connection with a Proceeding may be made by certified or registered mail, return receipt requested, directed to the Company at its address last specified for notices under this Deposit Agreement, and service so made shall be deemed completed five (5) days after the same shall have been so mailed.</w:t>
      </w:r>
    </w:p>
    <w:p>
      <w:pPr>
        <w:pStyle w:val="TextBody"/>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EACH PARTY TO THIS DEPOSIT AGREEMENT (INCLUDING, FOR AVOIDANCE OF DOUBT, EACH OWNER AND HOLDER) HEREBY IRREVOCABLY WAIVES, TO THE FULLEST EXTENT PERMITTED BY APPLICABLE LAW, ANY RIGHT IT MAY HAVE TO A TRIAL BY JURY IN ANY SUIT, ACTION OR PROCEEDING AGAINST THE COMPANY AND/OR THE DEPOSITARY DIRECTLY OR INDIRECTLY ARISING OUT OF OR RELATING TO THE SHARES OR OTHER DEPOSITED SECURITIES, THE AMERICAN DEPOSITARY SHARES OR THE RECEIPTS, THIS DEPOSIT AGREEMENT OR ANY TRANSACTION CONTEMPLATED HEREIN OR THEREIN, OR THE BREACH HEREOF OR THEREOF, INCLUDING, WITHOUT LIMITATION, ANY QUESTION REGARDING EXISTENCE, VALIDITY OR TERMINATION (WHETHER BASED ON CONTRACT, TORT OR ANY OTHER THEORY).</w:t>
      </w:r>
    </w:p>
    <w:p>
      <w:pPr>
        <w:pStyle w:val="TextBody"/>
        <w:spacing w:lineRule="auto" w:line="288" w:before="0" w:after="240"/>
        <w:ind w:left="0" w:right="0" w:firstLine="1080"/>
        <w:jc w:val="both"/>
        <w:rPr/>
      </w:pPr>
      <w:r>
        <w:rPr>
          <w:rFonts w:ascii="Times New Roman;sans-serif" w:hAnsi="Times New Roman;sans-serif"/>
          <w:b w:val="false"/>
          <w:color w:val="000000"/>
          <w:sz w:val="24"/>
        </w:rPr>
        <w:t xml:space="preserve">SECTION 7.8 </w:t>
      </w:r>
      <w:r>
        <w:rPr>
          <w:rFonts w:ascii="Times New Roman;sans-serif" w:hAnsi="Times New Roman;sans-serif"/>
          <w:b w:val="false"/>
          <w:color w:val="000000"/>
          <w:sz w:val="24"/>
          <w:u w:val="single"/>
        </w:rPr>
        <w:t>Waiver of Immunities.</w:t>
      </w:r>
    </w:p>
    <w:p>
      <w:pPr>
        <w:pStyle w:val="TextBody"/>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To the extent that the Company or any of its properties, assets or revenues may have or may hereafter become entitled to, or have attributed to it, any right of immunity, on the grounds of sovereignty or otherwise, from any legal action, suit or proceeding, from the giving of any relief in any respect thereof, from setoff or counterclaim, from the jurisdiction of any court, from service of process, from attachment upon or prior to judgment, from attachment in aid of execution or judgment, or from execution of judgment, or other legal process or proceeding for the giving of any relief or for the enforcement of any judgment, in any jurisdiction in which proceedings may at any time be commenced, with respect to its obligations, liabilities or any other matter under or arising out of or in connection with the Shares or Deposited Securities, the American Depositary Shares, the Receipts or this Deposit Agreement, the Company, to the fullest </w:t>
      </w:r>
      <w:r>
        <w:br w:type="page"/>
      </w:r>
    </w:p>
    <w:p>
      <w:pPr>
        <w:pStyle w:val="TextBody"/>
        <w:spacing w:before="120" w:after="240"/>
        <w:jc w:val="center"/>
        <w:rPr/>
      </w:pPr>
      <w:r>
        <w:rPr/>
      </w:r>
      <w:r>
        <mc:AlternateContent>
          <mc:Choice Requires="wps">
            <w:drawing>
              <wp:anchor behindDoc="0" distT="0" distB="0" distL="0" distR="0" simplePos="0" locked="0" layoutInCell="1" allowOverlap="1" relativeHeight="347">
                <wp:simplePos x="0" y="0"/>
                <wp:positionH relativeFrom="character">
                  <wp:align>left</wp:align>
                </wp:positionH>
                <wp:positionV relativeFrom="line">
                  <wp:posOffset>635</wp:posOffset>
                </wp:positionV>
                <wp:extent cx="6480175" cy="869950"/>
                <wp:effectExtent l="0" t="0" r="0" b="0"/>
                <wp:wrapNone/>
                <wp:docPr id="346" name="Frame343"/>
                <a:graphic xmlns:a="http://schemas.openxmlformats.org/drawingml/2006/main">
                  <a:graphicData uri="http://schemas.microsoft.com/office/word/2010/wordprocessingShape">
                    <wps:wsp>
                      <wps:cNvSpPr txBox="1"/>
                      <wps:spPr>
                        <a:xfrm>
                          <a:off x="0" y="0"/>
                          <a:ext cx="6480175" cy="869950"/>
                        </a:xfrm>
                        <a:prstGeom prst="rect"/>
                      </wps:spPr>
                      <wps:txbx>
                        <w:txbxContent>
                          <w:p>
                            <w:pPr>
                              <w:pStyle w:val="TextBody"/>
                              <w:spacing w:lineRule="auto" w:line="288"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-37-</w:t>
                            </w:r>
                          </w:p>
                          <w:p>
                            <w:pPr>
                              <w:pStyle w:val="TextBody"/>
                              <w:spacing w:before="24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8.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spacing w:lineRule="auto" w:line="288"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-37-</w:t>
                      </w:r>
                    </w:p>
                    <w:p>
                      <w:pPr>
                        <w:pStyle w:val="TextBody"/>
                        <w:spacing w:before="240" w:after="283"/>
                        <w:jc w:val="center"/>
                        <w:rPr/>
                      </w:pPr>
                      <w:r>
                        <w:rPr/>
                      </w:r>
                    </w:p>
                  </w:txbxContent>
                </v:textbox>
              </v:rect>
            </w:pict>
          </mc:Fallback>
        </mc:AlternateContent>
      </w:r>
    </w:p>
    <w:p>
      <w:pPr>
        <w:pStyle w:val="TextBody"/>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extent permitted by law, hereby irrevocably and unconditionally waives, and agrees not to plead or claim, any immunity of that kind and consents to relief and enforcement as provided above.</w:t>
      </w:r>
    </w:p>
    <w:p>
      <w:pPr>
        <w:pStyle w:val="TextBody"/>
        <w:spacing w:lineRule="auto" w:line="288" w:before="0" w:after="240"/>
        <w:ind w:left="0" w:right="0" w:firstLine="1080"/>
        <w:jc w:val="both"/>
        <w:rPr/>
      </w:pPr>
      <w:r>
        <w:rPr>
          <w:rFonts w:ascii="Times New Roman;sans-serif" w:hAnsi="Times New Roman;sans-serif"/>
          <w:b w:val="false"/>
          <w:color w:val="000000"/>
          <w:sz w:val="24"/>
        </w:rPr>
        <w:t xml:space="preserve">SECTION 7.9 </w:t>
      </w:r>
      <w:r>
        <w:rPr>
          <w:rFonts w:ascii="Times New Roman;sans-serif" w:hAnsi="Times New Roman;sans-serif"/>
          <w:b w:val="false"/>
          <w:color w:val="000000"/>
          <w:sz w:val="24"/>
          <w:u w:val="single"/>
        </w:rPr>
        <w:t>Governing Law.</w:t>
      </w:r>
    </w:p>
    <w:p>
      <w:pPr>
        <w:pStyle w:val="TextBody"/>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This Deposit Agreement and the Receipts shall be interpreted in accordance with and all rights hereunder and thereunder and provisions hereof and thereof shall be governed by the laws of the State of New York.</w:t>
      </w:r>
    </w:p>
    <w:p>
      <w:pPr>
        <w:pStyle w:val="TextBody"/>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IN WITNESS WHEREOF, AGORA, INC. and THE BANK OF NEW YORK MELLON have duly executed this Deposit Agreement as of the day and year first set forth above and all Owners and Holders shall become parties hereto upon acceptance by them of American Depositary Shares or any interest therein.</w:t>
      </w:r>
      <w:r>
        <w:br w:type="page"/>
      </w:r>
    </w:p>
    <w:p>
      <w:pPr>
        <w:pStyle w:val="TextBody"/>
        <w:spacing w:before="120" w:after="240"/>
        <w:jc w:val="center"/>
        <w:rPr/>
      </w:pPr>
      <w:r>
        <w:rPr/>
      </w:r>
      <w:r>
        <mc:AlternateContent>
          <mc:Choice Requires="wps">
            <w:drawing>
              <wp:anchor behindDoc="0" distT="0" distB="0" distL="0" distR="0" simplePos="0" locked="0" layoutInCell="1" allowOverlap="1" relativeHeight="348">
                <wp:simplePos x="0" y="0"/>
                <wp:positionH relativeFrom="character">
                  <wp:align>left</wp:align>
                </wp:positionH>
                <wp:positionV relativeFrom="line">
                  <wp:posOffset>635</wp:posOffset>
                </wp:positionV>
                <wp:extent cx="6480175" cy="869950"/>
                <wp:effectExtent l="0" t="0" r="0" b="0"/>
                <wp:wrapNone/>
                <wp:docPr id="347" name="Frame344"/>
                <a:graphic xmlns:a="http://schemas.openxmlformats.org/drawingml/2006/main">
                  <a:graphicData uri="http://schemas.microsoft.com/office/word/2010/wordprocessingShape">
                    <wps:wsp>
                      <wps:cNvSpPr txBox="1"/>
                      <wps:spPr>
                        <a:xfrm>
                          <a:off x="0" y="0"/>
                          <a:ext cx="6480175" cy="869950"/>
                        </a:xfrm>
                        <a:prstGeom prst="rect"/>
                      </wps:spPr>
                      <wps:txbx>
                        <w:txbxContent>
                          <w:p>
                            <w:pPr>
                              <w:pStyle w:val="TextBody"/>
                              <w:spacing w:lineRule="auto" w:line="288"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-38-</w:t>
                            </w:r>
                          </w:p>
                          <w:p>
                            <w:pPr>
                              <w:pStyle w:val="TextBody"/>
                              <w:spacing w:before="24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8.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spacing w:lineRule="auto" w:line="288"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-38-</w:t>
                      </w:r>
                    </w:p>
                    <w:p>
                      <w:pPr>
                        <w:pStyle w:val="TextBody"/>
                        <w:spacing w:before="240" w:after="283"/>
                        <w:jc w:val="center"/>
                        <w:rPr/>
                      </w:pPr>
                      <w:r>
                        <w:rPr/>
                      </w:r>
                    </w:p>
                  </w:txbxContent>
                </v:textbox>
              </v:rect>
            </w:pict>
          </mc:Fallback>
        </mc:AlternateContent>
      </w:r>
    </w:p>
    <w:p>
      <w:pPr>
        <w:pStyle w:val="TextBody"/>
        <w:spacing w:lineRule="auto" w:line="288" w:before="0" w:after="720"/>
        <w:ind w:left="0" w:right="0" w:firstLine="4301"/>
        <w:jc w:val="both"/>
        <w:rPr>
          <w:rFonts w:ascii="Times New Roman;sans-serif" w:hAnsi="Times New Roman;sans-serif"/>
          <w:b w:val="false"/>
          <w:color w:val="000000"/>
          <w:sz w:val="24"/>
        </w:rPr>
      </w:pPr>
      <w:r>
        <w:rPr>
          <w:rFonts w:ascii="Times New Roman;sans-serif" w:hAnsi="Times New Roman;sans-serif"/>
          <w:b w:val="false"/>
          <w:color w:val="000000"/>
          <w:sz w:val="24"/>
        </w:rPr>
        <w:t>AGORA, INC.</w:t>
      </w:r>
    </w:p>
    <w:p>
      <w:pPr>
        <w:pStyle w:val="TextBody"/>
        <w:spacing w:lineRule="auto" w:line="288" w:before="0" w:after="0"/>
        <w:ind w:left="0" w:right="0" w:firstLine="4301"/>
        <w:jc w:val="both"/>
        <w:rPr/>
      </w:pPr>
      <w:r>
        <w:rPr>
          <w:rFonts w:ascii="Times New Roman;sans-serif" w:hAnsi="Times New Roman;sans-serif"/>
          <w:b w:val="false"/>
          <w:color w:val="000000"/>
          <w:sz w:val="24"/>
        </w:rPr>
        <w:t>By:</w:t>
      </w:r>
      <w:r>
        <w:rPr>
          <w:rFonts w:ascii="Times New Roman;sans-serif" w:hAnsi="Times New Roman;sans-serif"/>
          <w:b w:val="false"/>
          <w:color w:val="000000"/>
          <w:sz w:val="24"/>
          <w:u w:val="single"/>
        </w:rPr>
        <w:t>_/s/ Bin (Tony) Zhao</w:t>
      </w:r>
      <w:r>
        <w:rPr>
          <w:color w:val="000000"/>
        </w:rPr>
        <w:t xml:space="preserve"> </w:t>
      </w:r>
      <w:r>
        <w:rPr>
          <w:rFonts w:ascii="Times New Roman;sans-serif" w:hAnsi="Times New Roman;sans-serif"/>
          <w:b w:val="false"/>
          <w:color w:val="000000"/>
          <w:sz w:val="24"/>
        </w:rPr>
        <w:t>______</w:t>
      </w:r>
    </w:p>
    <w:p>
      <w:pPr>
        <w:pStyle w:val="TextBody"/>
        <w:spacing w:lineRule="auto" w:line="288" w:before="0" w:after="0"/>
        <w:ind w:left="0" w:right="0" w:firstLine="4301"/>
        <w:jc w:val="both"/>
        <w:rPr>
          <w:rFonts w:ascii="Times New Roman;sans-serif" w:hAnsi="Times New Roman;sans-serif"/>
          <w:b w:val="false"/>
          <w:color w:val="000000"/>
          <w:sz w:val="24"/>
        </w:rPr>
      </w:pPr>
      <w:r>
        <w:rPr>
          <w:rFonts w:ascii="Times New Roman;sans-serif" w:hAnsi="Times New Roman;sans-serif"/>
          <w:b w:val="false"/>
          <w:color w:val="000000"/>
          <w:sz w:val="24"/>
        </w:rPr>
        <w:t>Name: Bin (Tony) Zhao</w:t>
      </w:r>
    </w:p>
    <w:p>
      <w:pPr>
        <w:pStyle w:val="TextBody"/>
        <w:spacing w:lineRule="auto" w:line="288" w:before="0" w:after="840"/>
        <w:rPr>
          <w:rFonts w:ascii="Times New Roman;sans-serif" w:hAnsi="Times New Roman;sans-serif"/>
          <w:b w:val="false"/>
          <w:color w:val="000000"/>
          <w:sz w:val="24"/>
        </w:rPr>
      </w:pPr>
      <w:r>
        <w:rPr>
          <w:rFonts w:ascii="Times New Roman;sans-serif" w:hAnsi="Times New Roman;sans-serif"/>
          <w:b w:val="false"/>
          <w:color w:val="000000"/>
          <w:sz w:val="24"/>
        </w:rPr>
        <w:t>Title: Chief Executive Officer and Chairman</w:t>
      </w:r>
    </w:p>
    <w:p>
      <w:pPr>
        <w:pStyle w:val="TextBody"/>
        <w:spacing w:lineRule="auto" w:line="288" w:before="0" w:after="0"/>
        <w:ind w:left="0" w:right="0" w:firstLine="4301"/>
        <w:jc w:val="both"/>
        <w:rPr>
          <w:rFonts w:ascii="Times New Roman;sans-serif" w:hAnsi="Times New Roman;sans-serif"/>
          <w:b w:val="false"/>
          <w:color w:val="000000"/>
          <w:sz w:val="24"/>
        </w:rPr>
      </w:pPr>
      <w:r>
        <w:rPr>
          <w:rFonts w:ascii="Times New Roman;sans-serif" w:hAnsi="Times New Roman;sans-serif"/>
          <w:b w:val="false"/>
          <w:color w:val="000000"/>
          <w:sz w:val="24"/>
        </w:rPr>
        <w:t>THE BANK OF NEW YORK MELLON,</w:t>
      </w:r>
    </w:p>
    <w:p>
      <w:pPr>
        <w:pStyle w:val="TextBody"/>
        <w:spacing w:lineRule="auto" w:line="288" w:before="0" w:after="720"/>
        <w:ind w:left="0" w:right="0" w:firstLine="4301"/>
        <w:jc w:val="both"/>
        <w:rPr>
          <w:rFonts w:ascii="Times New Roman;sans-serif" w:hAnsi="Times New Roman;sans-serif"/>
          <w:b w:val="false"/>
          <w:color w:val="000000"/>
          <w:sz w:val="24"/>
        </w:rPr>
      </w:pPr>
      <w:r>
        <w:rPr>
          <w:rFonts w:ascii="Times New Roman;sans-serif" w:hAnsi="Times New Roman;sans-serif"/>
          <w:b w:val="false"/>
          <w:color w:val="000000"/>
          <w:sz w:val="24"/>
        </w:rPr>
        <w:t>as Depositary</w:t>
      </w:r>
    </w:p>
    <w:p>
      <w:pPr>
        <w:pStyle w:val="TextBody"/>
        <w:spacing w:lineRule="auto" w:line="288" w:before="0" w:after="0"/>
        <w:ind w:left="0" w:right="0" w:firstLine="4301"/>
        <w:jc w:val="both"/>
        <w:rPr/>
      </w:pPr>
      <w:r>
        <w:rPr>
          <w:rFonts w:ascii="Times New Roman;sans-serif" w:hAnsi="Times New Roman;sans-serif"/>
          <w:b w:val="false"/>
          <w:color w:val="000000"/>
          <w:sz w:val="24"/>
        </w:rPr>
        <w:t>By:_</w:t>
      </w:r>
      <w:r>
        <w:rPr>
          <w:rFonts w:ascii="Times New Roman;sans-serif" w:hAnsi="Times New Roman;sans-serif"/>
          <w:b w:val="false"/>
          <w:color w:val="000000"/>
          <w:sz w:val="24"/>
          <w:u w:val="single"/>
        </w:rPr>
        <w:t>/s/ Robert W. Goad _</w:t>
      </w:r>
    </w:p>
    <w:p>
      <w:pPr>
        <w:pStyle w:val="TextBody"/>
        <w:spacing w:lineRule="auto" w:line="288" w:before="0" w:after="0"/>
        <w:ind w:left="0" w:right="0" w:firstLine="4301"/>
        <w:jc w:val="both"/>
        <w:rPr>
          <w:rFonts w:ascii="Times New Roman;sans-serif" w:hAnsi="Times New Roman;sans-serif"/>
          <w:b w:val="false"/>
          <w:color w:val="000000"/>
          <w:sz w:val="24"/>
        </w:rPr>
      </w:pPr>
      <w:r>
        <w:rPr>
          <w:rFonts w:ascii="Times New Roman;sans-serif" w:hAnsi="Times New Roman;sans-serif"/>
          <w:b w:val="false"/>
          <w:color w:val="000000"/>
          <w:sz w:val="24"/>
        </w:rPr>
        <w:t>Name: Robert W. Goad</w:t>
      </w:r>
    </w:p>
    <w:p>
      <w:pPr>
        <w:pStyle w:val="TextBody"/>
        <w:spacing w:lineRule="auto" w:line="288" w:before="0" w:after="0"/>
        <w:ind w:left="0" w:right="0" w:firstLine="4301"/>
        <w:jc w:val="both"/>
        <w:rPr>
          <w:rFonts w:ascii="Times New Roman;sans-serif" w:hAnsi="Times New Roman;sans-serif"/>
          <w:b w:val="false"/>
          <w:color w:val="000000"/>
          <w:sz w:val="24"/>
        </w:rPr>
      </w:pPr>
      <w:r>
        <w:rPr>
          <w:rFonts w:ascii="Times New Roman;sans-serif" w:hAnsi="Times New Roman;sans-serif"/>
          <w:b w:val="false"/>
          <w:color w:val="000000"/>
          <w:sz w:val="24"/>
        </w:rPr>
        <w:t>Title: Managing Director</w:t>
      </w:r>
    </w:p>
    <w:p>
      <w:pPr>
        <w:pStyle w:val="TextBody"/>
        <w:spacing w:before="0" w:after="0"/>
        <w:ind w:left="0" w:right="0" w:firstLine="4301"/>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120" w:after="240"/>
        <w:jc w:val="center"/>
        <w:rPr/>
      </w:pPr>
      <w:r>
        <w:rPr/>
      </w:r>
      <w:r>
        <mc:AlternateContent>
          <mc:Choice Requires="wps">
            <w:drawing>
              <wp:anchor behindDoc="0" distT="0" distB="0" distL="0" distR="0" simplePos="0" locked="0" layoutInCell="1" allowOverlap="1" relativeHeight="349">
                <wp:simplePos x="0" y="0"/>
                <wp:positionH relativeFrom="character">
                  <wp:align>left</wp:align>
                </wp:positionH>
                <wp:positionV relativeFrom="line">
                  <wp:posOffset>635</wp:posOffset>
                </wp:positionV>
                <wp:extent cx="6480175" cy="869950"/>
                <wp:effectExtent l="0" t="0" r="0" b="0"/>
                <wp:wrapNone/>
                <wp:docPr id="348" name="Frame345"/>
                <a:graphic xmlns:a="http://schemas.openxmlformats.org/drawingml/2006/main">
                  <a:graphicData uri="http://schemas.microsoft.com/office/word/2010/wordprocessingShape">
                    <wps:wsp>
                      <wps:cNvSpPr txBox="1"/>
                      <wps:spPr>
                        <a:xfrm>
                          <a:off x="0" y="0"/>
                          <a:ext cx="6480175" cy="869950"/>
                        </a:xfrm>
                        <a:prstGeom prst="rect"/>
                      </wps:spPr>
                      <wps:txbx>
                        <w:txbxContent>
                          <w:p>
                            <w:pPr>
                              <w:pStyle w:val="TextBody"/>
                              <w:spacing w:lineRule="auto" w:line="288"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-39-</w:t>
                            </w:r>
                          </w:p>
                          <w:p>
                            <w:pPr>
                              <w:pStyle w:val="TextBody"/>
                              <w:spacing w:before="24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8.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spacing w:lineRule="auto" w:line="288"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-39-</w:t>
                      </w:r>
                    </w:p>
                    <w:p>
                      <w:pPr>
                        <w:pStyle w:val="TextBody"/>
                        <w:spacing w:before="240" w:after="283"/>
                        <w:jc w:val="center"/>
                        <w:rPr/>
                      </w:pPr>
                      <w:r>
                        <w:rPr/>
                      </w:r>
                    </w:p>
                  </w:txbxContent>
                </v:textbox>
              </v:rect>
            </w:pict>
          </mc:Fallback>
        </mc:AlternateContent>
      </w:r>
    </w:p>
    <w:p>
      <w:pPr>
        <w:pStyle w:val="TextBody"/>
        <w:spacing w:lineRule="auto" w:line="288" w:before="0" w:after="600"/>
        <w:jc w:val="center"/>
        <w:rPr>
          <w:rFonts w:ascii="Times New Roman;sans-serif" w:hAnsi="Times New Roman;sans-serif"/>
          <w:b w:val="false"/>
          <w:color w:val="000000"/>
          <w:sz w:val="24"/>
        </w:rPr>
      </w:pPr>
      <w:r>
        <w:rPr>
          <w:rFonts w:ascii="Times New Roman;sans-serif" w:hAnsi="Times New Roman;sans-serif"/>
          <w:b w:val="false"/>
          <w:color w:val="000000"/>
          <w:sz w:val="24"/>
        </w:rPr>
        <w:t>EXHIBIT A</w:t>
      </w:r>
    </w:p>
    <w:p>
      <w:pPr>
        <w:pStyle w:val="TextBody"/>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AMERICAN DEPOSITARY SHARES</w:t>
      </w:r>
    </w:p>
    <w:p>
      <w:pPr>
        <w:pStyle w:val="TextBody"/>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(Each American Depositary Share represents </w:t>
      </w:r>
    </w:p>
    <w:p>
      <w:pPr>
        <w:pStyle w:val="TextBody"/>
        <w:spacing w:lineRule="auto" w:line="288" w:before="0" w:after="600"/>
        <w:jc w:val="both"/>
        <w:rPr>
          <w:rFonts w:ascii="Times New Roman;sans-serif" w:hAnsi="Times New Roman;sans-serif"/>
          <w:b w:val="false"/>
          <w:color w:val="000000"/>
          <w:sz w:val="24"/>
        </w:rPr>
      </w:pPr>
      <w:r>
        <w:rPr>
          <w:rFonts w:ascii="Times New Roman;sans-serif" w:hAnsi="Times New Roman;sans-serif"/>
          <w:b w:val="false"/>
          <w:color w:val="000000"/>
          <w:sz w:val="24"/>
        </w:rPr>
        <w:t>Four deposited Shares)</w:t>
      </w:r>
    </w:p>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THE BANK OF NEW YORK MELLON</w:t>
      </w:r>
    </w:p>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AMERICAN DEPOSITARY RECEIPT</w:t>
      </w:r>
    </w:p>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FOR CLASS A ORDINARY SHARES OF</w:t>
      </w:r>
    </w:p>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AGORA, INC.</w:t>
      </w:r>
    </w:p>
    <w:p>
      <w:pPr>
        <w:pStyle w:val="TextBody"/>
        <w:spacing w:lineRule="auto" w:line="288" w:before="0" w:after="480"/>
        <w:jc w:val="center"/>
        <w:rPr>
          <w:rFonts w:ascii="Times New Roman;sans-serif" w:hAnsi="Times New Roman;sans-serif"/>
          <w:b w:val="false"/>
          <w:color w:val="000000"/>
          <w:sz w:val="24"/>
        </w:rPr>
      </w:pPr>
      <w:r>
        <w:rPr>
          <w:rFonts w:ascii="Times New Roman;sans-serif" w:hAnsi="Times New Roman;sans-serif"/>
          <w:b w:val="false"/>
          <w:color w:val="000000"/>
          <w:sz w:val="24"/>
        </w:rPr>
        <w:t>(INCORPORATED UNDER THE LAWS OF THE CAYMAN ISLANDS)</w:t>
      </w:r>
    </w:p>
    <w:p>
      <w:pPr>
        <w:pStyle w:val="TextBody"/>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The Bank of New York Mellon, as depositary (hereinafter called the “Depositary”), hereby certifies that_________________________________________, or registered assigns IS THE OWNER OF _____________________________</w:t>
      </w:r>
    </w:p>
    <w:p>
      <w:pPr>
        <w:pStyle w:val="TextBody"/>
        <w:spacing w:lineRule="auto" w:line="288" w:before="0" w:after="360"/>
        <w:jc w:val="center"/>
        <w:rPr>
          <w:rFonts w:ascii="Times New Roman;sans-serif" w:hAnsi="Times New Roman;sans-serif"/>
          <w:b w:val="false"/>
          <w:color w:val="000000"/>
          <w:sz w:val="24"/>
        </w:rPr>
      </w:pPr>
      <w:r>
        <w:rPr>
          <w:rFonts w:ascii="Times New Roman;sans-serif" w:hAnsi="Times New Roman;sans-serif"/>
          <w:b w:val="false"/>
          <w:color w:val="000000"/>
          <w:sz w:val="24"/>
        </w:rPr>
        <w:t>AMERICAN DEPOSITARY SHARES</w:t>
      </w:r>
    </w:p>
    <w:p>
      <w:pPr>
        <w:pStyle w:val="TextBody"/>
        <w:spacing w:lineRule="auto" w:line="288" w:before="0" w:after="360"/>
        <w:jc w:val="both"/>
        <w:rPr/>
      </w:pPr>
      <w:r>
        <w:rPr>
          <w:rFonts w:ascii="Times New Roman;sans-serif" w:hAnsi="Times New Roman;sans-serif"/>
          <w:b w:val="false"/>
          <w:color w:val="000000"/>
          <w:sz w:val="24"/>
        </w:rPr>
        <w:t>representing deposited Class A ordinary shares (herein called “Shares”) of Agora, Inc., incorporated under the laws of the Cayman Islands (herein called the “</w:t>
      </w:r>
      <w:r>
        <w:rPr>
          <w:rFonts w:ascii="Times New Roman;sans-serif" w:hAnsi="Times New Roman;sans-serif"/>
          <w:b w:val="false"/>
          <w:color w:val="000000"/>
          <w:sz w:val="24"/>
          <w:u w:val="single"/>
        </w:rPr>
        <w:t>Company</w:t>
      </w:r>
      <w:r>
        <w:rPr>
          <w:color w:val="000000"/>
        </w:rPr>
        <w:t>”</w:t>
      </w:r>
      <w:r>
        <w:rPr>
          <w:rFonts w:ascii="Times New Roman;sans-serif" w:hAnsi="Times New Roman;sans-serif"/>
          <w:b w:val="false"/>
          <w:color w:val="000000"/>
          <w:sz w:val="24"/>
        </w:rPr>
        <w:t>). At the date hereof, each American Depositary Share represents four Shares deposited or subject to deposit under the Deposit Agreement (as such term is hereinafter defined) with a custodian for the Depositary (herein called the “</w:t>
      </w:r>
      <w:r>
        <w:rPr>
          <w:rFonts w:ascii="Times New Roman;sans-serif" w:hAnsi="Times New Roman;sans-serif"/>
          <w:b w:val="false"/>
          <w:color w:val="000000"/>
          <w:sz w:val="24"/>
          <w:u w:val="single"/>
        </w:rPr>
        <w:t>Custodian</w:t>
      </w:r>
      <w:r>
        <w:rPr>
          <w:color w:val="000000"/>
        </w:rPr>
        <w:t>”</w:t>
      </w:r>
      <w:r>
        <w:rPr>
          <w:rFonts w:ascii="Times New Roman;sans-serif" w:hAnsi="Times New Roman;sans-serif"/>
          <w:b w:val="false"/>
          <w:color w:val="000000"/>
          <w:sz w:val="24"/>
        </w:rPr>
        <w:t>) that, as of the date of the Deposit Agreement, was The Hongkong and Shanghai Banking Corporation Limited located in Hong Kong. The Depositary’s Office and its principal executive office are located at 240 Greenwich Street, New York, N.Y. 10286.</w:t>
      </w:r>
    </w:p>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xml:space="preserve">THE DEPOSITARY’S OFFICE ADDRESS IS </w:t>
      </w:r>
    </w:p>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240 GREENWICH STREET, NEW YORK, N.Y. 10286</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120" w:after="240"/>
        <w:jc w:val="center"/>
        <w:rPr/>
      </w:pPr>
      <w:r>
        <w:rPr/>
      </w:r>
      <w:r>
        <mc:AlternateContent>
          <mc:Choice Requires="wps">
            <w:drawing>
              <wp:anchor behindDoc="0" distT="0" distB="0" distL="0" distR="0" simplePos="0" locked="0" layoutInCell="1" allowOverlap="1" relativeHeight="350">
                <wp:simplePos x="0" y="0"/>
                <wp:positionH relativeFrom="character">
                  <wp:align>left</wp:align>
                </wp:positionH>
                <wp:positionV relativeFrom="line">
                  <wp:posOffset>635</wp:posOffset>
                </wp:positionV>
                <wp:extent cx="6480175" cy="327660"/>
                <wp:effectExtent l="0" t="0" r="0" b="0"/>
                <wp:wrapNone/>
                <wp:docPr id="349" name="Frame346"/>
                <a:graphic xmlns:a="http://schemas.openxmlformats.org/drawingml/2006/main">
                  <a:graphicData uri="http://schemas.microsoft.com/office/word/2010/wordprocessingShape">
                    <wps:wsp>
                      <wps:cNvSpPr txBox="1"/>
                      <wps:spPr>
                        <a:xfrm>
                          <a:off x="0" y="0"/>
                          <a:ext cx="6480175" cy="327660"/>
                        </a:xfrm>
                        <a:prstGeom prst="rect"/>
                      </wps:spPr>
                      <wps:txbx>
                        <w:txbxContent>
                          <w:p>
                            <w:pPr>
                              <w:pStyle w:val="TextBody"/>
                              <w:spacing w:lineRule="auto" w:line="288" w:before="24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A-1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spacing w:lineRule="auto" w:line="288" w:before="24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A-1</w:t>
                      </w:r>
                    </w:p>
                  </w:txbxContent>
                </v:textbox>
              </v:rect>
            </w:pict>
          </mc:Fallback>
        </mc:AlternateContent>
      </w:r>
    </w:p>
    <w:p>
      <w:pPr>
        <w:pStyle w:val="TextBody"/>
        <w:spacing w:lineRule="auto" w:line="288" w:before="0" w:after="240"/>
        <w:ind w:left="0" w:right="0" w:hanging="318"/>
        <w:jc w:val="both"/>
        <w:rPr/>
      </w:pPr>
      <w:r>
        <w:rPr>
          <w:rFonts w:ascii="Times New Roman;sans-serif" w:hAnsi="Times New Roman;sans-serif"/>
          <w:b w:val="false"/>
          <w:color w:val="000000"/>
          <w:sz w:val="24"/>
        </w:rPr>
        <w:t>1.</w:t>
      </w:r>
      <w:r>
        <w:rPr>
          <w:color w:val="000000"/>
        </w:rPr>
        <w:t>    </w:t>
      </w:r>
      <w:r>
        <w:rPr>
          <w:rFonts w:ascii="Times New Roman;sans-serif" w:hAnsi="Times New Roman;sans-serif"/>
          <w:b w:val="false"/>
          <w:color w:val="000000"/>
          <w:sz w:val="24"/>
        </w:rPr>
        <w:t>THE DEPOSIT AGREEMENT.</w:t>
      </w:r>
    </w:p>
    <w:p>
      <w:pPr>
        <w:pStyle w:val="TextBody"/>
        <w:spacing w:lineRule="auto" w:line="288" w:before="0" w:after="240"/>
        <w:ind w:left="0" w:right="0" w:firstLine="720"/>
        <w:jc w:val="both"/>
        <w:rPr/>
      </w:pPr>
      <w:r>
        <w:rPr>
          <w:rFonts w:ascii="Times New Roman;sans-serif" w:hAnsi="Times New Roman;sans-serif"/>
          <w:b w:val="false"/>
          <w:color w:val="000000"/>
          <w:sz w:val="24"/>
        </w:rPr>
        <w:t>This American Depositary Receipt is one of an issue (herein called “</w:t>
      </w:r>
      <w:r>
        <w:rPr>
          <w:rFonts w:ascii="Times New Roman;sans-serif" w:hAnsi="Times New Roman;sans-serif"/>
          <w:b w:val="false"/>
          <w:color w:val="000000"/>
          <w:sz w:val="24"/>
          <w:u w:val="single"/>
        </w:rPr>
        <w:t>Receipts</w:t>
      </w:r>
      <w:r>
        <w:rPr>
          <w:color w:val="000000"/>
        </w:rPr>
        <w:t>”</w:t>
      </w:r>
      <w:r>
        <w:rPr>
          <w:rFonts w:ascii="Times New Roman;sans-serif" w:hAnsi="Times New Roman;sans-serif"/>
          <w:b w:val="false"/>
          <w:color w:val="000000"/>
          <w:sz w:val="24"/>
        </w:rPr>
        <w:t>), all issued and to be issued upon the terms and conditions set forth in the Deposit Agreement dated as of June 25, 2020 (herein called the “</w:t>
      </w:r>
      <w:r>
        <w:rPr>
          <w:rFonts w:ascii="Times New Roman;sans-serif" w:hAnsi="Times New Roman;sans-serif"/>
          <w:b w:val="false"/>
          <w:color w:val="000000"/>
          <w:sz w:val="24"/>
          <w:u w:val="single"/>
        </w:rPr>
        <w:t>Deposit Agreement</w:t>
      </w:r>
      <w:r>
        <w:rPr>
          <w:color w:val="000000"/>
        </w:rPr>
        <w:t>”</w:t>
      </w:r>
      <w:r>
        <w:rPr>
          <w:rFonts w:ascii="Times New Roman;sans-serif" w:hAnsi="Times New Roman;sans-serif"/>
          <w:b w:val="false"/>
          <w:color w:val="000000"/>
          <w:sz w:val="24"/>
        </w:rPr>
        <w:t>) among the Company, the Depositary, and all Owners and Holders from time to time of American Depositary Shares issued thereunder, each of whom by accepting American Depositary Shares agrees to become a party thereto and become bound by all the terms and conditions thereof. The Deposit Agreement sets forth the rights of Owners and Holders and the rights and duties of the Depositary in respect of the Shares deposited thereunder and any and all other securities, property and cash from time to time received in respect of those Shares and held thereunder (those Shares, securities, property, and cash are herein called “</w:t>
      </w:r>
      <w:r>
        <w:rPr>
          <w:rFonts w:ascii="Times New Roman;sans-serif" w:hAnsi="Times New Roman;sans-serif"/>
          <w:b w:val="false"/>
          <w:color w:val="000000"/>
          <w:sz w:val="24"/>
          <w:u w:val="single"/>
        </w:rPr>
        <w:t>Deposited Securities</w:t>
      </w:r>
      <w:r>
        <w:rPr>
          <w:color w:val="000000"/>
        </w:rPr>
        <w:t>”</w:t>
      </w:r>
      <w:r>
        <w:rPr>
          <w:rFonts w:ascii="Times New Roman;sans-serif" w:hAnsi="Times New Roman;sans-serif"/>
          <w:b w:val="false"/>
          <w:color w:val="000000"/>
          <w:sz w:val="24"/>
        </w:rPr>
        <w:t>). Copies of the Deposit Agreement are on file at the Depositary’s Office in New York City and at the office of the Custodian.</w:t>
      </w:r>
    </w:p>
    <w:p>
      <w:pPr>
        <w:pStyle w:val="TextBody"/>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statements made on the face and reverse of this Receipt are summaries of certain provisions of the Deposit Agreement and are qualified by and subject to the detailed provisions of the Deposit Agreement, to which reference is hereby made. Capitalized terms defined in the Deposit Agreement and not defined herein shall have the meanings set forth in the Deposit Agreement.</w:t>
      </w:r>
    </w:p>
    <w:p>
      <w:pPr>
        <w:pStyle w:val="TextBody"/>
        <w:spacing w:lineRule="auto" w:line="288" w:before="0" w:after="240"/>
        <w:ind w:left="0" w:right="0" w:hanging="318"/>
        <w:jc w:val="both"/>
        <w:rPr/>
      </w:pPr>
      <w:r>
        <w:rPr>
          <w:rFonts w:ascii="Times New Roman;sans-serif" w:hAnsi="Times New Roman;sans-serif"/>
          <w:b w:val="false"/>
          <w:color w:val="000000"/>
          <w:sz w:val="24"/>
        </w:rPr>
        <w:t>2.</w:t>
      </w:r>
      <w:r>
        <w:rPr>
          <w:color w:val="000000"/>
        </w:rPr>
        <w:t>    </w:t>
      </w:r>
      <w:r>
        <w:rPr>
          <w:rFonts w:ascii="Times New Roman;sans-serif" w:hAnsi="Times New Roman;sans-serif"/>
          <w:b w:val="false"/>
          <w:color w:val="000000"/>
          <w:sz w:val="24"/>
        </w:rPr>
        <w:t>SURRENDER OF AMERICAN DEPOSITARY SHARES AND WITHDRAWAL OF SHARES.</w:t>
      </w:r>
    </w:p>
    <w:p>
      <w:pPr>
        <w:pStyle w:val="TextBody"/>
        <w:spacing w:lineRule="auto" w:line="288" w:before="0" w:after="240"/>
        <w:ind w:left="0" w:right="0" w:firstLine="720"/>
        <w:jc w:val="both"/>
        <w:rPr/>
      </w:pPr>
      <w:r>
        <w:rPr>
          <w:rFonts w:ascii="Times New Roman;sans-serif" w:hAnsi="Times New Roman;sans-serif"/>
          <w:b w:val="false"/>
          <w:color w:val="000000"/>
          <w:sz w:val="24"/>
        </w:rPr>
        <w:t xml:space="preserve">Upon surrender of American Depositary Shares for the purpose of withdrawal of the Deposited Securities represented thereby and payment of the fee of the Depositary for the surrender of American Depositary Shares as provided in Section 5.9 of the Deposit Agreement and payment of all taxes and governmental charges payable in connection with that surrender and withdrawal of the Deposited Securities, and subject to the terms and conditions of the Deposit Agreement, the Owner of those American Depositary Shares shall be entitled to delivery (to the extent delivery can then be lawfully and practicably made), to or as instructed by that Owner, of the amount of Deposited Securities at the time represented by those American Depositary Shares, </w:t>
      </w:r>
      <w:r>
        <w:rPr>
          <w:rFonts w:ascii="Times New Roman;sans-serif" w:hAnsi="Times New Roman;sans-serif"/>
          <w:b w:val="false"/>
          <w:color w:val="000000"/>
          <w:sz w:val="24"/>
          <w:u w:val="single"/>
        </w:rPr>
        <w:t>but not</w:t>
      </w:r>
      <w:r>
        <w:rPr>
          <w:color w:val="000000"/>
        </w:rPr>
        <w:t xml:space="preserve"> </w:t>
      </w:r>
      <w:r>
        <w:rPr>
          <w:rFonts w:ascii="Times New Roman;sans-serif" w:hAnsi="Times New Roman;sans-serif"/>
          <w:b w:val="false"/>
          <w:color w:val="000000"/>
          <w:sz w:val="24"/>
        </w:rPr>
        <w:t xml:space="preserve">any money or other property as to which a record date for distribution to Owners has passed (since money or other property of that kind will be delivered or paid on the scheduled payment date to the Owner as of that record date), </w:t>
      </w:r>
      <w:r>
        <w:rPr>
          <w:rFonts w:ascii="Times New Roman;sans-serif" w:hAnsi="Times New Roman;sans-serif"/>
          <w:b w:val="false"/>
          <w:color w:val="000000"/>
          <w:sz w:val="24"/>
          <w:u w:val="single"/>
        </w:rPr>
        <w:t>and except that</w:t>
      </w:r>
      <w:r>
        <w:rPr>
          <w:color w:val="000000"/>
        </w:rPr>
        <w:t xml:space="preserve"> </w:t>
      </w:r>
      <w:r>
        <w:rPr>
          <w:rFonts w:ascii="Times New Roman;sans-serif" w:hAnsi="Times New Roman;sans-serif"/>
          <w:b w:val="false"/>
          <w:color w:val="000000"/>
          <w:sz w:val="24"/>
        </w:rPr>
        <w:t xml:space="preserve">the Depositary shall not be required to accept surrender of American Depositary Shares for the purpose of withdrawal to the extent it would require delivery of a fraction of a Deposited Security. The Depositary shall direct the Custodian with respect to delivery of Deposited Securities and may charge the surrendering Owner a fee and its expenses for giving that direction by cable (including SWIFT) or facsimile transmission. If Deposited Securities are delivered physically upon surrender of American Depositary Shares for the purpose of withdrawal, that delivery will be made at the Custodian’s office, </w:t>
      </w:r>
      <w:r>
        <w:rPr>
          <w:rFonts w:ascii="Times New Roman;sans-serif" w:hAnsi="Times New Roman;sans-serif"/>
          <w:b w:val="false"/>
          <w:color w:val="000000"/>
          <w:sz w:val="24"/>
          <w:u w:val="single"/>
        </w:rPr>
        <w:t>except that</w:t>
      </w:r>
      <w:r>
        <w:rPr>
          <w:rFonts w:ascii="Times New Roman;sans-serif" w:hAnsi="Times New Roman;sans-serif"/>
          <w:b w:val="false"/>
          <w:color w:val="000000"/>
          <w:sz w:val="24"/>
        </w:rPr>
        <w:t xml:space="preserve">, at the request, risk and </w:t>
      </w:r>
      <w:r>
        <w:br w:type="page"/>
      </w:r>
    </w:p>
    <w:p>
      <w:pPr>
        <w:pStyle w:val="TextBody"/>
        <w:spacing w:before="120" w:after="240"/>
        <w:jc w:val="center"/>
        <w:rPr/>
      </w:pPr>
      <w:r>
        <w:rPr/>
      </w:r>
      <w:r>
        <mc:AlternateContent>
          <mc:Choice Requires="wps">
            <w:drawing>
              <wp:anchor behindDoc="0" distT="0" distB="0" distL="0" distR="0" simplePos="0" locked="0" layoutInCell="1" allowOverlap="1" relativeHeight="351">
                <wp:simplePos x="0" y="0"/>
                <wp:positionH relativeFrom="character">
                  <wp:align>left</wp:align>
                </wp:positionH>
                <wp:positionV relativeFrom="line">
                  <wp:posOffset>635</wp:posOffset>
                </wp:positionV>
                <wp:extent cx="6480175" cy="327660"/>
                <wp:effectExtent l="0" t="0" r="0" b="0"/>
                <wp:wrapNone/>
                <wp:docPr id="350" name="Frame347"/>
                <a:graphic xmlns:a="http://schemas.openxmlformats.org/drawingml/2006/main">
                  <a:graphicData uri="http://schemas.microsoft.com/office/word/2010/wordprocessingShape">
                    <wps:wsp>
                      <wps:cNvSpPr txBox="1"/>
                      <wps:spPr>
                        <a:xfrm>
                          <a:off x="0" y="0"/>
                          <a:ext cx="6480175" cy="327660"/>
                        </a:xfrm>
                        <a:prstGeom prst="rect"/>
                      </wps:spPr>
                      <wps:txbx>
                        <w:txbxContent>
                          <w:p>
                            <w:pPr>
                              <w:pStyle w:val="TextBody"/>
                              <w:spacing w:lineRule="auto" w:line="288" w:before="24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A-2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spacing w:lineRule="auto" w:line="288" w:before="24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A-2</w:t>
                      </w:r>
                    </w:p>
                  </w:txbxContent>
                </v:textbox>
              </v:rect>
            </w:pict>
          </mc:Fallback>
        </mc:AlternateContent>
      </w:r>
    </w:p>
    <w:p>
      <w:pPr>
        <w:pStyle w:val="TextBody"/>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expense of the surrendering Owner, and for the account of that Owner, the Depositary shall direct the Custodian to forward any cash or other property comprising, and forward a certificate or certificates, if applicable, and other proper documents of title, if any, for, the Deposited Securities represented by the surrendered American Depositary Shares to the Depositary for delivery at the Depositary’s Office or to another address specified in the order received from the surrendering Owner.</w:t>
      </w:r>
    </w:p>
    <w:p>
      <w:pPr>
        <w:pStyle w:val="TextBody"/>
        <w:spacing w:lineRule="auto" w:line="288" w:before="0" w:after="240"/>
        <w:ind w:left="0" w:right="0" w:hanging="318"/>
        <w:jc w:val="both"/>
        <w:rPr/>
      </w:pPr>
      <w:r>
        <w:rPr>
          <w:rFonts w:ascii="Times New Roman;sans-serif" w:hAnsi="Times New Roman;sans-serif"/>
          <w:b w:val="false"/>
          <w:color w:val="000000"/>
          <w:sz w:val="24"/>
        </w:rPr>
        <w:t>3.</w:t>
      </w:r>
      <w:r>
        <w:rPr>
          <w:color w:val="000000"/>
        </w:rPr>
        <w:t>    </w:t>
      </w:r>
      <w:r>
        <w:rPr>
          <w:rFonts w:ascii="Times New Roman;sans-serif" w:hAnsi="Times New Roman;sans-serif"/>
          <w:b w:val="false"/>
          <w:color w:val="000000"/>
          <w:sz w:val="24"/>
        </w:rPr>
        <w:t>REGISTRATION OF TRANSFER OF AMERICAN DEPOSITARY SHARES; COMBINATION AND SPLIT-UP OF RECEIPTS; INTERCHANGE OF CERTIFICATED AND UNCERTIFICATED AMERICAN DEPOSITARY SHARES.</w:t>
      </w:r>
    </w:p>
    <w:p>
      <w:pPr>
        <w:pStyle w:val="TextBody"/>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The Depositary, subject to the terms and conditions of the Deposit Agreement, shall register a transfer of American Depositary Shares on its transfer books upon (i) in the case of certificated American Depositary Shares, surrender of the Receipt evidencing those American Depositary Shares, by the Owner or by a duly authorized attorney, properly endorsed or accompanied by proper instruments of transfer or (ii) in the case of uncertificated American Depositary Shares, receipt from the Owner of a proper instruction (including, for the avoidance of doubt, instructions through DRS and Profile as provided in Section 2.9 of the Deposit Agreement), and, in either case, duly stamped as may be required by the laws of the State of New York and of the United States of America. Upon registration of a transfer, the Depositary shall deliver the transferred American Depositary Shares to or upon the order of the person entitled thereto. </w:t>
      </w:r>
    </w:p>
    <w:p>
      <w:pPr>
        <w:pStyle w:val="TextBody"/>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Depositary, subject to the terms and conditions of the Deposit Agreement, shall upon surrender of a Receipt or Receipts for the purpose of effecting a split-up or combination of such Receipt or Receipts, execute and deliver a new Receipt or Receipts for any authorized number of American Depositary Shares requested, evidencing the same aggregate number of American Depositary Shares as the Receipt or Receipts surrendered.</w:t>
      </w:r>
    </w:p>
    <w:p>
      <w:pPr>
        <w:pStyle w:val="TextBody"/>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Depositary, upon surrender of certificated American Depositary Shares for the purpose of exchanging for uncertificated American Depositary Shares, shall cancel the Receipt evidencing those certificated American Depositary Shares and send the Owner a statement confirming that the Owner is the owner of the same number of uncertificated American Depositary Shares. The Depositary, upon receipt of a proper instruction (including, for the avoidance of doubt, instructions through DRS and Profile as provided in Section 2.9 of the Deposit Agreement) from the Owner of uncertificated American Depositary Shares for the purpose of exchanging for certificated American Depositary Shares, shall cancel those uncertificated American Depositary Shares and register and deliver to the Owner a Receipt evidencing the same number of certificated American Depositary Shares.</w:t>
      </w:r>
      <w:r>
        <w:br w:type="page"/>
      </w:r>
    </w:p>
    <w:p>
      <w:pPr>
        <w:pStyle w:val="TextBody"/>
        <w:spacing w:before="120" w:after="240"/>
        <w:jc w:val="center"/>
        <w:rPr/>
      </w:pPr>
      <w:r>
        <w:rPr/>
      </w:r>
      <w:r>
        <mc:AlternateContent>
          <mc:Choice Requires="wps">
            <w:drawing>
              <wp:anchor behindDoc="0" distT="0" distB="0" distL="0" distR="0" simplePos="0" locked="0" layoutInCell="1" allowOverlap="1" relativeHeight="352">
                <wp:simplePos x="0" y="0"/>
                <wp:positionH relativeFrom="character">
                  <wp:align>left</wp:align>
                </wp:positionH>
                <wp:positionV relativeFrom="line">
                  <wp:posOffset>635</wp:posOffset>
                </wp:positionV>
                <wp:extent cx="6480175" cy="327660"/>
                <wp:effectExtent l="0" t="0" r="0" b="0"/>
                <wp:wrapNone/>
                <wp:docPr id="351" name="Frame348"/>
                <a:graphic xmlns:a="http://schemas.openxmlformats.org/drawingml/2006/main">
                  <a:graphicData uri="http://schemas.microsoft.com/office/word/2010/wordprocessingShape">
                    <wps:wsp>
                      <wps:cNvSpPr txBox="1"/>
                      <wps:spPr>
                        <a:xfrm>
                          <a:off x="0" y="0"/>
                          <a:ext cx="6480175" cy="327660"/>
                        </a:xfrm>
                        <a:prstGeom prst="rect"/>
                      </wps:spPr>
                      <wps:txbx>
                        <w:txbxContent>
                          <w:p>
                            <w:pPr>
                              <w:pStyle w:val="TextBody"/>
                              <w:spacing w:lineRule="auto" w:line="288" w:before="24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A-3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spacing w:lineRule="auto" w:line="288" w:before="24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A-3</w:t>
                      </w:r>
                    </w:p>
                  </w:txbxContent>
                </v:textbox>
              </v:rect>
            </w:pict>
          </mc:Fallback>
        </mc:AlternateContent>
      </w:r>
    </w:p>
    <w:p>
      <w:pPr>
        <w:pStyle w:val="TextBody"/>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As a condition precedent to the delivery, registration of transfer, or surrender of any American Depositary Shares or split-up or combination of any Receipt or withdrawal of any Deposited Securities, the Depositary, the Custodian, or Registrar may require payment from the depositor of the Shares or the presenter of the Receipt or instruction for registration of transfer or surrender of American Depositary Shares not evidenced by a Receipt of a sum sufficient to reimburse it for any tax or other governmental charge and any stock transfer or registration fee with respect thereto (including any such tax or charge and fee with respect to Shares being deposited or withdrawn) and payment of any applicable fees as provided in the Deposit Agreement, may require the production of proof satisfactory to it as to the identity and genuineness of any signature and may also require compliance with any regulations the Depositary may establish consistent with the provisions of the Deposit Agreement.</w:t>
      </w:r>
    </w:p>
    <w:p>
      <w:pPr>
        <w:pStyle w:val="TextBody"/>
        <w:spacing w:lineRule="auto" w:line="288" w:before="0" w:after="240"/>
        <w:ind w:left="0" w:right="0" w:firstLine="720"/>
        <w:jc w:val="both"/>
        <w:rPr/>
      </w:pPr>
      <w:r>
        <w:rPr>
          <w:rFonts w:ascii="Times New Roman;sans-serif" w:hAnsi="Times New Roman;sans-serif"/>
          <w:b w:val="false"/>
          <w:color w:val="000000"/>
          <w:sz w:val="24"/>
        </w:rPr>
        <w:t xml:space="preserve">The Depositary may refuse to accept deposits of Shares for delivery of American Depositary Shares or to register transfers of American Depositary Shares in particular instances, or may suspend deposits of Shares or registration of transfer generally, whenever it or the Company considers it necessary or advisable to do so. The Depositary may refuse surrenders of American Depositary Shares for the purpose of withdrawal of Deposited Securities in particular instances, or may suspend surrenders for the purpose of withdrawal generally, </w:t>
      </w:r>
      <w:r>
        <w:rPr>
          <w:rFonts w:ascii="Times New Roman;sans-serif" w:hAnsi="Times New Roman;sans-serif"/>
          <w:b w:val="false"/>
          <w:color w:val="000000"/>
          <w:sz w:val="24"/>
          <w:u w:val="single"/>
        </w:rPr>
        <w:t>but, notwithstanding anything to the contrary in the Deposit Agreement, only for</w:t>
      </w:r>
      <w:r>
        <w:rPr>
          <w:color w:val="000000"/>
        </w:rPr>
        <w:t xml:space="preserve"> </w:t>
      </w:r>
      <w:r>
        <w:rPr>
          <w:rFonts w:ascii="Times New Roman;sans-serif" w:hAnsi="Times New Roman;sans-serif"/>
          <w:b w:val="false"/>
          <w:color w:val="000000"/>
          <w:sz w:val="24"/>
        </w:rPr>
        <w:t>(i) temporary delays caused by closing of the Depositary’s register or the register of holders of Shares maintained by the Company or the Foreign Registrar, or the deposit of Shares, in connection with voting at a shareholders’ meeting or the payment of dividends, (ii) the payment of fees, taxes and similar charges, (iii) compliance with any U.S. or foreign laws or governmental regulations relating to the American Depositary Shares or to the withdrawal of the Deposited Securities or (iv) any other reason that, at the time, is permitted under paragraph I(A)(1) of the General Instructions to Form F-6 under the Securities Act of 1993 or any successor to that provision.</w:t>
      </w:r>
    </w:p>
    <w:p>
      <w:pPr>
        <w:pStyle w:val="TextBody"/>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Depositary shall not knowingly accept for deposit under the Deposit Agreement any Shares that, at the time of deposit, are Restricted Securities.</w:t>
      </w:r>
    </w:p>
    <w:p>
      <w:pPr>
        <w:pStyle w:val="TextBody"/>
        <w:spacing w:lineRule="auto" w:line="288" w:before="0" w:after="240"/>
        <w:ind w:left="0" w:right="0" w:hanging="318"/>
        <w:jc w:val="both"/>
        <w:rPr/>
      </w:pPr>
      <w:r>
        <w:rPr>
          <w:rFonts w:ascii="Times New Roman;sans-serif" w:hAnsi="Times New Roman;sans-serif"/>
          <w:b w:val="false"/>
          <w:color w:val="000000"/>
          <w:sz w:val="24"/>
        </w:rPr>
        <w:t>4.</w:t>
      </w:r>
      <w:r>
        <w:rPr>
          <w:color w:val="000000"/>
        </w:rPr>
        <w:t>    </w:t>
      </w:r>
      <w:r>
        <w:rPr>
          <w:rFonts w:ascii="Times New Roman;sans-serif" w:hAnsi="Times New Roman;sans-serif"/>
          <w:b w:val="false"/>
          <w:color w:val="000000"/>
          <w:sz w:val="24"/>
        </w:rPr>
        <w:t>LIABILITY OF OWNER FOR TAXES.</w:t>
      </w:r>
    </w:p>
    <w:p>
      <w:pPr>
        <w:pStyle w:val="TextBody"/>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If any tax or other governmental charge shall become payable by the Custodian or the Depositary with respect to or in connection with any American Depositary Shares or any Deposited Securities represented by any American Depositary Shares or in connection with a transaction to which Section 4.8 of the Deposit Agreement applies, that tax or other governmental charge shall be payable by the Owner of those American Depositary Shares to the Depositary. The Depositary may refuse to register any transfer of those American Depositary Shares or any withdrawal of Deposited Securities represented by those American Depositary Shares until that payment is made, and may withhold any dividends or other distributions or the proceeds thereof, or may sell for the </w:t>
      </w:r>
      <w:r>
        <w:br w:type="page"/>
      </w:r>
    </w:p>
    <w:p>
      <w:pPr>
        <w:pStyle w:val="TextBody"/>
        <w:spacing w:before="120" w:after="240"/>
        <w:jc w:val="center"/>
        <w:rPr/>
      </w:pPr>
      <w:r>
        <w:rPr/>
      </w:r>
      <w:r>
        <mc:AlternateContent>
          <mc:Choice Requires="wps">
            <w:drawing>
              <wp:anchor behindDoc="0" distT="0" distB="0" distL="0" distR="0" simplePos="0" locked="0" layoutInCell="1" allowOverlap="1" relativeHeight="353">
                <wp:simplePos x="0" y="0"/>
                <wp:positionH relativeFrom="character">
                  <wp:align>left</wp:align>
                </wp:positionH>
                <wp:positionV relativeFrom="line">
                  <wp:posOffset>635</wp:posOffset>
                </wp:positionV>
                <wp:extent cx="6480175" cy="327660"/>
                <wp:effectExtent l="0" t="0" r="0" b="0"/>
                <wp:wrapNone/>
                <wp:docPr id="352" name="Frame349"/>
                <a:graphic xmlns:a="http://schemas.openxmlformats.org/drawingml/2006/main">
                  <a:graphicData uri="http://schemas.microsoft.com/office/word/2010/wordprocessingShape">
                    <wps:wsp>
                      <wps:cNvSpPr txBox="1"/>
                      <wps:spPr>
                        <a:xfrm>
                          <a:off x="0" y="0"/>
                          <a:ext cx="6480175" cy="327660"/>
                        </a:xfrm>
                        <a:prstGeom prst="rect"/>
                      </wps:spPr>
                      <wps:txbx>
                        <w:txbxContent>
                          <w:p>
                            <w:pPr>
                              <w:pStyle w:val="TextBody"/>
                              <w:spacing w:lineRule="auto" w:line="288" w:before="24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A-4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spacing w:lineRule="auto" w:line="288" w:before="24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A-4</w:t>
                      </w:r>
                    </w:p>
                  </w:txbxContent>
                </v:textbox>
              </v:rect>
            </w:pict>
          </mc:Fallback>
        </mc:AlternateContent>
      </w:r>
    </w:p>
    <w:p>
      <w:pPr>
        <w:pStyle w:val="TextBody"/>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account of the Owner any part or all of the Deposited Securities represented by those American Depositary Shares, and may apply those dividends or other distributions or the net proceeds of any sale of that kind in payment of that tax or other governmental charge but, even after a sale of that kind, the Owner shall remain liable for any deficiency. The Depositary shall distribute any net proceeds of a sale made under Section 3.2 of the Deposit Agreement that are not used to pay taxes or governmental charges to the Owners entitled to them in accordance with Section 4.1 of the Deposit Agreement. If the number of Shares represented by each American Depositary Share decreases as a result of a sale of Deposited Securities under Section 3.2 of the Deposit Agreement, the Depositary may call for surrender of the American Depositary Shares to be exchanged on a mandatory basis for a lesser number of American Depositary Shares and may sell American Depositary Shares to the extent necessary to avoid distributing fractions of American Depositary Shares in that exchange and distribute the net proceeds of that sale to the Owners entitled to them.</w:t>
      </w:r>
    </w:p>
    <w:p>
      <w:pPr>
        <w:pStyle w:val="TextBody"/>
        <w:spacing w:lineRule="auto" w:line="288" w:before="0" w:after="240"/>
        <w:ind w:left="0" w:right="0" w:hanging="318"/>
        <w:jc w:val="both"/>
        <w:rPr/>
      </w:pPr>
      <w:r>
        <w:rPr>
          <w:rFonts w:ascii="Times New Roman;sans-serif" w:hAnsi="Times New Roman;sans-serif"/>
          <w:b w:val="false"/>
          <w:color w:val="000000"/>
          <w:sz w:val="24"/>
        </w:rPr>
        <w:t>5.</w:t>
      </w:r>
      <w:r>
        <w:rPr>
          <w:color w:val="000000"/>
        </w:rPr>
        <w:t>    </w:t>
      </w:r>
      <w:r>
        <w:rPr>
          <w:rFonts w:ascii="Times New Roman;sans-serif" w:hAnsi="Times New Roman;sans-serif"/>
          <w:b w:val="false"/>
          <w:color w:val="000000"/>
          <w:sz w:val="24"/>
        </w:rPr>
        <w:t>WARRANTIES ON DEPOSIT OF SHARES.</w:t>
      </w:r>
    </w:p>
    <w:p>
      <w:pPr>
        <w:pStyle w:val="TextBody"/>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Every person depositing Shares under the Deposit Agreement shall be deemed thereby to represent and warrant that those Shares and each certificate therefor, if applicable, are validly issued, fully paid and nonassessable and were not issued in violation of any preemptive or similar rights of the holders of outstanding securities of the Company and that the person making that deposit is duly authorized so to do. Every depositing person shall also be deemed to represent that the Shares, at the time of deposit, are not Restricted Securities. All representations and warranties deemed made under Section 3.3 of the Deposit Agreement shall survive the deposit of Shares and delivery of American Depositary Shares.</w:t>
      </w:r>
    </w:p>
    <w:p>
      <w:pPr>
        <w:pStyle w:val="TextBody"/>
        <w:spacing w:lineRule="auto" w:line="288" w:before="0" w:after="240"/>
        <w:ind w:left="0" w:right="0" w:hanging="318"/>
        <w:jc w:val="both"/>
        <w:rPr/>
      </w:pPr>
      <w:r>
        <w:rPr>
          <w:rFonts w:ascii="Times New Roman;sans-serif" w:hAnsi="Times New Roman;sans-serif"/>
          <w:b w:val="false"/>
          <w:color w:val="000000"/>
          <w:sz w:val="24"/>
        </w:rPr>
        <w:t>6.</w:t>
      </w:r>
      <w:r>
        <w:rPr>
          <w:color w:val="000000"/>
        </w:rPr>
        <w:t>    </w:t>
      </w:r>
      <w:r>
        <w:rPr>
          <w:rFonts w:ascii="Times New Roman;sans-serif" w:hAnsi="Times New Roman;sans-serif"/>
          <w:b w:val="false"/>
          <w:color w:val="000000"/>
          <w:sz w:val="24"/>
        </w:rPr>
        <w:t>FILING PROOFS, CERTIFICATES, AND OTHER INFORMATION.</w:t>
      </w:r>
    </w:p>
    <w:p>
      <w:pPr>
        <w:pStyle w:val="TextBody"/>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Any person presenting Shares for deposit or any Owner or Holder may be required from time to time to file with the Depositary or the Custodian such proof of citizenship or residence, exchange control approval, or such information relating to the registration on the books of the Company or the Foreign Registrar, if applicable, to execute such certificates and to make such representations and warranties, as the Depositary may reasonably deem necessary or proper, or as the Company may reasonably require by written request to the Depositary. The Depositary may withhold the delivery or registration of transfer of any American Depositary Shares, the distribution of any dividend or other distribution or of the proceeds thereof or the delivery of any Deposited Securities until that proof or other information is filed or those certificates are executed or those representations and warranties are made. The Depositary shall provide the Company, upon the Company’s written request and at the Company’s expense, as promptly as practicable, with copies of any information or other materials which the Depositary receives pursuant to Section 3.1 of the Deposit Agreement, to the extent that </w:t>
      </w:r>
      <w:r>
        <w:br w:type="page"/>
      </w:r>
    </w:p>
    <w:p>
      <w:pPr>
        <w:pStyle w:val="TextBody"/>
        <w:spacing w:before="120" w:after="240"/>
        <w:jc w:val="center"/>
        <w:rPr/>
      </w:pPr>
      <w:r>
        <w:rPr/>
      </w:r>
      <w:r>
        <mc:AlternateContent>
          <mc:Choice Requires="wps">
            <w:drawing>
              <wp:anchor behindDoc="0" distT="0" distB="0" distL="0" distR="0" simplePos="0" locked="0" layoutInCell="1" allowOverlap="1" relativeHeight="354">
                <wp:simplePos x="0" y="0"/>
                <wp:positionH relativeFrom="character">
                  <wp:align>left</wp:align>
                </wp:positionH>
                <wp:positionV relativeFrom="line">
                  <wp:posOffset>635</wp:posOffset>
                </wp:positionV>
                <wp:extent cx="6480175" cy="327660"/>
                <wp:effectExtent l="0" t="0" r="0" b="0"/>
                <wp:wrapNone/>
                <wp:docPr id="353" name="Frame350"/>
                <a:graphic xmlns:a="http://schemas.openxmlformats.org/drawingml/2006/main">
                  <a:graphicData uri="http://schemas.microsoft.com/office/word/2010/wordprocessingShape">
                    <wps:wsp>
                      <wps:cNvSpPr txBox="1"/>
                      <wps:spPr>
                        <a:xfrm>
                          <a:off x="0" y="0"/>
                          <a:ext cx="6480175" cy="327660"/>
                        </a:xfrm>
                        <a:prstGeom prst="rect"/>
                      </wps:spPr>
                      <wps:txbx>
                        <w:txbxContent>
                          <w:p>
                            <w:pPr>
                              <w:pStyle w:val="TextBody"/>
                              <w:spacing w:lineRule="auto" w:line="288" w:before="24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A-5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spacing w:lineRule="auto" w:line="288" w:before="24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A-5</w:t>
                      </w:r>
                    </w:p>
                  </w:txbxContent>
                </v:textbox>
              </v:rect>
            </w:pict>
          </mc:Fallback>
        </mc:AlternateContent>
      </w:r>
    </w:p>
    <w:p>
      <w:pPr>
        <w:pStyle w:val="TextBody"/>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the requested disclosure is permitted under applicable law. As conditions of accepting Shares for deposit, the Depositary may require (i) any certification as may be reasonably required by the Depositary or the Custodian in accordance with the provisions of the Deposit Agreement, (ii) a written order directing the Depositary to deliver to, or upon the written order of, the person or persons stated in that order, the number of American Depositary Shares representing those Deposited Shares, (iii) evidence satisfactory to the Depositary that those Shares have been re-registered in the books of the Company or the Foreign Registrar in the name of the Depositary, a Custodian or a nominee of the Depositary or a Custodian, (iv) evidence satisfactory to the Depositary that any necessary approval for the transfer or deposit has been granted by any governmental body in each applicable jurisdiction and (v) an agreement or assignment, or other instrument satisfactory to the Depositary, that provides for the prompt transfer to the Custodian of any dividend, or right to subscribe for additional Shares or to receive other property, that any person in whose name those Shares are or have been recorded may thereafter receive upon or in respect of those Shares, or, in lieu thereof, such agreement of indemnity or other agreement as shall be satisfactory to the Depositary. The Depositary shall refuse, and shall instruct the Custodian to refuse, to accept Shares for deposit if the Depositary has received a notice from the Company that the Company has restricted transfer of those Shares under the Company’s articles of association or any applicable laws or that the deposit would result in any violation of the Company’s articles of association or any applicable laws.</w:t>
      </w:r>
    </w:p>
    <w:p>
      <w:pPr>
        <w:pStyle w:val="TextBody"/>
        <w:spacing w:lineRule="auto" w:line="288" w:before="0" w:after="240"/>
        <w:ind w:left="0" w:right="0" w:hanging="318"/>
        <w:jc w:val="both"/>
        <w:rPr/>
      </w:pPr>
      <w:r>
        <w:rPr>
          <w:rFonts w:ascii="Times New Roman;sans-serif" w:hAnsi="Times New Roman;sans-serif"/>
          <w:b w:val="false"/>
          <w:color w:val="000000"/>
          <w:sz w:val="24"/>
        </w:rPr>
        <w:t>7.</w:t>
      </w:r>
      <w:r>
        <w:rPr>
          <w:color w:val="000000"/>
        </w:rPr>
        <w:t>    </w:t>
      </w:r>
      <w:r>
        <w:rPr>
          <w:rFonts w:ascii="Times New Roman;sans-serif" w:hAnsi="Times New Roman;sans-serif"/>
          <w:b w:val="false"/>
          <w:color w:val="000000"/>
          <w:sz w:val="24"/>
        </w:rPr>
        <w:t>CHARGES OF DEPOSITARY.</w:t>
      </w:r>
    </w:p>
    <w:p>
      <w:pPr>
        <w:pStyle w:val="TextBody"/>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The following charges shall be incurred by any party depositing or withdrawing Shares or by any party surrendering American Depositary Shares or to whom American Depositary Shares are issued (including, without limitation, issuance pursuant to a stock dividend or stock split declared by the Company or an exchange of stock regarding the American Depositary Shares or Deposited Securities or a delivery of American Depositary Shares pursuant to Section 4.3 of the Deposit Agreement), or by Owners, as applicable: (1) taxes and other governmental charges, (2) such registration fees as may from time to time be in effect for the registration of transfers of Shares generally on the Share register of the Company or Foreign Registrar and applicable to transfers of Shares to or from the name of the Depositary or its nominee or the Custodian or its nominee on the making of deposits or withdrawals hereunder, (3) such cable (including SWIFT) and facsimile transmission fees and expenses as are expressly provided in the Deposit Agreement, (4) such expenses as are incurred by the Depositary in the conversion of foreign currency pursuant to Section 4.5 of the Deposit Agreement, (5) a fee of $5.00 or less per 100 American Depositary Shares (or portion thereof) for the delivery of American Depositary Shares pursuant to Section 2.3, 4.3 or 4.4 of the Deposit Agreement and the surrender of American Depositary Shares pursuant to Section 2.5 or 6.2 of the Deposit Agreement, (6) a fee of $.05 or less per American Depositary Share (or portion thereof) for any cash distribution made pursuant to the Deposit Agreement, including, but </w:t>
      </w:r>
      <w:r>
        <w:br w:type="page"/>
      </w:r>
    </w:p>
    <w:p>
      <w:pPr>
        <w:pStyle w:val="TextBody"/>
        <w:spacing w:before="120" w:after="240"/>
        <w:jc w:val="center"/>
        <w:rPr/>
      </w:pPr>
      <w:r>
        <w:rPr/>
      </w:r>
      <w:r>
        <mc:AlternateContent>
          <mc:Choice Requires="wps">
            <w:drawing>
              <wp:anchor behindDoc="0" distT="0" distB="0" distL="0" distR="0" simplePos="0" locked="0" layoutInCell="1" allowOverlap="1" relativeHeight="355">
                <wp:simplePos x="0" y="0"/>
                <wp:positionH relativeFrom="character">
                  <wp:align>left</wp:align>
                </wp:positionH>
                <wp:positionV relativeFrom="line">
                  <wp:posOffset>635</wp:posOffset>
                </wp:positionV>
                <wp:extent cx="6480175" cy="327660"/>
                <wp:effectExtent l="0" t="0" r="0" b="0"/>
                <wp:wrapNone/>
                <wp:docPr id="354" name="Frame351"/>
                <a:graphic xmlns:a="http://schemas.openxmlformats.org/drawingml/2006/main">
                  <a:graphicData uri="http://schemas.microsoft.com/office/word/2010/wordprocessingShape">
                    <wps:wsp>
                      <wps:cNvSpPr txBox="1"/>
                      <wps:spPr>
                        <a:xfrm>
                          <a:off x="0" y="0"/>
                          <a:ext cx="6480175" cy="327660"/>
                        </a:xfrm>
                        <a:prstGeom prst="rect"/>
                      </wps:spPr>
                      <wps:txbx>
                        <w:txbxContent>
                          <w:p>
                            <w:pPr>
                              <w:pStyle w:val="TextBody"/>
                              <w:spacing w:lineRule="auto" w:line="288" w:before="24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A-6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spacing w:lineRule="auto" w:line="288" w:before="24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A-6</w:t>
                      </w:r>
                    </w:p>
                  </w:txbxContent>
                </v:textbox>
              </v:rect>
            </w:pict>
          </mc:Fallback>
        </mc:AlternateContent>
      </w:r>
    </w:p>
    <w:p>
      <w:pPr>
        <w:pStyle w:val="TextBody"/>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not limited to Sections 4.1 through 4.4 and 4.8 of the Deposit Agreement, (7) a fee for the distribution of securities pursuant to Section 4.2 of the Deposit Agreement or of rights pursuant to Section 4.4 of the Deposit Agreement (where the Depositary will not exercise or sell those rights on behalf of Owners), such fee being in an amount equal to the fee for the execution and delivery of American Depositary Shares referred to above which would have been charged as a result of the deposit of such securities under the Deposit Agreement (for purposes of this item 7 treating all such securities as if they were Shares) but which securities are instead distributed by the Depositary to Owners, (8) in addition to any fee charged under item 6, a fee of $.05 or less per American Depositary Share (or portion thereof) per annum for depositary services, which will be payable as provided in item 9 below, and (9) any other charges payable by the Depositary or the Custodian, any of the Depositary’s or Custodian’s agents or the agents of the Depositary’s or Custodian’s agents, in connection with the servicing of Shares or other Deposited Securities (which charges shall be assessed against Owners as of the date or dates set by the Depositary in accordance with Section 4.6 of the Deposit Agreement and shall be payable at the sole discretion of the Depositary by billing those Owners for those charges or by deducting those charges from one or more cash dividends or other cash distributions).</w:t>
      </w:r>
    </w:p>
    <w:p>
      <w:pPr>
        <w:pStyle w:val="TextBody"/>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Depositary may collect any of its fees by deduction from any cash distribution payable, or by selling a portion of any securities to be distributed, to Owners that are obligated to pay those fees.</w:t>
      </w:r>
    </w:p>
    <w:p>
      <w:pPr>
        <w:pStyle w:val="TextBody"/>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Depositary may own and deal in any class of securities of the Company and its affiliates and in American Depositary Shares.</w:t>
      </w:r>
    </w:p>
    <w:p>
      <w:pPr>
        <w:pStyle w:val="TextBody"/>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From time to time, the Depositary may make payments to the Company to reimburse the Company for costs and expenses generally arising out of establishment and maintenance of the American Depositary Shares program, waive fees and expenses for services provided by the Depositary or share revenue from the fees collected from Owners or Holders. In performing its duties under the Deposit Agreement, the Depositary may use brokers, dealers, foreign currency dealers or other service providers that are owned by or affiliated with the Depositary and that may earn or share fees, spreads or commissions. </w:t>
      </w:r>
    </w:p>
    <w:p>
      <w:pPr>
        <w:pStyle w:val="TextBody"/>
        <w:spacing w:lineRule="auto" w:line="288" w:before="0" w:after="240"/>
        <w:ind w:left="0" w:right="0" w:hanging="318"/>
        <w:jc w:val="both"/>
        <w:rPr/>
      </w:pPr>
      <w:r>
        <w:rPr>
          <w:rFonts w:ascii="Times New Roman;sans-serif" w:hAnsi="Times New Roman;sans-serif"/>
          <w:b w:val="false"/>
          <w:color w:val="000000"/>
          <w:sz w:val="24"/>
        </w:rPr>
        <w:t>8.</w:t>
      </w:r>
      <w:r>
        <w:rPr>
          <w:color w:val="000000"/>
        </w:rPr>
        <w:t>    </w:t>
      </w:r>
      <w:r>
        <w:rPr>
          <w:rFonts w:ascii="Times New Roman;sans-serif" w:hAnsi="Times New Roman;sans-serif"/>
          <w:b w:val="false"/>
          <w:color w:val="000000"/>
          <w:sz w:val="24"/>
        </w:rPr>
        <w:t>DISCLOSURE OF INTERESTS.</w:t>
      </w:r>
    </w:p>
    <w:p>
      <w:pPr>
        <w:pStyle w:val="TextBody"/>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When required in order to comply with applicable laws and regulations or the articles of association or similar document of the Company, the Company may from time to time request each Owner and Holder to provide to the Depositary information relating to: (a) the capacity in which it holds American Depositary Shares, (b) the identity of any Holders or other persons or entities then or previously interested in those American Depositary Shares and the nature of those interests and (c) any other matter where disclosure of such matter is required for that compliance.  Each Owner and Holder agrees </w:t>
      </w:r>
      <w:r>
        <w:br w:type="page"/>
      </w:r>
    </w:p>
    <w:p>
      <w:pPr>
        <w:pStyle w:val="TextBody"/>
        <w:spacing w:before="120" w:after="240"/>
        <w:jc w:val="center"/>
        <w:rPr/>
      </w:pPr>
      <w:r>
        <w:rPr/>
      </w:r>
      <w:r>
        <mc:AlternateContent>
          <mc:Choice Requires="wps">
            <w:drawing>
              <wp:anchor behindDoc="0" distT="0" distB="0" distL="0" distR="0" simplePos="0" locked="0" layoutInCell="1" allowOverlap="1" relativeHeight="356">
                <wp:simplePos x="0" y="0"/>
                <wp:positionH relativeFrom="character">
                  <wp:align>left</wp:align>
                </wp:positionH>
                <wp:positionV relativeFrom="line">
                  <wp:posOffset>635</wp:posOffset>
                </wp:positionV>
                <wp:extent cx="6480175" cy="327660"/>
                <wp:effectExtent l="0" t="0" r="0" b="0"/>
                <wp:wrapNone/>
                <wp:docPr id="355" name="Frame352"/>
                <a:graphic xmlns:a="http://schemas.openxmlformats.org/drawingml/2006/main">
                  <a:graphicData uri="http://schemas.microsoft.com/office/word/2010/wordprocessingShape">
                    <wps:wsp>
                      <wps:cNvSpPr txBox="1"/>
                      <wps:spPr>
                        <a:xfrm>
                          <a:off x="0" y="0"/>
                          <a:ext cx="6480175" cy="327660"/>
                        </a:xfrm>
                        <a:prstGeom prst="rect"/>
                      </wps:spPr>
                      <wps:txbx>
                        <w:txbxContent>
                          <w:p>
                            <w:pPr>
                              <w:pStyle w:val="TextBody"/>
                              <w:spacing w:lineRule="auto" w:line="288" w:before="24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A-7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spacing w:lineRule="auto" w:line="288" w:before="24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A-7</w:t>
                      </w:r>
                    </w:p>
                  </w:txbxContent>
                </v:textbox>
              </v:rect>
            </w:pict>
          </mc:Fallback>
        </mc:AlternateContent>
      </w:r>
    </w:p>
    <w:p>
      <w:pPr>
        <w:pStyle w:val="TextBody"/>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to provide all information known to it in response to a request made pursuant to Section 3.4 of the Deposit Agreement.  Each Holder consents to the disclosure by the Depositary and the Owner or other Holder through which it holds American Depositary Shares, directly or indirectly, of all information responsive to a request made pursuant to that Section relating to that Holder that is known to that Owner or other Holder. </w:t>
      </w:r>
    </w:p>
    <w:p>
      <w:pPr>
        <w:pStyle w:val="TextBody"/>
        <w:spacing w:lineRule="auto" w:line="288" w:before="0" w:after="240"/>
        <w:ind w:left="0" w:right="0" w:hanging="318"/>
        <w:jc w:val="both"/>
        <w:rPr/>
      </w:pPr>
      <w:r>
        <w:rPr>
          <w:rFonts w:ascii="Times New Roman;sans-serif" w:hAnsi="Times New Roman;sans-serif"/>
          <w:b w:val="false"/>
          <w:color w:val="000000"/>
          <w:sz w:val="24"/>
        </w:rPr>
        <w:t>9.</w:t>
      </w:r>
      <w:r>
        <w:rPr>
          <w:color w:val="000000"/>
        </w:rPr>
        <w:t>    </w:t>
      </w:r>
      <w:r>
        <w:rPr>
          <w:rFonts w:ascii="Times New Roman;sans-serif" w:hAnsi="Times New Roman;sans-serif"/>
          <w:b w:val="false"/>
          <w:color w:val="000000"/>
          <w:sz w:val="24"/>
        </w:rPr>
        <w:t>TITLE TO AMERICAN DEPOSITARY SHARES.</w:t>
      </w:r>
    </w:p>
    <w:p>
      <w:pPr>
        <w:pStyle w:val="TextBody"/>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It is a condition of the American Depositary Shares, and every successive Owner and Holder of American Depositary Shares, by accepting or holding the same, consents and agrees that American Depositary Shares evidenced by a Receipt, when the Receipt is properly endorsed or accompanied by proper instruments of transfer, shall be transferable as certificated registered securities under the laws of the State of New York, and that American Depositary Shares not evidenced by Receipts shall be transferable as uncertificated registered securities under the laws of the State of New York. The Depositary, notwithstanding any notice to the contrary, may treat the Owner of American Depositary Shares as the absolute owner thereof for the purpose of determining the person entitled to distribution of dividends or other distributions or to any notice provided for in the Deposit Agreement and for all other purposes, and neither the Depositary nor the Company shall have any obligation or be subject to any liability under the Deposit Agreement to any Holder of American Depositary Shares, but only to the Owner.</w:t>
      </w:r>
    </w:p>
    <w:p>
      <w:pPr>
        <w:pStyle w:val="TextBody"/>
        <w:spacing w:lineRule="auto" w:line="288" w:before="0" w:after="240"/>
        <w:ind w:left="0" w:right="0" w:hanging="318"/>
        <w:jc w:val="both"/>
        <w:rPr/>
      </w:pPr>
      <w:r>
        <w:rPr>
          <w:rFonts w:ascii="Times New Roman;sans-serif" w:hAnsi="Times New Roman;sans-serif"/>
          <w:b w:val="false"/>
          <w:color w:val="000000"/>
          <w:sz w:val="24"/>
        </w:rPr>
        <w:t>10.</w:t>
      </w:r>
      <w:r>
        <w:rPr>
          <w:color w:val="000000"/>
        </w:rPr>
        <w:t>    </w:t>
      </w:r>
      <w:r>
        <w:rPr>
          <w:rFonts w:ascii="Times New Roman;sans-serif" w:hAnsi="Times New Roman;sans-serif"/>
          <w:b w:val="false"/>
          <w:color w:val="000000"/>
          <w:sz w:val="24"/>
        </w:rPr>
        <w:t>VALIDITY OF RECEIPT.</w:t>
      </w:r>
    </w:p>
    <w:p>
      <w:pPr>
        <w:pStyle w:val="TextBody"/>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This Receipt shall not be entitled to any benefits under the Deposit Agreement or be valid or obligatory for any purpose, unless this Receipt shall have been (i) executed by the Depositary by the manual signature of a duly authorized officer of the Depositary or (ii) executed by the facsimile signature of a duly authorized officer of the Depositary and countersigned by the manual signature of a duly authorized signatory of the Depositary or the Registrar or a co-registrar.</w:t>
      </w:r>
    </w:p>
    <w:p>
      <w:pPr>
        <w:pStyle w:val="TextBody"/>
        <w:spacing w:lineRule="auto" w:line="288" w:before="0" w:after="240"/>
        <w:ind w:left="0" w:right="0" w:hanging="318"/>
        <w:jc w:val="both"/>
        <w:rPr/>
      </w:pPr>
      <w:r>
        <w:rPr>
          <w:rFonts w:ascii="Times New Roman;sans-serif" w:hAnsi="Times New Roman;sans-serif"/>
          <w:b w:val="false"/>
          <w:color w:val="000000"/>
          <w:sz w:val="24"/>
        </w:rPr>
        <w:t>11.</w:t>
      </w:r>
      <w:r>
        <w:rPr>
          <w:color w:val="000000"/>
        </w:rPr>
        <w:t>    </w:t>
      </w:r>
      <w:r>
        <w:rPr>
          <w:rFonts w:ascii="Times New Roman;sans-serif" w:hAnsi="Times New Roman;sans-serif"/>
          <w:b w:val="false"/>
          <w:color w:val="000000"/>
          <w:sz w:val="24"/>
        </w:rPr>
        <w:t>REPORTS; INSPECTION OF TRANSFER BOOKS.</w:t>
      </w:r>
    </w:p>
    <w:p>
      <w:pPr>
        <w:pStyle w:val="TextBody"/>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The Company is subject to the periodic reporting requirements of the Securities Exchange Act of 1934 and, accordingly, files certain reports with the Securities and Exchange Commission (the “Commission”). Those reports will be available for inspection and copying through the Commission’s EDGAR system or at public reference facilities maintained by the Commission in Washington, D.C. </w:t>
      </w:r>
    </w:p>
    <w:p>
      <w:pPr>
        <w:pStyle w:val="TextBody"/>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The Depositary will make available for inspection by Owners at its Office any reports, notices and other communications, including any proxy soliciting material, received from the Company which are both (a) received by the Depositary as the holder of the Deposited Securities and (b) made generally available to the holders of those </w:t>
      </w:r>
      <w:r>
        <w:br w:type="page"/>
      </w:r>
    </w:p>
    <w:p>
      <w:pPr>
        <w:pStyle w:val="TextBody"/>
        <w:spacing w:before="120" w:after="240"/>
        <w:jc w:val="center"/>
        <w:rPr/>
      </w:pPr>
      <w:r>
        <w:rPr/>
      </w:r>
      <w:r>
        <mc:AlternateContent>
          <mc:Choice Requires="wps">
            <w:drawing>
              <wp:anchor behindDoc="0" distT="0" distB="0" distL="0" distR="0" simplePos="0" locked="0" layoutInCell="1" allowOverlap="1" relativeHeight="357">
                <wp:simplePos x="0" y="0"/>
                <wp:positionH relativeFrom="character">
                  <wp:align>left</wp:align>
                </wp:positionH>
                <wp:positionV relativeFrom="line">
                  <wp:posOffset>635</wp:posOffset>
                </wp:positionV>
                <wp:extent cx="6480175" cy="327660"/>
                <wp:effectExtent l="0" t="0" r="0" b="0"/>
                <wp:wrapNone/>
                <wp:docPr id="356" name="Frame353"/>
                <a:graphic xmlns:a="http://schemas.openxmlformats.org/drawingml/2006/main">
                  <a:graphicData uri="http://schemas.microsoft.com/office/word/2010/wordprocessingShape">
                    <wps:wsp>
                      <wps:cNvSpPr txBox="1"/>
                      <wps:spPr>
                        <a:xfrm>
                          <a:off x="0" y="0"/>
                          <a:ext cx="6480175" cy="327660"/>
                        </a:xfrm>
                        <a:prstGeom prst="rect"/>
                      </wps:spPr>
                      <wps:txbx>
                        <w:txbxContent>
                          <w:p>
                            <w:pPr>
                              <w:pStyle w:val="TextBody"/>
                              <w:spacing w:lineRule="auto" w:line="288" w:before="24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A-8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spacing w:lineRule="auto" w:line="288" w:before="24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A-8</w:t>
                      </w:r>
                    </w:p>
                  </w:txbxContent>
                </v:textbox>
              </v:rect>
            </w:pict>
          </mc:Fallback>
        </mc:AlternateContent>
      </w:r>
    </w:p>
    <w:p>
      <w:pPr>
        <w:pStyle w:val="TextBody"/>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Deposited Securities by the Company. The Company shall furnish reports and communications, including any proxy soliciting material to which Section 4.9 of the Deposit Agreement applies, to the Depositary in English, to the extent such materials are required to be translated into English pursuant to any regulations of the Commission.</w:t>
      </w:r>
    </w:p>
    <w:p>
      <w:pPr>
        <w:pStyle w:val="TextBody"/>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Depositary will maintain a register of American Depositary Shares and transfers of American Depositary Shares, which shall be open for inspection by the Owners at the Depositary’s Office during regular business hours, but such inspection may only be for the purpose of communicating with Owners regarding the business of the Company or a matter related to the Deposit Agreement or the American Depositary Shares.</w:t>
      </w:r>
    </w:p>
    <w:p>
      <w:pPr>
        <w:pStyle w:val="TextBody"/>
        <w:spacing w:lineRule="auto" w:line="288" w:before="0" w:after="240"/>
        <w:ind w:left="0" w:right="0" w:hanging="318"/>
        <w:jc w:val="both"/>
        <w:rPr/>
      </w:pPr>
      <w:r>
        <w:rPr>
          <w:rFonts w:ascii="Times New Roman;sans-serif" w:hAnsi="Times New Roman;sans-serif"/>
          <w:b w:val="false"/>
          <w:color w:val="000000"/>
          <w:sz w:val="24"/>
        </w:rPr>
        <w:t>12.</w:t>
      </w:r>
      <w:r>
        <w:rPr>
          <w:color w:val="000000"/>
        </w:rPr>
        <w:t>    </w:t>
      </w:r>
      <w:r>
        <w:rPr>
          <w:rFonts w:ascii="Times New Roman;sans-serif" w:hAnsi="Times New Roman;sans-serif"/>
          <w:b w:val="false"/>
          <w:color w:val="000000"/>
          <w:sz w:val="24"/>
        </w:rPr>
        <w:t>DIVIDENDS AND DISTRIBUTIONS.</w:t>
      </w:r>
    </w:p>
    <w:p>
      <w:pPr>
        <w:pStyle w:val="TextBody"/>
        <w:spacing w:lineRule="auto" w:line="288" w:before="0" w:after="240"/>
        <w:ind w:left="0" w:right="0" w:firstLine="720"/>
        <w:jc w:val="both"/>
        <w:rPr/>
      </w:pPr>
      <w:r>
        <w:rPr>
          <w:rFonts w:ascii="Times New Roman;sans-serif" w:hAnsi="Times New Roman;sans-serif"/>
          <w:b w:val="false"/>
          <w:color w:val="000000"/>
          <w:sz w:val="24"/>
        </w:rPr>
        <w:t xml:space="preserve">Whenever the Depositary receives any cash dividend or other cash distribution on Deposited Securities, the Depositary will if at the time of receipt thereof any amounts received in a foreign currency can in the judgment of the Depositary be converted on a reasonable basis into Dollars transferable to the United States, and subject to the Deposit Agreement, convert that dividend or other cash distribution into Dollars and, as promptly as practicable, distribute the amount thus received (net of the fees and expenses of the Depositary as provided in Article 7 hereof and Section 5.9 of the Deposit Agreement) to the Owners entitled thereto;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if the Custodian or the Depositary is required to withhold and does withhold from that cash dividend or other cash distribution an amount on account of taxes or other governmental charges, the amount distributed to the Owners of the American Depositary Shares representing those Deposited Securities shall be reduced accordingly. </w:t>
      </w:r>
    </w:p>
    <w:p>
      <w:pPr>
        <w:pStyle w:val="TextBody"/>
        <w:spacing w:lineRule="auto" w:line="288" w:before="0" w:after="240"/>
        <w:ind w:left="0" w:right="0" w:firstLine="720"/>
        <w:jc w:val="both"/>
        <w:rPr/>
      </w:pPr>
      <w:r>
        <w:rPr>
          <w:rFonts w:ascii="Times New Roman;sans-serif" w:hAnsi="Times New Roman;sans-serif"/>
          <w:b w:val="false"/>
          <w:color w:val="000000"/>
          <w:sz w:val="24"/>
        </w:rPr>
        <w:t xml:space="preserve">If a cash distribution would represent a return of all or substantially all the value of the Deposited Securities underlying American Depositary Shares, the Depositary may require surrender of those American Depositary Shares and may require payment of or deduct the fee for surrender of American Depositary Shares (whether or not it is also requiring surrender of American Depositary Shares) as a condition of making that cash distribution. A distribution of that kind shall be a </w:t>
      </w:r>
      <w:r>
        <w:rPr>
          <w:rFonts w:ascii="Times New Roman;sans-serif" w:hAnsi="Times New Roman;sans-serif"/>
          <w:b w:val="false"/>
          <w:color w:val="000000"/>
          <w:sz w:val="24"/>
          <w:u w:val="single"/>
        </w:rPr>
        <w:t>Termination Option Event</w:t>
      </w:r>
      <w:r>
        <w:rPr>
          <w:rFonts w:ascii="Times New Roman;sans-serif" w:hAnsi="Times New Roman;sans-serif"/>
          <w:b w:val="false"/>
          <w:color w:val="000000"/>
          <w:sz w:val="24"/>
        </w:rPr>
        <w:t xml:space="preserve">. Subject to the provisions of Section 4.11 and 5.9 of the Deposit Agreement, whenever the Depositary receives any distribution other than a distribution described in Section 4.1, 4.3 or 4.4 of the Deposit Agreement on Deposited Securities (but not in exchange for or in conversion or in lieu of Deposited Securities), the Depositary will cause the securities or property received by it to be distributed to the Owners entitled thereto, after deduction or upon payment of any fees and expenses of the Depositary and any taxes or other governmental charges, in any manner that the Depositary may reasonably deem equitable and practicable for accomplishing that distribution (which may be a distribution of depositary shares representing the securities received);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if in the opinion of the Depositary such distribution cannot be made proportionately among the </w:t>
      </w:r>
      <w:r>
        <w:br w:type="page"/>
      </w:r>
    </w:p>
    <w:p>
      <w:pPr>
        <w:pStyle w:val="TextBody"/>
        <w:spacing w:before="120" w:after="240"/>
        <w:jc w:val="center"/>
        <w:rPr/>
      </w:pPr>
      <w:r>
        <w:rPr/>
      </w:r>
      <w:r>
        <mc:AlternateContent>
          <mc:Choice Requires="wps">
            <w:drawing>
              <wp:anchor behindDoc="0" distT="0" distB="0" distL="0" distR="0" simplePos="0" locked="0" layoutInCell="1" allowOverlap="1" relativeHeight="358">
                <wp:simplePos x="0" y="0"/>
                <wp:positionH relativeFrom="character">
                  <wp:align>left</wp:align>
                </wp:positionH>
                <wp:positionV relativeFrom="line">
                  <wp:posOffset>635</wp:posOffset>
                </wp:positionV>
                <wp:extent cx="6480175" cy="327660"/>
                <wp:effectExtent l="0" t="0" r="0" b="0"/>
                <wp:wrapNone/>
                <wp:docPr id="357" name="Frame354"/>
                <a:graphic xmlns:a="http://schemas.openxmlformats.org/drawingml/2006/main">
                  <a:graphicData uri="http://schemas.microsoft.com/office/word/2010/wordprocessingShape">
                    <wps:wsp>
                      <wps:cNvSpPr txBox="1"/>
                      <wps:spPr>
                        <a:xfrm>
                          <a:off x="0" y="0"/>
                          <a:ext cx="6480175" cy="327660"/>
                        </a:xfrm>
                        <a:prstGeom prst="rect"/>
                      </wps:spPr>
                      <wps:txbx>
                        <w:txbxContent>
                          <w:p>
                            <w:pPr>
                              <w:pStyle w:val="TextBody"/>
                              <w:spacing w:lineRule="auto" w:line="288" w:before="24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A-9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spacing w:lineRule="auto" w:line="288" w:before="24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A-9</w:t>
                      </w:r>
                    </w:p>
                  </w:txbxContent>
                </v:textbox>
              </v:rect>
            </w:pict>
          </mc:Fallback>
        </mc:AlternateContent>
      </w:r>
    </w:p>
    <w:p>
      <w:pPr>
        <w:pStyle w:val="TextBody"/>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Owners entitled thereto, or if for any other reason the Depositary deems such distribution not to be lawful and feasible, the Depositary, after consultation with the Company to the extent practicable, may adopt such other method as it may deem equitable and practicable for the purpose of effecting such distribution, including, but not limited to, the public or private sale of the securities or property thus received, or any part thereof, and distribution of the net proceeds of any such sale (net of the fees and expenses of the Depositary as provided in Article 7 hereof and Section 5.9 of the Deposit Agreement) to the Owners entitled thereto all in the manner and subject to the conditions set forth in Section 4.1 of the Deposit Agreement. The Depositary may withhold any distribution of securities under Section 4.2 of the Deposit Agreement if it has not received satisfactory assurances from the Company that the distribution does not require registration under the Securities Act of 1933. The Depositary may sell, by public or private sale, an amount of securities or other property it would otherwise distribute under this Article that is sufficient to pay its fees and expenses in respect of that distribution. </w:t>
      </w:r>
    </w:p>
    <w:p>
      <w:pPr>
        <w:pStyle w:val="TextBody"/>
        <w:spacing w:lineRule="auto" w:line="288" w:before="0" w:after="240"/>
        <w:ind w:left="0" w:right="0" w:firstLine="720"/>
        <w:jc w:val="both"/>
        <w:rPr/>
      </w:pPr>
      <w:r>
        <w:rPr>
          <w:rFonts w:ascii="Times New Roman;sans-serif" w:hAnsi="Times New Roman;sans-serif"/>
          <w:b w:val="false"/>
          <w:color w:val="000000"/>
          <w:sz w:val="24"/>
        </w:rPr>
        <w:t xml:space="preserve">If a distribution under Section 4.2 of the Deposit Agreement would represent a return of all or substantially all the value of the Deposited Securities underlying American Depositary Shares, the Depositary may require surrender of those American Depositary Shares and may require payment of or deduct the fee for surrender of American Depositary Shares (whether or not it is also requiring surrender of American Depositary Shares) as a condition of making that distribution. A distribution of that kind shall be a </w:t>
      </w:r>
      <w:r>
        <w:rPr>
          <w:rFonts w:ascii="Times New Roman;sans-serif" w:hAnsi="Times New Roman;sans-serif"/>
          <w:b w:val="false"/>
          <w:color w:val="000000"/>
          <w:sz w:val="24"/>
          <w:u w:val="single"/>
        </w:rPr>
        <w:t>Termination Option Event</w:t>
      </w:r>
      <w:r>
        <w:rPr>
          <w:rFonts w:ascii="Times New Roman;sans-serif" w:hAnsi="Times New Roman;sans-serif"/>
          <w:b w:val="false"/>
          <w:color w:val="000000"/>
          <w:sz w:val="24"/>
        </w:rPr>
        <w:t>.</w:t>
      </w:r>
    </w:p>
    <w:p>
      <w:pPr>
        <w:pStyle w:val="TextBody"/>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Whenever the Depositary receives any distribution consisting of a dividend in, or free distribution of, Shares, the Depositary may, and if the Company so requests in writing, shall, deliver to the Owners entitled thereto, an aggregate number of American Depositary Shares representing the amount of Shares received as that dividend or free distribution, subject to the terms and conditions of the Deposit Agreement with respect to the deposit of Shares and issuance of American Depositary Shares, including the withholding of any tax or other governmental charge as provided in Section 4.11 of the Deposit Agreement and the payment of the fees and expenses of the Depositary as provided in Article 7 hereof and Section 5.9 of the Deposit Agreement (and the Depositary may sell, by public or private sale, an amount of Shares received (or American Depositary Shares representing those Shares) sufficient to pay its fees and expenses in respect of that distribution). In lieu of delivering fractional American Depositary Shares, the Depositary may sell the amount of Shares represented by the aggregate of those fractions (or American Depositary Shares representing those Shares) and distribute the net proceeds, all in the manner and subject to the conditions described in Section 4.1 of the Deposit Agreement. If and to the extent that additional American Depositary Shares are not delivered and Shares or American Depositary Shares are not sold, each American Depositary Share shall thenceforth also represent the additional Shares distributed on the Deposited Securities represented thereby.</w:t>
      </w:r>
      <w:r>
        <w:br w:type="page"/>
      </w:r>
    </w:p>
    <w:p>
      <w:pPr>
        <w:pStyle w:val="TextBody"/>
        <w:spacing w:before="120" w:after="240"/>
        <w:jc w:val="center"/>
        <w:rPr/>
      </w:pPr>
      <w:r>
        <w:rPr/>
      </w:r>
      <w:r>
        <mc:AlternateContent>
          <mc:Choice Requires="wps">
            <w:drawing>
              <wp:anchor behindDoc="0" distT="0" distB="0" distL="0" distR="0" simplePos="0" locked="0" layoutInCell="1" allowOverlap="1" relativeHeight="359">
                <wp:simplePos x="0" y="0"/>
                <wp:positionH relativeFrom="character">
                  <wp:align>left</wp:align>
                </wp:positionH>
                <wp:positionV relativeFrom="line">
                  <wp:posOffset>635</wp:posOffset>
                </wp:positionV>
                <wp:extent cx="6480175" cy="327660"/>
                <wp:effectExtent l="0" t="0" r="0" b="0"/>
                <wp:wrapNone/>
                <wp:docPr id="358" name="Frame355"/>
                <a:graphic xmlns:a="http://schemas.openxmlformats.org/drawingml/2006/main">
                  <a:graphicData uri="http://schemas.microsoft.com/office/word/2010/wordprocessingShape">
                    <wps:wsp>
                      <wps:cNvSpPr txBox="1"/>
                      <wps:spPr>
                        <a:xfrm>
                          <a:off x="0" y="0"/>
                          <a:ext cx="6480175" cy="327660"/>
                        </a:xfrm>
                        <a:prstGeom prst="rect"/>
                      </wps:spPr>
                      <wps:txbx>
                        <w:txbxContent>
                          <w:p>
                            <w:pPr>
                              <w:pStyle w:val="TextBody"/>
                              <w:spacing w:lineRule="auto" w:line="288" w:before="24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A-10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spacing w:lineRule="auto" w:line="288" w:before="24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A-10</w:t>
                      </w:r>
                    </w:p>
                  </w:txbxContent>
                </v:textbox>
              </v:rect>
            </w:pict>
          </mc:Fallback>
        </mc:AlternateContent>
      </w:r>
    </w:p>
    <w:p>
      <w:pPr>
        <w:pStyle w:val="TextBody"/>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If the Company declares a distribution in which holders of Deposited Securities have a right to elect whether to receive cash, Shares or other securities or a combination of those things, or a right to elect to have a distribution sold on their behalf, the Depositary may, after consultation with the Company, make that right of election available for exercise by Owners in any manner the Depositary reasonably considers to be lawful and practical. As a condition of making a distribution election right available to Owners, the Depositary may require reasonably satisfactory assurances from the Company that doing so does not require registration of any securities under the Securities Act of 1933.</w:t>
      </w:r>
    </w:p>
    <w:p>
      <w:pPr>
        <w:pStyle w:val="TextBody"/>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If the Depositary determines that any distribution received or to be made by the Depositary (including Shares and rights to subscribe therefor) is subject to any tax or other governmental charge that the Depositary is obligated to withhold, the Depositary may sell, by public or private sale, all or a portion of the distributed property (including Shares and rights to subscribe therefor) in the amounts and manner the Depositary deems necessary and practicable to pay those taxes or charges, and the Depositary shall distribute the net proceeds of that sale, after deduction of those taxes or charges, to the Owners entitled thereto in proportion to the number of American Depositary Shares held by them respectively.</w:t>
      </w:r>
    </w:p>
    <w:p>
      <w:pPr>
        <w:pStyle w:val="TextBody"/>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Each Owner and Holder agrees to indemnify the Company, the Depositary, the Custodian and their respective directors, employees, agents and affiliates for, and hold each of them harmless against, any claim by any governmental authority with respect to taxes, additions to tax, penalties or interest arising out of any refund of taxes, reduced withholding at source or other tax benefit received by it. Services for Owners and Holders that may permit them to obtain reduced rates of tax withholding at source or reclaim excess tax withheld, and the fees and costs associated with using services of that kind, are not provided under, and are outside the scope of, the Deposit Agreement.</w:t>
      </w:r>
    </w:p>
    <w:p>
      <w:pPr>
        <w:pStyle w:val="TextBody"/>
        <w:spacing w:lineRule="auto" w:line="288" w:before="0" w:after="240"/>
        <w:ind w:left="0" w:right="0" w:hanging="318"/>
        <w:jc w:val="both"/>
        <w:rPr/>
      </w:pPr>
      <w:r>
        <w:rPr>
          <w:rFonts w:ascii="Times New Roman;sans-serif" w:hAnsi="Times New Roman;sans-serif"/>
          <w:b w:val="false"/>
          <w:color w:val="000000"/>
          <w:sz w:val="24"/>
        </w:rPr>
        <w:t>13.</w:t>
      </w:r>
      <w:r>
        <w:rPr>
          <w:color w:val="000000"/>
        </w:rPr>
        <w:t>    </w:t>
      </w:r>
      <w:r>
        <w:rPr>
          <w:rFonts w:ascii="Times New Roman;sans-serif" w:hAnsi="Times New Roman;sans-serif"/>
          <w:b w:val="false"/>
          <w:color w:val="000000"/>
          <w:sz w:val="24"/>
        </w:rPr>
        <w:t>RIGHTS.</w:t>
      </w:r>
    </w:p>
    <w:p>
      <w:pPr>
        <w:pStyle w:val="TextBody"/>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    If rights are granted to the Depositary in respect of deposited Shares to purchase additional Shares or other securities, the Company and the Depositary shall endeavor to consult as to the actions, if any, the Depositary should take in connection with that grant of rights. The Depositary may, to the extent reasonably deemed by it to be lawful and practical (i) if requested in writing by the Company, grant to all or certain Owners rights to instruct the Depositary to purchase the securities to which the rights relate and deliver those securities or American Depositary Shares representing those securities to Owners, (ii) if requested in writing by the Company, deliver the rights to or to the order of certain Owners, or (iii) sell the rights to the extent practicable and distribute the net proceeds of that sale to Owners entitled to those proceeds. To the extent rights are not exercised, delivered or disposed of under (i), (ii) or (iii) above, the Depositary shall permit the rights to lapse unexercised.</w:t>
      </w:r>
      <w:r>
        <w:br w:type="page"/>
      </w:r>
    </w:p>
    <w:p>
      <w:pPr>
        <w:pStyle w:val="TextBody"/>
        <w:spacing w:before="120" w:after="240"/>
        <w:jc w:val="center"/>
        <w:rPr/>
      </w:pPr>
      <w:r>
        <w:rPr/>
      </w:r>
      <w:r>
        <mc:AlternateContent>
          <mc:Choice Requires="wps">
            <w:drawing>
              <wp:anchor behindDoc="0" distT="0" distB="0" distL="0" distR="0" simplePos="0" locked="0" layoutInCell="1" allowOverlap="1" relativeHeight="360">
                <wp:simplePos x="0" y="0"/>
                <wp:positionH relativeFrom="character">
                  <wp:align>left</wp:align>
                </wp:positionH>
                <wp:positionV relativeFrom="line">
                  <wp:posOffset>635</wp:posOffset>
                </wp:positionV>
                <wp:extent cx="6480175" cy="327660"/>
                <wp:effectExtent l="0" t="0" r="0" b="0"/>
                <wp:wrapNone/>
                <wp:docPr id="359" name="Frame356"/>
                <a:graphic xmlns:a="http://schemas.openxmlformats.org/drawingml/2006/main">
                  <a:graphicData uri="http://schemas.microsoft.com/office/word/2010/wordprocessingShape">
                    <wps:wsp>
                      <wps:cNvSpPr txBox="1"/>
                      <wps:spPr>
                        <a:xfrm>
                          <a:off x="0" y="0"/>
                          <a:ext cx="6480175" cy="327660"/>
                        </a:xfrm>
                        <a:prstGeom prst="rect"/>
                      </wps:spPr>
                      <wps:txbx>
                        <w:txbxContent>
                          <w:p>
                            <w:pPr>
                              <w:pStyle w:val="TextBody"/>
                              <w:spacing w:lineRule="auto" w:line="288" w:before="24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A-11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spacing w:lineRule="auto" w:line="288" w:before="24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A-11</w:t>
                      </w:r>
                    </w:p>
                  </w:txbxContent>
                </v:textbox>
              </v:rect>
            </w:pict>
          </mc:Fallback>
        </mc:AlternateContent>
      </w:r>
    </w:p>
    <w:p>
      <w:pPr>
        <w:pStyle w:val="TextBody"/>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(b)    If the Depositary will act under (a)(i) above, the Company and the Depositary will enter into a separate agreement setting forth the conditions and procedures applicable to the particular offering. Upon instruction from an applicable Owner in the form the Depositary specified and upon payment by that Owner to the Depositary of an amount equal to the purchase price of the securities to be received upon the exercise of the rights, the Depositary shall, on behalf of that Owner, exercise the rights and purchase the securities. The purchased securities shall be delivered to, or as instructed by, the Depositary. The Depositary shall (i) deposit the purchased Shares under the Deposit Agreement and deliver American Depositary Shares representing those Shares to that Owner or (ii) deliver or cause the purchased Shares or other securities to be delivered to or to the order of that Owner. The Depositary will not act under (a)(i) above unless the offer and sale of the securities to which the rights relate are registered under the Securities Act of 1933 or the Depositary has received an opinion of United States counsel that is reasonably satisfactory to it to the effect that those securities may be sold and delivered to the applicable Owners without registration under the Securities Act of 1933.</w:t>
      </w:r>
    </w:p>
    <w:p>
      <w:pPr>
        <w:pStyle w:val="TextBody"/>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(c)    If the Depositary will act under (a)(ii) above, the Company and the Depositary will enter into a separate agreement setting forth the conditions and procedures applicable to the particular offering. Upon (i) the request of an applicable Owner to deliver the rights allocable to the American Depositary Shares of that Owner to an account specified by that Owner to which the rights can be delivered and (ii) receipt of such documents as the Company and the Depositary agreed to require to comply with applicable law, the Depositary will deliver those rights as requested by that Owner.</w:t>
      </w:r>
    </w:p>
    <w:p>
      <w:pPr>
        <w:pStyle w:val="TextBody"/>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(d)    If the Depositary will act under (a)(iii) above, the Depositary will use reasonable efforts to sell the rights in proportion to the number of American Depositary Shares held by the applicable Owners and pay the net proceeds to the Owners otherwise entitled to the rights that were sold, upon an averaged or other practical basis without regard to any distinctions among such Owners because of exchange restrictions or the date of delivery of any American Depositary Shares or otherwise. </w:t>
      </w:r>
    </w:p>
    <w:p>
      <w:pPr>
        <w:pStyle w:val="TextBody"/>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(e)    Payment or deduction of the fees of the Depositary as provided in Section 5.9 of the Deposit Agreement and payment or deduction of the expenses of the Depositary and any applicable taxes or other governmental charges shall be conditions of any delivery of securities or payment of cash proceeds under Section 4.4 of the Deposit Agreement.</w:t>
      </w:r>
    </w:p>
    <w:p>
      <w:pPr>
        <w:pStyle w:val="TextBody"/>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(f)    The Depositary shall not be responsible for any failure to determine that it may be lawful or feasible to make rights available to or exercise rights on behalf of Owners in general or any Owner in particular, or to sell rights.</w:t>
      </w:r>
    </w:p>
    <w:p>
      <w:pPr>
        <w:pStyle w:val="TextBody"/>
        <w:spacing w:lineRule="auto" w:line="288" w:before="0" w:after="240"/>
        <w:ind w:left="0" w:right="0" w:hanging="318"/>
        <w:jc w:val="both"/>
        <w:rPr/>
      </w:pPr>
      <w:r>
        <w:rPr>
          <w:rFonts w:ascii="Times New Roman;sans-serif" w:hAnsi="Times New Roman;sans-serif"/>
          <w:b w:val="false"/>
          <w:color w:val="000000"/>
          <w:sz w:val="24"/>
        </w:rPr>
        <w:t>14.</w:t>
      </w:r>
      <w:r>
        <w:rPr>
          <w:color w:val="000000"/>
        </w:rPr>
        <w:t>    </w:t>
      </w:r>
      <w:r>
        <w:rPr>
          <w:rFonts w:ascii="Times New Roman;sans-serif" w:hAnsi="Times New Roman;sans-serif"/>
          <w:b w:val="false"/>
          <w:color w:val="000000"/>
          <w:sz w:val="24"/>
        </w:rPr>
        <w:t>CONVERSION OF FOREIGN CURRENCY.</w:t>
      </w:r>
      <w:r>
        <w:br w:type="page"/>
      </w:r>
    </w:p>
    <w:p>
      <w:pPr>
        <w:pStyle w:val="TextBody"/>
        <w:spacing w:before="120" w:after="240"/>
        <w:jc w:val="center"/>
        <w:rPr/>
      </w:pPr>
      <w:r>
        <w:rPr/>
      </w:r>
      <w:r>
        <mc:AlternateContent>
          <mc:Choice Requires="wps">
            <w:drawing>
              <wp:anchor behindDoc="0" distT="0" distB="0" distL="0" distR="0" simplePos="0" locked="0" layoutInCell="1" allowOverlap="1" relativeHeight="361">
                <wp:simplePos x="0" y="0"/>
                <wp:positionH relativeFrom="character">
                  <wp:align>left</wp:align>
                </wp:positionH>
                <wp:positionV relativeFrom="line">
                  <wp:posOffset>635</wp:posOffset>
                </wp:positionV>
                <wp:extent cx="6480175" cy="327660"/>
                <wp:effectExtent l="0" t="0" r="0" b="0"/>
                <wp:wrapNone/>
                <wp:docPr id="360" name="Frame357"/>
                <a:graphic xmlns:a="http://schemas.openxmlformats.org/drawingml/2006/main">
                  <a:graphicData uri="http://schemas.microsoft.com/office/word/2010/wordprocessingShape">
                    <wps:wsp>
                      <wps:cNvSpPr txBox="1"/>
                      <wps:spPr>
                        <a:xfrm>
                          <a:off x="0" y="0"/>
                          <a:ext cx="6480175" cy="327660"/>
                        </a:xfrm>
                        <a:prstGeom prst="rect"/>
                      </wps:spPr>
                      <wps:txbx>
                        <w:txbxContent>
                          <w:p>
                            <w:pPr>
                              <w:pStyle w:val="TextBody"/>
                              <w:spacing w:lineRule="auto" w:line="288" w:before="24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A-12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spacing w:lineRule="auto" w:line="288" w:before="24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A-12</w:t>
                      </w:r>
                    </w:p>
                  </w:txbxContent>
                </v:textbox>
              </v:rect>
            </w:pict>
          </mc:Fallback>
        </mc:AlternateContent>
      </w:r>
    </w:p>
    <w:p>
      <w:pPr>
        <w:pStyle w:val="TextBody"/>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Whenever the Depositary or the Custodian receives foreign currency, by way of dividends or other distributions or the net proceeds from the sale of securities, property or rights, and if at the time of the receipt thereof the foreign currency so received can in the judgment of the Depositary be converted on a reasonable basis into Dollars and the resulting Dollars transferred to the United States, the Depositary or one of its agents or affiliates or the Custodian shall convert or cause to be converted by sale or in any other manner that it may determine that foreign currency into Dollars, and those Dollars shall be, as promptly as practicable, distributed to the Owners entitled thereto.  A cash distribution may be made upon an averaged or other practicable basis without regard to any distinctions among Owners based on exchange restrictions, the date of delivery of any American Depositary Shares or otherwise and shall be net of any expenses of conversion into Dollars incurred by the Depositary as provided in Section 5.9 of the Deposit Agreement.</w:t>
      </w:r>
    </w:p>
    <w:p>
      <w:pPr>
        <w:pStyle w:val="TextBody"/>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If a conversion of foreign currency or the repatriation or distribution of Dollars can be effected only with the approval or license of any government or agency thereof, the Depositary may, but will not be required to, file an application for that approval or license.</w:t>
      </w:r>
    </w:p>
    <w:p>
      <w:pPr>
        <w:pStyle w:val="TextBody"/>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If the Depositary determines that in its judgment any foreign currency received by the Depositary or the Custodian is not convertible on a reasonable basis into Dollars transferable to the United States, or if any approval or license of any government or agency thereof that is required for such conversion is not filed or sought by the Depositary or is not obtained within a reasonable period as determined by the Depositary, the Depositary may distribute the foreign currency received by the Depositary to, or in its discretion may hold such foreign currency uninvested and without liability for interest thereon for the respective accounts of, the Owners entitled to receive the same.</w:t>
      </w:r>
    </w:p>
    <w:p>
      <w:pPr>
        <w:pStyle w:val="TextBody"/>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If any conversion of foreign currency, in whole or in part, cannot be effected for distribution to some of the Owners entitled thereto, the Depositary may in its discretion make that conversion and distribution in Dollars to the extent practicable and permissible to the Owners entitled thereto and may distribute the balance of the foreign currency received by the Depositary to, or hold that balance uninvested and without liability for interest thereon for the account of, the Owners entitled thereto.</w:t>
      </w:r>
    </w:p>
    <w:p>
      <w:pPr>
        <w:pStyle w:val="TextBody"/>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The Depositary may convert currency itself or through any of its affiliates, or the Custodian or the Company may convert currency and pay Dollars to the Depositary. Where the Depositary converts currency itself or through any of its affiliates, the Depositary acts as principal for its own account and not as agent, advisor, broker or fiduciary on behalf of any other person and earns revenue, including, without limitation, transaction spreads, that it will retain for its own account.  The revenue is based on, among other things, the difference between the exchange rate assigned to the currency conversion made under the Deposit Agreement and the rate that the Depositary or its </w:t>
      </w:r>
      <w:r>
        <w:br w:type="page"/>
      </w:r>
    </w:p>
    <w:p>
      <w:pPr>
        <w:pStyle w:val="TextBody"/>
        <w:spacing w:before="120" w:after="240"/>
        <w:jc w:val="center"/>
        <w:rPr/>
      </w:pPr>
      <w:r>
        <w:rPr/>
      </w:r>
      <w:r>
        <mc:AlternateContent>
          <mc:Choice Requires="wps">
            <w:drawing>
              <wp:anchor behindDoc="0" distT="0" distB="0" distL="0" distR="0" simplePos="0" locked="0" layoutInCell="1" allowOverlap="1" relativeHeight="362">
                <wp:simplePos x="0" y="0"/>
                <wp:positionH relativeFrom="character">
                  <wp:align>left</wp:align>
                </wp:positionH>
                <wp:positionV relativeFrom="line">
                  <wp:posOffset>635</wp:posOffset>
                </wp:positionV>
                <wp:extent cx="6480175" cy="327660"/>
                <wp:effectExtent l="0" t="0" r="0" b="0"/>
                <wp:wrapNone/>
                <wp:docPr id="361" name="Frame358"/>
                <a:graphic xmlns:a="http://schemas.openxmlformats.org/drawingml/2006/main">
                  <a:graphicData uri="http://schemas.microsoft.com/office/word/2010/wordprocessingShape">
                    <wps:wsp>
                      <wps:cNvSpPr txBox="1"/>
                      <wps:spPr>
                        <a:xfrm>
                          <a:off x="0" y="0"/>
                          <a:ext cx="6480175" cy="327660"/>
                        </a:xfrm>
                        <a:prstGeom prst="rect"/>
                      </wps:spPr>
                      <wps:txbx>
                        <w:txbxContent>
                          <w:p>
                            <w:pPr>
                              <w:pStyle w:val="TextBody"/>
                              <w:spacing w:lineRule="auto" w:line="288" w:before="24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A-13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spacing w:lineRule="auto" w:line="288" w:before="24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A-13</w:t>
                      </w:r>
                    </w:p>
                  </w:txbxContent>
                </v:textbox>
              </v:rect>
            </w:pict>
          </mc:Fallback>
        </mc:AlternateContent>
      </w:r>
    </w:p>
    <w:p>
      <w:pPr>
        <w:pStyle w:val="TextBody"/>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affiliate receives when buying or selling foreign currency for its own account.  The Depositary makes no representation that the exchange rate used or obtained by it or its affiliate in any currency conversion under the Deposit Agreement will be the most favorable rate that could be obtained at the time or that the method by which that rate will be determined will be the most favorable to Owners, subject to the Depositary’s obligations under Section 5.3 of the Deposit Agreement.  The methodology used to determine exchange rates used in currency conversions made by the Depositary is available upon request. Where the Custodian converts currency, the Custodian has no obligation to obtain the most favorable rate that could be obtained at the time or to ensure that the method by which that rate will be determined will be the most favorable to Owners, and the Depositary makes no representation that the rate is the most favorable rate and will not be liable for any direct or indirect losses associated with the rate.  In certain instances, the Depositary may receive dividends or other distributions from the Company in Dollars that represent the proceeds of a conversion of foreign currency or translation from foreign currency at a rate that was obtained or determined by or on behalf of the Company and, in such cases, the Depositary will not engage in, or be responsible for, any foreign currency transactions and neither it nor the Company makes any representation that the rate obtained or determined by the Company is the most favorable rate and neither it nor the Company will be liable for any direct or indirect losses associated with the rate.</w:t>
      </w:r>
    </w:p>
    <w:p>
      <w:pPr>
        <w:pStyle w:val="TextBody"/>
        <w:spacing w:lineRule="auto" w:line="288"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15.RECORD DATES.</w:t>
      </w:r>
    </w:p>
    <w:p>
      <w:pPr>
        <w:pStyle w:val="TextBody"/>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Whenever a cash dividend, cash distribution or any other distribution is made on Deposited Securities or rights to purchase Shares or other securities are issued with respect to Deposited Securities (which rights will be delivered to or exercised or sold on behalf of Owners in accordance with Section 4.4 of the Deposit Agreement) or the Depositary receives notice that a distribution or issuance of that kind will be made, or whenever the Depositary receives notice that a meeting of holders of Shares will be held in respect of which the Company has requested the Depositary to send a notice under Section 4.7 of the Deposit Agreement, or whenever the Depositary will assess a fee or charge against the Owners, or whenever the Depositary causes a change in the number of Shares that are represented by each American Depositary Share, or whenever the Depositary otherwise finds it necessary or convenient, the Depositary shall fix a record date, which shall be the same as, or as near as practicable to, any corresponding record date set by the Company with respect to Shares, (a) for the determination of the Owners (i) who shall be entitled to receive the benefit of that dividend or other distribution or those rights, (ii) who shall be entitled to give instructions for the exercise of voting rights at that meeting, (iii) who shall be responsible for that fee or charge or (iv) for any other purpose for which the record date was set, or (b) on or after which each American Depositary Share will represent the changed number of Shares. Subject to the provisions of Sections 4.1 through 4.5 of the Deposit Agreement and to the other terms and conditions of the Deposit Agreement, the Owners on a record date fixed by the </w:t>
      </w:r>
      <w:r>
        <w:br w:type="page"/>
      </w:r>
    </w:p>
    <w:p>
      <w:pPr>
        <w:pStyle w:val="TextBody"/>
        <w:spacing w:before="120" w:after="240"/>
        <w:jc w:val="center"/>
        <w:rPr/>
      </w:pPr>
      <w:r>
        <w:rPr/>
      </w:r>
      <w:r>
        <mc:AlternateContent>
          <mc:Choice Requires="wps">
            <w:drawing>
              <wp:anchor behindDoc="0" distT="0" distB="0" distL="0" distR="0" simplePos="0" locked="0" layoutInCell="1" allowOverlap="1" relativeHeight="363">
                <wp:simplePos x="0" y="0"/>
                <wp:positionH relativeFrom="character">
                  <wp:align>left</wp:align>
                </wp:positionH>
                <wp:positionV relativeFrom="line">
                  <wp:posOffset>635</wp:posOffset>
                </wp:positionV>
                <wp:extent cx="6480175" cy="327660"/>
                <wp:effectExtent l="0" t="0" r="0" b="0"/>
                <wp:wrapNone/>
                <wp:docPr id="362" name="Frame359"/>
                <a:graphic xmlns:a="http://schemas.openxmlformats.org/drawingml/2006/main">
                  <a:graphicData uri="http://schemas.microsoft.com/office/word/2010/wordprocessingShape">
                    <wps:wsp>
                      <wps:cNvSpPr txBox="1"/>
                      <wps:spPr>
                        <a:xfrm>
                          <a:off x="0" y="0"/>
                          <a:ext cx="6480175" cy="327660"/>
                        </a:xfrm>
                        <a:prstGeom prst="rect"/>
                      </wps:spPr>
                      <wps:txbx>
                        <w:txbxContent>
                          <w:p>
                            <w:pPr>
                              <w:pStyle w:val="TextBody"/>
                              <w:spacing w:lineRule="auto" w:line="288" w:before="24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A-14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spacing w:lineRule="auto" w:line="288" w:before="24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A-14</w:t>
                      </w:r>
                    </w:p>
                  </w:txbxContent>
                </v:textbox>
              </v:rect>
            </w:pict>
          </mc:Fallback>
        </mc:AlternateContent>
      </w:r>
    </w:p>
    <w:p>
      <w:pPr>
        <w:pStyle w:val="TextBody"/>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Depositary shall be entitled to receive the amount distributable by the Depositary with respect to that dividend or other distribution or those rights or the net proceeds of sale thereof in proportion to the number of American Depositary Shares held by them respectively, to give voting instructions or to act in respect of the other matter for which that record date was fixed, or be responsible for that fee or charge, as the case may be.</w:t>
      </w:r>
    </w:p>
    <w:p>
      <w:pPr>
        <w:pStyle w:val="TextBody"/>
        <w:spacing w:lineRule="auto" w:line="288" w:before="0" w:after="240"/>
        <w:ind w:left="0" w:right="0" w:hanging="318"/>
        <w:jc w:val="both"/>
        <w:rPr/>
      </w:pPr>
      <w:r>
        <w:rPr>
          <w:rFonts w:ascii="Times New Roman;sans-serif" w:hAnsi="Times New Roman;sans-serif"/>
          <w:b w:val="false"/>
          <w:color w:val="000000"/>
          <w:sz w:val="24"/>
        </w:rPr>
        <w:t>16.</w:t>
      </w:r>
      <w:r>
        <w:rPr>
          <w:color w:val="000000"/>
        </w:rPr>
        <w:t>    </w:t>
      </w:r>
      <w:r>
        <w:rPr>
          <w:rFonts w:ascii="Times New Roman;sans-serif" w:hAnsi="Times New Roman;sans-serif"/>
          <w:b w:val="false"/>
          <w:color w:val="000000"/>
          <w:sz w:val="24"/>
        </w:rPr>
        <w:t>VOTING OF DEPOSITED SHARES.</w:t>
      </w:r>
    </w:p>
    <w:p>
      <w:pPr>
        <w:pStyle w:val="TextBody"/>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    Upon receipt of notice of any meeting of holders of Shares at which holders of Shares will be entitled to vote, if requested in writing by the Company, the Depositary shall, as soon as practicable thereafter, Disseminate to the Owners a notice, the form of which shall be in the sole discretion of the Depositary, that shall contain (i) the information contained in the notice of meeting received by the Depositary, (ii) a statement that the Owners as of the close of business on a specified record date will be entitled, subject to any applicable provision of the laws of the Cayman Islands and of the articles of association or similar documents of the Company, to instruct the Depositary as to the exercise of the voting rights pertaining to the amount of Shares represented by their respective American Depositary Shares, (iii) a statement as to the manner in which those instructions may be given, including an express indication that instructions may be given or deemed given in accordance with the last sentence of paragraph (b) below, if no instruction is received, to the Depositary to give a discretionary proxy to a person designated by the Company and (iv) the last date on which the Depositary will accept instructions (the “Instruction Cutoff Date”).</w:t>
      </w:r>
    </w:p>
    <w:p>
      <w:pPr>
        <w:pStyle w:val="TextBody"/>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(b)    Upon the written request of an Owner of American Depositary Shares, as of the date of the request or, if a record date was specified by the Depositary, as of that record date, received on or before any Instruction Cutoff Date established by the Depositary, the Depositary may, and if the Depositary sent a notice under the preceding paragraph shall, endeavor, in so far as practicable, to vote or cause to be voted the amount of deposited Shares represented by those American Depositary Shares in accordance with the instructions set forth in that request. The Depositary shall not vote or attempt to exercise the right to vote that attaches to the deposited Shares other than in accordance with instructions given by Owners and received by the Depositary or as provided in the following sentence. If:</w:t>
      </w:r>
    </w:p>
    <w:p>
      <w:pPr>
        <w:pStyle w:val="TextBody"/>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 the Company instructed the Depositary to Disseminate a notice under paragraph (a) above and complied with paragraph (d) below,</w:t>
      </w:r>
    </w:p>
    <w:p>
      <w:pPr>
        <w:pStyle w:val="TextBody"/>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(ii) no instructions are received by the Depositary from an Owner with respect to a matter and an amount of American Depositary Shares of that Owner on or before the Instruction Cutoff Date and</w:t>
      </w:r>
      <w:r>
        <w:br w:type="page"/>
      </w:r>
    </w:p>
    <w:p>
      <w:pPr>
        <w:pStyle w:val="TextBody"/>
        <w:spacing w:before="120" w:after="240"/>
        <w:jc w:val="center"/>
        <w:rPr/>
      </w:pPr>
      <w:r>
        <w:rPr/>
      </w:r>
      <w:r>
        <mc:AlternateContent>
          <mc:Choice Requires="wps">
            <w:drawing>
              <wp:anchor behindDoc="0" distT="0" distB="0" distL="0" distR="0" simplePos="0" locked="0" layoutInCell="1" allowOverlap="1" relativeHeight="364">
                <wp:simplePos x="0" y="0"/>
                <wp:positionH relativeFrom="character">
                  <wp:align>left</wp:align>
                </wp:positionH>
                <wp:positionV relativeFrom="line">
                  <wp:posOffset>635</wp:posOffset>
                </wp:positionV>
                <wp:extent cx="6480175" cy="327660"/>
                <wp:effectExtent l="0" t="0" r="0" b="0"/>
                <wp:wrapNone/>
                <wp:docPr id="363" name="Frame360"/>
                <a:graphic xmlns:a="http://schemas.openxmlformats.org/drawingml/2006/main">
                  <a:graphicData uri="http://schemas.microsoft.com/office/word/2010/wordprocessingShape">
                    <wps:wsp>
                      <wps:cNvSpPr txBox="1"/>
                      <wps:spPr>
                        <a:xfrm>
                          <a:off x="0" y="0"/>
                          <a:ext cx="6480175" cy="327660"/>
                        </a:xfrm>
                        <a:prstGeom prst="rect"/>
                      </wps:spPr>
                      <wps:txbx>
                        <w:txbxContent>
                          <w:p>
                            <w:pPr>
                              <w:pStyle w:val="TextBody"/>
                              <w:spacing w:lineRule="auto" w:line="288" w:before="24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A-15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spacing w:lineRule="auto" w:line="288" w:before="24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A-15</w:t>
                      </w:r>
                    </w:p>
                  </w:txbxContent>
                </v:textbox>
              </v:rect>
            </w:pict>
          </mc:Fallback>
        </mc:AlternateContent>
      </w:r>
    </w:p>
    <w:p>
      <w:pPr>
        <w:pStyle w:val="TextBody"/>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(iii) the Depositary has received from the Company, by the business day following the Instruction Cutoff Date, a written confirmation that, as of the Instruction Cutoff Date, (x) the Company wishes a proxy to be given under this sentence, (y) the Company reasonably does not know of any substantial opposition to the matter and (z) the matter is not materially adverse to the interests of shareholders,</w:t>
      </w:r>
    </w:p>
    <w:p>
      <w:pPr>
        <w:pStyle w:val="TextBody"/>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then, the Depositary shall deem that Owner to have instructed the Depositary to give a discretionary proxy to a person designated by the Company with respect to that matter and the amount of deposited Shares represented by that amount of American Depositary Shares and the Depositary shall give a discretionary proxy to a person designated by the Company to vote that amount of deposited Shares as to that matter.</w:t>
      </w:r>
    </w:p>
    <w:p>
      <w:pPr>
        <w:pStyle w:val="TextBody"/>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(c)    There can be no assurance that Owners generally or any Owner in particular will receive the notice described in paragraph (a) above in time to enable Owners to give instructions to the Depositary prior to the Instruction Cutoff Date.</w:t>
      </w:r>
    </w:p>
    <w:p>
      <w:pPr>
        <w:pStyle w:val="TextBody"/>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(d)    In order to give Owners a reasonable opportunity to instruct the Depositary as to the exercise of voting rights relating to Shares, if the Company will request the Depositary to Disseminate a notice under paragraph (a) above, the Company shall give the Depositary notice of the meeting, details concerning the matters to be voted upon and copies of materials to be made available to holders of Shares in connection with the meeting not less than 45 days prior to the meeting date.</w:t>
      </w:r>
    </w:p>
    <w:p>
      <w:pPr>
        <w:pStyle w:val="TextBody"/>
        <w:spacing w:lineRule="auto" w:line="288"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17.TENDER AND EXCHANGE OFFERS; REDEMPTION, REPLACEMENT OR CANCELLATION OF DEPOSITED SECURITIES.</w:t>
      </w:r>
    </w:p>
    <w:p>
      <w:pPr>
        <w:pStyle w:val="TextBody"/>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    The Depositary shall not tender any Deposited Securities in response to any voluntary cash tender offer, exchange offer or similar offer made to holders of Deposited Securities (a “Voluntary Offer”), except when instructed in writing to do so by an Owner surrendering American Depositary Shares and subject to any conditions or procedures the Depositary may reasonably require.</w:t>
      </w:r>
    </w:p>
    <w:p>
      <w:pPr>
        <w:pStyle w:val="TextBody"/>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(b)    If the Depositary receives a written notice that Deposited Securities have been redeemed for cash or otherwise purchased for cash in a transaction that is mandatory and binding on the Depositary as a holder of those Deposited Securities (a “Redemption”), the Depositary, at the expense of the Company, shall (i) if required, surrender Deposited Securities that have been redeemed to the issuer of those securities or its agent on the redemption date, (ii) Disseminate a notice to Owners (A) notifying them of that Redemption, (B) calling for surrender of a corresponding number of American Depositary Shares and (C) notifying them that the called American Depositary Shares have been converted into a right only to receive the money received by the Depositary upon that Redemption and those net proceeds shall be the Deposited Securities to which Owners of those converted American Depositary Shares shall be </w:t>
      </w:r>
      <w:r>
        <w:br w:type="page"/>
      </w:r>
    </w:p>
    <w:p>
      <w:pPr>
        <w:pStyle w:val="TextBody"/>
        <w:spacing w:before="120" w:after="240"/>
        <w:jc w:val="center"/>
        <w:rPr/>
      </w:pPr>
      <w:r>
        <w:rPr/>
      </w:r>
      <w:r>
        <mc:AlternateContent>
          <mc:Choice Requires="wps">
            <w:drawing>
              <wp:anchor behindDoc="0" distT="0" distB="0" distL="0" distR="0" simplePos="0" locked="0" layoutInCell="1" allowOverlap="1" relativeHeight="365">
                <wp:simplePos x="0" y="0"/>
                <wp:positionH relativeFrom="character">
                  <wp:align>left</wp:align>
                </wp:positionH>
                <wp:positionV relativeFrom="line">
                  <wp:posOffset>635</wp:posOffset>
                </wp:positionV>
                <wp:extent cx="6480175" cy="327660"/>
                <wp:effectExtent l="0" t="0" r="0" b="0"/>
                <wp:wrapNone/>
                <wp:docPr id="364" name="Frame361"/>
                <a:graphic xmlns:a="http://schemas.openxmlformats.org/drawingml/2006/main">
                  <a:graphicData uri="http://schemas.microsoft.com/office/word/2010/wordprocessingShape">
                    <wps:wsp>
                      <wps:cNvSpPr txBox="1"/>
                      <wps:spPr>
                        <a:xfrm>
                          <a:off x="0" y="0"/>
                          <a:ext cx="6480175" cy="327660"/>
                        </a:xfrm>
                        <a:prstGeom prst="rect"/>
                      </wps:spPr>
                      <wps:txbx>
                        <w:txbxContent>
                          <w:p>
                            <w:pPr>
                              <w:pStyle w:val="TextBody"/>
                              <w:spacing w:lineRule="auto" w:line="288" w:before="24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A-16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spacing w:lineRule="auto" w:line="288" w:before="24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A-16</w:t>
                      </w:r>
                    </w:p>
                  </w:txbxContent>
                </v:textbox>
              </v:rect>
            </w:pict>
          </mc:Fallback>
        </mc:AlternateContent>
      </w:r>
    </w:p>
    <w:p>
      <w:pPr>
        <w:pStyle w:val="TextBody"/>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entitled upon surrenders of those American Depositary Shares in accordance with Section 2.5 or 6.2 of the Deposit Agreement and (iii) distribute the money received upon that Redemption to the Owners entitled to it upon surrender by them of called American Depositary Shares in accordance with Section 2.5 of the Deposit Agreement (and, for the avoidance of doubt, Owners shall not be entitled to receive that money under Section 4.1 of the Deposit Agreement). If the Redemption affects less than all the Deposited Securities, the Depositary shall call for surrender a corresponding portion of the outstanding American Depositary Shares and only those American Depositary Shares will automatically be converted into a right to receive the net proceeds of the Redemption. The Depositary shall allocate the American Depositary Shares converted under the preceding sentence among the Owners pro-rata to their respective holdings of American Depositary Shares immediately prior to the Redemption, except that the allocations may be adjusted so that no fraction of a converted American Depositary Share is allocated to any Owner. A Redemption of all or substantially all of the Deposited Securities shall be a Termination Option Event.</w:t>
      </w:r>
    </w:p>
    <w:p>
      <w:pPr>
        <w:pStyle w:val="TextBody"/>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(c)    If the Depositary is notified of or there occurs any change in nominal value or any subdivision, combination or any other reclassification of the Deposited Securities or any recapitalization, reorganization, sale of assets substantially as an entirety, merger or consolidation affecting the issuer of the Deposited Securities or to which it is a party that is mandatory and binding on the Depositary as a holder of Deposited Securities and, as a result, securities or other property have been or will be delivered in exchange, conversion, replacement or in lieu of, Deposited Securities (a “Replacement”), the Depositary shall, if required, surrender the old Deposited Securities affected by that Replacement of Shares and hold, as new Deposited Securities under the Deposit Agreement, the new securities or other property delivered to it in that Replacement. However, the Depositary may elect to sell those new Deposited Securities if in the reasonable opinion of the Depositary it is not lawful or not practical for it to hold those new Deposited Securities under the Deposit Agreement because those new Deposited Securities may not be distributed to Owners without registration under the Securities Act of 1933 or for any other reason, at public or private sale, at such places and on such terms as it reasonably deems proper and proceed as if those new Deposited Securities had been Redeemed under paragraph (b) above. A Replacement shall be a Termination Option Event. </w:t>
      </w:r>
    </w:p>
    <w:p>
      <w:pPr>
        <w:pStyle w:val="TextBody"/>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(d)    In the case of a Replacement where the new Deposited Securities will continue to be held under the Deposit Agreement, the Depositary may call for the surrender of outstanding Receipts to be exchanged for new Receipts specifically describing the new Deposited Securities and the number of those new Deposited Securities represented by each American Depositary Share. If the number of Shares represented by each American Depositary Share decreases as a result of a Replacement, the Depositary may call for surrender of the American Depositary Shares to be exchanged on a mandatory basis for a lesser number of American Depositary Shares and may sell </w:t>
      </w:r>
      <w:r>
        <w:br w:type="page"/>
      </w:r>
    </w:p>
    <w:p>
      <w:pPr>
        <w:pStyle w:val="TextBody"/>
        <w:spacing w:before="120" w:after="240"/>
        <w:jc w:val="center"/>
        <w:rPr/>
      </w:pPr>
      <w:r>
        <w:rPr/>
      </w:r>
      <w:r>
        <mc:AlternateContent>
          <mc:Choice Requires="wps">
            <w:drawing>
              <wp:anchor behindDoc="0" distT="0" distB="0" distL="0" distR="0" simplePos="0" locked="0" layoutInCell="1" allowOverlap="1" relativeHeight="366">
                <wp:simplePos x="0" y="0"/>
                <wp:positionH relativeFrom="character">
                  <wp:align>left</wp:align>
                </wp:positionH>
                <wp:positionV relativeFrom="line">
                  <wp:posOffset>635</wp:posOffset>
                </wp:positionV>
                <wp:extent cx="6480175" cy="327660"/>
                <wp:effectExtent l="0" t="0" r="0" b="0"/>
                <wp:wrapNone/>
                <wp:docPr id="365" name="Frame362"/>
                <a:graphic xmlns:a="http://schemas.openxmlformats.org/drawingml/2006/main">
                  <a:graphicData uri="http://schemas.microsoft.com/office/word/2010/wordprocessingShape">
                    <wps:wsp>
                      <wps:cNvSpPr txBox="1"/>
                      <wps:spPr>
                        <a:xfrm>
                          <a:off x="0" y="0"/>
                          <a:ext cx="6480175" cy="327660"/>
                        </a:xfrm>
                        <a:prstGeom prst="rect"/>
                      </wps:spPr>
                      <wps:txbx>
                        <w:txbxContent>
                          <w:p>
                            <w:pPr>
                              <w:pStyle w:val="TextBody"/>
                              <w:spacing w:lineRule="auto" w:line="288" w:before="24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A-17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spacing w:lineRule="auto" w:line="288" w:before="24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A-17</w:t>
                      </w:r>
                    </w:p>
                  </w:txbxContent>
                </v:textbox>
              </v:rect>
            </w:pict>
          </mc:Fallback>
        </mc:AlternateContent>
      </w:r>
    </w:p>
    <w:p>
      <w:pPr>
        <w:pStyle w:val="TextBody"/>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American Depositary Shares to the extent necessary to avoid distributing fractions of American Depositary Shares in that exchange and distribute the net proceeds of that sale, as promptly as practicable, to the Owners entitled to them.</w:t>
      </w:r>
    </w:p>
    <w:p>
      <w:pPr>
        <w:pStyle w:val="TextBody"/>
        <w:spacing w:lineRule="auto" w:line="288" w:before="0" w:after="240"/>
        <w:ind w:left="0" w:right="0" w:firstLine="720"/>
        <w:jc w:val="both"/>
        <w:rPr/>
      </w:pPr>
      <w:r>
        <w:rPr>
          <w:rFonts w:ascii="Times New Roman;sans-serif" w:hAnsi="Times New Roman;sans-serif"/>
          <w:b w:val="false"/>
          <w:color w:val="000000"/>
          <w:sz w:val="24"/>
        </w:rPr>
        <w:t xml:space="preserve">(e)    If there are no Deposited Securities with respect to American Depositary Shares, including if the Deposited Securities are cancelled, or the Deposited Securities with respect to American Depositary Shares become apparently worthless, the Depositary may call for surrender of those American Depositary Shares or may cancel those American Depositary Shares, upon notice to Owners, and that condition shall be a </w:t>
      </w:r>
      <w:r>
        <w:rPr>
          <w:rFonts w:ascii="Times New Roman;sans-serif" w:hAnsi="Times New Roman;sans-serif"/>
          <w:b w:val="false"/>
          <w:color w:val="000000"/>
          <w:sz w:val="24"/>
          <w:u w:val="single"/>
        </w:rPr>
        <w:t>Termination Option Event</w:t>
      </w:r>
      <w:r>
        <w:rPr>
          <w:rFonts w:ascii="Times New Roman;sans-serif" w:hAnsi="Times New Roman;sans-serif"/>
          <w:b w:val="false"/>
          <w:color w:val="000000"/>
          <w:sz w:val="24"/>
        </w:rPr>
        <w:t>.</w:t>
      </w:r>
    </w:p>
    <w:p>
      <w:pPr>
        <w:pStyle w:val="TextBody"/>
        <w:spacing w:lineRule="auto" w:line="288" w:before="0" w:after="240"/>
        <w:ind w:left="0" w:right="0" w:hanging="318"/>
        <w:jc w:val="both"/>
        <w:rPr/>
      </w:pPr>
      <w:r>
        <w:rPr>
          <w:rFonts w:ascii="Times New Roman;sans-serif" w:hAnsi="Times New Roman;sans-serif"/>
          <w:b w:val="false"/>
          <w:color w:val="000000"/>
          <w:sz w:val="24"/>
        </w:rPr>
        <w:t>18.</w:t>
      </w:r>
      <w:r>
        <w:rPr>
          <w:color w:val="000000"/>
        </w:rPr>
        <w:t>    </w:t>
      </w:r>
      <w:r>
        <w:rPr>
          <w:rFonts w:ascii="Times New Roman;sans-serif" w:hAnsi="Times New Roman;sans-serif"/>
          <w:b w:val="false"/>
          <w:color w:val="000000"/>
          <w:sz w:val="24"/>
        </w:rPr>
        <w:t>LIABILITY OF THE COMPANY AND DEPOSITARY.</w:t>
      </w:r>
    </w:p>
    <w:p>
      <w:pPr>
        <w:pStyle w:val="TextBody"/>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Neither the Depositary nor the Company nor any of their respective directors, employees, agents or affiliates shall incur any liability to any Owner or Holder: </w:t>
      </w:r>
    </w:p>
    <w:p>
      <w:pPr>
        <w:pStyle w:val="TextBody"/>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 if by reason of (A) any provision of any present or future law or regulation or other act of the government of the United States, any State of the United States or any other state or jurisdiction, or of any governmental or regulatory authority or stock exchange; (B) (in the case of the Depositary only) any provision, present or future, of the articles of association or similar document of the Company, or by reason of any provision of any securities issued or distributed by the Company, or any offering or distribution thereof; or (C) any event or circumstance, whether natural or caused by a person or persons, that is beyond the ability of the Depositary or the Company, as the case may be, to prevent or counteract by reasonable care or effort (including, but not limited to earthquakes, floods, severe storms, fires, explosions, war, terrorism, civil unrest, labor disputes, criminal acts or outbreaks of infectious disease; interruptions or malfunctions of utility services, Internet or other communications lines or systems; unauthorized access to or attacks on computer systems or websites; or other failures or malfunctions of computer hardware or software or other systems or equipment), the Depositary or the Company is, directly or indirectly, prevented from, forbidden to or delayed in, or could be subject to any civil or criminal penalty on account of doing or performing and therefore does not do or perform, any act or thing that, by the terms of the Deposit Agreement or the Deposited Securities, it is provided shall be done or performed;</w:t>
      </w:r>
    </w:p>
    <w:p>
      <w:pPr>
        <w:pStyle w:val="TextBody"/>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(ii) for any exercise of, or failure to exercise, any discretion provided for in the Deposit Agreement (including any determination by the Depositary or the Company, to take, or not take, any action that the Deposit Agreement provides the Depositary or the Company, as the case may be, may take); </w:t>
      </w:r>
    </w:p>
    <w:p>
      <w:pPr>
        <w:pStyle w:val="TextBody"/>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(iii) for the inability of any Owner or Holder to benefit from any distribution, offering, right or other benefit that is made available to holders of Deposited Securities </w:t>
      </w:r>
      <w:r>
        <w:br w:type="page"/>
      </w:r>
    </w:p>
    <w:p>
      <w:pPr>
        <w:pStyle w:val="TextBody"/>
        <w:spacing w:before="120" w:after="240"/>
        <w:jc w:val="center"/>
        <w:rPr/>
      </w:pPr>
      <w:r>
        <w:rPr/>
      </w:r>
      <w:r>
        <mc:AlternateContent>
          <mc:Choice Requires="wps">
            <w:drawing>
              <wp:anchor behindDoc="0" distT="0" distB="0" distL="0" distR="0" simplePos="0" locked="0" layoutInCell="1" allowOverlap="1" relativeHeight="367">
                <wp:simplePos x="0" y="0"/>
                <wp:positionH relativeFrom="character">
                  <wp:align>left</wp:align>
                </wp:positionH>
                <wp:positionV relativeFrom="line">
                  <wp:posOffset>635</wp:posOffset>
                </wp:positionV>
                <wp:extent cx="6480175" cy="327660"/>
                <wp:effectExtent l="0" t="0" r="0" b="0"/>
                <wp:wrapNone/>
                <wp:docPr id="366" name="Frame363"/>
                <a:graphic xmlns:a="http://schemas.openxmlformats.org/drawingml/2006/main">
                  <a:graphicData uri="http://schemas.microsoft.com/office/word/2010/wordprocessingShape">
                    <wps:wsp>
                      <wps:cNvSpPr txBox="1"/>
                      <wps:spPr>
                        <a:xfrm>
                          <a:off x="0" y="0"/>
                          <a:ext cx="6480175" cy="327660"/>
                        </a:xfrm>
                        <a:prstGeom prst="rect"/>
                      </wps:spPr>
                      <wps:txbx>
                        <w:txbxContent>
                          <w:p>
                            <w:pPr>
                              <w:pStyle w:val="TextBody"/>
                              <w:spacing w:lineRule="auto" w:line="288" w:before="24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A-18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spacing w:lineRule="auto" w:line="288" w:before="24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A-18</w:t>
                      </w:r>
                    </w:p>
                  </w:txbxContent>
                </v:textbox>
              </v:rect>
            </w:pict>
          </mc:Fallback>
        </mc:AlternateContent>
      </w:r>
    </w:p>
    <w:p>
      <w:pPr>
        <w:pStyle w:val="TextBody"/>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but is not, under the terms of the Deposit Agreement, made available to Owners or Holders; or </w:t>
      </w:r>
    </w:p>
    <w:p>
      <w:pPr>
        <w:pStyle w:val="TextBody"/>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(iv) for any special, consequential or punitive damages for any breach of the terms of the Deposit Agreement. </w:t>
      </w:r>
    </w:p>
    <w:p>
      <w:pPr>
        <w:pStyle w:val="TextBody"/>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Where, by the terms of a distribution to which Section 4.1, 4.2 or 4.3 of the Deposit Agreement applies, or an offering to which Section 4.4 of the Deposit Agreement applies, or for any other reason, that distribution or offering may not be made available to Owners, and the Depositary may not dispose of that distribution or offering on behalf of Owners and make the net proceeds available to Owners, then the Depositary shall not make that distribution or offering available to Owners, and shall allow any rights, if applicable, to lapse.</w:t>
      </w:r>
    </w:p>
    <w:p>
      <w:pPr>
        <w:pStyle w:val="TextBody"/>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Neither the Company nor the Depositary assumes any obligation or shall be subject to any liability under the Deposit Agreement to Owners or Holders, except that they agree to perform their obligations specifically set forth in the Deposit Agreement without negligence or bad faith. The Depositary shall not be a fiduciary or have any fiduciary duty to Owners or Holders. The Depositary shall not be subject to any liability with respect to the validity or worth of the Deposited Securities. Neither the Depositary nor the Company shall be under any obligation to appear in, prosecute or defend any action, suit, or other proceeding in respect of any Deposited Securities or in respect of the American Depositary Shares, on behalf of any Owner or Holder or other person. Neither the Depositary nor the Company shall be liable for any action or non-action by it in reliance upon the advice of or information from legal counsel, accountants, any person presenting Shares for deposit, any Owner or Holder, or any other person believed by it in good faith to be competent to give such advice or information. Each of the Depositary and the Company may rely, and shall be protected in relying upon, any written notice, request, direction or other document believed by it to be genuine and to have been signed or presented by the proper party or parties. The Depositary shall not be liable for any acts or omissions made by a successor depositary whether in connection with a previous act or omission of the Depositary or in connection with a matter arising wholly after the removal or resignation of the Depositary, provided that in connection with the issue out of which such potential liability arises, the Depositary performed its obligations without negligence or bad faith while it acted as Depositary. The Depositary shall not be liable for the acts or omissions of any securities depository, clearing agency or settlement system in connection with or arising out of book-entry settlement of American Depositary Shares or Deposited Securities or otherwise. In the absence of bad faith on its part, the Depositary shall not be responsible for any failure to carry out any instructions to vote any of the Deposited Securities or for the manner in which any such vote is cast or the effect of any such vote. The Depositary shall have no duty to make any determination or provide any information as to the tax status of the Company. Neither the Depositary nor the Company shall have any liability for any tax consequences that may be incurred </w:t>
      </w:r>
      <w:r>
        <w:br w:type="page"/>
      </w:r>
    </w:p>
    <w:p>
      <w:pPr>
        <w:pStyle w:val="TextBody"/>
        <w:spacing w:before="120" w:after="240"/>
        <w:jc w:val="center"/>
        <w:rPr/>
      </w:pPr>
      <w:r>
        <w:rPr/>
      </w:r>
      <w:r>
        <mc:AlternateContent>
          <mc:Choice Requires="wps">
            <w:drawing>
              <wp:anchor behindDoc="0" distT="0" distB="0" distL="0" distR="0" simplePos="0" locked="0" layoutInCell="1" allowOverlap="1" relativeHeight="368">
                <wp:simplePos x="0" y="0"/>
                <wp:positionH relativeFrom="character">
                  <wp:align>left</wp:align>
                </wp:positionH>
                <wp:positionV relativeFrom="line">
                  <wp:posOffset>635</wp:posOffset>
                </wp:positionV>
                <wp:extent cx="6480175" cy="327660"/>
                <wp:effectExtent l="0" t="0" r="0" b="0"/>
                <wp:wrapNone/>
                <wp:docPr id="367" name="Frame364"/>
                <a:graphic xmlns:a="http://schemas.openxmlformats.org/drawingml/2006/main">
                  <a:graphicData uri="http://schemas.microsoft.com/office/word/2010/wordprocessingShape">
                    <wps:wsp>
                      <wps:cNvSpPr txBox="1"/>
                      <wps:spPr>
                        <a:xfrm>
                          <a:off x="0" y="0"/>
                          <a:ext cx="6480175" cy="327660"/>
                        </a:xfrm>
                        <a:prstGeom prst="rect"/>
                      </wps:spPr>
                      <wps:txbx>
                        <w:txbxContent>
                          <w:p>
                            <w:pPr>
                              <w:pStyle w:val="TextBody"/>
                              <w:spacing w:lineRule="auto" w:line="288" w:before="24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A-19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spacing w:lineRule="auto" w:line="288" w:before="24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A-19</w:t>
                      </w:r>
                    </w:p>
                  </w:txbxContent>
                </v:textbox>
              </v:rect>
            </w:pict>
          </mc:Fallback>
        </mc:AlternateContent>
      </w:r>
    </w:p>
    <w:p>
      <w:pPr>
        <w:pStyle w:val="TextBody"/>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by Owners or Holders as a result of owning or holding American Depositary Shares. Neither the Depositary nor the Company shall be liable for the inability or failure of an Owner or Holder to obtain the benefit of a foreign tax credit, reduced rate of withholding or refund of amounts withheld in respect of tax or any other tax benefit. No disclaimer of liability under the United States federal securities laws is intended by any provision of the Deposit Agreement.</w:t>
      </w:r>
    </w:p>
    <w:p>
      <w:pPr>
        <w:pStyle w:val="TextBody"/>
        <w:spacing w:lineRule="auto" w:line="288" w:before="0" w:after="240"/>
        <w:ind w:left="0" w:right="0" w:hanging="318"/>
        <w:jc w:val="both"/>
        <w:rPr/>
      </w:pPr>
      <w:r>
        <w:rPr>
          <w:rFonts w:ascii="Times New Roman;sans-serif" w:hAnsi="Times New Roman;sans-serif"/>
          <w:b w:val="false"/>
          <w:color w:val="000000"/>
          <w:sz w:val="24"/>
        </w:rPr>
        <w:t>19.</w:t>
      </w:r>
      <w:r>
        <w:rPr>
          <w:color w:val="000000"/>
        </w:rPr>
        <w:t>    </w:t>
      </w:r>
      <w:r>
        <w:rPr>
          <w:rFonts w:ascii="Times New Roman;sans-serif" w:hAnsi="Times New Roman;sans-serif"/>
          <w:b w:val="false"/>
          <w:color w:val="000000"/>
          <w:sz w:val="24"/>
        </w:rPr>
        <w:t>RESIGNATION AND REMOVAL OF THE DEPOSITARY; APPOINTMENT OF SUCCESSOR CUSTODIAN.</w:t>
      </w:r>
    </w:p>
    <w:p>
      <w:pPr>
        <w:pStyle w:val="TextBody"/>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Depositary may at any time resign as Depositary under the Deposit Agreement by written notice of its election so to do delivered to the Company, to become effective upon the appointment of a successor depositary and its acceptance of such appointment as provided in the Deposit Agreement. The Depositary may at any time be removed by the Company by 90 days’ prior written notice of that removal, to become effective upon the later of (i) the 90th day after delivery of the notice to the Depositary and (ii) the appointment of a successor depositary and its acceptance of its appointment as provided in the Deposit Agreement. The Depositary in its discretion may at any time appoint a substitute or additional custodian or custodians.</w:t>
      </w:r>
    </w:p>
    <w:p>
      <w:pPr>
        <w:pStyle w:val="TextBody"/>
        <w:spacing w:lineRule="auto" w:line="288" w:before="0" w:after="240"/>
        <w:ind w:left="0" w:right="0" w:hanging="318"/>
        <w:jc w:val="both"/>
        <w:rPr/>
      </w:pPr>
      <w:r>
        <w:rPr>
          <w:rFonts w:ascii="Times New Roman;sans-serif" w:hAnsi="Times New Roman;sans-serif"/>
          <w:b w:val="false"/>
          <w:color w:val="000000"/>
          <w:sz w:val="24"/>
        </w:rPr>
        <w:t>20.</w:t>
      </w:r>
      <w:r>
        <w:rPr>
          <w:color w:val="000000"/>
        </w:rPr>
        <w:t>    </w:t>
      </w:r>
      <w:r>
        <w:rPr>
          <w:rFonts w:ascii="Times New Roman;sans-serif" w:hAnsi="Times New Roman;sans-serif"/>
          <w:b w:val="false"/>
          <w:color w:val="000000"/>
          <w:sz w:val="24"/>
        </w:rPr>
        <w:t>AMENDMENT.</w:t>
      </w:r>
    </w:p>
    <w:p>
      <w:pPr>
        <w:pStyle w:val="TextBody"/>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form of the Receipts and any provisions of the Deposit Agreement may at any time and from time to time be amended by agreement between the Company and the Depositary without the consent of Owners or Holders in any respect which they may deem necessary or desirable. Any amendment that would impose or increase any fees or charges (other than taxes and other governmental charges, registration fees, cable (including SWIFT) or facsimile transmission costs, delivery costs or other such expenses), or that would otherwise prejudice any substantial existing right of Owners, shall, however, not become effective as to outstanding American Depositary Shares until the expiration of 30 days after notice of that amendment has been Disseminated to the Owners of outstanding American Depositary Shares. Every Owner and Holder, at the time any amendment so becomes effective, shall be deemed, by continuing to hold American Depositary Shares or any interest therein, to consent and agree to that amendment and to be bound by the Deposit Agreement as amended thereby. Upon the effectiveness of an amendment to the form of Receipt, including a change in the number of Shares represented by each American Depositary Share, the Depositary may call for surrender of Receipts to be replaced with new Receipts in the amended form or call for surrender of American Depositary Shares to effect that change of ratio. In no event shall any amendment impair the right of the Owner to surrender American Depositary Shares and receive delivery of the Deposited Securities represented thereby, except in order to comply with mandatory provisions of applicable law.</w:t>
      </w:r>
      <w:r>
        <w:br w:type="page"/>
      </w:r>
    </w:p>
    <w:p>
      <w:pPr>
        <w:pStyle w:val="TextBody"/>
        <w:spacing w:before="120" w:after="240"/>
        <w:jc w:val="center"/>
        <w:rPr/>
      </w:pPr>
      <w:r>
        <w:rPr/>
      </w:r>
      <w:r>
        <mc:AlternateContent>
          <mc:Choice Requires="wps">
            <w:drawing>
              <wp:anchor behindDoc="0" distT="0" distB="0" distL="0" distR="0" simplePos="0" locked="0" layoutInCell="1" allowOverlap="1" relativeHeight="369">
                <wp:simplePos x="0" y="0"/>
                <wp:positionH relativeFrom="character">
                  <wp:align>left</wp:align>
                </wp:positionH>
                <wp:positionV relativeFrom="line">
                  <wp:posOffset>635</wp:posOffset>
                </wp:positionV>
                <wp:extent cx="6480175" cy="327660"/>
                <wp:effectExtent l="0" t="0" r="0" b="0"/>
                <wp:wrapNone/>
                <wp:docPr id="368" name="Frame365"/>
                <a:graphic xmlns:a="http://schemas.openxmlformats.org/drawingml/2006/main">
                  <a:graphicData uri="http://schemas.microsoft.com/office/word/2010/wordprocessingShape">
                    <wps:wsp>
                      <wps:cNvSpPr txBox="1"/>
                      <wps:spPr>
                        <a:xfrm>
                          <a:off x="0" y="0"/>
                          <a:ext cx="6480175" cy="327660"/>
                        </a:xfrm>
                        <a:prstGeom prst="rect"/>
                      </wps:spPr>
                      <wps:txbx>
                        <w:txbxContent>
                          <w:p>
                            <w:pPr>
                              <w:pStyle w:val="TextBody"/>
                              <w:spacing w:lineRule="auto" w:line="288" w:before="24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A-20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spacing w:lineRule="auto" w:line="288" w:before="24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A-20</w:t>
                      </w:r>
                    </w:p>
                  </w:txbxContent>
                </v:textbox>
              </v:rect>
            </w:pict>
          </mc:Fallback>
        </mc:AlternateContent>
      </w:r>
    </w:p>
    <w:p>
      <w:pPr>
        <w:pStyle w:val="TextBody"/>
        <w:spacing w:lineRule="auto" w:line="288" w:before="0" w:after="240"/>
        <w:ind w:left="0" w:right="0" w:hanging="318"/>
        <w:jc w:val="both"/>
        <w:rPr/>
      </w:pPr>
      <w:r>
        <w:rPr>
          <w:rFonts w:ascii="Times New Roman;sans-serif" w:hAnsi="Times New Roman;sans-serif"/>
          <w:b w:val="false"/>
          <w:color w:val="000000"/>
          <w:sz w:val="24"/>
        </w:rPr>
        <w:t>21.</w:t>
      </w:r>
      <w:r>
        <w:rPr>
          <w:color w:val="000000"/>
        </w:rPr>
        <w:t>    </w:t>
      </w:r>
      <w:r>
        <w:rPr>
          <w:rFonts w:ascii="Times New Roman;sans-serif" w:hAnsi="Times New Roman;sans-serif"/>
          <w:b w:val="false"/>
          <w:color w:val="000000"/>
          <w:sz w:val="24"/>
        </w:rPr>
        <w:t>TERMINATION OF DEPOSIT AGREEMENT.</w:t>
      </w:r>
    </w:p>
    <w:p>
      <w:pPr>
        <w:pStyle w:val="TextBody"/>
        <w:spacing w:lineRule="auto" w:line="288" w:before="0" w:after="240"/>
        <w:ind w:left="0" w:right="0" w:firstLine="720"/>
        <w:jc w:val="both"/>
        <w:rPr/>
      </w:pPr>
      <w:r>
        <w:rPr>
          <w:rFonts w:ascii="Times New Roman;sans-serif" w:hAnsi="Times New Roman;sans-serif"/>
          <w:b w:val="false"/>
          <w:color w:val="000000"/>
          <w:sz w:val="24"/>
        </w:rPr>
        <w:t>(a)    The Company may initiate termination of the Deposit Agreement by notice to the Depositary. The Depositary may initiate termination of the Deposit Agreement if (i) at any time 60 days shall have expired after the Depositary delivered to the Company a written resignation notice and a successor depositary has not been appointed and accepted its appointment as provided in Section 5.4 of the Deposit Agreement or (ii) a Termination Option Event has occurred. If termination of the Deposit Agreement is initiated, the Depositary shall Disseminate a notice of termination to the Owners of all American Depositary Shares then outstanding setting a date for termination (the “</w:t>
      </w:r>
      <w:r>
        <w:rPr>
          <w:rFonts w:ascii="Times New Roman;sans-serif" w:hAnsi="Times New Roman;sans-serif"/>
          <w:b w:val="false"/>
          <w:color w:val="000000"/>
          <w:sz w:val="24"/>
          <w:u w:val="single"/>
        </w:rPr>
        <w:t>Termination Date</w:t>
      </w:r>
      <w:r>
        <w:rPr>
          <w:color w:val="000000"/>
        </w:rPr>
        <w:t>”</w:t>
      </w:r>
      <w:r>
        <w:rPr>
          <w:rFonts w:ascii="Times New Roman;sans-serif" w:hAnsi="Times New Roman;sans-serif"/>
          <w:b w:val="false"/>
          <w:color w:val="000000"/>
          <w:sz w:val="24"/>
        </w:rPr>
        <w:t xml:space="preserve">), which shall be at least 90 days after the date of that notice, and the Deposit Agreement shall terminate on that Termination Date. </w:t>
      </w:r>
    </w:p>
    <w:p>
      <w:pPr>
        <w:pStyle w:val="TextBody"/>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(b)    After the Termination Date, the Company shall be discharged from all obligations under the Deposit Agreement except for its obligations to the Depositary under Sections 5.8 and 5.9 of the Deposit Agreement. </w:t>
      </w:r>
    </w:p>
    <w:p>
      <w:pPr>
        <w:pStyle w:val="TextBody"/>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(c)    At any time after the Termination Date, the Depositary may sell the Deposited Securities then held under the Deposit Agreement and may thereafter hold uninvested the net proceeds of any such sale, together with any other cash then held by it hereunder, unsegregated and without liability for interest, for the pro rata benefit of the Owners of American Depositary Shares that remain outstanding, and those Owners will be general creditors of the Depositary with respect to those net proceeds and that other cash. After making that sale, the Depositary shall be discharged from all obligations under the Deposit Agreement, except (i) to account to the Owners for the net proceeds and other cash (after deducting, in each case, the fee of the Depositary for the surrender of American Depositary Shares, any expenses for the account of the Owner of such American Depositary Shares in accordance with the terms and conditions of the Deposit Agreement and any applicable taxes or governmental charges) and subject to paragraph (d) below pay them to Owners upon surrender of American Depositary Shares in accordance with Section 2.5 of the Deposit Agreement, and (ii) for its obligations under Section 5.8 of the Deposit Agreement and (iii) to act as provided in paragraph (d) below.</w:t>
      </w:r>
    </w:p>
    <w:p>
      <w:pPr>
        <w:pStyle w:val="TextBody"/>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(d)    After the Termination Date, if any American Depositary Shares shall remain outstanding, the Depositary shall continue to receive dividends and other distributions pertaining to Deposited Securities (that have not been sold), may sell rights and other property as provided in the Deposit Agreement and shall deliver Deposited Securities (or sale proceeds) upon surrender of American Depositary Shares (after payment or upon deduction, in each case, of the fee of the Depositary for the surrender of American Depositary Shares, any expenses for the account of the Owner of those American Depositary Shares in accordance with the terms and conditions of the Deposit Agreement and any applicable taxes or governmental charges). After the Termination Date, the Depositary shall not accept deposits of Shares or deliver American Depositary </w:t>
      </w:r>
      <w:r>
        <w:br w:type="page"/>
      </w:r>
    </w:p>
    <w:p>
      <w:pPr>
        <w:pStyle w:val="TextBody"/>
        <w:spacing w:before="120" w:after="240"/>
        <w:jc w:val="center"/>
        <w:rPr/>
      </w:pPr>
      <w:r>
        <w:rPr/>
      </w:r>
      <w:r>
        <mc:AlternateContent>
          <mc:Choice Requires="wps">
            <w:drawing>
              <wp:anchor behindDoc="0" distT="0" distB="0" distL="0" distR="0" simplePos="0" locked="0" layoutInCell="1" allowOverlap="1" relativeHeight="370">
                <wp:simplePos x="0" y="0"/>
                <wp:positionH relativeFrom="character">
                  <wp:align>left</wp:align>
                </wp:positionH>
                <wp:positionV relativeFrom="line">
                  <wp:posOffset>635</wp:posOffset>
                </wp:positionV>
                <wp:extent cx="6480175" cy="327660"/>
                <wp:effectExtent l="0" t="0" r="0" b="0"/>
                <wp:wrapNone/>
                <wp:docPr id="369" name="Frame366"/>
                <a:graphic xmlns:a="http://schemas.openxmlformats.org/drawingml/2006/main">
                  <a:graphicData uri="http://schemas.microsoft.com/office/word/2010/wordprocessingShape">
                    <wps:wsp>
                      <wps:cNvSpPr txBox="1"/>
                      <wps:spPr>
                        <a:xfrm>
                          <a:off x="0" y="0"/>
                          <a:ext cx="6480175" cy="327660"/>
                        </a:xfrm>
                        <a:prstGeom prst="rect"/>
                      </wps:spPr>
                      <wps:txbx>
                        <w:txbxContent>
                          <w:p>
                            <w:pPr>
                              <w:pStyle w:val="TextBody"/>
                              <w:spacing w:lineRule="auto" w:line="288" w:before="24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A-21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spacing w:lineRule="auto" w:line="288" w:before="24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A-21</w:t>
                      </w:r>
                    </w:p>
                  </w:txbxContent>
                </v:textbox>
              </v:rect>
            </w:pict>
          </mc:Fallback>
        </mc:AlternateContent>
      </w:r>
    </w:p>
    <w:p>
      <w:pPr>
        <w:pStyle w:val="TextBody"/>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Shares. After the Termination Date, (i) the Depositary may refuse to accept surrenders of American Depositary Shares for the purpose of withdrawal of Deposited Securities (that have not been sold) or reverse previously accepted surrenders of that kind that have not settled if in its judgment the requested withdrawal would materially interfere with its efforts to sell the Deposited Securities, (ii) the Depositary will not be required to deliver cash proceeds of the sale of Deposited Securities until all Deposited Securities have been sold and (iii) the Depositary may discontinue the registration of transfers of American Depositary Shares and suspend the distribution of dividends and other distributions on Deposited Securities to the Owners and need not give any further notices or perform any further acts under the Deposit Agreement except as provided in Section 6.2 of the Deposit Agreement.</w:t>
      </w:r>
    </w:p>
    <w:p>
      <w:pPr>
        <w:pStyle w:val="TextBody"/>
        <w:spacing w:lineRule="auto" w:line="288" w:before="0" w:after="240"/>
        <w:ind w:left="0" w:right="0" w:hanging="318"/>
        <w:jc w:val="both"/>
        <w:rPr/>
      </w:pPr>
      <w:r>
        <w:rPr>
          <w:rFonts w:ascii="Times New Roman;sans-serif" w:hAnsi="Times New Roman;sans-serif"/>
          <w:b w:val="false"/>
          <w:color w:val="000000"/>
          <w:sz w:val="24"/>
        </w:rPr>
        <w:t>22.</w:t>
      </w:r>
      <w:r>
        <w:rPr>
          <w:color w:val="000000"/>
        </w:rPr>
        <w:t>    </w:t>
      </w:r>
      <w:r>
        <w:rPr>
          <w:rFonts w:ascii="Times New Roman;sans-serif" w:hAnsi="Times New Roman;sans-serif"/>
          <w:b w:val="false"/>
          <w:color w:val="000000"/>
          <w:sz w:val="24"/>
        </w:rPr>
        <w:t>DTC DIRECT REGISTRATION SYSTEM AND PROFILE MODIFICATION SYSTEM.</w:t>
      </w:r>
    </w:p>
    <w:p>
      <w:pPr>
        <w:pStyle w:val="TextBody"/>
        <w:spacing w:lineRule="auto" w:line="288" w:before="0" w:after="240"/>
        <w:ind w:left="0" w:right="0" w:firstLine="720"/>
        <w:jc w:val="both"/>
        <w:rPr/>
      </w:pPr>
      <w:r>
        <w:rPr>
          <w:rFonts w:ascii="Times New Roman;sans-serif" w:hAnsi="Times New Roman;sans-serif"/>
          <w:b w:val="false"/>
          <w:color w:val="000000"/>
          <w:sz w:val="24"/>
        </w:rPr>
        <w:t>(a)    Notwithstanding the provisions of Section 2.4 of the Deposit Agreement, the parties acknowledge that DTC’s Direct Registration System (“</w:t>
      </w:r>
      <w:r>
        <w:rPr>
          <w:rFonts w:ascii="Times New Roman;sans-serif" w:hAnsi="Times New Roman;sans-serif"/>
          <w:b w:val="false"/>
          <w:color w:val="000000"/>
          <w:sz w:val="24"/>
          <w:u w:val="single"/>
        </w:rPr>
        <w:t>DRS</w:t>
      </w:r>
      <w:r>
        <w:rPr>
          <w:color w:val="000000"/>
        </w:rPr>
        <w:t>”</w:t>
      </w:r>
      <w:r>
        <w:rPr>
          <w:rFonts w:ascii="Times New Roman;sans-serif" w:hAnsi="Times New Roman;sans-serif"/>
          <w:b w:val="false"/>
          <w:color w:val="000000"/>
          <w:sz w:val="24"/>
        </w:rPr>
        <w:t>) and Profile Modification System (“</w:t>
      </w:r>
      <w:r>
        <w:rPr>
          <w:rFonts w:ascii="Times New Roman;sans-serif" w:hAnsi="Times New Roman;sans-serif"/>
          <w:b w:val="false"/>
          <w:color w:val="000000"/>
          <w:sz w:val="24"/>
          <w:u w:val="single"/>
        </w:rPr>
        <w:t>Profile</w:t>
      </w:r>
      <w:r>
        <w:rPr>
          <w:color w:val="000000"/>
        </w:rPr>
        <w:t>”</w:t>
      </w:r>
      <w:r>
        <w:rPr>
          <w:rFonts w:ascii="Times New Roman;sans-serif" w:hAnsi="Times New Roman;sans-serif"/>
          <w:b w:val="false"/>
          <w:color w:val="000000"/>
          <w:sz w:val="24"/>
        </w:rPr>
        <w:t>) apply to the American Depositary Shares upon acceptance thereof to DRS by DTC. DRS is the system administered by DTC that facilitates interchange between registered holding of uncertificated securities and holding of security entitlements in those securities through DTC and a DTC participant. Profile is a required feature of DRS that allows a DTC participant, claiming to act on behalf of an Owner of American Depositary Shares, to direct the Depositary to register a transfer of those American Depositary Shares to DTC or its nominee and to deliver those American Depositary Shares to the DTC account of that DTC participant without receipt by the Depositary of prior authorization from the Owner to register that transfer.</w:t>
      </w:r>
    </w:p>
    <w:p>
      <w:pPr>
        <w:pStyle w:val="TextBody"/>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(b)    In connection with DRS/Profile, the parties acknowledge that the Depositary will not determine whether the DTC participant that is claiming to be acting on behalf of an Owner in requesting registration of transfer and delivery as described in paragraph (a) above has the actual authority to act on behalf of that Owner (notwithstanding any requirements under the Uniform Commercial Code). For the avoidance of doubt, the provisions of Sections 5.3 and 5.8 of the Deposit Agreement apply to the matters arising from the use of the DRS/Profile. The parties agree that the Depositary’s reliance on and compliance with instructions received by the Depositary through the DRS/Profile system and otherwise in accordance with the Deposit Agreement, shall not constitute negligence or bad faith on the part of the Depositary.</w:t>
      </w:r>
    </w:p>
    <w:p>
      <w:pPr>
        <w:pStyle w:val="TextBody"/>
        <w:spacing w:lineRule="auto" w:line="288"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23.ARBITRATION; SETTLEMENT OF DISPUTES.</w:t>
      </w:r>
    </w:p>
    <w:p>
      <w:pPr>
        <w:pStyle w:val="TextBody"/>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Any controversy, claim or cause of action brought by any party hereto against the Company arising out of or relating to the Shares or other Deposited Securities, the American Depositary Shares, the Receipts or the Deposit Agreement, or the breach </w:t>
      </w:r>
      <w:r>
        <w:br w:type="page"/>
      </w:r>
    </w:p>
    <w:p>
      <w:pPr>
        <w:pStyle w:val="TextBody"/>
        <w:spacing w:before="120" w:after="240"/>
        <w:jc w:val="center"/>
        <w:rPr/>
      </w:pPr>
      <w:r>
        <w:rPr/>
      </w:r>
      <w:r>
        <mc:AlternateContent>
          <mc:Choice Requires="wps">
            <w:drawing>
              <wp:anchor behindDoc="0" distT="0" distB="0" distL="0" distR="0" simplePos="0" locked="0" layoutInCell="1" allowOverlap="1" relativeHeight="371">
                <wp:simplePos x="0" y="0"/>
                <wp:positionH relativeFrom="character">
                  <wp:align>left</wp:align>
                </wp:positionH>
                <wp:positionV relativeFrom="line">
                  <wp:posOffset>635</wp:posOffset>
                </wp:positionV>
                <wp:extent cx="6480175" cy="327660"/>
                <wp:effectExtent l="0" t="0" r="0" b="0"/>
                <wp:wrapNone/>
                <wp:docPr id="370" name="Frame367"/>
                <a:graphic xmlns:a="http://schemas.openxmlformats.org/drawingml/2006/main">
                  <a:graphicData uri="http://schemas.microsoft.com/office/word/2010/wordprocessingShape">
                    <wps:wsp>
                      <wps:cNvSpPr txBox="1"/>
                      <wps:spPr>
                        <a:xfrm>
                          <a:off x="0" y="0"/>
                          <a:ext cx="6480175" cy="327660"/>
                        </a:xfrm>
                        <a:prstGeom prst="rect"/>
                      </wps:spPr>
                      <wps:txbx>
                        <w:txbxContent>
                          <w:p>
                            <w:pPr>
                              <w:pStyle w:val="TextBody"/>
                              <w:spacing w:lineRule="auto" w:line="288" w:before="24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A-22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spacing w:lineRule="auto" w:line="288" w:before="24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A-22</w:t>
                      </w:r>
                    </w:p>
                  </w:txbxContent>
                </v:textbox>
              </v:rect>
            </w:pict>
          </mc:Fallback>
        </mc:AlternateContent>
      </w:r>
    </w:p>
    <w:p>
      <w:pPr>
        <w:pStyle w:val="TextBody"/>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hereof or thereof, if so elected by the claimant, shall be settled by arbitration in accordance with the International Arbitration Rules of the American Arbitration Association, and judgment upon the award rendered by the arbitrators may be entered in any court having jurisdiction thereof.</w:t>
      </w:r>
    </w:p>
    <w:p>
      <w:pPr>
        <w:pStyle w:val="TextBody"/>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place of the arbitration shall be The City of New York, State of New York, United States of America, and the language of the arbitration shall be English.</w:t>
      </w:r>
    </w:p>
    <w:p>
      <w:pPr>
        <w:pStyle w:val="TextBody"/>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number of arbitrators shall be three, each of whom shall be disinterested in the dispute or controversy, shall have no connection with any party thereto, and shall be an attorney experienced in international securities transactions. Each party shall appoint one arbitrator and the two arbitrators shall select a third arbitrator who shall serve as chairperson of the tribunal. If a dispute, controversy or cause of action shall involve more than two parties, the parties shall attempt to align themselves in two sides (i.e., claimant(s) and respondent(s)), each of which shall appoint one arbitrator as if there were only two parties to such dispute, controversy or cause of action. If such alignment and appointment shall not have occurred within thirty (30) calendar days after the initiating party serves the arbitration demand, the American Arbitration Association shall appoint the three arbitrators, each of whom shall have the qualifications described above. The parties and the American Arbitration Association may appoint from among the nationals of any country, whether or not a party is a national of that country.</w:t>
      </w:r>
    </w:p>
    <w:p>
      <w:pPr>
        <w:pStyle w:val="TextBody"/>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arbitral tribunal shall have no authority to award any consequential, special or punitive damages or other damages not measured by the prevailing party’s actual damages and may not, in any event, make any ruling, finding or award that does not conform to the terms and conditions of the Deposit Agreement.</w:t>
      </w:r>
    </w:p>
    <w:p>
      <w:pPr>
        <w:pStyle w:val="TextBody"/>
        <w:spacing w:lineRule="auto" w:line="288" w:before="0" w:after="240"/>
        <w:ind w:left="0" w:right="0" w:hanging="318"/>
        <w:jc w:val="both"/>
        <w:rPr/>
      </w:pPr>
      <w:r>
        <w:rPr>
          <w:rFonts w:ascii="Times New Roman;sans-serif" w:hAnsi="Times New Roman;sans-serif"/>
          <w:b w:val="false"/>
          <w:color w:val="000000"/>
          <w:sz w:val="24"/>
        </w:rPr>
        <w:t>24.</w:t>
      </w:r>
      <w:r>
        <w:rPr>
          <w:color w:val="000000"/>
        </w:rPr>
        <w:t>    </w:t>
      </w:r>
      <w:r>
        <w:rPr>
          <w:rFonts w:ascii="Times New Roman;sans-serif" w:hAnsi="Times New Roman;sans-serif"/>
          <w:b w:val="false"/>
          <w:color w:val="000000"/>
          <w:sz w:val="24"/>
        </w:rPr>
        <w:t>APPOINTMENT OF AGENT FOR SERVICE OF PROCESS; SUBMISSION TO JURISDICTION; JURY TRIAL WAIVER; WAIVER OF IMMUNITIES.</w:t>
      </w:r>
    </w:p>
    <w:p>
      <w:pPr>
        <w:pStyle w:val="TextBody"/>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Company has (i) appointed Agora Lab, Inc., 2804 Mission College Blvd., Suite 110, Santa Clara, California 95054 as the Company’s authorized agent in the United States upon which process may be served in any suit or proceeding (including any arbitration proceeding) arising out of or relating to the Shares or Deposited Securities, the American Depositary Shares, the Receipts or the Deposit Agreement, (ii) consented and submitted to the jurisdiction of any state or federal court in the State of New York in which any such suit or proceeding may be instituted, and (iii) agreed that service of process upon said authorized agent shall be deemed in every respect effective service of process upon the Company in any such suit or proceeding.</w:t>
      </w:r>
    </w:p>
    <w:p>
      <w:pPr>
        <w:pStyle w:val="TextBody"/>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EACH PARTY TO THE DEPOSIT AGREEMENT (INCLUDING, FOR AVOIDANCE OF DOUBT, EACH OWNER AND HOLDER) THEREBY IRREVOCABLY WAIVES, TO THE FULLEST EXTENT PERMITTED BY </w:t>
      </w:r>
      <w:r>
        <w:br w:type="page"/>
      </w:r>
    </w:p>
    <w:p>
      <w:pPr>
        <w:pStyle w:val="TextBody"/>
        <w:spacing w:before="120" w:after="240"/>
        <w:jc w:val="center"/>
        <w:rPr/>
      </w:pPr>
      <w:r>
        <w:rPr/>
      </w:r>
      <w:r>
        <mc:AlternateContent>
          <mc:Choice Requires="wps">
            <w:drawing>
              <wp:anchor behindDoc="0" distT="0" distB="0" distL="0" distR="0" simplePos="0" locked="0" layoutInCell="1" allowOverlap="1" relativeHeight="372">
                <wp:simplePos x="0" y="0"/>
                <wp:positionH relativeFrom="character">
                  <wp:align>left</wp:align>
                </wp:positionH>
                <wp:positionV relativeFrom="line">
                  <wp:posOffset>635</wp:posOffset>
                </wp:positionV>
                <wp:extent cx="6480175" cy="327660"/>
                <wp:effectExtent l="0" t="0" r="0" b="0"/>
                <wp:wrapNone/>
                <wp:docPr id="371" name="Frame368"/>
                <a:graphic xmlns:a="http://schemas.openxmlformats.org/drawingml/2006/main">
                  <a:graphicData uri="http://schemas.microsoft.com/office/word/2010/wordprocessingShape">
                    <wps:wsp>
                      <wps:cNvSpPr txBox="1"/>
                      <wps:spPr>
                        <a:xfrm>
                          <a:off x="0" y="0"/>
                          <a:ext cx="6480175" cy="327660"/>
                        </a:xfrm>
                        <a:prstGeom prst="rect"/>
                      </wps:spPr>
                      <wps:txbx>
                        <w:txbxContent>
                          <w:p>
                            <w:pPr>
                              <w:pStyle w:val="TextBody"/>
                              <w:spacing w:lineRule="auto" w:line="288" w:before="24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A-23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spacing w:lineRule="auto" w:line="288" w:before="24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A-23</w:t>
                      </w:r>
                    </w:p>
                  </w:txbxContent>
                </v:textbox>
              </v:rect>
            </w:pict>
          </mc:Fallback>
        </mc:AlternateContent>
      </w:r>
    </w:p>
    <w:p>
      <w:pPr>
        <w:pStyle w:val="TextBody"/>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APPLICABLE LAW, ANY RIGHT IT MAY HAVE TO A TRIAL BY JURY IN ANY SUIT, ACTION OR PROCEEDING AGAINST THE COMPANY AND/OR THE DEPOSITARY DIRECTLY OR INDIRECTLY ARISING OUT OF OR RELATING TO THE SHARES OR OTHER DEPOSITED SECURITIES, THE AMERICAN DEPOSITARY SHARES OR THE RECEIPTS, THE DEPOSIT AGREEMENT OR ANY TRANSACTION CONTEMPLATED HEREIN OR THEREIN, OR THE BREACH HEREOF OR THEREOF, INCLUDING, WITHOUT LIMITATION, ANY QUESTION REGARDING EXISTENCE, VALIDITY OR TERMINATION (WHETHER BASED ON CONTRACT, TORT OR ANY OTHER THEORY).</w:t>
      </w:r>
    </w:p>
    <w:p>
      <w:pPr>
        <w:pStyle w:val="TextBody"/>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To the extent that the Company or any of its properties, assets or revenues may have or hereafter become entitled to, or have attributed to it, any right of immunity, on the grounds of sovereignty or otherwise, from any legal action, suit or proceeding, from the giving of any relief in any respect thereof, from setoff or counterclaim, from the jurisdiction of any court, from service of process, from attachment upon or prior to judgment, from attachment in aid of execution or judgment, or other legal process or proceeding for the giving of any relief or for the enforcement of any judgment, in any jurisdiction in which proceedings may at any time be commenced, with respect to its obligations, liabilities or any other matter under or arising out of or in connection with the Shares or Deposited Securities, the American Depositary Shares, the Receipts or the Deposit Agreement, the Company, to the fullest extent permitted by law, hereby irrevocably and unconditionally waives, and agrees not to plead or claim, any such immunity and consents to such relief and enforcement.</w:t>
      </w:r>
    </w:p>
    <w:p>
      <w:pPr>
        <w:pStyle w:val="TextBody"/>
        <w:spacing w:before="0" w:after="240"/>
        <w:jc w:val="both"/>
        <w:rPr/>
      </w:pPr>
      <w:r>
        <w:rPr/>
      </w:r>
    </w:p>
    <w:p>
      <w:pPr>
        <w:pStyle w:val="TextBody"/>
        <w:spacing w:before="0" w:after="0"/>
        <w:jc w:val="both"/>
        <w:rPr/>
      </w:pPr>
      <w:r>
        <w:rPr/>
      </w:r>
    </w:p>
    <w:p>
      <w:pPr>
        <w:pStyle w:val="TextBody"/>
        <w:jc w:val="both"/>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jc w:val="right"/>
        <w:rPr/>
      </w:pPr>
      <w:r>
        <w:rPr/>
      </w:r>
      <w:r>
        <mc:AlternateContent>
          <mc:Choice Requires="wps">
            <w:drawing>
              <wp:anchor behindDoc="0" distT="0" distB="0" distL="0" distR="0" simplePos="0" locked="0" layoutInCell="1" allowOverlap="1" relativeHeight="373">
                <wp:simplePos x="0" y="0"/>
                <wp:positionH relativeFrom="character">
                  <wp:align>left</wp:align>
                </wp:positionH>
                <wp:positionV relativeFrom="line">
                  <wp:posOffset>635</wp:posOffset>
                </wp:positionV>
                <wp:extent cx="6480175" cy="327660"/>
                <wp:effectExtent l="0" t="0" r="0" b="0"/>
                <wp:wrapNone/>
                <wp:docPr id="372" name="Frame369"/>
                <a:graphic xmlns:a="http://schemas.openxmlformats.org/drawingml/2006/main">
                  <a:graphicData uri="http://schemas.microsoft.com/office/word/2010/wordprocessingShape">
                    <wps:wsp>
                      <wps:cNvSpPr txBox="1"/>
                      <wps:spPr>
                        <a:xfrm>
                          <a:off x="0" y="0"/>
                          <a:ext cx="6480175" cy="327660"/>
                        </a:xfrm>
                        <a:prstGeom prst="rect"/>
                      </wps:spPr>
                      <wps:txbx>
                        <w:txbxContent>
                          <w:p>
                            <w:pPr>
                              <w:pStyle w:val="TextBody"/>
                              <w:spacing w:lineRule="auto" w:line="288" w:before="24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A-24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88" w:before="24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A-24</w:t>
                      </w:r>
                    </w:p>
                  </w:txbxContent>
                </v:textbox>
              </v:rect>
            </w:pict>
          </mc:Fallback>
        </mc:AlternateContent>
      </w:r>
    </w:p>
    <w:p>
      <w:pPr>
        <w:pStyle w:val="TextBody"/>
        <w:spacing w:lineRule="auto" w:line="288" w:before="0" w:after="0"/>
        <w:jc w:val="center"/>
        <w:rPr>
          <w:rFonts w:ascii="Times New Roman;sans-serif" w:hAnsi="Times New Roman;sans-serif"/>
          <w:b/>
          <w:color w:val="000000"/>
          <w:sz w:val="22"/>
          <w:u w:val="single"/>
        </w:rPr>
      </w:pPr>
      <w:r>
        <w:rPr>
          <w:rFonts w:ascii="Times New Roman;sans-serif" w:hAnsi="Times New Roman;sans-serif"/>
          <w:b/>
          <w:color w:val="000000"/>
          <w:sz w:val="22"/>
          <w:u w:val="single"/>
        </w:rPr>
        <w:t xml:space="preserve">AMENDMENT TO </w:t>
      </w:r>
    </w:p>
    <w:p>
      <w:pPr>
        <w:pStyle w:val="TextBody"/>
        <w:spacing w:lineRule="auto" w:line="288" w:before="120" w:after="283"/>
        <w:jc w:val="center"/>
        <w:rPr>
          <w:rFonts w:ascii="Times New Roman;sans-serif" w:hAnsi="Times New Roman;sans-serif"/>
          <w:b/>
          <w:color w:val="000000"/>
          <w:sz w:val="22"/>
          <w:u w:val="single"/>
        </w:rPr>
      </w:pPr>
      <w:r>
        <w:rPr>
          <w:rFonts w:ascii="Times New Roman;sans-serif" w:hAnsi="Times New Roman;sans-serif"/>
          <w:b/>
          <w:color w:val="000000"/>
          <w:sz w:val="22"/>
          <w:u w:val="single"/>
        </w:rPr>
        <w:t>AMENDED AND RESTATED SHAREHOLDERS AGREEMENT</w:t>
      </w:r>
    </w:p>
    <w:p>
      <w:pPr>
        <w:pStyle w:val="TextBody"/>
        <w:spacing w:before="2" w:after="283"/>
        <w:jc w:val="center"/>
        <w:rPr/>
      </w:pPr>
      <w:r>
        <w:rPr/>
      </w:r>
    </w:p>
    <w:p>
      <w:pPr>
        <w:pStyle w:val="TextBody"/>
        <w:spacing w:lineRule="auto" w:line="288" w:before="0" w:after="0"/>
        <w:ind w:left="0" w:right="0" w:firstLine="720"/>
        <w:jc w:val="both"/>
        <w:rPr/>
      </w:pPr>
      <w:r>
        <w:rPr>
          <w:rFonts w:ascii="Times New Roman;sans-serif" w:hAnsi="Times New Roman;sans-serif"/>
          <w:b w:val="false"/>
          <w:color w:val="000000"/>
          <w:sz w:val="22"/>
        </w:rPr>
        <w:t>THIS AMENDMENT TO AMENDED AND RESTATED SHAREHOLDERS AGREEMENT (this “</w:t>
      </w:r>
      <w:r>
        <w:rPr>
          <w:rFonts w:ascii="Times New Roman;sans-serif" w:hAnsi="Times New Roman;sans-serif"/>
          <w:b w:val="false"/>
          <w:color w:val="000000"/>
          <w:sz w:val="22"/>
          <w:u w:val="single"/>
        </w:rPr>
        <w:t>Amendment</w:t>
      </w:r>
      <w:r>
        <w:rPr>
          <w:color w:val="000000"/>
        </w:rPr>
        <w:t>”</w:t>
      </w:r>
      <w:r>
        <w:rPr>
          <w:rFonts w:ascii="Times New Roman;sans-serif" w:hAnsi="Times New Roman;sans-serif"/>
          <w:b w:val="false"/>
          <w:color w:val="000000"/>
          <w:sz w:val="22"/>
        </w:rPr>
        <w:t>) is made as of June 30, 2020 by and among Agora, Inc., an exempted company incorporated with limited liability under the laws of the Cayman Islands (the “</w:t>
      </w:r>
      <w:r>
        <w:rPr>
          <w:rFonts w:ascii="Times New Roman;sans-serif" w:hAnsi="Times New Roman;sans-serif"/>
          <w:b w:val="false"/>
          <w:color w:val="000000"/>
          <w:sz w:val="22"/>
          <w:u w:val="single"/>
        </w:rPr>
        <w:t>Company</w:t>
      </w:r>
      <w:r>
        <w:rPr>
          <w:color w:val="000000"/>
        </w:rPr>
        <w:t>”</w:t>
      </w:r>
      <w:r>
        <w:rPr>
          <w:rFonts w:ascii="Times New Roman;sans-serif" w:hAnsi="Times New Roman;sans-serif"/>
          <w:b w:val="false"/>
          <w:color w:val="000000"/>
          <w:sz w:val="22"/>
        </w:rPr>
        <w:t>), Mr. ZHAO Bin (the “</w:t>
      </w:r>
      <w:r>
        <w:rPr>
          <w:rFonts w:ascii="Times New Roman;sans-serif" w:hAnsi="Times New Roman;sans-serif"/>
          <w:b w:val="false"/>
          <w:color w:val="000000"/>
          <w:sz w:val="22"/>
          <w:u w:val="single"/>
        </w:rPr>
        <w:t>Founder</w:t>
      </w:r>
      <w:r>
        <w:rPr>
          <w:color w:val="000000"/>
        </w:rPr>
        <w:t>”</w:t>
      </w:r>
      <w:r>
        <w:rPr>
          <w:rFonts w:ascii="Times New Roman;sans-serif" w:hAnsi="Times New Roman;sans-serif"/>
          <w:b w:val="false"/>
          <w:color w:val="000000"/>
          <w:sz w:val="22"/>
        </w:rPr>
        <w:t>), each of the Preferred Holders (as defined in that certain Amended and Restated Shareholders Agreement, dated as of February 12, 2020, as amended (the “</w:t>
      </w:r>
      <w:r>
        <w:rPr>
          <w:rFonts w:ascii="Times New Roman;sans-serif" w:hAnsi="Times New Roman;sans-serif"/>
          <w:b w:val="false"/>
          <w:color w:val="000000"/>
          <w:sz w:val="22"/>
          <w:u w:val="single"/>
        </w:rPr>
        <w:t>Rights Agreement</w:t>
      </w:r>
      <w:r>
        <w:rPr>
          <w:color w:val="000000"/>
        </w:rPr>
        <w:t>”</w:t>
      </w:r>
      <w:r>
        <w:rPr>
          <w:rFonts w:ascii="Times New Roman;sans-serif" w:hAnsi="Times New Roman;sans-serif"/>
          <w:b w:val="false"/>
          <w:color w:val="000000"/>
          <w:sz w:val="22"/>
        </w:rPr>
        <w:t>)), and Coatue CPP 10 LLC, Neumann Capital and VIP III Nominees Limited (collectively, the “</w:t>
      </w:r>
      <w:r>
        <w:rPr>
          <w:rFonts w:ascii="Times New Roman;sans-serif" w:hAnsi="Times New Roman;sans-serif"/>
          <w:b w:val="false"/>
          <w:color w:val="000000"/>
          <w:sz w:val="22"/>
          <w:u w:val="single"/>
        </w:rPr>
        <w:t>CPP Purchasers</w:t>
      </w:r>
      <w:r>
        <w:rPr>
          <w:color w:val="000000"/>
        </w:rPr>
        <w:t>”</w:t>
      </w:r>
      <w:r>
        <w:rPr>
          <w:rFonts w:ascii="Times New Roman;sans-serif" w:hAnsi="Times New Roman;sans-serif"/>
          <w:b w:val="false"/>
          <w:color w:val="000000"/>
          <w:sz w:val="22"/>
        </w:rPr>
        <w:t>). Capitalized terms not defined herein have the meanings set forth in the Rights Agreement.</w:t>
      </w:r>
    </w:p>
    <w:p>
      <w:pPr>
        <w:pStyle w:val="TextBody"/>
        <w:spacing w:lineRule="auto" w:line="288" w:before="240" w:after="283"/>
        <w:jc w:val="center"/>
        <w:rPr>
          <w:rFonts w:ascii="Times New Roman;sans-serif" w:hAnsi="Times New Roman;sans-serif"/>
          <w:b/>
          <w:color w:val="000000"/>
          <w:sz w:val="22"/>
          <w:u w:val="single"/>
        </w:rPr>
      </w:pPr>
      <w:r>
        <w:rPr>
          <w:rFonts w:ascii="Times New Roman;sans-serif" w:hAnsi="Times New Roman;sans-serif"/>
          <w:b/>
          <w:color w:val="000000"/>
          <w:sz w:val="22"/>
          <w:u w:val="single"/>
        </w:rPr>
        <w:t>RECITALS</w:t>
      </w:r>
    </w:p>
    <w:p>
      <w:pPr>
        <w:pStyle w:val="TextBody"/>
        <w:spacing w:lineRule="auto" w:line="288" w:before="240" w:after="283"/>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WHEREAS, the Company, the Founder and each of the Preferred Holders previously entered into the Rights Agreement;</w:t>
      </w:r>
    </w:p>
    <w:p>
      <w:pPr>
        <w:pStyle w:val="TextBody"/>
        <w:spacing w:lineRule="auto" w:line="288" w:before="240" w:after="283"/>
        <w:ind w:left="0" w:right="0" w:firstLine="720"/>
        <w:jc w:val="both"/>
        <w:rPr/>
      </w:pPr>
      <w:r>
        <w:rPr>
          <w:rFonts w:ascii="Times New Roman;sans-serif" w:hAnsi="Times New Roman;sans-serif"/>
          <w:b w:val="false"/>
          <w:color w:val="000000"/>
          <w:sz w:val="22"/>
        </w:rPr>
        <w:t>WHEREAS, the Company is entering into a Class A Ordinary Shares Purchase Agreement with each of the CPP Purchasers, dated as of even date herewith (the “</w:t>
      </w:r>
      <w:r>
        <w:rPr>
          <w:rFonts w:ascii="Times New Roman;sans-serif" w:hAnsi="Times New Roman;sans-serif"/>
          <w:b w:val="false"/>
          <w:color w:val="000000"/>
          <w:sz w:val="22"/>
          <w:u w:val="single"/>
        </w:rPr>
        <w:t>Purchase Agreement</w:t>
      </w:r>
      <w:r>
        <w:rPr>
          <w:color w:val="000000"/>
        </w:rPr>
        <w:t>”</w:t>
      </w:r>
      <w:r>
        <w:rPr>
          <w:rFonts w:ascii="Times New Roman;sans-serif" w:hAnsi="Times New Roman;sans-serif"/>
          <w:b w:val="false"/>
          <w:color w:val="000000"/>
          <w:sz w:val="22"/>
        </w:rPr>
        <w:t>), pursuant to which each of the CPP Purchasers will purchase Class A ordinary shares, par value US$0.0001, of the Company (the “</w:t>
      </w:r>
      <w:r>
        <w:rPr>
          <w:rFonts w:ascii="Times New Roman;sans-serif" w:hAnsi="Times New Roman;sans-serif"/>
          <w:b w:val="false"/>
          <w:color w:val="000000"/>
          <w:sz w:val="22"/>
          <w:u w:val="single"/>
        </w:rPr>
        <w:t>Shares</w:t>
      </w:r>
      <w:r>
        <w:rPr>
          <w:color w:val="000000"/>
        </w:rPr>
        <w:t>”</w:t>
      </w:r>
      <w:r>
        <w:rPr>
          <w:rFonts w:ascii="Times New Roman;sans-serif" w:hAnsi="Times New Roman;sans-serif"/>
          <w:b w:val="false"/>
          <w:color w:val="000000"/>
          <w:sz w:val="22"/>
        </w:rPr>
        <w:t>) immediately following the closing of the Qualified IPO (as defined in the Rights Agreement);</w:t>
      </w:r>
    </w:p>
    <w:p>
      <w:pPr>
        <w:pStyle w:val="TextBody"/>
        <w:spacing w:lineRule="auto" w:line="288" w:before="240" w:after="283"/>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WHEREAS, the Company, the Founder and each of the Preferred Holders desire to amend the terms of the Rights Agreement as set forth herein to include the Shares as Registrable Securities under the Rights Agreement solely for purposes of Sections 1 through 6 of the Rights Agreement; and</w:t>
      </w:r>
    </w:p>
    <w:p>
      <w:pPr>
        <w:pStyle w:val="TextBody"/>
        <w:spacing w:lineRule="auto" w:line="288" w:before="240" w:after="283"/>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WHEREAS, pursuant to Section 13.12 of the Rights Agreement, the Rights Agreement may be amended only with the written consent of (i) the Company; (ii) each Preferred Holder; and (iii) the Founder.</w:t>
      </w:r>
    </w:p>
    <w:p>
      <w:pPr>
        <w:pStyle w:val="TextBody"/>
        <w:spacing w:lineRule="auto" w:line="288" w:before="240" w:after="283"/>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NOW, THEREFORE, in consideration of the foregoing, and for other good and valuable consideration, the receipt and sufficiency of which are hereby acknowledged, all of the parties hereto mutually agree as follows:</w:t>
      </w:r>
    </w:p>
    <w:p>
      <w:pPr>
        <w:pStyle w:val="TextBody"/>
        <w:spacing w:lineRule="auto" w:line="288" w:before="240" w:after="283"/>
        <w:jc w:val="center"/>
        <w:rPr>
          <w:rFonts w:ascii="Times New Roman;sans-serif" w:hAnsi="Times New Roman;sans-serif"/>
          <w:b/>
          <w:color w:val="000000"/>
          <w:sz w:val="22"/>
          <w:u w:val="single"/>
        </w:rPr>
      </w:pPr>
      <w:r>
        <w:rPr>
          <w:rFonts w:ascii="Times New Roman;sans-serif" w:hAnsi="Times New Roman;sans-serif"/>
          <w:b/>
          <w:color w:val="000000"/>
          <w:sz w:val="22"/>
          <w:u w:val="single"/>
        </w:rPr>
        <w:t>AGREEMENT</w:t>
      </w:r>
    </w:p>
    <w:p>
      <w:pPr>
        <w:pStyle w:val="TextBody"/>
        <w:spacing w:lineRule="auto" w:line="288" w:before="240" w:after="283"/>
        <w:jc w:val="both"/>
        <w:rPr/>
      </w:pPr>
      <w:r>
        <w:rPr>
          <w:rFonts w:ascii="Times New Roman;sans-serif" w:hAnsi="Times New Roman;sans-serif"/>
          <w:b w:val="false"/>
          <w:color w:val="000000"/>
          <w:sz w:val="22"/>
        </w:rPr>
        <w:t>1.</w:t>
      </w:r>
      <w:r>
        <w:rPr>
          <w:rFonts w:ascii="Times New Roman;sans-serif" w:hAnsi="Times New Roman;sans-serif"/>
          <w:b w:val="false"/>
          <w:color w:val="000000"/>
          <w:sz w:val="22"/>
          <w:u w:val="single"/>
        </w:rPr>
        <w:t>Amendment to Section 1.1(b)</w:t>
      </w:r>
      <w:r>
        <w:rPr>
          <w:rFonts w:ascii="Times New Roman;sans-serif" w:hAnsi="Times New Roman;sans-serif"/>
          <w:b w:val="false"/>
          <w:color w:val="000000"/>
          <w:sz w:val="22"/>
        </w:rPr>
        <w:t>. The definition of “Registrable Securities” in Section 1.1 of the Rights Agreement is hereby amended and restated in its entirety to read as follows:</w:t>
      </w:r>
    </w:p>
    <w:p>
      <w:pPr>
        <w:pStyle w:val="TextBody"/>
        <w:spacing w:lineRule="auto" w:line="288" w:before="240" w:after="120"/>
        <w:jc w:val="both"/>
        <w:rPr/>
      </w:pPr>
      <w:r>
        <w:rPr>
          <w:color w:val="000000"/>
        </w:rPr>
        <w:t>“</w:t>
      </w:r>
      <w:r>
        <w:rPr>
          <w:rFonts w:ascii="Times New Roman;sans-serif" w:hAnsi="Times New Roman;sans-serif"/>
          <w:b w:val="false"/>
          <w:color w:val="000000"/>
          <w:sz w:val="22"/>
          <w:u w:val="single"/>
        </w:rPr>
        <w:t>Registrable Securities</w:t>
      </w:r>
      <w:r>
        <w:rPr>
          <w:color w:val="000000"/>
        </w:rPr>
        <w:t xml:space="preserve">” </w:t>
      </w:r>
      <w:r>
        <w:rPr>
          <w:rFonts w:ascii="Times New Roman;sans-serif" w:hAnsi="Times New Roman;sans-serif"/>
          <w:b w:val="false"/>
          <w:color w:val="000000"/>
          <w:sz w:val="22"/>
        </w:rPr>
        <w:t xml:space="preserve">means (i) the Ordinary Shares issued or issuable upon conversion of the Preferred Shares; (ii) any Ordinary Shares of the Company issued as a dividend or other distribution with respect to, in exchange for, or in replacement of, the shares referenced in (i) herein; (iii) the Class A ordinary shares issued pursuant to that certain Class A Ordinary Shares Purchase Agreement by and between the Company and Coatue CPP 10 LLC, dated as of June 18, 2020; (iv) the Class A ordinary shares issued pursuant to that certain Class A Ordinary Shares Purchase Agreement by and between the Company and Neumann Capital, dated as of June 17, 2020; (v) the Class A ordinary shares issued pursuant to that </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374">
                <wp:simplePos x="0" y="0"/>
                <wp:positionH relativeFrom="character">
                  <wp:align>left</wp:align>
                </wp:positionH>
                <wp:positionV relativeFrom="line">
                  <wp:posOffset>635</wp:posOffset>
                </wp:positionV>
                <wp:extent cx="6480175" cy="175260"/>
                <wp:effectExtent l="0" t="0" r="0" b="0"/>
                <wp:wrapNone/>
                <wp:docPr id="373" name="Frame370"/>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before="0" w:after="0"/>
                        <w:jc w:val="both"/>
                        <w:rPr/>
                      </w:pPr>
                      <w:r>
                        <w:rPr/>
                      </w:r>
                    </w:p>
                  </w:txbxContent>
                </v:textbox>
              </v:rect>
            </w:pict>
          </mc:Fallback>
        </mc:AlternateContent>
      </w:r>
    </w:p>
    <w:p>
      <w:pPr>
        <w:pStyle w:val="TextBody"/>
        <w:spacing w:lineRule="auto" w:line="288" w:before="240" w:after="120"/>
        <w:jc w:val="both"/>
        <w:rPr/>
      </w:pPr>
      <w:r>
        <w:rPr>
          <w:rFonts w:ascii="Times New Roman;sans-serif" w:hAnsi="Times New Roman;sans-serif"/>
          <w:b w:val="false"/>
          <w:color w:val="000000"/>
          <w:sz w:val="22"/>
        </w:rPr>
        <w:t xml:space="preserve">certain Class A Ordinary Shares Purchase Agreement by and between the Company and VIP III Nominees Limited, dated as of June 19, 2020; and (vi) any Ordinary Shares owned or hereafter acquired by the Investors; excluding in all cases, however, any of the foregoing sold by a Person in a transaction other than an assignment pursuant to </w:t>
      </w:r>
      <w:r>
        <w:rPr>
          <w:rFonts w:ascii="Times New Roman;sans-serif" w:hAnsi="Times New Roman;sans-serif"/>
          <w:b w:val="false"/>
          <w:color w:val="000000"/>
          <w:sz w:val="22"/>
          <w:u w:val="single"/>
        </w:rPr>
        <w:t>Section 13.3</w:t>
      </w:r>
      <w:r>
        <w:rPr>
          <w:rFonts w:ascii="Times New Roman;sans-serif" w:hAnsi="Times New Roman;sans-serif"/>
          <w:b w:val="false"/>
          <w:color w:val="000000"/>
          <w:sz w:val="22"/>
        </w:rPr>
        <w:t>. For purposes of this Agreement, Registrable Securities shall cease to be Registrable Securities when such Registrable Securities have been disposed of pursuant to an effective Registration Statement.</w:t>
      </w:r>
    </w:p>
    <w:p>
      <w:pPr>
        <w:pStyle w:val="TextBody"/>
        <w:spacing w:lineRule="auto" w:line="288" w:before="240" w:after="283"/>
        <w:jc w:val="both"/>
        <w:rPr/>
      </w:pPr>
      <w:r>
        <w:rPr>
          <w:rFonts w:ascii="Times New Roman;sans-serif" w:hAnsi="Times New Roman;sans-serif"/>
          <w:b w:val="false"/>
          <w:color w:val="000000"/>
          <w:sz w:val="22"/>
        </w:rPr>
        <w:t>2.</w:t>
      </w:r>
      <w:r>
        <w:rPr>
          <w:rFonts w:ascii="Times New Roman;sans-serif" w:hAnsi="Times New Roman;sans-serif"/>
          <w:b w:val="false"/>
          <w:color w:val="000000"/>
          <w:sz w:val="22"/>
          <w:u w:val="single"/>
        </w:rPr>
        <w:t>Consent to Add Party</w:t>
      </w:r>
      <w:r>
        <w:rPr>
          <w:rFonts w:ascii="Times New Roman;sans-serif" w:hAnsi="Times New Roman;sans-serif"/>
          <w:b w:val="false"/>
          <w:color w:val="000000"/>
          <w:sz w:val="22"/>
        </w:rPr>
        <w:t xml:space="preserve">. Each of the undersigned hereby waives the provisions of Section 6.2 of the Rights Agreement and consents to the addition of each of the CPP Purchasers as a “Holder” party to the Rights Agreement, as amended by this Amendment, solely for the purposes of Sections 1 through 6 thereunder. </w:t>
      </w:r>
    </w:p>
    <w:p>
      <w:pPr>
        <w:pStyle w:val="TextBody"/>
        <w:spacing w:lineRule="auto" w:line="288" w:before="240" w:after="283"/>
        <w:jc w:val="both"/>
        <w:rPr/>
      </w:pPr>
      <w:r>
        <w:rPr>
          <w:rFonts w:ascii="Times New Roman;sans-serif" w:hAnsi="Times New Roman;sans-serif"/>
          <w:b w:val="false"/>
          <w:color w:val="000000"/>
          <w:sz w:val="22"/>
        </w:rPr>
        <w:t>3.</w:t>
      </w:r>
      <w:r>
        <w:rPr>
          <w:rFonts w:ascii="Times New Roman;sans-serif" w:hAnsi="Times New Roman;sans-serif"/>
          <w:b w:val="false"/>
          <w:color w:val="000000"/>
          <w:sz w:val="22"/>
          <w:u w:val="single"/>
        </w:rPr>
        <w:t>Governing Law</w:t>
      </w:r>
      <w:r>
        <w:rPr>
          <w:rFonts w:ascii="Times New Roman;sans-serif" w:hAnsi="Times New Roman;sans-serif"/>
          <w:b w:val="false"/>
          <w:color w:val="000000"/>
          <w:sz w:val="22"/>
        </w:rPr>
        <w:t>. This Amendment shall be governed by and construed under the Laws of Hong Kong, without regard to the principles of conflict of laws thereunder.</w:t>
      </w:r>
    </w:p>
    <w:p>
      <w:pPr>
        <w:pStyle w:val="TextBody"/>
        <w:spacing w:lineRule="auto" w:line="288" w:before="240" w:after="283"/>
        <w:jc w:val="both"/>
        <w:rPr/>
      </w:pPr>
      <w:r>
        <w:rPr>
          <w:rFonts w:ascii="Times New Roman;sans-serif" w:hAnsi="Times New Roman;sans-serif"/>
          <w:b w:val="false"/>
          <w:color w:val="000000"/>
          <w:sz w:val="22"/>
        </w:rPr>
        <w:t>4.</w:t>
      </w:r>
      <w:r>
        <w:rPr>
          <w:rFonts w:ascii="Times New Roman;sans-serif" w:hAnsi="Times New Roman;sans-serif"/>
          <w:b w:val="false"/>
          <w:color w:val="000000"/>
          <w:sz w:val="22"/>
          <w:u w:val="single"/>
        </w:rPr>
        <w:t>Rights Agreement</w:t>
      </w:r>
      <w:r>
        <w:rPr>
          <w:rFonts w:ascii="Times New Roman;sans-serif" w:hAnsi="Times New Roman;sans-serif"/>
          <w:b w:val="false"/>
          <w:color w:val="000000"/>
          <w:sz w:val="22"/>
        </w:rPr>
        <w:t>. Wherever necessary, all other terms of the Rights Agreement are hereby amended to be consistent with the terms of this Amendment. Except as specifically set forth herein, the Rights Agreement shall remain in full force and effect.</w:t>
      </w:r>
    </w:p>
    <w:p>
      <w:pPr>
        <w:pStyle w:val="TextBody"/>
        <w:spacing w:lineRule="auto" w:line="288" w:before="240" w:after="283"/>
        <w:jc w:val="both"/>
        <w:rPr/>
      </w:pPr>
      <w:r>
        <w:rPr>
          <w:rFonts w:ascii="Times New Roman;sans-serif" w:hAnsi="Times New Roman;sans-serif"/>
          <w:b w:val="false"/>
          <w:color w:val="000000"/>
          <w:sz w:val="22"/>
        </w:rPr>
        <w:t>5.</w:t>
      </w:r>
      <w:r>
        <w:rPr>
          <w:rFonts w:ascii="Times New Roman;sans-serif" w:hAnsi="Times New Roman;sans-serif"/>
          <w:b w:val="false"/>
          <w:color w:val="000000"/>
          <w:sz w:val="22"/>
          <w:u w:val="single"/>
        </w:rPr>
        <w:t>Counterparts</w:t>
      </w:r>
      <w:r>
        <w:rPr>
          <w:rFonts w:ascii="Times New Roman;sans-serif" w:hAnsi="Times New Roman;sans-serif"/>
          <w:b w:val="false"/>
          <w:color w:val="000000"/>
          <w:sz w:val="22"/>
        </w:rPr>
        <w:t xml:space="preserve">. This Amendment may be executed in two or more counterparts, each of which shall be deemed an original, but all of which together shall constitute one and the same instrument. Counterparts may be delivered via facsimile, electronic mail (including pdf or any electronic signature complying with the U.S. federal ESIGN Act of 2000, e.g., www.docusign.com) or other transmission method and any counterpart so delivered shall be deemed to have been duly and validly delivered and be valid and effective for all purposes. </w:t>
      </w:r>
    </w:p>
    <w:p>
      <w:pPr>
        <w:pStyle w:val="TextBody"/>
        <w:spacing w:lineRule="auto" w:line="288" w:before="240" w:after="240"/>
        <w:jc w:val="center"/>
        <w:rPr/>
      </w:pPr>
      <w:r>
        <w:rPr>
          <w:rFonts w:ascii="Times New Roman;sans-serif" w:hAnsi="Times New Roman;sans-serif"/>
          <w:b w:val="false"/>
          <w:color w:val="000000"/>
          <w:sz w:val="22"/>
        </w:rPr>
        <w:t>[</w:t>
      </w:r>
      <w:r>
        <w:rPr>
          <w:rFonts w:ascii="Times New Roman;sans-serif" w:hAnsi="Times New Roman;sans-serif"/>
          <w:b w:val="false"/>
          <w:i/>
          <w:color w:val="000000"/>
          <w:sz w:val="22"/>
        </w:rPr>
        <w:t>Signature Page Follows</w:t>
      </w:r>
      <w:r>
        <w:rPr>
          <w:rFonts w:ascii="Times New Roman;sans-serif" w:hAnsi="Times New Roman;sans-serif"/>
          <w:b w:val="false"/>
          <w:color w:val="000000"/>
          <w:sz w:val="22"/>
        </w:rPr>
        <w: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r>
        <w:rPr/>
      </w:r>
      <w:r>
        <mc:AlternateContent>
          <mc:Choice Requires="wps">
            <w:drawing>
              <wp:anchor behindDoc="0" distT="0" distB="0" distL="0" distR="0" simplePos="0" locked="0" layoutInCell="1" allowOverlap="1" relativeHeight="375">
                <wp:simplePos x="0" y="0"/>
                <wp:positionH relativeFrom="character">
                  <wp:align>left</wp:align>
                </wp:positionH>
                <wp:positionV relativeFrom="line">
                  <wp:posOffset>635</wp:posOffset>
                </wp:positionV>
                <wp:extent cx="6480175" cy="160655"/>
                <wp:effectExtent l="0" t="0" r="0" b="0"/>
                <wp:wrapNone/>
                <wp:docPr id="374" name="Frame371"/>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w:t>
                      </w:r>
                    </w:p>
                  </w:txbxContent>
                </v:textbox>
              </v:rect>
            </w:pict>
          </mc:Fallback>
        </mc:AlternateContent>
      </w:r>
    </w:p>
    <w:p>
      <w:pPr>
        <w:pStyle w:val="TextBody"/>
        <w:spacing w:lineRule="auto" w:line="288" w:before="240" w:after="283"/>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IN WITNESS WHEREOF, the parties hereto have caused their respective duly authorized representatives to execute this Amendment on the date first written above.</w:t>
      </w:r>
    </w:p>
    <w:p>
      <w:pPr>
        <w:pStyle w:val="TextBody"/>
        <w:spacing w:before="0" w:after="0"/>
        <w:jc w:val="right"/>
        <w:rPr/>
      </w:pPr>
      <w:r>
        <w:rPr/>
      </w:r>
    </w:p>
    <w:p>
      <w:pPr>
        <w:pStyle w:val="TextBody"/>
        <w:spacing w:before="0" w:after="0"/>
        <w:jc w:val="right"/>
        <w:rPr/>
      </w:pPr>
      <w:r>
        <w:rPr/>
      </w:r>
    </w:p>
    <w:p>
      <w:pPr>
        <w:pStyle w:val="TextBody"/>
        <w:spacing w:lineRule="auto" w:line="288" w:before="120" w:after="120"/>
        <w:ind w:left="0" w:right="0" w:hanging="3969"/>
        <w:jc w:val="both"/>
        <w:rPr/>
      </w:pPr>
      <w:r>
        <w:rPr>
          <w:rFonts w:ascii="Times New Roman;sans-serif" w:hAnsi="Times New Roman;sans-serif"/>
          <w:b w:val="false"/>
          <w:color w:val="000000"/>
          <w:sz w:val="22"/>
          <w:u w:val="single"/>
        </w:rPr>
        <w:t>COMPANY</w:t>
      </w:r>
      <w:r>
        <w:rPr>
          <w:rFonts w:ascii="Times New Roman;sans-serif" w:hAnsi="Times New Roman;sans-serif"/>
          <w:b w:val="false"/>
          <w:color w:val="000000"/>
          <w:sz w:val="22"/>
        </w:rPr>
        <w:t xml:space="preserve">: </w:t>
      </w:r>
      <w:r>
        <w:rPr>
          <w:rFonts w:ascii="Times New Roman;sans-serif" w:hAnsi="Times New Roman;sans-serif"/>
          <w:b/>
          <w:color w:val="000000"/>
          <w:sz w:val="22"/>
        </w:rPr>
        <w:t>Agora, Inc.</w:t>
      </w:r>
    </w:p>
    <w:p>
      <w:pPr>
        <w:pStyle w:val="TextBody"/>
        <w:spacing w:before="0" w:after="0"/>
        <w:ind w:left="0" w:right="0" w:hanging="3427"/>
        <w:jc w:val="both"/>
        <w:rPr/>
      </w:pPr>
      <w:r>
        <w:rPr/>
      </w:r>
    </w:p>
    <w:p>
      <w:pPr>
        <w:pStyle w:val="TextBody"/>
        <w:spacing w:before="0" w:after="0"/>
        <w:ind w:left="0" w:right="0" w:hanging="3427"/>
        <w:jc w:val="both"/>
        <w:rPr/>
      </w:pPr>
      <w:r>
        <w:rPr/>
      </w:r>
    </w:p>
    <w:p>
      <w:pPr>
        <w:pStyle w:val="TextBody"/>
        <w:spacing w:before="0" w:after="0"/>
        <w:ind w:left="0" w:right="0" w:hanging="3427"/>
        <w:jc w:val="both"/>
        <w:rPr/>
      </w:pPr>
      <w:r>
        <w:rPr/>
      </w:r>
    </w:p>
    <w:p>
      <w:pPr>
        <w:pStyle w:val="TextBody"/>
        <w:spacing w:before="0" w:after="0"/>
        <w:ind w:left="0" w:right="0" w:hanging="3427"/>
        <w:jc w:val="both"/>
        <w:rPr/>
      </w:pPr>
      <w:r>
        <w:rPr/>
      </w:r>
    </w:p>
    <w:p>
      <w:pPr>
        <w:pStyle w:val="TextBody"/>
        <w:spacing w:lineRule="auto" w:line="288" w:before="200" w:after="283"/>
        <w:ind w:left="0" w:right="0" w:firstLine="142"/>
        <w:rPr/>
      </w:pPr>
      <w:r>
        <w:rPr>
          <w:rFonts w:ascii="Times New Roman;sans-serif" w:hAnsi="Times New Roman;sans-serif"/>
          <w:b w:val="false"/>
          <w:color w:val="000000"/>
          <w:sz w:val="22"/>
        </w:rPr>
        <w:t xml:space="preserve">By: </w:t>
      </w:r>
      <w:r>
        <w:rPr>
          <w:rFonts w:ascii="Times New Roman;sans-serif" w:hAnsi="Times New Roman;sans-serif"/>
          <w:b w:val="false"/>
          <w:color w:val="000000"/>
          <w:sz w:val="22"/>
          <w:u w:val="single"/>
        </w:rPr>
        <w:t>/s/ ZHAO Bin    </w:t>
      </w:r>
    </w:p>
    <w:p>
      <w:pPr>
        <w:pStyle w:val="TextBody"/>
        <w:spacing w:lineRule="auto" w:line="288" w:before="0" w:after="0"/>
        <w:ind w:left="0" w:right="0" w:firstLine="142"/>
        <w:rPr>
          <w:rFonts w:ascii="Times New Roman;sans-serif" w:hAnsi="Times New Roman;sans-serif"/>
          <w:b w:val="false"/>
          <w:color w:val="000000"/>
          <w:sz w:val="22"/>
        </w:rPr>
      </w:pPr>
      <w:r>
        <w:rPr>
          <w:rFonts w:ascii="Times New Roman;sans-serif" w:hAnsi="Times New Roman;sans-serif"/>
          <w:b w:val="false"/>
          <w:color w:val="000000"/>
          <w:sz w:val="22"/>
        </w:rPr>
        <w:t>Name: ZHAO Bin</w:t>
      </w:r>
    </w:p>
    <w:p>
      <w:pPr>
        <w:pStyle w:val="TextBody"/>
        <w:spacing w:lineRule="auto" w:line="288" w:before="0" w:after="0"/>
        <w:ind w:left="0" w:right="0" w:firstLine="142"/>
        <w:rPr>
          <w:rFonts w:ascii="Times New Roman;sans-serif" w:hAnsi="Times New Roman;sans-serif"/>
          <w:b w:val="false"/>
          <w:color w:val="000000"/>
          <w:sz w:val="22"/>
        </w:rPr>
      </w:pPr>
      <w:r>
        <w:rPr>
          <w:rFonts w:ascii="Times New Roman;sans-serif" w:hAnsi="Times New Roman;sans-serif"/>
          <w:b w:val="false"/>
          <w:color w:val="000000"/>
          <w:sz w:val="22"/>
        </w:rPr>
        <w:t>Title: Director</w:t>
      </w:r>
    </w:p>
    <w:p>
      <w:pPr>
        <w:pStyle w:val="TextBody"/>
        <w:spacing w:before="0" w:after="0"/>
        <w:ind w:left="0" w:right="0" w:firstLine="142"/>
        <w:rPr/>
      </w:pPr>
      <w:r>
        <w:rPr/>
      </w:r>
    </w:p>
    <w:p>
      <w:pPr>
        <w:pStyle w:val="TextBody"/>
        <w:ind w:left="0" w:right="0" w:hanging="3969"/>
        <w:jc w:val="both"/>
        <w:rPr/>
      </w:pPr>
      <w:r>
        <w:rPr/>
      </w:r>
      <w:r>
        <w:br w:type="page"/>
      </w:r>
    </w:p>
    <w:p>
      <w:pPr>
        <w:pStyle w:val="TextBody"/>
        <w:spacing w:before="0" w:after="0"/>
        <w:jc w:val="right"/>
        <w:rPr/>
      </w:pPr>
      <w:r>
        <w:rPr/>
      </w:r>
      <w:r>
        <mc:AlternateContent>
          <mc:Choice Requires="wps">
            <w:drawing>
              <wp:anchor behindDoc="0" distT="0" distB="0" distL="0" distR="0" simplePos="0" locked="0" layoutInCell="1" allowOverlap="1" relativeHeight="376">
                <wp:simplePos x="0" y="0"/>
                <wp:positionH relativeFrom="character">
                  <wp:align>left</wp:align>
                </wp:positionH>
                <wp:positionV relativeFrom="line">
                  <wp:posOffset>635</wp:posOffset>
                </wp:positionV>
                <wp:extent cx="6480175" cy="131445"/>
                <wp:effectExtent l="0" t="0" r="0" b="0"/>
                <wp:wrapNone/>
                <wp:docPr id="375" name="Frame372"/>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Signature Page to Amendment to Amended and Restated Shareholders Agreement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Signature Page to Amendment to Amended and Restated Shareholders Agreement</w:t>
                      </w:r>
                    </w:p>
                  </w:txbxContent>
                </v:textbox>
              </v:rect>
            </w:pict>
          </mc:Fallback>
        </mc:AlternateContent>
      </w:r>
    </w:p>
    <w:p>
      <w:pPr>
        <w:pStyle w:val="TextBody"/>
        <w:spacing w:lineRule="auto" w:line="28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IN WITNESS WHEREOF, the parties hereto have caused their respective duly authorized representatives to execute this Amendment on the date first written above.</w:t>
      </w:r>
    </w:p>
    <w:p>
      <w:pPr>
        <w:pStyle w:val="TextBody"/>
        <w:spacing w:before="2" w:after="283"/>
        <w:ind w:left="0" w:right="0" w:firstLine="7"/>
        <w:jc w:val="both"/>
        <w:rPr/>
      </w:pPr>
      <w:r>
        <w:rPr/>
      </w:r>
    </w:p>
    <w:p>
      <w:pPr>
        <w:pStyle w:val="TextBody"/>
        <w:spacing w:lineRule="auto" w:line="288" w:before="2" w:after="283"/>
        <w:ind w:left="0" w:right="0" w:firstLine="7"/>
        <w:jc w:val="both"/>
        <w:rPr/>
      </w:pPr>
      <w:r>
        <w:rPr>
          <w:rFonts w:ascii="Times New Roman;sans-serif" w:hAnsi="Times New Roman;sans-serif"/>
          <w:b w:val="false"/>
          <w:color w:val="000000"/>
          <w:sz w:val="22"/>
          <w:u w:val="single"/>
        </w:rPr>
        <w:t>FOUNDER</w:t>
      </w:r>
      <w:r>
        <w:rPr>
          <w:rFonts w:ascii="Times New Roman;sans-serif" w:hAnsi="Times New Roman;sans-serif"/>
          <w:b w:val="false"/>
          <w:color w:val="000000"/>
          <w:sz w:val="22"/>
        </w:rPr>
        <w:t>:    </w:t>
      </w:r>
    </w:p>
    <w:p>
      <w:pPr>
        <w:pStyle w:val="TextBody"/>
        <w:spacing w:lineRule="auto" w:line="288" w:before="240" w:after="283"/>
        <w:ind w:left="0" w:right="0" w:hanging="9"/>
        <w:jc w:val="both"/>
        <w:rPr/>
      </w:pPr>
      <w:r>
        <w:rPr>
          <w:rFonts w:ascii="Times New Roman;sans-serif" w:hAnsi="Times New Roman;sans-serif"/>
          <w:b w:val="false"/>
          <w:color w:val="000000"/>
          <w:sz w:val="24"/>
          <w:u w:val="single"/>
        </w:rPr>
        <w:t>/s/ZHAO Bin</w:t>
      </w:r>
      <w:r>
        <w:rPr>
          <w:color w:val="000000"/>
          <w:u w:val="single"/>
        </w:rPr>
        <w:t>            </w:t>
      </w:r>
    </w:p>
    <w:p>
      <w:pPr>
        <w:pStyle w:val="TextBody"/>
        <w:spacing w:lineRule="auto" w:line="288" w:before="0" w:after="0"/>
        <w:ind w:left="0" w:right="0" w:hanging="2"/>
        <w:jc w:val="both"/>
        <w:rPr>
          <w:rFonts w:ascii="Times New Roman;sans-serif" w:hAnsi="Times New Roman;sans-serif"/>
          <w:b w:val="false"/>
          <w:color w:val="000000"/>
          <w:sz w:val="22"/>
        </w:rPr>
      </w:pPr>
      <w:r>
        <w:rPr>
          <w:rFonts w:ascii="Times New Roman;sans-serif" w:hAnsi="Times New Roman;sans-serif"/>
          <w:b w:val="false"/>
          <w:color w:val="000000"/>
          <w:sz w:val="22"/>
        </w:rPr>
        <w:t>ZHAO Bin</w:t>
      </w:r>
    </w:p>
    <w:p>
      <w:pPr>
        <w:pStyle w:val="TextBody"/>
        <w:spacing w:before="240" w:after="283"/>
        <w:ind w:left="0" w:right="0" w:hanging="2"/>
        <w:jc w:val="both"/>
        <w:rPr/>
      </w:pPr>
      <w:r>
        <w:rPr/>
      </w:r>
    </w:p>
    <w:p>
      <w:pPr>
        <w:pStyle w:val="TextBody"/>
        <w:spacing w:before="240" w:after="283"/>
        <w:ind w:left="0" w:right="0" w:hanging="2"/>
        <w:jc w:val="both"/>
        <w:rPr/>
      </w:pPr>
      <w:r>
        <w:rPr/>
      </w:r>
    </w:p>
    <w:p>
      <w:pPr>
        <w:pStyle w:val="TextBody"/>
        <w:spacing w:before="2" w:after="283"/>
        <w:ind w:left="0" w:right="0" w:firstLine="7"/>
        <w:jc w:val="both"/>
        <w:rPr/>
      </w:pPr>
      <w:r>
        <w:rPr/>
      </w:r>
      <w:r>
        <w:br w:type="page"/>
      </w:r>
    </w:p>
    <w:p>
      <w:pPr>
        <w:pStyle w:val="TextBody"/>
        <w:spacing w:before="0" w:after="0"/>
        <w:jc w:val="right"/>
        <w:rPr/>
      </w:pPr>
      <w:r>
        <w:rPr/>
      </w:r>
      <w:r>
        <mc:AlternateContent>
          <mc:Choice Requires="wps">
            <w:drawing>
              <wp:anchor behindDoc="0" distT="0" distB="0" distL="0" distR="0" simplePos="0" locked="0" layoutInCell="1" allowOverlap="1" relativeHeight="377">
                <wp:simplePos x="0" y="0"/>
                <wp:positionH relativeFrom="character">
                  <wp:align>left</wp:align>
                </wp:positionH>
                <wp:positionV relativeFrom="line">
                  <wp:posOffset>635</wp:posOffset>
                </wp:positionV>
                <wp:extent cx="6480175" cy="131445"/>
                <wp:effectExtent l="0" t="0" r="0" b="0"/>
                <wp:wrapNone/>
                <wp:docPr id="376" name="Frame373"/>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Signature Page to Amendment to Amended and Restated Shareholders Agreement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Signature Page to Amendment to Amended and Restated Shareholders Agreement</w:t>
                      </w:r>
                    </w:p>
                  </w:txbxContent>
                </v:textbox>
              </v:rect>
            </w:pict>
          </mc:Fallback>
        </mc:AlternateContent>
      </w:r>
    </w:p>
    <w:p>
      <w:pPr>
        <w:pStyle w:val="TextBody"/>
        <w:spacing w:before="0" w:after="0"/>
        <w:ind w:left="0" w:right="0" w:hanging="3969"/>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IN WITNESS WHEREOF, the parties hereto have caused their respective duly authorized representatives to execute this Amendment on the date first written above.</w:t>
      </w:r>
    </w:p>
    <w:p>
      <w:pPr>
        <w:pStyle w:val="TextBody"/>
        <w:spacing w:before="2" w:after="283"/>
        <w:ind w:left="0" w:right="0" w:firstLine="7"/>
        <w:jc w:val="both"/>
        <w:rPr/>
      </w:pPr>
      <w:r>
        <w:rPr/>
      </w:r>
    </w:p>
    <w:p>
      <w:pPr>
        <w:pStyle w:val="TextBody"/>
        <w:spacing w:lineRule="auto" w:line="288" w:before="2" w:after="283"/>
        <w:ind w:left="0" w:right="0" w:firstLine="1"/>
        <w:rPr/>
      </w:pPr>
      <w:r>
        <w:rPr>
          <w:rFonts w:ascii="Times New Roman;sans-serif" w:hAnsi="Times New Roman;sans-serif"/>
          <w:b w:val="false"/>
          <w:color w:val="000000"/>
          <w:sz w:val="22"/>
          <w:u w:val="single"/>
        </w:rPr>
        <w:t>PREFERRED HOLDER</w:t>
      </w:r>
      <w:r>
        <w:rPr>
          <w:rFonts w:ascii="Times New Roman;sans-serif" w:hAnsi="Times New Roman;sans-serif"/>
          <w:b w:val="false"/>
          <w:color w:val="000000"/>
          <w:sz w:val="22"/>
        </w:rPr>
        <w:t xml:space="preserve">:          </w:t>
      </w:r>
      <w:r>
        <w:rPr>
          <w:rFonts w:ascii="Times New Roman;sans-serif" w:hAnsi="Times New Roman;sans-serif"/>
          <w:b/>
          <w:color w:val="000000"/>
          <w:sz w:val="22"/>
        </w:rPr>
        <w:t>SIG China Investments Master Fund III, LLLP</w:t>
      </w:r>
    </w:p>
    <w:p>
      <w:pPr>
        <w:pStyle w:val="TextBody"/>
        <w:spacing w:before="120" w:after="283"/>
        <w:ind w:left="0" w:right="0" w:hanging="3969"/>
        <w:jc w:val="both"/>
        <w:rPr/>
      </w:pPr>
      <w:r>
        <w:rPr/>
      </w:r>
    </w:p>
    <w:p>
      <w:pPr>
        <w:pStyle w:val="TextBody"/>
        <w:spacing w:lineRule="auto" w:line="288" w:before="0" w:after="0"/>
        <w:ind w:left="0" w:right="0" w:firstLine="22"/>
        <w:rPr>
          <w:rFonts w:ascii="Times New Roman;sans-serif" w:hAnsi="Times New Roman;sans-serif"/>
          <w:b w:val="false"/>
          <w:color w:val="000000"/>
          <w:sz w:val="22"/>
        </w:rPr>
      </w:pPr>
      <w:r>
        <w:rPr>
          <w:rFonts w:ascii="Times New Roman;sans-serif" w:hAnsi="Times New Roman;sans-serif"/>
          <w:b w:val="false"/>
          <w:color w:val="000000"/>
          <w:sz w:val="22"/>
        </w:rPr>
        <w:t>SIG Asia Investment, LLLP,</w:t>
      </w:r>
    </w:p>
    <w:p>
      <w:pPr>
        <w:pStyle w:val="TextBody"/>
        <w:spacing w:lineRule="auto" w:line="288" w:before="2" w:after="283"/>
        <w:ind w:left="0" w:right="0" w:firstLine="1"/>
        <w:rPr>
          <w:rFonts w:ascii="Times New Roman;sans-serif" w:hAnsi="Times New Roman;sans-serif"/>
          <w:b w:val="false"/>
          <w:color w:val="000000"/>
          <w:sz w:val="22"/>
        </w:rPr>
      </w:pPr>
      <w:r>
        <w:rPr>
          <w:rFonts w:ascii="Times New Roman;sans-serif" w:hAnsi="Times New Roman;sans-serif"/>
          <w:b w:val="false"/>
          <w:color w:val="000000"/>
          <w:sz w:val="22"/>
        </w:rPr>
        <w:t xml:space="preserve">Its Authorized Agent </w:t>
      </w:r>
    </w:p>
    <w:p>
      <w:pPr>
        <w:pStyle w:val="TextBody"/>
        <w:spacing w:before="0" w:after="0"/>
        <w:ind w:left="0" w:right="0" w:firstLine="22"/>
        <w:rPr/>
      </w:pPr>
      <w:r>
        <w:rPr/>
      </w:r>
    </w:p>
    <w:p>
      <w:pPr>
        <w:pStyle w:val="TextBody"/>
        <w:spacing w:lineRule="auto" w:line="288" w:before="200" w:after="283"/>
        <w:ind w:left="0" w:right="0" w:firstLine="22"/>
        <w:rPr>
          <w:rFonts w:ascii="Times New Roman;sans-serif" w:hAnsi="Times New Roman;sans-serif"/>
          <w:b w:val="false"/>
          <w:color w:val="000000"/>
          <w:sz w:val="22"/>
        </w:rPr>
      </w:pPr>
      <w:r>
        <w:rPr>
          <w:rFonts w:ascii="Times New Roman;sans-serif" w:hAnsi="Times New Roman;sans-serif"/>
          <w:b w:val="false"/>
          <w:color w:val="000000"/>
          <w:sz w:val="22"/>
        </w:rPr>
        <w:t>By: Heights Capital Management, Inc.,</w:t>
      </w:r>
    </w:p>
    <w:p>
      <w:pPr>
        <w:pStyle w:val="TextBody"/>
        <w:spacing w:lineRule="auto" w:line="288" w:before="2" w:after="283"/>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Its Authorized Agent</w:t>
      </w:r>
    </w:p>
    <w:p>
      <w:pPr>
        <w:pStyle w:val="TextBody"/>
        <w:spacing w:before="0" w:after="0"/>
        <w:ind w:left="0" w:right="0" w:firstLine="22"/>
        <w:rPr/>
      </w:pPr>
      <w:r>
        <w:rPr/>
      </w:r>
    </w:p>
    <w:p>
      <w:pPr>
        <w:pStyle w:val="TextBody"/>
        <w:spacing w:before="0" w:after="0"/>
        <w:ind w:left="0" w:right="0" w:firstLine="22"/>
        <w:rPr/>
      </w:pPr>
      <w:r>
        <w:rPr/>
      </w:r>
    </w:p>
    <w:p>
      <w:pPr>
        <w:pStyle w:val="TextBody"/>
        <w:spacing w:lineRule="auto" w:line="288" w:before="200" w:after="283"/>
        <w:rPr/>
      </w:pPr>
      <w:r>
        <w:rPr>
          <w:rFonts w:ascii="Times New Roman;sans-serif" w:hAnsi="Times New Roman;sans-serif"/>
          <w:b w:val="false"/>
          <w:color w:val="000000"/>
          <w:sz w:val="22"/>
        </w:rPr>
        <w:t xml:space="preserve">By: </w:t>
      </w:r>
      <w:r>
        <w:rPr>
          <w:rFonts w:ascii="Times New Roman;sans-serif" w:hAnsi="Times New Roman;sans-serif"/>
          <w:b w:val="false"/>
          <w:color w:val="000000"/>
          <w:sz w:val="22"/>
          <w:u w:val="single"/>
        </w:rPr>
        <w:t>/s/ Michael Spolan        </w:t>
      </w:r>
    </w:p>
    <w:p>
      <w:pPr>
        <w:pStyle w:val="TextBody"/>
        <w:spacing w:lineRule="auto" w:line="288" w:before="2" w:after="283"/>
        <w:ind w:left="0" w:right="0" w:firstLine="1"/>
        <w:rPr>
          <w:rFonts w:ascii="Times New Roman;sans-serif" w:hAnsi="Times New Roman;sans-serif"/>
          <w:b w:val="false"/>
          <w:color w:val="000000"/>
          <w:sz w:val="22"/>
        </w:rPr>
      </w:pPr>
      <w:r>
        <w:rPr>
          <w:rFonts w:ascii="Times New Roman;sans-serif" w:hAnsi="Times New Roman;sans-serif"/>
          <w:b w:val="false"/>
          <w:color w:val="000000"/>
          <w:sz w:val="22"/>
        </w:rPr>
        <w:t>Name: Michael Spolan</w:t>
      </w:r>
    </w:p>
    <w:p>
      <w:pPr>
        <w:pStyle w:val="TextBody"/>
        <w:spacing w:lineRule="auto" w:line="288" w:before="0" w:after="0"/>
        <w:ind w:left="0" w:right="0" w:firstLine="792"/>
        <w:rPr>
          <w:rFonts w:ascii="Times New Roman;sans-serif" w:hAnsi="Times New Roman;sans-serif"/>
          <w:b w:val="false"/>
          <w:color w:val="000000"/>
          <w:sz w:val="22"/>
        </w:rPr>
      </w:pPr>
      <w:r>
        <w:rPr>
          <w:rFonts w:ascii="Times New Roman;sans-serif" w:hAnsi="Times New Roman;sans-serif"/>
          <w:b w:val="false"/>
          <w:color w:val="000000"/>
          <w:sz w:val="22"/>
        </w:rPr>
        <w:t>Title: General Counsel</w:t>
      </w:r>
    </w:p>
    <w:p>
      <w:pPr>
        <w:pStyle w:val="TextBody"/>
        <w:spacing w:before="0" w:after="0"/>
        <w:ind w:left="0" w:right="0" w:firstLine="22"/>
        <w:rPr/>
      </w:pPr>
      <w:r>
        <w:rPr/>
      </w:r>
    </w:p>
    <w:p>
      <w:pPr>
        <w:pStyle w:val="TextBody"/>
        <w:spacing w:before="0" w:after="0"/>
        <w:ind w:left="0" w:right="0" w:firstLine="22"/>
        <w:rPr/>
      </w:pPr>
      <w:r>
        <w:rPr/>
      </w:r>
    </w:p>
    <w:p>
      <w:pPr>
        <w:pStyle w:val="TextBody"/>
        <w:spacing w:before="0" w:after="0"/>
        <w:ind w:left="0" w:right="0" w:firstLine="711"/>
        <w:jc w:val="both"/>
        <w:rPr/>
      </w:pPr>
      <w:r>
        <w:rPr/>
      </w:r>
    </w:p>
    <w:p>
      <w:pPr>
        <w:pStyle w:val="TextBody"/>
        <w:spacing w:lineRule="auto" w:line="261" w:before="240" w:after="283"/>
        <w:jc w:val="both"/>
        <w:rPr/>
      </w:pPr>
      <w:r>
        <w:rPr>
          <w:rFonts w:ascii="Times New Roman;sans-serif" w:hAnsi="Times New Roman;sans-serif"/>
          <w:b w:val="false"/>
          <w:color w:val="000000"/>
          <w:sz w:val="22"/>
          <w:u w:val="single"/>
        </w:rPr>
        <w:t>PREFERRED HOLDER</w:t>
      </w:r>
      <w:r>
        <w:rPr>
          <w:rFonts w:ascii="Times New Roman;sans-serif" w:hAnsi="Times New Roman;sans-serif"/>
          <w:b w:val="false"/>
          <w:color w:val="000000"/>
          <w:sz w:val="22"/>
        </w:rPr>
        <w:t>:    </w:t>
      </w:r>
      <w:r>
        <w:rPr>
          <w:rFonts w:ascii="Times New Roman;sans-serif" w:hAnsi="Times New Roman;sans-serif"/>
          <w:b/>
          <w:color w:val="000000"/>
          <w:sz w:val="22"/>
        </w:rPr>
        <w:t>SIG Global China Fund I, LLLP</w:t>
      </w:r>
      <w:r>
        <w:rPr>
          <w:color w:val="000000"/>
        </w:rPr>
        <w:t xml:space="preserve"> </w:t>
      </w:r>
    </w:p>
    <w:p>
      <w:pPr>
        <w:pStyle w:val="TextBody"/>
        <w:spacing w:before="0" w:after="0"/>
        <w:ind w:left="0" w:right="0" w:firstLine="22"/>
        <w:rPr/>
      </w:pPr>
      <w:r>
        <w:rPr/>
      </w:r>
    </w:p>
    <w:p>
      <w:pPr>
        <w:pStyle w:val="TextBody"/>
        <w:spacing w:lineRule="auto" w:line="288" w:before="0" w:after="0"/>
        <w:ind w:left="0" w:right="0" w:firstLine="22"/>
        <w:rPr>
          <w:rFonts w:ascii="Times New Roman;sans-serif" w:hAnsi="Times New Roman;sans-serif"/>
          <w:b w:val="false"/>
          <w:color w:val="000000"/>
          <w:sz w:val="22"/>
        </w:rPr>
      </w:pPr>
      <w:r>
        <w:rPr>
          <w:rFonts w:ascii="Times New Roman;sans-serif" w:hAnsi="Times New Roman;sans-serif"/>
          <w:b w:val="false"/>
          <w:color w:val="000000"/>
          <w:sz w:val="22"/>
        </w:rPr>
        <w:t>SIG Asia Investment, LLLP,</w:t>
      </w:r>
    </w:p>
    <w:p>
      <w:pPr>
        <w:pStyle w:val="TextBody"/>
        <w:spacing w:lineRule="auto" w:line="288" w:before="2" w:after="283"/>
        <w:ind w:left="0" w:right="0" w:firstLine="1"/>
        <w:rPr>
          <w:rFonts w:ascii="Times New Roman;sans-serif" w:hAnsi="Times New Roman;sans-serif"/>
          <w:b w:val="false"/>
          <w:color w:val="000000"/>
          <w:sz w:val="22"/>
        </w:rPr>
      </w:pPr>
      <w:r>
        <w:rPr>
          <w:rFonts w:ascii="Times New Roman;sans-serif" w:hAnsi="Times New Roman;sans-serif"/>
          <w:b w:val="false"/>
          <w:color w:val="000000"/>
          <w:sz w:val="22"/>
        </w:rPr>
        <w:t xml:space="preserve">Its Authorized Agent </w:t>
      </w:r>
    </w:p>
    <w:p>
      <w:pPr>
        <w:pStyle w:val="TextBody"/>
        <w:spacing w:before="0" w:after="0"/>
        <w:ind w:left="0" w:right="0" w:firstLine="22"/>
        <w:rPr/>
      </w:pPr>
      <w:r>
        <w:rPr/>
      </w:r>
    </w:p>
    <w:p>
      <w:pPr>
        <w:pStyle w:val="TextBody"/>
        <w:spacing w:lineRule="auto" w:line="288" w:before="200" w:after="283"/>
        <w:ind w:left="0" w:right="0" w:firstLine="22"/>
        <w:rPr>
          <w:rFonts w:ascii="Times New Roman;sans-serif" w:hAnsi="Times New Roman;sans-serif"/>
          <w:b w:val="false"/>
          <w:color w:val="000000"/>
          <w:sz w:val="22"/>
        </w:rPr>
      </w:pPr>
      <w:r>
        <w:rPr>
          <w:rFonts w:ascii="Times New Roman;sans-serif" w:hAnsi="Times New Roman;sans-serif"/>
          <w:b w:val="false"/>
          <w:color w:val="000000"/>
          <w:sz w:val="22"/>
        </w:rPr>
        <w:t>By: Heights Capital Management, Inc.,</w:t>
      </w:r>
    </w:p>
    <w:p>
      <w:pPr>
        <w:pStyle w:val="TextBody"/>
        <w:spacing w:lineRule="auto" w:line="288" w:before="2" w:after="283"/>
        <w:ind w:left="0" w:right="0" w:firstLine="1"/>
        <w:rPr>
          <w:rFonts w:ascii="Times New Roman;sans-serif" w:hAnsi="Times New Roman;sans-serif"/>
          <w:b w:val="false"/>
          <w:color w:val="000000"/>
          <w:sz w:val="22"/>
        </w:rPr>
      </w:pPr>
      <w:r>
        <w:rPr>
          <w:rFonts w:ascii="Times New Roman;sans-serif" w:hAnsi="Times New Roman;sans-serif"/>
          <w:b w:val="false"/>
          <w:color w:val="000000"/>
          <w:sz w:val="22"/>
        </w:rPr>
        <w:t>Its Authorized Agent</w:t>
      </w:r>
    </w:p>
    <w:p>
      <w:pPr>
        <w:pStyle w:val="TextBody"/>
        <w:spacing w:before="200" w:after="283"/>
        <w:ind w:left="0" w:right="0" w:firstLine="796"/>
        <w:rPr/>
      </w:pPr>
      <w:r>
        <w:rPr/>
      </w:r>
    </w:p>
    <w:p>
      <w:pPr>
        <w:pStyle w:val="TextBody"/>
        <w:spacing w:lineRule="auto" w:line="288" w:before="200" w:after="283"/>
        <w:ind w:left="0" w:right="0" w:firstLine="796"/>
        <w:rPr/>
      </w:pPr>
      <w:r>
        <w:rPr>
          <w:rFonts w:ascii="Times New Roman;sans-serif" w:hAnsi="Times New Roman;sans-serif"/>
          <w:b w:val="false"/>
          <w:color w:val="000000"/>
          <w:sz w:val="22"/>
        </w:rPr>
        <w:t xml:space="preserve">By: </w:t>
      </w:r>
      <w:r>
        <w:rPr>
          <w:rFonts w:ascii="Times New Roman;sans-serif" w:hAnsi="Times New Roman;sans-serif"/>
          <w:b w:val="false"/>
          <w:color w:val="000000"/>
          <w:sz w:val="22"/>
          <w:u w:val="single"/>
        </w:rPr>
        <w:t>/s/ Michael Spolan    </w:t>
      </w:r>
    </w:p>
    <w:p>
      <w:pPr>
        <w:pStyle w:val="TextBody"/>
        <w:spacing w:lineRule="auto" w:line="288" w:before="0" w:after="0"/>
        <w:ind w:left="0" w:right="0" w:firstLine="792"/>
        <w:rPr>
          <w:rFonts w:ascii="Times New Roman;sans-serif" w:hAnsi="Times New Roman;sans-serif"/>
          <w:b w:val="false"/>
          <w:color w:val="000000"/>
          <w:sz w:val="22"/>
        </w:rPr>
      </w:pPr>
      <w:r>
        <w:rPr>
          <w:rFonts w:ascii="Times New Roman;sans-serif" w:hAnsi="Times New Roman;sans-serif"/>
          <w:b w:val="false"/>
          <w:color w:val="000000"/>
          <w:sz w:val="22"/>
        </w:rPr>
        <w:t>Name: Michael Spolan</w:t>
      </w:r>
    </w:p>
    <w:p>
      <w:pPr>
        <w:pStyle w:val="TextBody"/>
        <w:spacing w:lineRule="auto" w:line="288" w:before="0" w:after="0"/>
        <w:ind w:left="0" w:right="0" w:firstLine="792"/>
        <w:rPr>
          <w:rFonts w:ascii="Times New Roman;sans-serif" w:hAnsi="Times New Roman;sans-serif"/>
          <w:b w:val="false"/>
          <w:color w:val="000000"/>
          <w:sz w:val="22"/>
        </w:rPr>
      </w:pPr>
      <w:r>
        <w:rPr>
          <w:rFonts w:ascii="Times New Roman;sans-serif" w:hAnsi="Times New Roman;sans-serif"/>
          <w:b w:val="false"/>
          <w:color w:val="000000"/>
          <w:sz w:val="22"/>
        </w:rPr>
        <w:t>Title: General Counsel</w:t>
      </w:r>
    </w:p>
    <w:p>
      <w:pPr>
        <w:pStyle w:val="TextBody"/>
        <w:spacing w:before="0" w:after="0"/>
        <w:ind w:left="0" w:right="0" w:firstLine="720"/>
        <w:jc w:val="both"/>
        <w:rPr/>
      </w:pPr>
      <w:r>
        <w:rPr/>
      </w:r>
    </w:p>
    <w:p>
      <w:pPr>
        <w:pStyle w:val="TextBody"/>
        <w:spacing w:before="2" w:after="283"/>
        <w:ind w:left="0" w:right="0" w:firstLine="7"/>
        <w:jc w:val="both"/>
        <w:rPr/>
      </w:pPr>
      <w:r>
        <w:rPr/>
      </w:r>
      <w:r>
        <w:br w:type="page"/>
      </w:r>
    </w:p>
    <w:p>
      <w:pPr>
        <w:pStyle w:val="TextBody"/>
        <w:spacing w:before="0" w:after="0"/>
        <w:jc w:val="right"/>
        <w:rPr/>
      </w:pPr>
      <w:r>
        <w:rPr/>
      </w:r>
      <w:r>
        <mc:AlternateContent>
          <mc:Choice Requires="wps">
            <w:drawing>
              <wp:anchor behindDoc="0" distT="0" distB="0" distL="0" distR="0" simplePos="0" locked="0" layoutInCell="1" allowOverlap="1" relativeHeight="378">
                <wp:simplePos x="0" y="0"/>
                <wp:positionH relativeFrom="character">
                  <wp:align>left</wp:align>
                </wp:positionH>
                <wp:positionV relativeFrom="line">
                  <wp:posOffset>635</wp:posOffset>
                </wp:positionV>
                <wp:extent cx="6480175" cy="131445"/>
                <wp:effectExtent l="0" t="0" r="0" b="0"/>
                <wp:wrapNone/>
                <wp:docPr id="377" name="Frame374"/>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Signature Page to Amendment to Amended and Restated Shareholders Agreement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Signature Page to Amendment to Amended and Restated Shareholders Agreement</w:t>
                      </w:r>
                    </w:p>
                  </w:txbxContent>
                </v:textbox>
              </v:rect>
            </w:pict>
          </mc:Fallback>
        </mc:AlternateContent>
      </w:r>
    </w:p>
    <w:p>
      <w:pPr>
        <w:pStyle w:val="TextBody"/>
        <w:spacing w:lineRule="auto" w:line="288" w:before="2" w:after="283"/>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IN WITNESS WHEREOF, the parties hereto have caused their respective duly authorized representatives to execute this Amendment on the date first written above.</w:t>
      </w:r>
    </w:p>
    <w:p>
      <w:pPr>
        <w:pStyle w:val="TextBody"/>
        <w:spacing w:before="2" w:after="283"/>
        <w:ind w:left="0" w:right="0" w:firstLine="7"/>
        <w:jc w:val="both"/>
        <w:rPr/>
      </w:pPr>
      <w:r>
        <w:rPr/>
      </w:r>
    </w:p>
    <w:p>
      <w:pPr>
        <w:pStyle w:val="TextBody"/>
        <w:spacing w:lineRule="auto" w:line="261" w:before="240" w:after="283"/>
        <w:jc w:val="both"/>
        <w:rPr/>
      </w:pPr>
      <w:r>
        <w:rPr>
          <w:rFonts w:ascii="Times New Roman;sans-serif" w:hAnsi="Times New Roman;sans-serif"/>
          <w:b w:val="false"/>
          <w:color w:val="000000"/>
          <w:sz w:val="22"/>
          <w:u w:val="single"/>
        </w:rPr>
        <w:t>PREFERRED HOLDER</w:t>
      </w:r>
      <w:r>
        <w:rPr>
          <w:rFonts w:ascii="Times New Roman;sans-serif" w:hAnsi="Times New Roman;sans-serif"/>
          <w:b w:val="false"/>
          <w:color w:val="000000"/>
          <w:sz w:val="22"/>
        </w:rPr>
        <w:t>:    </w:t>
      </w:r>
      <w:r>
        <w:rPr>
          <w:rFonts w:ascii="Times New Roman;sans-serif" w:hAnsi="Times New Roman;sans-serif"/>
          <w:b/>
          <w:color w:val="000000"/>
          <w:sz w:val="22"/>
        </w:rPr>
        <w:t>IDG Technology Venture Investment V, L.P.</w:t>
      </w:r>
    </w:p>
    <w:p>
      <w:pPr>
        <w:pStyle w:val="TextBody"/>
        <w:spacing w:before="120" w:after="283"/>
        <w:ind w:left="0" w:right="0" w:hanging="9"/>
        <w:jc w:val="both"/>
        <w:rPr/>
      </w:pPr>
      <w:r>
        <w:rPr/>
      </w:r>
    </w:p>
    <w:p>
      <w:pPr>
        <w:pStyle w:val="TextBody"/>
        <w:spacing w:lineRule="auto" w:line="288" w:before="120" w:after="283"/>
        <w:ind w:left="0" w:right="0" w:hanging="9"/>
        <w:rPr>
          <w:rFonts w:ascii="Times New Roman;sans-serif" w:hAnsi="Times New Roman;sans-serif"/>
          <w:b w:val="false"/>
          <w:color w:val="000000"/>
          <w:sz w:val="22"/>
        </w:rPr>
      </w:pPr>
      <w:r>
        <w:rPr>
          <w:rFonts w:ascii="Times New Roman;sans-serif" w:hAnsi="Times New Roman;sans-serif"/>
          <w:b w:val="false"/>
          <w:color w:val="000000"/>
          <w:sz w:val="22"/>
        </w:rPr>
        <w:t>By: IDG Technology Venture Investment V, LLC, its General Partner</w:t>
      </w:r>
    </w:p>
    <w:p>
      <w:pPr>
        <w:pStyle w:val="TextBody"/>
        <w:spacing w:before="0" w:after="0"/>
        <w:ind w:left="0" w:right="0" w:hanging="3427"/>
        <w:jc w:val="both"/>
        <w:rPr/>
      </w:pPr>
      <w:r>
        <w:rPr/>
      </w:r>
    </w:p>
    <w:p>
      <w:pPr>
        <w:pStyle w:val="TextBody"/>
        <w:spacing w:before="0" w:after="0"/>
        <w:ind w:left="0" w:right="0" w:hanging="3427"/>
        <w:jc w:val="both"/>
        <w:rPr/>
      </w:pPr>
      <w:r>
        <w:rPr/>
      </w:r>
    </w:p>
    <w:p>
      <w:pPr>
        <w:pStyle w:val="TextBody"/>
        <w:spacing w:lineRule="auto" w:line="288" w:before="200" w:after="283"/>
        <w:ind w:left="0" w:right="0" w:firstLine="142"/>
        <w:rPr/>
      </w:pPr>
      <w:r>
        <w:rPr>
          <w:rFonts w:ascii="Times New Roman;sans-serif" w:hAnsi="Times New Roman;sans-serif"/>
          <w:b w:val="false"/>
          <w:color w:val="000000"/>
          <w:sz w:val="22"/>
        </w:rPr>
        <w:t xml:space="preserve">By: </w:t>
      </w:r>
      <w:r>
        <w:rPr>
          <w:rFonts w:ascii="Times New Roman;sans-serif" w:hAnsi="Times New Roman;sans-serif"/>
          <w:b w:val="false"/>
          <w:color w:val="000000"/>
          <w:sz w:val="22"/>
          <w:u w:val="single"/>
        </w:rPr>
        <w:t>/s/ Chi Sing Ho    </w:t>
      </w:r>
    </w:p>
    <w:p>
      <w:pPr>
        <w:pStyle w:val="TextBody"/>
        <w:spacing w:lineRule="auto" w:line="288" w:before="0" w:after="0"/>
        <w:ind w:left="0" w:right="0" w:firstLine="142"/>
        <w:rPr>
          <w:rFonts w:ascii="Times New Roman;sans-serif" w:hAnsi="Times New Roman;sans-serif"/>
          <w:b w:val="false"/>
          <w:color w:val="000000"/>
          <w:sz w:val="22"/>
        </w:rPr>
      </w:pPr>
      <w:r>
        <w:rPr>
          <w:rFonts w:ascii="Times New Roman;sans-serif" w:hAnsi="Times New Roman;sans-serif"/>
          <w:b w:val="false"/>
          <w:color w:val="000000"/>
          <w:sz w:val="22"/>
        </w:rPr>
        <w:t>Name: Chi Sing Ho</w:t>
      </w:r>
    </w:p>
    <w:p>
      <w:pPr>
        <w:pStyle w:val="TextBody"/>
        <w:spacing w:lineRule="auto" w:line="288" w:before="0" w:after="0"/>
        <w:ind w:left="0" w:right="0" w:firstLine="142"/>
        <w:rPr>
          <w:rFonts w:ascii="Times New Roman;sans-serif" w:hAnsi="Times New Roman;sans-serif"/>
          <w:b w:val="false"/>
          <w:color w:val="000000"/>
          <w:sz w:val="22"/>
        </w:rPr>
      </w:pPr>
      <w:r>
        <w:rPr>
          <w:rFonts w:ascii="Times New Roman;sans-serif" w:hAnsi="Times New Roman;sans-serif"/>
          <w:b w:val="false"/>
          <w:color w:val="000000"/>
          <w:sz w:val="22"/>
        </w:rPr>
        <w:t>Title: Authorized Signatory</w:t>
      </w:r>
    </w:p>
    <w:p>
      <w:pPr>
        <w:pStyle w:val="TextBody"/>
        <w:spacing w:before="0" w:after="0"/>
        <w:ind w:left="0" w:right="0" w:firstLine="720"/>
        <w:jc w:val="both"/>
        <w:rPr/>
      </w:pPr>
      <w:r>
        <w:rPr/>
      </w:r>
    </w:p>
    <w:p>
      <w:pPr>
        <w:pStyle w:val="TextBody"/>
        <w:spacing w:before="2" w:after="283"/>
        <w:ind w:left="0" w:right="0" w:firstLine="7"/>
        <w:jc w:val="both"/>
        <w:rPr/>
      </w:pPr>
      <w:r>
        <w:rPr/>
      </w:r>
    </w:p>
    <w:p>
      <w:pPr>
        <w:pStyle w:val="TextBody"/>
        <w:spacing w:before="2" w:after="283"/>
        <w:ind w:left="0" w:right="0" w:firstLine="7"/>
        <w:jc w:val="both"/>
        <w:rPr/>
      </w:pPr>
      <w:r>
        <w:rPr/>
      </w:r>
      <w:r>
        <w:br w:type="page"/>
      </w:r>
    </w:p>
    <w:p>
      <w:pPr>
        <w:pStyle w:val="TextBody"/>
        <w:spacing w:before="0" w:after="0"/>
        <w:jc w:val="right"/>
        <w:rPr/>
      </w:pPr>
      <w:r>
        <w:rPr/>
      </w:r>
      <w:r>
        <mc:AlternateContent>
          <mc:Choice Requires="wps">
            <w:drawing>
              <wp:anchor behindDoc="0" distT="0" distB="0" distL="0" distR="0" simplePos="0" locked="0" layoutInCell="1" allowOverlap="1" relativeHeight="379">
                <wp:simplePos x="0" y="0"/>
                <wp:positionH relativeFrom="character">
                  <wp:align>left</wp:align>
                </wp:positionH>
                <wp:positionV relativeFrom="line">
                  <wp:posOffset>635</wp:posOffset>
                </wp:positionV>
                <wp:extent cx="6480175" cy="131445"/>
                <wp:effectExtent l="0" t="0" r="0" b="0"/>
                <wp:wrapNone/>
                <wp:docPr id="378" name="Frame375"/>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Signature Page to Amendment to Amended and Restated Shareholders Agreement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Signature Page to Amendment to Amended and Restated Shareholders Agreement</w:t>
                      </w:r>
                    </w:p>
                  </w:txbxContent>
                </v:textbox>
              </v:rect>
            </w:pict>
          </mc:Fallback>
        </mc:AlternateContent>
      </w:r>
    </w:p>
    <w:p>
      <w:pPr>
        <w:pStyle w:val="TextBody"/>
        <w:spacing w:lineRule="auto" w:line="288" w:before="2" w:after="283"/>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IN WITNESS WHEREOF, the parties hereto have caused their respective duly authorized representatives to execute this Amendment on the date first written above.</w:t>
      </w:r>
    </w:p>
    <w:p>
      <w:pPr>
        <w:pStyle w:val="TextBody"/>
        <w:spacing w:before="2" w:after="283"/>
        <w:ind w:left="0" w:right="0" w:firstLine="7"/>
        <w:jc w:val="both"/>
        <w:rPr/>
      </w:pPr>
      <w:r>
        <w:rPr/>
      </w:r>
    </w:p>
    <w:p>
      <w:pPr>
        <w:pStyle w:val="TextBody"/>
        <w:spacing w:lineRule="auto" w:line="288" w:before="2" w:after="283"/>
        <w:ind w:left="0" w:right="0" w:firstLine="1"/>
        <w:rPr/>
      </w:pPr>
      <w:r>
        <w:rPr>
          <w:rFonts w:ascii="Times New Roman;sans-serif" w:hAnsi="Times New Roman;sans-serif"/>
          <w:b w:val="false"/>
          <w:color w:val="000000"/>
          <w:sz w:val="22"/>
          <w:u w:val="single"/>
        </w:rPr>
        <w:t>PREFERRED HOLDER</w:t>
      </w:r>
      <w:r>
        <w:rPr>
          <w:rFonts w:ascii="Times New Roman;sans-serif" w:hAnsi="Times New Roman;sans-serif"/>
          <w:b w:val="false"/>
          <w:color w:val="000000"/>
          <w:sz w:val="22"/>
        </w:rPr>
        <w:t xml:space="preserve">: </w:t>
      </w:r>
      <w:r>
        <w:rPr>
          <w:color w:val="000000"/>
        </w:rPr>
        <w:t>    </w:t>
      </w:r>
      <w:r>
        <w:rPr>
          <w:rFonts w:ascii="Times New Roman;sans-serif" w:hAnsi="Times New Roman;sans-serif"/>
          <w:b/>
          <w:color w:val="000000"/>
          <w:sz w:val="22"/>
        </w:rPr>
        <w:t>Shunwei Technology II Limited</w:t>
      </w:r>
    </w:p>
    <w:p>
      <w:pPr>
        <w:pStyle w:val="TextBody"/>
        <w:spacing w:before="120" w:after="283"/>
        <w:ind w:left="0" w:right="0" w:hanging="3969"/>
        <w:jc w:val="both"/>
        <w:rPr/>
      </w:pPr>
      <w:r>
        <w:rPr/>
      </w:r>
    </w:p>
    <w:p>
      <w:pPr>
        <w:pStyle w:val="TextBody"/>
        <w:spacing w:before="0" w:after="0"/>
        <w:ind w:left="0" w:right="0" w:hanging="3427"/>
        <w:jc w:val="both"/>
        <w:rPr/>
      </w:pPr>
      <w:r>
        <w:rPr/>
      </w:r>
    </w:p>
    <w:p>
      <w:pPr>
        <w:pStyle w:val="TextBody"/>
        <w:spacing w:before="0" w:after="0"/>
        <w:ind w:left="0" w:right="0" w:hanging="3427"/>
        <w:jc w:val="both"/>
        <w:rPr/>
      </w:pPr>
      <w:r>
        <w:rPr/>
      </w:r>
    </w:p>
    <w:p>
      <w:pPr>
        <w:pStyle w:val="TextBody"/>
        <w:spacing w:before="0" w:after="0"/>
        <w:ind w:left="0" w:right="0" w:hanging="3427"/>
        <w:jc w:val="both"/>
        <w:rPr/>
      </w:pPr>
      <w:r>
        <w:rPr/>
      </w:r>
    </w:p>
    <w:p>
      <w:pPr>
        <w:pStyle w:val="TextBody"/>
        <w:spacing w:lineRule="auto" w:line="288" w:before="0" w:after="0"/>
        <w:ind w:left="0" w:right="0" w:hanging="3969"/>
        <w:jc w:val="both"/>
        <w:rPr/>
      </w:pPr>
      <w:r>
        <w:rPr>
          <w:rFonts w:ascii="Times New Roman;sans-serif" w:hAnsi="Times New Roman;sans-serif"/>
          <w:b w:val="false"/>
          <w:color w:val="000000"/>
          <w:sz w:val="22"/>
        </w:rPr>
        <w:t xml:space="preserve">By: </w:t>
      </w:r>
      <w:r>
        <w:rPr>
          <w:rFonts w:ascii="Times New Roman;sans-serif" w:hAnsi="Times New Roman;sans-serif"/>
          <w:b w:val="false"/>
          <w:color w:val="000000"/>
          <w:sz w:val="22"/>
          <w:u w:val="single"/>
        </w:rPr>
        <w:t xml:space="preserve">/s/ Tuck Lye Koh </w:t>
      </w:r>
    </w:p>
    <w:p>
      <w:pPr>
        <w:pStyle w:val="TextBody"/>
        <w:spacing w:lineRule="auto" w:line="288" w:before="0" w:after="0"/>
        <w:ind w:left="0" w:right="0" w:hanging="3969"/>
        <w:jc w:val="both"/>
        <w:rPr>
          <w:rFonts w:ascii="Times New Roman;sans-serif" w:hAnsi="Times New Roman;sans-serif"/>
          <w:b w:val="false"/>
          <w:color w:val="000000"/>
          <w:sz w:val="22"/>
        </w:rPr>
      </w:pPr>
      <w:r>
        <w:rPr>
          <w:rFonts w:ascii="Times New Roman;sans-serif" w:hAnsi="Times New Roman;sans-serif"/>
          <w:b w:val="false"/>
          <w:color w:val="000000"/>
          <w:sz w:val="22"/>
        </w:rPr>
        <w:t>Name: Tuck Lye Koh</w:t>
      </w:r>
    </w:p>
    <w:p>
      <w:pPr>
        <w:pStyle w:val="TextBody"/>
        <w:spacing w:lineRule="auto" w:line="288" w:before="0" w:after="0"/>
        <w:ind w:left="0" w:right="0" w:hanging="2880"/>
        <w:jc w:val="both"/>
        <w:rPr>
          <w:color w:val="000000"/>
        </w:rPr>
      </w:pPr>
      <w:r>
        <w:rPr>
          <w:color w:val="000000"/>
        </w:rPr>
        <w:t xml:space="preserve">     </w:t>
      </w:r>
      <w:r>
        <w:rPr>
          <w:rFonts w:ascii="Times New Roman;sans-serif" w:hAnsi="Times New Roman;sans-serif"/>
          <w:b w:val="false"/>
          <w:color w:val="000000"/>
          <w:sz w:val="22"/>
        </w:rPr>
        <w:t>Title: Director</w:t>
      </w:r>
    </w:p>
    <w:p>
      <w:pPr>
        <w:pStyle w:val="TextBody"/>
        <w:ind w:left="0" w:right="0" w:firstLine="720"/>
        <w:jc w:val="both"/>
        <w:rPr/>
      </w:pPr>
      <w:r>
        <w:rPr/>
      </w:r>
      <w:r>
        <w:br w:type="page"/>
      </w:r>
    </w:p>
    <w:p>
      <w:pPr>
        <w:pStyle w:val="TextBody"/>
        <w:spacing w:before="0" w:after="0"/>
        <w:jc w:val="right"/>
        <w:rPr/>
      </w:pPr>
      <w:r>
        <w:rPr/>
      </w:r>
      <w:r>
        <mc:AlternateContent>
          <mc:Choice Requires="wps">
            <w:drawing>
              <wp:anchor behindDoc="0" distT="0" distB="0" distL="0" distR="0" simplePos="0" locked="0" layoutInCell="1" allowOverlap="1" relativeHeight="380">
                <wp:simplePos x="0" y="0"/>
                <wp:positionH relativeFrom="character">
                  <wp:align>left</wp:align>
                </wp:positionH>
                <wp:positionV relativeFrom="line">
                  <wp:posOffset>635</wp:posOffset>
                </wp:positionV>
                <wp:extent cx="6480175" cy="131445"/>
                <wp:effectExtent l="0" t="0" r="0" b="0"/>
                <wp:wrapNone/>
                <wp:docPr id="379" name="Frame376"/>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Signature Page to Amendment to Amended and Restated Shareholders Agreement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Signature Page to Amendment to Amended and Restated Shareholders Agreement</w:t>
                      </w:r>
                    </w:p>
                  </w:txbxContent>
                </v:textbox>
              </v:rect>
            </w:pict>
          </mc:Fallback>
        </mc:AlternateContent>
      </w:r>
    </w:p>
    <w:p>
      <w:pPr>
        <w:pStyle w:val="TextBody"/>
        <w:spacing w:before="0" w:after="0"/>
        <w:ind w:left="0" w:right="0" w:firstLine="720"/>
        <w:jc w:val="both"/>
        <w:rPr/>
      </w:pPr>
      <w:r>
        <w:rPr/>
      </w:r>
    </w:p>
    <w:p>
      <w:pPr>
        <w:pStyle w:val="TextBody"/>
        <w:spacing w:before="2" w:after="283"/>
        <w:ind w:left="0" w:right="0" w:firstLine="7"/>
        <w:jc w:val="both"/>
        <w:rPr/>
      </w:pPr>
      <w:r>
        <w:rPr/>
      </w:r>
    </w:p>
    <w:p>
      <w:pPr>
        <w:pStyle w:val="TextBody"/>
        <w:spacing w:lineRule="auto" w:line="288" w:before="2" w:after="283"/>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IN WITNESS WHEREOF, the parties hereto have caused their respective duly authorized representatives to execute this Amendment on the date first written above.</w:t>
      </w:r>
    </w:p>
    <w:p>
      <w:pPr>
        <w:pStyle w:val="TextBody"/>
        <w:spacing w:before="2" w:after="283"/>
        <w:ind w:left="0" w:right="0" w:firstLine="7"/>
        <w:jc w:val="both"/>
        <w:rPr/>
      </w:pPr>
      <w:r>
        <w:rPr/>
      </w:r>
    </w:p>
    <w:p>
      <w:pPr>
        <w:pStyle w:val="TextBody"/>
        <w:spacing w:lineRule="auto" w:line="288" w:before="120" w:after="120"/>
        <w:ind w:left="0" w:right="0" w:hanging="2880"/>
        <w:rPr/>
      </w:pPr>
      <w:r>
        <w:rPr>
          <w:rFonts w:ascii="Times New Roman;sans-serif" w:hAnsi="Times New Roman;sans-serif"/>
          <w:b w:val="false"/>
          <w:color w:val="000000"/>
          <w:sz w:val="22"/>
          <w:u w:val="single"/>
        </w:rPr>
        <w:t>PREFERRED HOLDER</w:t>
      </w:r>
      <w:r>
        <w:rPr>
          <w:rFonts w:ascii="Times New Roman;sans-serif" w:hAnsi="Times New Roman;sans-serif"/>
          <w:b w:val="false"/>
          <w:color w:val="000000"/>
          <w:sz w:val="22"/>
        </w:rPr>
        <w:t xml:space="preserve">: </w:t>
      </w:r>
      <w:r>
        <w:rPr>
          <w:rFonts w:ascii="Times New Roman;sans-serif" w:hAnsi="Times New Roman;sans-serif"/>
          <w:b/>
          <w:color w:val="000000"/>
          <w:sz w:val="22"/>
        </w:rPr>
        <w:t>Duowan Entertainment Corp.</w:t>
      </w:r>
    </w:p>
    <w:p>
      <w:pPr>
        <w:pStyle w:val="TextBody"/>
        <w:spacing w:before="0" w:after="0"/>
        <w:ind w:left="0" w:right="0" w:hanging="3427"/>
        <w:jc w:val="both"/>
        <w:rPr/>
      </w:pPr>
      <w:r>
        <w:rPr/>
      </w:r>
    </w:p>
    <w:p>
      <w:pPr>
        <w:pStyle w:val="TextBody"/>
        <w:spacing w:before="0" w:after="0"/>
        <w:ind w:left="0" w:right="0" w:hanging="3427"/>
        <w:jc w:val="both"/>
        <w:rPr/>
      </w:pPr>
      <w:r>
        <w:rPr/>
      </w:r>
    </w:p>
    <w:p>
      <w:pPr>
        <w:pStyle w:val="TextBody"/>
        <w:spacing w:before="0" w:after="0"/>
        <w:ind w:left="0" w:right="0" w:hanging="3427"/>
        <w:jc w:val="both"/>
        <w:rPr/>
      </w:pPr>
      <w:r>
        <w:rPr/>
      </w:r>
    </w:p>
    <w:p>
      <w:pPr>
        <w:pStyle w:val="TextBody"/>
        <w:spacing w:before="0" w:after="0"/>
        <w:ind w:left="0" w:right="0" w:hanging="3427"/>
        <w:jc w:val="both"/>
        <w:rPr/>
      </w:pPr>
      <w:r>
        <w:rPr/>
      </w:r>
    </w:p>
    <w:p>
      <w:pPr>
        <w:pStyle w:val="TextBody"/>
        <w:spacing w:lineRule="auto" w:line="288" w:before="200" w:after="283"/>
        <w:ind w:left="0" w:right="0" w:firstLine="142"/>
        <w:rPr/>
      </w:pPr>
      <w:r>
        <w:rPr>
          <w:rFonts w:ascii="Times New Roman;sans-serif" w:hAnsi="Times New Roman;sans-serif"/>
          <w:b w:val="false"/>
          <w:color w:val="000000"/>
          <w:sz w:val="22"/>
        </w:rPr>
        <w:t xml:space="preserve">By: </w:t>
      </w:r>
      <w:r>
        <w:rPr>
          <w:rFonts w:ascii="Times New Roman;sans-serif" w:hAnsi="Times New Roman;sans-serif"/>
          <w:b w:val="false"/>
          <w:color w:val="000000"/>
          <w:sz w:val="22"/>
          <w:u w:val="single"/>
        </w:rPr>
        <w:t>/s/ Li Xueling    </w:t>
      </w:r>
    </w:p>
    <w:p>
      <w:pPr>
        <w:pStyle w:val="TextBody"/>
        <w:spacing w:lineRule="auto" w:line="288" w:before="0" w:after="0"/>
        <w:ind w:left="0" w:right="0" w:firstLine="142"/>
        <w:rPr>
          <w:rFonts w:ascii="Times New Roman;sans-serif" w:hAnsi="Times New Roman;sans-serif"/>
          <w:b w:val="false"/>
          <w:color w:val="000000"/>
          <w:sz w:val="22"/>
        </w:rPr>
      </w:pPr>
      <w:r>
        <w:rPr>
          <w:rFonts w:ascii="Times New Roman;sans-serif" w:hAnsi="Times New Roman;sans-serif"/>
          <w:b w:val="false"/>
          <w:color w:val="000000"/>
          <w:sz w:val="22"/>
        </w:rPr>
        <w:t>Name: Li Xueling</w:t>
      </w:r>
    </w:p>
    <w:p>
      <w:pPr>
        <w:pStyle w:val="TextBody"/>
        <w:spacing w:lineRule="auto" w:line="288" w:before="0" w:after="0"/>
        <w:ind w:left="0" w:right="0" w:firstLine="142"/>
        <w:rPr>
          <w:rFonts w:ascii="Times New Roman;sans-serif" w:hAnsi="Times New Roman;sans-serif"/>
          <w:b w:val="false"/>
          <w:color w:val="000000"/>
          <w:sz w:val="22"/>
        </w:rPr>
      </w:pPr>
      <w:r>
        <w:rPr>
          <w:rFonts w:ascii="Times New Roman;sans-serif" w:hAnsi="Times New Roman;sans-serif"/>
          <w:b w:val="false"/>
          <w:color w:val="000000"/>
          <w:sz w:val="22"/>
        </w:rPr>
        <w:t>Title: Director</w:t>
      </w:r>
    </w:p>
    <w:p>
      <w:pPr>
        <w:pStyle w:val="TextBody"/>
        <w:spacing w:before="2" w:after="283"/>
        <w:ind w:left="0" w:right="0" w:firstLine="7"/>
        <w:rPr/>
      </w:pPr>
      <w:r>
        <w:rPr/>
      </w:r>
      <w:r>
        <w:br w:type="page"/>
      </w:r>
    </w:p>
    <w:p>
      <w:pPr>
        <w:pStyle w:val="TextBody"/>
        <w:spacing w:before="0" w:after="0"/>
        <w:jc w:val="right"/>
        <w:rPr/>
      </w:pPr>
      <w:r>
        <w:rPr/>
      </w:r>
      <w:r>
        <mc:AlternateContent>
          <mc:Choice Requires="wps">
            <w:drawing>
              <wp:anchor behindDoc="0" distT="0" distB="0" distL="0" distR="0" simplePos="0" locked="0" layoutInCell="1" allowOverlap="1" relativeHeight="381">
                <wp:simplePos x="0" y="0"/>
                <wp:positionH relativeFrom="character">
                  <wp:align>left</wp:align>
                </wp:positionH>
                <wp:positionV relativeFrom="line">
                  <wp:posOffset>635</wp:posOffset>
                </wp:positionV>
                <wp:extent cx="6480175" cy="131445"/>
                <wp:effectExtent l="0" t="0" r="0" b="0"/>
                <wp:wrapNone/>
                <wp:docPr id="380" name="Frame377"/>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Signature Page to Amendment to Amended and Restated Shareholders Agreement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Signature Page to Amendment to Amended and Restated Shareholders Agreement</w:t>
                      </w:r>
                    </w:p>
                  </w:txbxContent>
                </v:textbox>
              </v:rect>
            </w:pict>
          </mc:Fallback>
        </mc:AlternateContent>
      </w:r>
    </w:p>
    <w:p>
      <w:pPr>
        <w:pStyle w:val="TextBody"/>
        <w:spacing w:before="2" w:after="283"/>
        <w:ind w:left="0" w:right="0" w:firstLine="7"/>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IN WITNESS WHEREOF, the parties hereto have caused their respective duly authorized representatives to execute this Amendment on the date first written above. </w:t>
      </w:r>
    </w:p>
    <w:p>
      <w:pPr>
        <w:pStyle w:val="TextBody"/>
        <w:spacing w:lineRule="auto" w:line="288" w:before="240" w:after="283"/>
        <w:ind w:left="0" w:right="0" w:hanging="3135"/>
        <w:jc w:val="both"/>
        <w:rPr/>
      </w:pPr>
      <w:r>
        <w:rPr>
          <w:rFonts w:ascii="Times New Roman;sans-serif" w:hAnsi="Times New Roman;sans-serif"/>
          <w:b w:val="false"/>
          <w:color w:val="000000"/>
          <w:sz w:val="22"/>
          <w:highlight w:val="white"/>
          <w:u w:val="single"/>
        </w:rPr>
        <w:t>PREFERRED HOLDER</w:t>
      </w:r>
      <w:r>
        <w:rPr>
          <w:rFonts w:ascii="Times New Roman;sans-serif" w:hAnsi="Times New Roman;sans-serif"/>
          <w:b w:val="false"/>
          <w:color w:val="000000"/>
          <w:sz w:val="22"/>
          <w:highlight w:val="white"/>
        </w:rPr>
        <w:t>:</w:t>
      </w:r>
      <w:r>
        <w:rPr>
          <w:color w:val="000000"/>
          <w:highlight w:val="white"/>
        </w:rPr>
        <w:t xml:space="preserve"> </w:t>
      </w:r>
      <w:r>
        <w:rPr>
          <w:rFonts w:ascii="Times New Roman;sans-serif" w:hAnsi="Times New Roman;sans-serif"/>
          <w:b/>
          <w:color w:val="000000"/>
          <w:sz w:val="22"/>
          <w:highlight w:val="white"/>
        </w:rPr>
        <w:t>MORNINGSIDE CHINA TMT FUND II, L.P.,    </w:t>
      </w:r>
    </w:p>
    <w:p>
      <w:pPr>
        <w:pStyle w:val="TextBody"/>
        <w:spacing w:lineRule="auto" w:line="288" w:before="0" w:after="0"/>
        <w:ind w:left="0" w:right="0" w:hanging="825"/>
        <w:jc w:val="both"/>
        <w:rPr>
          <w:rFonts w:ascii="Times New Roman;sans-serif" w:hAnsi="Times New Roman;sans-serif"/>
          <w:b w:val="false"/>
          <w:color w:val="000000"/>
          <w:sz w:val="22"/>
          <w:highlight w:val="white"/>
        </w:rPr>
      </w:pPr>
      <w:r>
        <w:rPr>
          <w:rFonts w:ascii="Times New Roman;sans-serif" w:hAnsi="Times New Roman;sans-serif"/>
          <w:b w:val="false"/>
          <w:color w:val="000000"/>
          <w:sz w:val="22"/>
          <w:highlight w:val="white"/>
        </w:rPr>
        <w:t>a Cayman Islands exempted limited partnership    </w:t>
      </w:r>
    </w:p>
    <w:p>
      <w:pPr>
        <w:pStyle w:val="TextBody"/>
        <w:spacing w:lineRule="auto" w:line="288" w:before="2" w:after="283"/>
        <w:ind w:left="0" w:right="0" w:firstLine="7"/>
        <w:jc w:val="both"/>
        <w:rPr>
          <w:color w:val="000000"/>
          <w:highlight w:val="white"/>
        </w:rPr>
      </w:pPr>
      <w:r>
        <w:rPr>
          <w:color w:val="000000"/>
          <w:highlight w:val="white"/>
        </w:rPr>
        <w:t>                    </w:t>
      </w:r>
    </w:p>
    <w:p>
      <w:pPr>
        <w:pStyle w:val="TextBody"/>
        <w:spacing w:lineRule="auto" w:line="288" w:before="240" w:after="283"/>
        <w:ind w:left="0" w:right="0" w:hanging="825"/>
        <w:jc w:val="both"/>
        <w:rPr>
          <w:rFonts w:ascii="Times New Roman;sans-serif" w:hAnsi="Times New Roman;sans-serif"/>
          <w:b w:val="false"/>
          <w:color w:val="000000"/>
          <w:sz w:val="22"/>
          <w:highlight w:val="white"/>
        </w:rPr>
      </w:pPr>
      <w:r>
        <w:rPr>
          <w:rFonts w:ascii="Times New Roman;sans-serif" w:hAnsi="Times New Roman;sans-serif"/>
          <w:b w:val="false"/>
          <w:color w:val="000000"/>
          <w:sz w:val="22"/>
          <w:highlight w:val="white"/>
        </w:rPr>
        <w:t>By :                        </w:t>
      </w:r>
    </w:p>
    <w:p>
      <w:pPr>
        <w:pStyle w:val="TextBody"/>
        <w:spacing w:lineRule="auto" w:line="288" w:before="0" w:after="0"/>
        <w:ind w:left="0" w:right="0" w:hanging="825"/>
        <w:jc w:val="both"/>
        <w:rPr/>
      </w:pPr>
      <w:r>
        <w:rPr>
          <w:rFonts w:ascii="Times New Roman;sans-serif" w:hAnsi="Times New Roman;sans-serif"/>
          <w:b/>
          <w:color w:val="000000"/>
          <w:sz w:val="22"/>
          <w:highlight w:val="white"/>
        </w:rPr>
        <w:t>MORNINGSIDE CHINA TMT GP II, L.P.,</w:t>
      </w:r>
      <w:r>
        <w:rPr>
          <w:color w:val="000000"/>
          <w:highlight w:val="white"/>
        </w:rPr>
        <w:t>        </w:t>
      </w:r>
    </w:p>
    <w:p>
      <w:pPr>
        <w:pStyle w:val="TextBody"/>
        <w:spacing w:lineRule="auto" w:line="288" w:before="0" w:after="0"/>
        <w:ind w:left="0" w:right="0" w:firstLine="7"/>
        <w:jc w:val="both"/>
        <w:rPr>
          <w:rFonts w:ascii="Times New Roman;sans-serif" w:hAnsi="Times New Roman;sans-serif"/>
          <w:b w:val="false"/>
          <w:color w:val="000000"/>
          <w:sz w:val="22"/>
          <w:highlight w:val="white"/>
        </w:rPr>
      </w:pPr>
      <w:r>
        <w:rPr>
          <w:rFonts w:ascii="Times New Roman;sans-serif" w:hAnsi="Times New Roman;sans-serif"/>
          <w:b w:val="false"/>
          <w:color w:val="000000"/>
          <w:sz w:val="22"/>
          <w:highlight w:val="white"/>
        </w:rPr>
        <w:t>a Cayman Islands exempted limited partnership,    </w:t>
      </w:r>
    </w:p>
    <w:p>
      <w:pPr>
        <w:pStyle w:val="TextBody"/>
        <w:spacing w:lineRule="auto" w:line="288" w:before="0" w:after="0"/>
        <w:ind w:left="0" w:right="0" w:hanging="825"/>
        <w:jc w:val="both"/>
        <w:rPr>
          <w:rFonts w:ascii="Times New Roman;sans-serif" w:hAnsi="Times New Roman;sans-serif"/>
          <w:b w:val="false"/>
          <w:color w:val="000000"/>
          <w:sz w:val="22"/>
          <w:highlight w:val="white"/>
        </w:rPr>
      </w:pPr>
      <w:r>
        <w:rPr>
          <w:rFonts w:ascii="Times New Roman;sans-serif" w:hAnsi="Times New Roman;sans-serif"/>
          <w:b w:val="false"/>
          <w:color w:val="000000"/>
          <w:sz w:val="22"/>
          <w:highlight w:val="white"/>
        </w:rPr>
        <w:t>its general partner                                        </w:t>
      </w:r>
    </w:p>
    <w:p>
      <w:pPr>
        <w:pStyle w:val="TextBody"/>
        <w:spacing w:before="240" w:after="283"/>
        <w:ind w:left="0" w:right="0" w:hanging="825"/>
        <w:jc w:val="both"/>
        <w:rPr/>
      </w:pPr>
      <w:r>
        <w:rPr/>
      </w:r>
    </w:p>
    <w:p>
      <w:pPr>
        <w:pStyle w:val="TextBody"/>
        <w:spacing w:lineRule="auto" w:line="288" w:before="2" w:after="283"/>
        <w:ind w:left="0" w:right="0" w:firstLine="7"/>
        <w:jc w:val="both"/>
        <w:rPr>
          <w:rFonts w:ascii="Times New Roman;sans-serif" w:hAnsi="Times New Roman;sans-serif"/>
          <w:b w:val="false"/>
          <w:color w:val="000000"/>
          <w:sz w:val="22"/>
          <w:highlight w:val="white"/>
        </w:rPr>
      </w:pPr>
      <w:r>
        <w:rPr>
          <w:rFonts w:ascii="Times New Roman;sans-serif" w:hAnsi="Times New Roman;sans-serif"/>
          <w:b w:val="false"/>
          <w:color w:val="000000"/>
          <w:sz w:val="22"/>
          <w:highlight w:val="white"/>
        </w:rPr>
        <w:t>By :                        </w:t>
      </w:r>
    </w:p>
    <w:p>
      <w:pPr>
        <w:pStyle w:val="TextBody"/>
        <w:spacing w:lineRule="auto" w:line="288" w:before="0" w:after="0"/>
        <w:ind w:left="0" w:right="0" w:firstLine="7"/>
        <w:jc w:val="both"/>
        <w:rPr/>
      </w:pPr>
      <w:r>
        <w:rPr>
          <w:rFonts w:ascii="Times New Roman;sans-serif" w:hAnsi="Times New Roman;sans-serif"/>
          <w:b/>
          <w:color w:val="000000"/>
          <w:sz w:val="22"/>
          <w:highlight w:val="white"/>
        </w:rPr>
        <w:t>TMT GENERAL PARTNER LTD</w:t>
      </w:r>
      <w:r>
        <w:rPr>
          <w:rFonts w:ascii="Times New Roman;sans-serif" w:hAnsi="Times New Roman;sans-serif"/>
          <w:b w:val="false"/>
          <w:color w:val="000000"/>
          <w:sz w:val="22"/>
          <w:highlight w:val="white"/>
        </w:rPr>
        <w:t>.,    </w:t>
      </w:r>
    </w:p>
    <w:p>
      <w:pPr>
        <w:pStyle w:val="TextBody"/>
        <w:spacing w:lineRule="auto" w:line="288" w:before="0" w:after="0"/>
        <w:ind w:left="0" w:right="0" w:hanging="825"/>
        <w:jc w:val="both"/>
        <w:rPr>
          <w:rFonts w:ascii="Times New Roman;sans-serif" w:hAnsi="Times New Roman;sans-serif"/>
          <w:b w:val="false"/>
          <w:color w:val="000000"/>
          <w:sz w:val="22"/>
          <w:highlight w:val="white"/>
        </w:rPr>
      </w:pPr>
      <w:r>
        <w:rPr>
          <w:rFonts w:ascii="Times New Roman;sans-serif" w:hAnsi="Times New Roman;sans-serif"/>
          <w:b w:val="false"/>
          <w:color w:val="000000"/>
          <w:sz w:val="22"/>
          <w:highlight w:val="white"/>
        </w:rPr>
        <w:t>a Cayman Islands limited company,            </w:t>
      </w:r>
    </w:p>
    <w:p>
      <w:pPr>
        <w:pStyle w:val="TextBody"/>
        <w:spacing w:lineRule="auto" w:line="288" w:before="0" w:after="0"/>
        <w:ind w:left="0" w:right="0" w:firstLine="7"/>
        <w:jc w:val="both"/>
        <w:rPr>
          <w:rFonts w:ascii="Times New Roman;sans-serif" w:hAnsi="Times New Roman;sans-serif"/>
          <w:b w:val="false"/>
          <w:color w:val="000000"/>
          <w:sz w:val="22"/>
          <w:highlight w:val="white"/>
        </w:rPr>
      </w:pPr>
      <w:r>
        <w:rPr>
          <w:rFonts w:ascii="Times New Roman;sans-serif" w:hAnsi="Times New Roman;sans-serif"/>
          <w:b w:val="false"/>
          <w:color w:val="000000"/>
          <w:sz w:val="22"/>
          <w:highlight w:val="white"/>
        </w:rPr>
        <w:t>its general partner                    </w:t>
      </w:r>
    </w:p>
    <w:p>
      <w:pPr>
        <w:pStyle w:val="TextBody"/>
        <w:spacing w:lineRule="auto" w:line="288" w:before="0" w:after="0"/>
        <w:ind w:left="0" w:right="0" w:hanging="825"/>
        <w:jc w:val="both"/>
        <w:rPr>
          <w:color w:val="000000"/>
          <w:highlight w:val="white"/>
        </w:rPr>
      </w:pPr>
      <w:r>
        <w:rPr>
          <w:color w:val="000000"/>
          <w:highlight w:val="white"/>
        </w:rPr>
        <w:t>                        </w:t>
      </w:r>
    </w:p>
    <w:p>
      <w:pPr>
        <w:pStyle w:val="TextBody"/>
        <w:spacing w:lineRule="auto" w:line="288" w:before="0" w:after="0"/>
        <w:ind w:left="0" w:right="0" w:hanging="825"/>
        <w:jc w:val="both"/>
        <w:rPr>
          <w:rFonts w:ascii="Times New Roman;sans-serif" w:hAnsi="Times New Roman;sans-serif"/>
          <w:b w:val="false"/>
          <w:color w:val="000000"/>
          <w:sz w:val="22"/>
          <w:highlight w:val="white"/>
        </w:rPr>
      </w:pPr>
      <w:r>
        <w:rPr>
          <w:rFonts w:ascii="Times New Roman;sans-serif" w:hAnsi="Times New Roman;sans-serif"/>
          <w:b w:val="false"/>
          <w:color w:val="000000"/>
          <w:sz w:val="22"/>
          <w:highlight w:val="white"/>
        </w:rPr>
        <w:t>in     on                                    </w:t>
      </w:r>
    </w:p>
    <w:p>
      <w:pPr>
        <w:pStyle w:val="TextBody"/>
        <w:spacing w:lineRule="auto" w:line="288" w:before="240" w:after="283"/>
        <w:ind w:left="0" w:right="0" w:hanging="825"/>
        <w:jc w:val="both"/>
        <w:rPr>
          <w:color w:val="000000"/>
          <w:highlight w:val="white"/>
        </w:rPr>
      </w:pPr>
      <w:r>
        <w:rPr>
          <w:color w:val="000000"/>
          <w:highlight w:val="white"/>
        </w:rPr>
        <w:t>                        </w:t>
      </w:r>
    </w:p>
    <w:p>
      <w:pPr>
        <w:pStyle w:val="TextBody"/>
        <w:spacing w:lineRule="auto" w:line="288" w:before="240" w:after="283"/>
        <w:ind w:left="0" w:right="0" w:firstLine="720"/>
        <w:rPr/>
      </w:pPr>
      <w:r>
        <w:rPr>
          <w:rFonts w:ascii="Times New Roman;sans-serif" w:hAnsi="Times New Roman;sans-serif"/>
          <w:b w:val="false"/>
          <w:color w:val="000000"/>
          <w:sz w:val="22"/>
          <w:highlight w:val="white"/>
          <w:u w:val="single"/>
        </w:rPr>
        <w:t>/s/ Jill Marie Franklin</w:t>
      </w:r>
      <w:r>
        <w:rPr>
          <w:rFonts w:ascii="Times New Roman;sans-serif" w:hAnsi="Times New Roman;sans-serif"/>
          <w:b w:val="false"/>
          <w:color w:val="000000"/>
          <w:sz w:val="22"/>
          <w:highlight w:val="white"/>
        </w:rPr>
        <w:t>________________________     </w:t>
      </w:r>
    </w:p>
    <w:p>
      <w:pPr>
        <w:pStyle w:val="TextBody"/>
        <w:spacing w:lineRule="auto" w:line="288" w:before="0" w:after="0"/>
        <w:ind w:left="0" w:right="0" w:firstLine="7"/>
        <w:jc w:val="both"/>
        <w:rPr>
          <w:color w:val="000000"/>
          <w:highlight w:val="white"/>
        </w:rPr>
      </w:pPr>
      <w:r>
        <w:rPr>
          <w:color w:val="000000"/>
          <w:highlight w:val="white"/>
        </w:rPr>
        <w:t xml:space="preserve">     </w:t>
      </w:r>
      <w:r>
        <w:rPr>
          <w:rFonts w:ascii="Times New Roman;sans-serif" w:hAnsi="Times New Roman;sans-serif"/>
          <w:b w:val="false"/>
          <w:color w:val="000000"/>
          <w:sz w:val="22"/>
          <w:highlight w:val="white"/>
        </w:rPr>
        <w:t>Jill Marie Franklin</w:t>
      </w:r>
    </w:p>
    <w:p>
      <w:pPr>
        <w:pStyle w:val="TextBody"/>
        <w:spacing w:lineRule="auto" w:line="288" w:before="0" w:after="0"/>
        <w:ind w:left="0" w:right="0" w:firstLine="720"/>
        <w:jc w:val="both"/>
        <w:rPr>
          <w:rFonts w:ascii="Times New Roman;sans-serif" w:hAnsi="Times New Roman;sans-serif"/>
          <w:b w:val="false"/>
          <w:color w:val="000000"/>
          <w:sz w:val="22"/>
          <w:highlight w:val="white"/>
        </w:rPr>
      </w:pPr>
      <w:r>
        <w:rPr>
          <w:rFonts w:ascii="Times New Roman;sans-serif" w:hAnsi="Times New Roman;sans-serif"/>
          <w:b w:val="false"/>
          <w:color w:val="000000"/>
          <w:sz w:val="22"/>
          <w:highlight w:val="white"/>
        </w:rPr>
        <w:t>Director/Authorised Signatory</w:t>
      </w:r>
    </w:p>
    <w:p>
      <w:pPr>
        <w:pStyle w:val="TextBody"/>
        <w:spacing w:before="2" w:after="283"/>
        <w:ind w:left="0" w:right="0" w:firstLine="7"/>
        <w:jc w:val="both"/>
        <w:rPr/>
      </w:pPr>
      <w:r>
        <w:rPr/>
      </w:r>
      <w:r>
        <w:br w:type="page"/>
      </w:r>
    </w:p>
    <w:p>
      <w:pPr>
        <w:pStyle w:val="TextBody"/>
        <w:spacing w:before="0" w:after="0"/>
        <w:jc w:val="right"/>
        <w:rPr/>
      </w:pPr>
      <w:r>
        <w:rPr/>
      </w:r>
      <w:r>
        <mc:AlternateContent>
          <mc:Choice Requires="wps">
            <w:drawing>
              <wp:anchor behindDoc="0" distT="0" distB="0" distL="0" distR="0" simplePos="0" locked="0" layoutInCell="1" allowOverlap="1" relativeHeight="382">
                <wp:simplePos x="0" y="0"/>
                <wp:positionH relativeFrom="character">
                  <wp:align>left</wp:align>
                </wp:positionH>
                <wp:positionV relativeFrom="line">
                  <wp:posOffset>635</wp:posOffset>
                </wp:positionV>
                <wp:extent cx="6480175" cy="131445"/>
                <wp:effectExtent l="0" t="0" r="0" b="0"/>
                <wp:wrapNone/>
                <wp:docPr id="381" name="Frame378"/>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Signature Page to Amendment to Amended and Restated Shareholders Agreement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Signature Page to Amendment to Amended and Restated Shareholders Agreement</w:t>
                      </w:r>
                    </w:p>
                  </w:txbxContent>
                </v:textbox>
              </v:rect>
            </w:pict>
          </mc:Fallback>
        </mc:AlternateContent>
      </w:r>
    </w:p>
    <w:p>
      <w:pPr>
        <w:pStyle w:val="TextBody"/>
        <w:spacing w:before="2" w:after="283"/>
        <w:ind w:left="0" w:right="0" w:firstLine="7"/>
        <w:jc w:val="both"/>
        <w:rPr/>
      </w:pPr>
      <w:r>
        <w:rPr/>
      </w:r>
    </w:p>
    <w:p>
      <w:pPr>
        <w:pStyle w:val="TextBody"/>
        <w:spacing w:lineRule="auto" w:line="288" w:before="2" w:after="283"/>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IN WITNESS WHEREOF, the parties hereto have caused their respective duly authorized representatives to execute this Amendment on the date first written above.</w:t>
      </w:r>
    </w:p>
    <w:p>
      <w:pPr>
        <w:pStyle w:val="TextBody"/>
        <w:spacing w:before="2" w:after="283"/>
        <w:ind w:left="0" w:right="0" w:firstLine="7"/>
        <w:jc w:val="both"/>
        <w:rPr/>
      </w:pPr>
      <w:r>
        <w:rPr/>
      </w:r>
    </w:p>
    <w:p>
      <w:pPr>
        <w:pStyle w:val="TextBody"/>
        <w:spacing w:lineRule="auto" w:line="288" w:before="2" w:after="283"/>
        <w:ind w:left="0" w:right="0" w:firstLine="1"/>
        <w:rPr/>
      </w:pPr>
      <w:r>
        <w:rPr>
          <w:rFonts w:ascii="Times New Roman;sans-serif" w:hAnsi="Times New Roman;sans-serif"/>
          <w:b w:val="false"/>
          <w:color w:val="000000"/>
          <w:sz w:val="22"/>
          <w:u w:val="single"/>
        </w:rPr>
        <w:t>PREFERRED HOLDER</w:t>
      </w:r>
      <w:r>
        <w:rPr>
          <w:rFonts w:ascii="Times New Roman;sans-serif" w:hAnsi="Times New Roman;sans-serif"/>
          <w:b w:val="false"/>
          <w:color w:val="000000"/>
          <w:sz w:val="22"/>
        </w:rPr>
        <w:t>:        </w:t>
      </w:r>
      <w:r>
        <w:rPr>
          <w:rFonts w:ascii="Times New Roman;sans-serif" w:hAnsi="Times New Roman;sans-serif"/>
          <w:b/>
          <w:color w:val="000000"/>
          <w:sz w:val="22"/>
        </w:rPr>
        <w:t>MORNINGSIDE CHINA TMT TOP UP FUND, L.P.,</w:t>
      </w:r>
    </w:p>
    <w:p>
      <w:pPr>
        <w:pStyle w:val="TextBody"/>
        <w:spacing w:lineRule="auto" w:line="288" w:before="0" w:after="0"/>
        <w:ind w:left="0" w:right="0" w:firstLine="720"/>
        <w:jc w:val="both"/>
        <w:rPr>
          <w:rFonts w:ascii="Times New Roman;sans-serif" w:hAnsi="Times New Roman;sans-serif"/>
          <w:b w:val="false"/>
          <w:color w:val="000000"/>
          <w:sz w:val="22"/>
          <w:highlight w:val="white"/>
        </w:rPr>
      </w:pPr>
      <w:r>
        <w:rPr>
          <w:rFonts w:ascii="Times New Roman;sans-serif" w:hAnsi="Times New Roman;sans-serif"/>
          <w:b w:val="false"/>
          <w:color w:val="000000"/>
          <w:sz w:val="22"/>
          <w:highlight w:val="white"/>
        </w:rPr>
        <w:t>a Cayman Islands exempted limited partnership    </w:t>
      </w:r>
    </w:p>
    <w:p>
      <w:pPr>
        <w:pStyle w:val="TextBody"/>
        <w:spacing w:lineRule="auto" w:line="288" w:before="0" w:after="0"/>
        <w:ind w:left="0" w:right="0" w:hanging="1327"/>
        <w:jc w:val="both"/>
        <w:rPr>
          <w:color w:val="000000"/>
          <w:highlight w:val="white"/>
        </w:rPr>
      </w:pPr>
      <w:r>
        <w:rPr>
          <w:color w:val="000000"/>
          <w:highlight w:val="white"/>
        </w:rPr>
        <w:t>                            </w:t>
      </w:r>
    </w:p>
    <w:p>
      <w:pPr>
        <w:pStyle w:val="TextBody"/>
        <w:spacing w:lineRule="auto" w:line="288" w:before="0" w:after="0"/>
        <w:ind w:left="0" w:right="0" w:hanging="270"/>
        <w:jc w:val="both"/>
        <w:rPr>
          <w:rFonts w:ascii="Times New Roman;sans-serif" w:hAnsi="Times New Roman;sans-serif"/>
          <w:b w:val="false"/>
          <w:color w:val="000000"/>
          <w:sz w:val="22"/>
          <w:highlight w:val="white"/>
        </w:rPr>
      </w:pPr>
      <w:r>
        <w:rPr>
          <w:rFonts w:ascii="Times New Roman;sans-serif" w:hAnsi="Times New Roman;sans-serif"/>
          <w:b w:val="false"/>
          <w:color w:val="000000"/>
          <w:sz w:val="22"/>
          <w:highlight w:val="white"/>
        </w:rPr>
        <w:t>By :                            </w:t>
      </w:r>
    </w:p>
    <w:p>
      <w:pPr>
        <w:pStyle w:val="TextBody"/>
        <w:spacing w:lineRule="auto" w:line="288" w:before="0" w:after="0"/>
        <w:ind w:left="0" w:right="0" w:firstLine="7"/>
        <w:jc w:val="both"/>
        <w:rPr>
          <w:rFonts w:ascii="Times New Roman;sans-serif" w:hAnsi="Times New Roman;sans-serif"/>
          <w:b/>
          <w:color w:val="000000"/>
          <w:sz w:val="22"/>
          <w:highlight w:val="white"/>
        </w:rPr>
      </w:pPr>
      <w:r>
        <w:rPr>
          <w:rFonts w:ascii="Times New Roman;sans-serif" w:hAnsi="Times New Roman;sans-serif"/>
          <w:b/>
          <w:color w:val="000000"/>
          <w:sz w:val="22"/>
          <w:highlight w:val="white"/>
        </w:rPr>
        <w:t>MORNINGSIDE CHINA TMT GP II, L.P.,</w:t>
      </w:r>
    </w:p>
    <w:p>
      <w:pPr>
        <w:pStyle w:val="TextBody"/>
        <w:spacing w:lineRule="auto" w:line="288" w:before="0" w:after="0"/>
        <w:ind w:left="0" w:right="0" w:hanging="270"/>
        <w:jc w:val="both"/>
        <w:rPr>
          <w:rFonts w:ascii="Times New Roman;sans-serif" w:hAnsi="Times New Roman;sans-serif"/>
          <w:b w:val="false"/>
          <w:color w:val="000000"/>
          <w:sz w:val="22"/>
          <w:highlight w:val="white"/>
        </w:rPr>
      </w:pPr>
      <w:r>
        <w:rPr>
          <w:rFonts w:ascii="Times New Roman;sans-serif" w:hAnsi="Times New Roman;sans-serif"/>
          <w:b w:val="false"/>
          <w:color w:val="000000"/>
          <w:sz w:val="22"/>
          <w:highlight w:val="white"/>
        </w:rPr>
        <w:t>a Cayman Islands exempted limited partnership,</w:t>
      </w:r>
    </w:p>
    <w:p>
      <w:pPr>
        <w:pStyle w:val="TextBody"/>
        <w:spacing w:lineRule="auto" w:line="288" w:before="0" w:after="0"/>
        <w:ind w:left="0" w:right="0" w:hanging="270"/>
        <w:jc w:val="both"/>
        <w:rPr>
          <w:rFonts w:ascii="Times New Roman;sans-serif" w:hAnsi="Times New Roman;sans-serif"/>
          <w:b w:val="false"/>
          <w:color w:val="000000"/>
          <w:sz w:val="22"/>
          <w:highlight w:val="white"/>
        </w:rPr>
      </w:pPr>
      <w:r>
        <w:rPr>
          <w:rFonts w:ascii="Times New Roman;sans-serif" w:hAnsi="Times New Roman;sans-serif"/>
          <w:b w:val="false"/>
          <w:color w:val="000000"/>
          <w:sz w:val="22"/>
          <w:highlight w:val="white"/>
        </w:rPr>
        <w:t>its general partner                    </w:t>
      </w:r>
    </w:p>
    <w:p>
      <w:pPr>
        <w:pStyle w:val="TextBody"/>
        <w:spacing w:lineRule="auto" w:line="288" w:before="0" w:after="0"/>
        <w:ind w:left="0" w:right="0" w:hanging="270"/>
        <w:jc w:val="both"/>
        <w:rPr>
          <w:color w:val="000000"/>
          <w:highlight w:val="white"/>
        </w:rPr>
      </w:pPr>
      <w:r>
        <w:rPr>
          <w:color w:val="000000"/>
          <w:highlight w:val="white"/>
        </w:rPr>
        <w:t>                            </w:t>
      </w:r>
    </w:p>
    <w:p>
      <w:pPr>
        <w:pStyle w:val="TextBody"/>
        <w:spacing w:lineRule="auto" w:line="288" w:before="0" w:after="0"/>
        <w:ind w:left="0" w:right="0" w:hanging="270"/>
        <w:jc w:val="both"/>
        <w:rPr>
          <w:rFonts w:ascii="Times New Roman;sans-serif" w:hAnsi="Times New Roman;sans-serif"/>
          <w:b w:val="false"/>
          <w:color w:val="000000"/>
          <w:sz w:val="22"/>
          <w:highlight w:val="white"/>
        </w:rPr>
      </w:pPr>
      <w:r>
        <w:rPr>
          <w:rFonts w:ascii="Times New Roman;sans-serif" w:hAnsi="Times New Roman;sans-serif"/>
          <w:b w:val="false"/>
          <w:color w:val="000000"/>
          <w:sz w:val="22"/>
          <w:highlight w:val="white"/>
        </w:rPr>
        <w:t>By :                            </w:t>
      </w:r>
    </w:p>
    <w:p>
      <w:pPr>
        <w:pStyle w:val="TextBody"/>
        <w:spacing w:lineRule="auto" w:line="288" w:before="0" w:after="0"/>
        <w:ind w:left="0" w:right="0" w:firstLine="7"/>
        <w:jc w:val="both"/>
        <w:rPr/>
      </w:pPr>
      <w:r>
        <w:rPr>
          <w:rFonts w:ascii="Times New Roman;sans-serif" w:hAnsi="Times New Roman;sans-serif"/>
          <w:b/>
          <w:color w:val="000000"/>
          <w:sz w:val="22"/>
          <w:highlight w:val="white"/>
        </w:rPr>
        <w:t>TMT GENERAL PARTNER LTD</w:t>
      </w:r>
      <w:r>
        <w:rPr>
          <w:rFonts w:ascii="Times New Roman;sans-serif" w:hAnsi="Times New Roman;sans-serif"/>
          <w:b w:val="false"/>
          <w:color w:val="000000"/>
          <w:sz w:val="22"/>
          <w:highlight w:val="white"/>
        </w:rPr>
        <w:t>.,        </w:t>
      </w:r>
    </w:p>
    <w:p>
      <w:pPr>
        <w:pStyle w:val="TextBody"/>
        <w:spacing w:lineRule="auto" w:line="288" w:before="0" w:after="0"/>
        <w:ind w:left="0" w:right="0" w:hanging="270"/>
        <w:jc w:val="both"/>
        <w:rPr>
          <w:rFonts w:ascii="Times New Roman;sans-serif" w:hAnsi="Times New Roman;sans-serif"/>
          <w:b w:val="false"/>
          <w:color w:val="000000"/>
          <w:sz w:val="22"/>
          <w:highlight w:val="white"/>
        </w:rPr>
      </w:pPr>
      <w:r>
        <w:rPr>
          <w:rFonts w:ascii="Times New Roman;sans-serif" w:hAnsi="Times New Roman;sans-serif"/>
          <w:b w:val="false"/>
          <w:color w:val="000000"/>
          <w:sz w:val="22"/>
          <w:highlight w:val="white"/>
        </w:rPr>
        <w:t>a Cayman Islands limited company,        </w:t>
      </w:r>
    </w:p>
    <w:p>
      <w:pPr>
        <w:pStyle w:val="TextBody"/>
        <w:spacing w:lineRule="auto" w:line="288" w:before="0" w:after="0"/>
        <w:ind w:left="0" w:right="0" w:hanging="270"/>
        <w:jc w:val="both"/>
        <w:rPr>
          <w:rFonts w:ascii="Times New Roman;sans-serif" w:hAnsi="Times New Roman;sans-serif"/>
          <w:b w:val="false"/>
          <w:color w:val="000000"/>
          <w:sz w:val="22"/>
          <w:highlight w:val="white"/>
        </w:rPr>
      </w:pPr>
      <w:r>
        <w:rPr>
          <w:rFonts w:ascii="Times New Roman;sans-serif" w:hAnsi="Times New Roman;sans-serif"/>
          <w:b w:val="false"/>
          <w:color w:val="000000"/>
          <w:sz w:val="22"/>
          <w:highlight w:val="white"/>
        </w:rPr>
        <w:t>its general partner                </w:t>
      </w:r>
    </w:p>
    <w:p>
      <w:pPr>
        <w:pStyle w:val="TextBody"/>
        <w:spacing w:lineRule="auto" w:line="288" w:before="0" w:after="0"/>
        <w:ind w:left="0" w:right="0" w:hanging="270"/>
        <w:jc w:val="both"/>
        <w:rPr>
          <w:color w:val="000000"/>
          <w:highlight w:val="white"/>
        </w:rPr>
      </w:pPr>
      <w:r>
        <w:rPr>
          <w:color w:val="000000"/>
          <w:highlight w:val="white"/>
        </w:rPr>
        <w:t>                            </w:t>
      </w:r>
    </w:p>
    <w:p>
      <w:pPr>
        <w:pStyle w:val="TextBody"/>
        <w:spacing w:lineRule="auto" w:line="288" w:before="0" w:after="0"/>
        <w:ind w:left="0" w:right="0" w:hanging="270"/>
        <w:jc w:val="both"/>
        <w:rPr>
          <w:rFonts w:ascii="Times New Roman;sans-serif" w:hAnsi="Times New Roman;sans-serif"/>
          <w:b w:val="false"/>
          <w:color w:val="000000"/>
          <w:sz w:val="22"/>
          <w:highlight w:val="white"/>
        </w:rPr>
      </w:pPr>
      <w:r>
        <w:rPr>
          <w:rFonts w:ascii="Times New Roman;sans-serif" w:hAnsi="Times New Roman;sans-serif"/>
          <w:b w:val="false"/>
          <w:color w:val="000000"/>
          <w:sz w:val="22"/>
          <w:highlight w:val="white"/>
        </w:rPr>
        <w:t>in    on                        </w:t>
      </w:r>
    </w:p>
    <w:p>
      <w:pPr>
        <w:pStyle w:val="TextBody"/>
        <w:spacing w:lineRule="auto" w:line="288" w:before="0" w:after="0"/>
        <w:ind w:left="0" w:right="0" w:hanging="1327"/>
        <w:jc w:val="both"/>
        <w:rPr>
          <w:color w:val="000000"/>
          <w:highlight w:val="white"/>
        </w:rPr>
      </w:pPr>
      <w:r>
        <w:rPr>
          <w:color w:val="000000"/>
          <w:highlight w:val="white"/>
        </w:rPr>
        <w:t>                            </w:t>
      </w:r>
    </w:p>
    <w:p>
      <w:pPr>
        <w:pStyle w:val="TextBody"/>
        <w:spacing w:lineRule="auto" w:line="288" w:before="0" w:after="0"/>
        <w:ind w:left="0" w:right="0" w:hanging="1327"/>
        <w:jc w:val="both"/>
        <w:rPr>
          <w:color w:val="000000"/>
          <w:highlight w:val="white"/>
        </w:rPr>
      </w:pPr>
      <w:r>
        <w:rPr>
          <w:color w:val="000000"/>
          <w:highlight w:val="white"/>
        </w:rPr>
        <w:t>                            </w:t>
      </w:r>
    </w:p>
    <w:p>
      <w:pPr>
        <w:pStyle w:val="TextBody"/>
        <w:spacing w:lineRule="auto" w:line="288" w:before="0" w:after="0"/>
        <w:ind w:left="0" w:right="0" w:hanging="1327"/>
        <w:jc w:val="both"/>
        <w:rPr>
          <w:color w:val="000000"/>
          <w:highlight w:val="white"/>
        </w:rPr>
      </w:pPr>
      <w:r>
        <w:rPr>
          <w:color w:val="000000"/>
          <w:highlight w:val="white"/>
        </w:rPr>
        <w:t>                            </w:t>
      </w:r>
    </w:p>
    <w:p>
      <w:pPr>
        <w:pStyle w:val="TextBody"/>
        <w:spacing w:lineRule="auto" w:line="288" w:before="0" w:after="0"/>
        <w:ind w:left="0" w:right="0" w:hanging="270"/>
        <w:jc w:val="both"/>
        <w:rPr/>
      </w:pPr>
      <w:r>
        <w:rPr>
          <w:rFonts w:ascii="Times New Roman;sans-serif" w:hAnsi="Times New Roman;sans-serif"/>
          <w:b w:val="false"/>
          <w:color w:val="000000"/>
          <w:sz w:val="22"/>
          <w:highlight w:val="white"/>
          <w:u w:val="single"/>
        </w:rPr>
        <w:t>/s/ Jill Marie Franklin</w:t>
      </w:r>
      <w:r>
        <w:rPr>
          <w:rFonts w:ascii="Times New Roman;sans-serif" w:hAnsi="Times New Roman;sans-serif"/>
          <w:b w:val="false"/>
          <w:color w:val="000000"/>
          <w:sz w:val="22"/>
          <w:highlight w:val="white"/>
        </w:rPr>
        <w:t xml:space="preserve">______________________ </w:t>
      </w:r>
    </w:p>
    <w:p>
      <w:pPr>
        <w:pStyle w:val="TextBody"/>
        <w:spacing w:lineRule="auto" w:line="288" w:before="0" w:after="0"/>
        <w:ind w:left="0" w:right="0" w:hanging="27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Jill Marie Franklin </w:t>
      </w:r>
    </w:p>
    <w:p>
      <w:pPr>
        <w:pStyle w:val="TextBody"/>
        <w:spacing w:lineRule="auto" w:line="288" w:before="0" w:after="0"/>
        <w:ind w:left="0" w:right="0" w:hanging="270"/>
        <w:jc w:val="both"/>
        <w:rPr>
          <w:rFonts w:ascii="Times New Roman;sans-serif" w:hAnsi="Times New Roman;sans-serif"/>
          <w:b w:val="false"/>
          <w:color w:val="000000"/>
          <w:sz w:val="22"/>
        </w:rPr>
      </w:pPr>
      <w:r>
        <w:rPr>
          <w:rFonts w:ascii="Times New Roman;sans-serif" w:hAnsi="Times New Roman;sans-serif"/>
          <w:b w:val="false"/>
          <w:color w:val="000000"/>
          <w:sz w:val="22"/>
        </w:rPr>
        <w:t>Director/Authorised Signatory</w:t>
      </w:r>
    </w:p>
    <w:p>
      <w:pPr>
        <w:pStyle w:val="TextBody"/>
        <w:spacing w:before="2" w:after="283"/>
        <w:ind w:left="0" w:right="0" w:firstLine="7"/>
        <w:jc w:val="both"/>
        <w:rPr/>
      </w:pPr>
      <w:r>
        <w:rPr/>
      </w:r>
      <w:r>
        <w:br w:type="page"/>
      </w:r>
    </w:p>
    <w:p>
      <w:pPr>
        <w:pStyle w:val="TextBody"/>
        <w:spacing w:before="0" w:after="0"/>
        <w:jc w:val="right"/>
        <w:rPr/>
      </w:pPr>
      <w:r>
        <w:rPr/>
      </w:r>
      <w:r>
        <mc:AlternateContent>
          <mc:Choice Requires="wps">
            <w:drawing>
              <wp:anchor behindDoc="0" distT="0" distB="0" distL="0" distR="0" simplePos="0" locked="0" layoutInCell="1" allowOverlap="1" relativeHeight="383">
                <wp:simplePos x="0" y="0"/>
                <wp:positionH relativeFrom="character">
                  <wp:align>left</wp:align>
                </wp:positionH>
                <wp:positionV relativeFrom="line">
                  <wp:posOffset>635</wp:posOffset>
                </wp:positionV>
                <wp:extent cx="6480175" cy="131445"/>
                <wp:effectExtent l="0" t="0" r="0" b="0"/>
                <wp:wrapNone/>
                <wp:docPr id="382" name="Frame379"/>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Signature Page to Amendment to Amended and Restated Shareholders Agreement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Signature Page to Amendment to Amended and Restated Shareholders Agreement</w:t>
                      </w:r>
                    </w:p>
                  </w:txbxContent>
                </v:textbox>
              </v:rect>
            </w:pict>
          </mc:Fallback>
        </mc:AlternateContent>
      </w:r>
    </w:p>
    <w:p>
      <w:pPr>
        <w:pStyle w:val="TextBody"/>
        <w:spacing w:before="2" w:after="283"/>
        <w:ind w:left="0" w:right="0" w:firstLine="7"/>
        <w:jc w:val="both"/>
        <w:rPr/>
      </w:pPr>
      <w:r>
        <w:rPr/>
      </w:r>
    </w:p>
    <w:p>
      <w:pPr>
        <w:pStyle w:val="TextBody"/>
        <w:spacing w:lineRule="auto" w:line="28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IN WITNESS WHEREOF, the parties hereto have caused their respective duly authorized representatives to execute this Amendment on the date first written above.</w:t>
      </w:r>
    </w:p>
    <w:p>
      <w:pPr>
        <w:pStyle w:val="TextBody"/>
        <w:spacing w:before="2" w:after="283"/>
        <w:ind w:left="0" w:right="0" w:firstLine="7"/>
        <w:jc w:val="both"/>
        <w:rPr/>
      </w:pPr>
      <w:r>
        <w:rPr/>
      </w:r>
    </w:p>
    <w:p>
      <w:pPr>
        <w:pStyle w:val="TextBody"/>
        <w:spacing w:lineRule="auto" w:line="288" w:before="2" w:after="283"/>
        <w:ind w:left="0" w:right="0" w:firstLine="7"/>
        <w:jc w:val="both"/>
        <w:rPr/>
      </w:pPr>
      <w:r>
        <w:rPr>
          <w:rFonts w:ascii="Times New Roman;sans-serif" w:hAnsi="Times New Roman;sans-serif"/>
          <w:b w:val="false"/>
          <w:color w:val="000000"/>
          <w:sz w:val="22"/>
          <w:highlight w:val="white"/>
          <w:u w:val="single"/>
        </w:rPr>
        <w:t>PREFERRED HOLDER</w:t>
      </w:r>
      <w:r>
        <w:rPr>
          <w:rFonts w:ascii="Times New Roman;sans-serif" w:hAnsi="Times New Roman;sans-serif"/>
          <w:b w:val="false"/>
          <w:color w:val="000000"/>
          <w:sz w:val="22"/>
          <w:highlight w:val="white"/>
        </w:rPr>
        <w:t xml:space="preserve">: </w:t>
      </w:r>
      <w:r>
        <w:rPr>
          <w:rFonts w:ascii="Times New Roman;sans-serif" w:hAnsi="Times New Roman;sans-serif"/>
          <w:b/>
          <w:color w:val="000000"/>
          <w:sz w:val="22"/>
          <w:highlight w:val="white"/>
        </w:rPr>
        <w:t>MORNINGSIDE CHINA TMT</w:t>
      </w:r>
    </w:p>
    <w:p>
      <w:pPr>
        <w:pStyle w:val="TextBody"/>
        <w:spacing w:lineRule="auto" w:line="288" w:before="0" w:after="0"/>
        <w:ind w:left="0" w:right="0" w:firstLine="3960"/>
        <w:jc w:val="both"/>
        <w:rPr>
          <w:rFonts w:ascii="Times New Roman;sans-serif" w:hAnsi="Times New Roman;sans-serif"/>
          <w:b/>
          <w:color w:val="000000"/>
          <w:sz w:val="22"/>
          <w:highlight w:val="white"/>
        </w:rPr>
      </w:pPr>
      <w:r>
        <w:rPr>
          <w:rFonts w:ascii="Times New Roman;sans-serif" w:hAnsi="Times New Roman;sans-serif"/>
          <w:b/>
          <w:color w:val="000000"/>
          <w:sz w:val="22"/>
          <w:highlight w:val="white"/>
        </w:rPr>
        <w:t>SPECIAL OPPORTUNITY FUND II, L.P.,    </w:t>
      </w:r>
    </w:p>
    <w:p>
      <w:pPr>
        <w:pStyle w:val="TextBody"/>
        <w:spacing w:lineRule="auto" w:line="288" w:before="0" w:after="0"/>
        <w:ind w:left="0" w:right="0" w:firstLine="3960"/>
        <w:jc w:val="both"/>
        <w:rPr>
          <w:rFonts w:ascii="Times New Roman;sans-serif" w:hAnsi="Times New Roman;sans-serif"/>
          <w:b w:val="false"/>
          <w:color w:val="000000"/>
          <w:sz w:val="22"/>
          <w:highlight w:val="white"/>
        </w:rPr>
      </w:pPr>
      <w:r>
        <w:rPr>
          <w:rFonts w:ascii="Times New Roman;sans-serif" w:hAnsi="Times New Roman;sans-serif"/>
          <w:b w:val="false"/>
          <w:color w:val="000000"/>
          <w:sz w:val="22"/>
          <w:highlight w:val="white"/>
        </w:rPr>
        <w:t>a Cayman Islands exempted limited partnership    </w:t>
      </w:r>
    </w:p>
    <w:p>
      <w:pPr>
        <w:pStyle w:val="TextBody"/>
        <w:spacing w:lineRule="auto" w:line="288" w:before="0" w:after="0"/>
        <w:ind w:left="0" w:right="0" w:firstLine="3960"/>
        <w:jc w:val="both"/>
        <w:rPr>
          <w:color w:val="000000"/>
          <w:highlight w:val="white"/>
        </w:rPr>
      </w:pPr>
      <w:r>
        <w:rPr>
          <w:color w:val="000000"/>
          <w:highlight w:val="white"/>
        </w:rPr>
        <w:t>    </w:t>
      </w:r>
    </w:p>
    <w:p>
      <w:pPr>
        <w:pStyle w:val="TextBody"/>
        <w:spacing w:lineRule="auto" w:line="288" w:before="0" w:after="0"/>
        <w:ind w:left="0" w:right="0" w:firstLine="3960"/>
        <w:jc w:val="both"/>
        <w:rPr>
          <w:rFonts w:ascii="Times New Roman;sans-serif" w:hAnsi="Times New Roman;sans-serif"/>
          <w:b w:val="false"/>
          <w:color w:val="000000"/>
          <w:sz w:val="22"/>
          <w:highlight w:val="white"/>
        </w:rPr>
      </w:pPr>
      <w:r>
        <w:rPr>
          <w:rFonts w:ascii="Times New Roman;sans-serif" w:hAnsi="Times New Roman;sans-serif"/>
          <w:b w:val="false"/>
          <w:color w:val="000000"/>
          <w:sz w:val="22"/>
          <w:highlight w:val="white"/>
        </w:rPr>
        <w:t>By :    </w:t>
      </w:r>
    </w:p>
    <w:p>
      <w:pPr>
        <w:pStyle w:val="TextBody"/>
        <w:spacing w:lineRule="auto" w:line="288" w:before="0" w:after="0"/>
        <w:ind w:left="0" w:right="0" w:firstLine="3960"/>
        <w:jc w:val="both"/>
        <w:rPr/>
      </w:pPr>
      <w:r>
        <w:rPr>
          <w:rFonts w:ascii="Times New Roman;sans-serif" w:hAnsi="Times New Roman;sans-serif"/>
          <w:b/>
          <w:color w:val="000000"/>
          <w:sz w:val="22"/>
          <w:highlight w:val="white"/>
        </w:rPr>
        <w:t>MORNINGSIDE CHINA TMT GP IV, L.P.,</w:t>
      </w:r>
      <w:r>
        <w:rPr>
          <w:color w:val="000000"/>
          <w:highlight w:val="white"/>
        </w:rPr>
        <w:t>    </w:t>
      </w:r>
    </w:p>
    <w:p>
      <w:pPr>
        <w:pStyle w:val="TextBody"/>
        <w:spacing w:lineRule="auto" w:line="288" w:before="0" w:after="0"/>
        <w:ind w:left="0" w:right="0" w:firstLine="3960"/>
        <w:jc w:val="both"/>
        <w:rPr>
          <w:rFonts w:ascii="Times New Roman;sans-serif" w:hAnsi="Times New Roman;sans-serif"/>
          <w:b w:val="false"/>
          <w:color w:val="000000"/>
          <w:sz w:val="22"/>
          <w:highlight w:val="white"/>
        </w:rPr>
      </w:pPr>
      <w:r>
        <w:rPr>
          <w:rFonts w:ascii="Times New Roman;sans-serif" w:hAnsi="Times New Roman;sans-serif"/>
          <w:b w:val="false"/>
          <w:color w:val="000000"/>
          <w:sz w:val="22"/>
          <w:highlight w:val="white"/>
        </w:rPr>
        <w:t>a Cayman Islands exempted limited partnership,    </w:t>
      </w:r>
    </w:p>
    <w:p>
      <w:pPr>
        <w:pStyle w:val="TextBody"/>
        <w:spacing w:lineRule="auto" w:line="288" w:before="0" w:after="0"/>
        <w:ind w:left="0" w:right="0" w:firstLine="3960"/>
        <w:jc w:val="both"/>
        <w:rPr>
          <w:rFonts w:ascii="Times New Roman;sans-serif" w:hAnsi="Times New Roman;sans-serif"/>
          <w:b w:val="false"/>
          <w:color w:val="000000"/>
          <w:sz w:val="22"/>
          <w:highlight w:val="white"/>
        </w:rPr>
      </w:pPr>
      <w:r>
        <w:rPr>
          <w:rFonts w:ascii="Times New Roman;sans-serif" w:hAnsi="Times New Roman;sans-serif"/>
          <w:b w:val="false"/>
          <w:color w:val="000000"/>
          <w:sz w:val="22"/>
          <w:highlight w:val="white"/>
        </w:rPr>
        <w:t>its general partner    </w:t>
      </w:r>
    </w:p>
    <w:p>
      <w:pPr>
        <w:pStyle w:val="TextBody"/>
        <w:spacing w:lineRule="auto" w:line="288" w:before="0" w:after="0"/>
        <w:ind w:left="0" w:right="0" w:firstLine="3960"/>
        <w:jc w:val="both"/>
        <w:rPr>
          <w:color w:val="000000"/>
          <w:highlight w:val="white"/>
        </w:rPr>
      </w:pPr>
      <w:r>
        <w:rPr>
          <w:color w:val="000000"/>
          <w:highlight w:val="white"/>
        </w:rPr>
        <w:t>    </w:t>
      </w:r>
    </w:p>
    <w:p>
      <w:pPr>
        <w:pStyle w:val="TextBody"/>
        <w:spacing w:lineRule="auto" w:line="288" w:before="0" w:after="0"/>
        <w:ind w:left="0" w:right="0" w:firstLine="3960"/>
        <w:jc w:val="both"/>
        <w:rPr>
          <w:rFonts w:ascii="Times New Roman;sans-serif" w:hAnsi="Times New Roman;sans-serif"/>
          <w:b w:val="false"/>
          <w:color w:val="000000"/>
          <w:sz w:val="22"/>
          <w:highlight w:val="white"/>
        </w:rPr>
      </w:pPr>
      <w:r>
        <w:rPr>
          <w:rFonts w:ascii="Times New Roman;sans-serif" w:hAnsi="Times New Roman;sans-serif"/>
          <w:b w:val="false"/>
          <w:color w:val="000000"/>
          <w:sz w:val="22"/>
          <w:highlight w:val="white"/>
        </w:rPr>
        <w:t>By :    </w:t>
      </w:r>
    </w:p>
    <w:p>
      <w:pPr>
        <w:pStyle w:val="TextBody"/>
        <w:spacing w:lineRule="auto" w:line="288" w:before="0" w:after="0"/>
        <w:ind w:left="0" w:right="0" w:firstLine="3960"/>
        <w:jc w:val="both"/>
        <w:rPr/>
      </w:pPr>
      <w:r>
        <w:rPr>
          <w:rFonts w:ascii="Times New Roman;sans-serif" w:hAnsi="Times New Roman;sans-serif"/>
          <w:b/>
          <w:color w:val="000000"/>
          <w:sz w:val="22"/>
          <w:highlight w:val="white"/>
        </w:rPr>
        <w:t>TMT GENERAL PARTNER LTD</w:t>
      </w:r>
      <w:r>
        <w:rPr>
          <w:rFonts w:ascii="Times New Roman;sans-serif" w:hAnsi="Times New Roman;sans-serif"/>
          <w:b w:val="false"/>
          <w:color w:val="000000"/>
          <w:sz w:val="22"/>
          <w:highlight w:val="white"/>
        </w:rPr>
        <w:t>.,    </w:t>
      </w:r>
    </w:p>
    <w:p>
      <w:pPr>
        <w:pStyle w:val="TextBody"/>
        <w:spacing w:lineRule="auto" w:line="288" w:before="0" w:after="0"/>
        <w:ind w:left="0" w:right="0" w:firstLine="3960"/>
        <w:jc w:val="both"/>
        <w:rPr>
          <w:rFonts w:ascii="Times New Roman;sans-serif" w:hAnsi="Times New Roman;sans-serif"/>
          <w:b w:val="false"/>
          <w:color w:val="000000"/>
          <w:sz w:val="22"/>
          <w:highlight w:val="white"/>
        </w:rPr>
      </w:pPr>
      <w:r>
        <w:rPr>
          <w:rFonts w:ascii="Times New Roman;sans-serif" w:hAnsi="Times New Roman;sans-serif"/>
          <w:b w:val="false"/>
          <w:color w:val="000000"/>
          <w:sz w:val="22"/>
          <w:highlight w:val="white"/>
        </w:rPr>
        <w:t>a Cayman Islands limited company,    </w:t>
      </w:r>
    </w:p>
    <w:p>
      <w:pPr>
        <w:pStyle w:val="TextBody"/>
        <w:spacing w:lineRule="auto" w:line="288" w:before="0" w:after="0"/>
        <w:ind w:left="0" w:right="0" w:firstLine="3960"/>
        <w:jc w:val="both"/>
        <w:rPr>
          <w:rFonts w:ascii="Times New Roman;sans-serif" w:hAnsi="Times New Roman;sans-serif"/>
          <w:b w:val="false"/>
          <w:color w:val="000000"/>
          <w:sz w:val="22"/>
          <w:highlight w:val="white"/>
        </w:rPr>
      </w:pPr>
      <w:r>
        <w:rPr>
          <w:rFonts w:ascii="Times New Roman;sans-serif" w:hAnsi="Times New Roman;sans-serif"/>
          <w:b w:val="false"/>
          <w:color w:val="000000"/>
          <w:sz w:val="22"/>
          <w:highlight w:val="white"/>
        </w:rPr>
        <w:t>its general partner    </w:t>
      </w:r>
    </w:p>
    <w:p>
      <w:pPr>
        <w:pStyle w:val="TextBody"/>
        <w:spacing w:lineRule="auto" w:line="288" w:before="0" w:after="0"/>
        <w:ind w:left="0" w:right="0" w:firstLine="3960"/>
        <w:jc w:val="both"/>
        <w:rPr>
          <w:color w:val="000000"/>
          <w:highlight w:val="white"/>
        </w:rPr>
      </w:pPr>
      <w:r>
        <w:rPr>
          <w:color w:val="000000"/>
          <w:highlight w:val="white"/>
        </w:rPr>
        <w:t>    </w:t>
      </w:r>
    </w:p>
    <w:p>
      <w:pPr>
        <w:pStyle w:val="TextBody"/>
        <w:spacing w:lineRule="auto" w:line="288" w:before="0" w:after="0"/>
        <w:ind w:left="0" w:right="0" w:firstLine="3960"/>
        <w:jc w:val="both"/>
        <w:rPr>
          <w:rFonts w:ascii="Times New Roman;sans-serif" w:hAnsi="Times New Roman;sans-serif"/>
          <w:b w:val="false"/>
          <w:color w:val="000000"/>
          <w:sz w:val="22"/>
          <w:highlight w:val="white"/>
        </w:rPr>
      </w:pPr>
      <w:r>
        <w:rPr>
          <w:rFonts w:ascii="Times New Roman;sans-serif" w:hAnsi="Times New Roman;sans-serif"/>
          <w:b w:val="false"/>
          <w:color w:val="000000"/>
          <w:sz w:val="22"/>
          <w:highlight w:val="white"/>
        </w:rPr>
        <w:t>in    on    </w:t>
      </w:r>
    </w:p>
    <w:p>
      <w:pPr>
        <w:pStyle w:val="TextBody"/>
        <w:spacing w:lineRule="auto" w:line="288" w:before="0" w:after="0"/>
        <w:ind w:left="0" w:right="0" w:firstLine="3960"/>
        <w:jc w:val="both"/>
        <w:rPr>
          <w:color w:val="000000"/>
          <w:highlight w:val="white"/>
        </w:rPr>
      </w:pPr>
      <w:r>
        <w:rPr>
          <w:color w:val="000000"/>
          <w:highlight w:val="white"/>
        </w:rPr>
        <w:t>        </w:t>
      </w:r>
    </w:p>
    <w:p>
      <w:pPr>
        <w:pStyle w:val="TextBody"/>
        <w:spacing w:lineRule="auto" w:line="288" w:before="0" w:after="0"/>
        <w:ind w:left="0" w:right="0" w:firstLine="3960"/>
        <w:jc w:val="both"/>
        <w:rPr>
          <w:color w:val="000000"/>
          <w:highlight w:val="white"/>
        </w:rPr>
      </w:pPr>
      <w:r>
        <w:rPr>
          <w:color w:val="000000"/>
          <w:highlight w:val="white"/>
        </w:rPr>
        <w:t>        </w:t>
      </w:r>
    </w:p>
    <w:p>
      <w:pPr>
        <w:pStyle w:val="TextBody"/>
        <w:spacing w:lineRule="auto" w:line="288" w:before="0" w:after="0"/>
        <w:ind w:left="0" w:right="0" w:firstLine="3960"/>
        <w:jc w:val="both"/>
        <w:rPr>
          <w:color w:val="000000"/>
          <w:highlight w:val="white"/>
        </w:rPr>
      </w:pPr>
      <w:r>
        <w:rPr>
          <w:color w:val="000000"/>
          <w:highlight w:val="white"/>
        </w:rPr>
        <w:t>        </w:t>
      </w:r>
    </w:p>
    <w:p>
      <w:pPr>
        <w:pStyle w:val="TextBody"/>
        <w:spacing w:lineRule="auto" w:line="288" w:before="0" w:after="0"/>
        <w:jc w:val="both"/>
        <w:rPr>
          <w:rFonts w:ascii="Times New Roman;sans-serif" w:hAnsi="Times New Roman;sans-serif"/>
          <w:b w:val="false"/>
          <w:color w:val="000000"/>
          <w:sz w:val="22"/>
          <w:highlight w:val="white"/>
          <w:u w:val="single"/>
        </w:rPr>
      </w:pPr>
      <w:r>
        <w:rPr>
          <w:rFonts w:ascii="Times New Roman;sans-serif" w:hAnsi="Times New Roman;sans-serif"/>
          <w:b w:val="false"/>
          <w:color w:val="000000"/>
          <w:sz w:val="22"/>
          <w:highlight w:val="white"/>
          <w:u w:val="single"/>
        </w:rPr>
        <w:t xml:space="preserve">/s/ Jill Marie Franklin </w:t>
      </w:r>
    </w:p>
    <w:p>
      <w:pPr>
        <w:pStyle w:val="TextBody"/>
        <w:spacing w:lineRule="auto" w:line="288" w:before="0" w:after="0"/>
        <w:jc w:val="both"/>
        <w:rPr>
          <w:rFonts w:ascii="Times New Roman;sans-serif" w:hAnsi="Times New Roman;sans-serif"/>
          <w:b w:val="false"/>
          <w:color w:val="000000"/>
          <w:sz w:val="22"/>
          <w:highlight w:val="white"/>
        </w:rPr>
      </w:pPr>
      <w:r>
        <w:rPr>
          <w:rFonts w:ascii="Times New Roman;sans-serif" w:hAnsi="Times New Roman;sans-serif"/>
          <w:b w:val="false"/>
          <w:color w:val="000000"/>
          <w:sz w:val="22"/>
          <w:highlight w:val="white"/>
        </w:rPr>
        <w:t>Jill Marie Franklin</w:t>
      </w:r>
    </w:p>
    <w:p>
      <w:pPr>
        <w:pStyle w:val="TextBody"/>
        <w:spacing w:lineRule="auto" w:line="288"/>
        <w:jc w:val="both"/>
        <w:rPr>
          <w:rFonts w:ascii="Times New Roman;sans-serif" w:hAnsi="Times New Roman;sans-serif"/>
          <w:b w:val="false"/>
          <w:color w:val="000000"/>
          <w:sz w:val="22"/>
          <w:highlight w:val="white"/>
        </w:rPr>
      </w:pPr>
      <w:r>
        <w:rPr>
          <w:rFonts w:ascii="Times New Roman;sans-serif" w:hAnsi="Times New Roman;sans-serif"/>
          <w:b w:val="false"/>
          <w:color w:val="000000"/>
          <w:sz w:val="22"/>
          <w:highlight w:val="white"/>
        </w:rPr>
        <w:t>Director/Authorised Signatory</w:t>
      </w:r>
      <w:r>
        <w:br w:type="page"/>
      </w:r>
    </w:p>
    <w:p>
      <w:pPr>
        <w:pStyle w:val="TextBody"/>
        <w:spacing w:before="0" w:after="0"/>
        <w:ind w:left="0" w:right="0" w:firstLine="720"/>
        <w:jc w:val="right"/>
        <w:rPr/>
      </w:pPr>
      <w:r>
        <w:rPr/>
      </w:r>
      <w:r>
        <mc:AlternateContent>
          <mc:Choice Requires="wps">
            <w:drawing>
              <wp:anchor behindDoc="0" distT="0" distB="0" distL="0" distR="0" simplePos="0" locked="0" layoutInCell="1" allowOverlap="1" relativeHeight="384">
                <wp:simplePos x="0" y="0"/>
                <wp:positionH relativeFrom="character">
                  <wp:align>left</wp:align>
                </wp:positionH>
                <wp:positionV relativeFrom="line">
                  <wp:posOffset>635</wp:posOffset>
                </wp:positionV>
                <wp:extent cx="6480175" cy="131445"/>
                <wp:effectExtent l="0" t="0" r="0" b="0"/>
                <wp:wrapNone/>
                <wp:docPr id="383" name="Frame380"/>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Signature Page to Amendment to Amended and Restated Shareholders Agreement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Signature Page to Amendment to Amended and Restated Shareholders Agreement</w:t>
                      </w:r>
                    </w:p>
                  </w:txbxContent>
                </v:textbox>
              </v:rect>
            </w:pict>
          </mc:Fallback>
        </mc:AlternateContent>
      </w:r>
    </w:p>
    <w:p>
      <w:pPr>
        <w:pStyle w:val="TextBody"/>
        <w:spacing w:before="0" w:after="0"/>
        <w:ind w:left="0" w:right="0" w:firstLine="720"/>
        <w:jc w:val="both"/>
        <w:rPr/>
      </w:pPr>
      <w:r>
        <w:rPr/>
      </w:r>
    </w:p>
    <w:p>
      <w:pPr>
        <w:pStyle w:val="TextBody"/>
        <w:spacing w:before="2" w:after="283"/>
        <w:ind w:left="0" w:right="0" w:firstLine="7"/>
        <w:jc w:val="both"/>
        <w:rPr/>
      </w:pPr>
      <w:r>
        <w:rPr/>
      </w:r>
    </w:p>
    <w:p>
      <w:pPr>
        <w:pStyle w:val="TextBody"/>
        <w:spacing w:lineRule="auto" w:line="288" w:before="2" w:after="283"/>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IN WITNESS WHEREOF, the parties hereto have caused their respective duly authorized representatives to execute this Amendment on the date first written above.</w:t>
      </w:r>
    </w:p>
    <w:p>
      <w:pPr>
        <w:pStyle w:val="TextBody"/>
        <w:spacing w:before="0" w:after="0"/>
        <w:jc w:val="both"/>
        <w:rPr/>
      </w:pPr>
      <w:r>
        <w:rPr/>
      </w:r>
    </w:p>
    <w:p>
      <w:pPr>
        <w:pStyle w:val="TextBody"/>
        <w:spacing w:lineRule="auto" w:line="288" w:before="2" w:after="283"/>
        <w:ind w:left="0" w:right="0" w:firstLine="7"/>
        <w:jc w:val="both"/>
        <w:rPr/>
      </w:pPr>
      <w:r>
        <w:rPr>
          <w:rFonts w:ascii="Times New Roman;sans-serif" w:hAnsi="Times New Roman;sans-serif"/>
          <w:b w:val="false"/>
          <w:color w:val="000000"/>
          <w:sz w:val="22"/>
          <w:highlight w:val="white"/>
          <w:u w:val="single"/>
        </w:rPr>
        <w:t>PREFERRED HOLDER</w:t>
      </w:r>
      <w:r>
        <w:rPr>
          <w:rFonts w:ascii="Times New Roman;sans-serif" w:hAnsi="Times New Roman;sans-serif"/>
          <w:b w:val="false"/>
          <w:color w:val="000000"/>
          <w:sz w:val="22"/>
          <w:highlight w:val="white"/>
        </w:rPr>
        <w:t>:  </w:t>
      </w:r>
      <w:r>
        <w:rPr>
          <w:rFonts w:ascii="Times New Roman;sans-serif" w:hAnsi="Times New Roman;sans-serif"/>
          <w:b/>
          <w:color w:val="000000"/>
          <w:sz w:val="22"/>
          <w:highlight w:val="white"/>
        </w:rPr>
        <w:t xml:space="preserve">MORNINGSIDE CHINA TMT FUND IV </w:t>
      </w:r>
    </w:p>
    <w:p>
      <w:pPr>
        <w:pStyle w:val="TextBody"/>
        <w:spacing w:lineRule="auto" w:line="288" w:before="0" w:after="0"/>
        <w:ind w:left="0" w:right="0" w:firstLine="3960"/>
        <w:jc w:val="both"/>
        <w:rPr>
          <w:rFonts w:ascii="Times New Roman;sans-serif" w:hAnsi="Times New Roman;sans-serif"/>
          <w:b/>
          <w:color w:val="000000"/>
          <w:sz w:val="22"/>
          <w:highlight w:val="white"/>
        </w:rPr>
      </w:pPr>
      <w:r>
        <w:rPr>
          <w:rFonts w:ascii="Times New Roman;sans-serif" w:hAnsi="Times New Roman;sans-serif"/>
          <w:b/>
          <w:color w:val="000000"/>
          <w:sz w:val="22"/>
          <w:highlight w:val="white"/>
        </w:rPr>
        <w:t>CO-INVESTMENT, L.P.,    </w:t>
      </w:r>
    </w:p>
    <w:p>
      <w:pPr>
        <w:pStyle w:val="TextBody"/>
        <w:spacing w:lineRule="auto" w:line="288" w:before="0" w:after="0"/>
        <w:ind w:left="0" w:right="0" w:firstLine="3960"/>
        <w:jc w:val="both"/>
        <w:rPr>
          <w:rFonts w:ascii="Times New Roman;sans-serif" w:hAnsi="Times New Roman;sans-serif"/>
          <w:b w:val="false"/>
          <w:color w:val="000000"/>
          <w:sz w:val="22"/>
          <w:highlight w:val="white"/>
        </w:rPr>
      </w:pPr>
      <w:r>
        <w:rPr>
          <w:rFonts w:ascii="Times New Roman;sans-serif" w:hAnsi="Times New Roman;sans-serif"/>
          <w:b w:val="false"/>
          <w:color w:val="000000"/>
          <w:sz w:val="22"/>
          <w:highlight w:val="white"/>
        </w:rPr>
        <w:t>a Cayman Islands exempted limited partnership    </w:t>
      </w:r>
    </w:p>
    <w:p>
      <w:pPr>
        <w:pStyle w:val="TextBody"/>
        <w:spacing w:lineRule="auto" w:line="288" w:before="0" w:after="0"/>
        <w:ind w:left="0" w:right="0" w:firstLine="3960"/>
        <w:jc w:val="both"/>
        <w:rPr>
          <w:color w:val="000000"/>
          <w:highlight w:val="white"/>
        </w:rPr>
      </w:pPr>
      <w:r>
        <w:rPr>
          <w:color w:val="000000"/>
          <w:highlight w:val="white"/>
        </w:rPr>
        <w:t>    </w:t>
      </w:r>
    </w:p>
    <w:p>
      <w:pPr>
        <w:pStyle w:val="TextBody"/>
        <w:spacing w:lineRule="auto" w:line="288" w:before="0" w:after="0"/>
        <w:ind w:left="0" w:right="0" w:firstLine="3960"/>
        <w:jc w:val="both"/>
        <w:rPr>
          <w:rFonts w:ascii="Times New Roman;sans-serif" w:hAnsi="Times New Roman;sans-serif"/>
          <w:b w:val="false"/>
          <w:color w:val="000000"/>
          <w:sz w:val="22"/>
          <w:highlight w:val="white"/>
        </w:rPr>
      </w:pPr>
      <w:r>
        <w:rPr>
          <w:rFonts w:ascii="Times New Roman;sans-serif" w:hAnsi="Times New Roman;sans-serif"/>
          <w:b w:val="false"/>
          <w:color w:val="000000"/>
          <w:sz w:val="22"/>
          <w:highlight w:val="white"/>
        </w:rPr>
        <w:t>By :    </w:t>
      </w:r>
    </w:p>
    <w:p>
      <w:pPr>
        <w:pStyle w:val="TextBody"/>
        <w:spacing w:lineRule="auto" w:line="288" w:before="0" w:after="0"/>
        <w:ind w:left="0" w:right="0" w:firstLine="3960"/>
        <w:jc w:val="both"/>
        <w:rPr/>
      </w:pPr>
      <w:r>
        <w:rPr>
          <w:rFonts w:ascii="Times New Roman;sans-serif" w:hAnsi="Times New Roman;sans-serif"/>
          <w:b/>
          <w:color w:val="000000"/>
          <w:sz w:val="22"/>
          <w:highlight w:val="white"/>
        </w:rPr>
        <w:t>MORNINGSIDE CHINA TMT GP IV, L.P.,</w:t>
      </w:r>
      <w:r>
        <w:rPr>
          <w:color w:val="000000"/>
          <w:highlight w:val="white"/>
        </w:rPr>
        <w:t>    </w:t>
      </w:r>
    </w:p>
    <w:p>
      <w:pPr>
        <w:pStyle w:val="TextBody"/>
        <w:spacing w:lineRule="auto" w:line="288" w:before="0" w:after="0"/>
        <w:ind w:left="0" w:right="0" w:firstLine="3960"/>
        <w:jc w:val="both"/>
        <w:rPr>
          <w:rFonts w:ascii="Times New Roman;sans-serif" w:hAnsi="Times New Roman;sans-serif"/>
          <w:b w:val="false"/>
          <w:color w:val="000000"/>
          <w:sz w:val="22"/>
          <w:highlight w:val="white"/>
        </w:rPr>
      </w:pPr>
      <w:r>
        <w:rPr>
          <w:rFonts w:ascii="Times New Roman;sans-serif" w:hAnsi="Times New Roman;sans-serif"/>
          <w:b w:val="false"/>
          <w:color w:val="000000"/>
          <w:sz w:val="22"/>
          <w:highlight w:val="white"/>
        </w:rPr>
        <w:t>a Cayman Islands exempted limited partnership,    </w:t>
      </w:r>
    </w:p>
    <w:p>
      <w:pPr>
        <w:pStyle w:val="TextBody"/>
        <w:spacing w:lineRule="auto" w:line="288" w:before="0" w:after="0"/>
        <w:ind w:left="0" w:right="0" w:firstLine="3960"/>
        <w:jc w:val="both"/>
        <w:rPr>
          <w:rFonts w:ascii="Times New Roman;sans-serif" w:hAnsi="Times New Roman;sans-serif"/>
          <w:b w:val="false"/>
          <w:color w:val="000000"/>
          <w:sz w:val="22"/>
          <w:highlight w:val="white"/>
        </w:rPr>
      </w:pPr>
      <w:r>
        <w:rPr>
          <w:rFonts w:ascii="Times New Roman;sans-serif" w:hAnsi="Times New Roman;sans-serif"/>
          <w:b w:val="false"/>
          <w:color w:val="000000"/>
          <w:sz w:val="22"/>
          <w:highlight w:val="white"/>
        </w:rPr>
        <w:t>its general partner    </w:t>
      </w:r>
    </w:p>
    <w:p>
      <w:pPr>
        <w:pStyle w:val="TextBody"/>
        <w:spacing w:lineRule="auto" w:line="288" w:before="0" w:after="0"/>
        <w:ind w:left="0" w:right="0" w:hanging="825"/>
        <w:jc w:val="both"/>
        <w:rPr>
          <w:color w:val="000000"/>
          <w:highlight w:val="white"/>
        </w:rPr>
      </w:pPr>
      <w:r>
        <w:rPr>
          <w:color w:val="000000"/>
          <w:highlight w:val="white"/>
        </w:rPr>
        <w:t>        </w:t>
      </w:r>
    </w:p>
    <w:p>
      <w:pPr>
        <w:pStyle w:val="TextBody"/>
        <w:spacing w:lineRule="auto" w:line="288" w:before="0" w:after="0"/>
        <w:ind w:left="0" w:right="0" w:firstLine="3960"/>
        <w:jc w:val="both"/>
        <w:rPr>
          <w:rFonts w:ascii="Times New Roman;sans-serif" w:hAnsi="Times New Roman;sans-serif"/>
          <w:b w:val="false"/>
          <w:color w:val="000000"/>
          <w:sz w:val="22"/>
          <w:highlight w:val="white"/>
        </w:rPr>
      </w:pPr>
      <w:r>
        <w:rPr>
          <w:rFonts w:ascii="Times New Roman;sans-serif" w:hAnsi="Times New Roman;sans-serif"/>
          <w:b w:val="false"/>
          <w:color w:val="000000"/>
          <w:sz w:val="22"/>
          <w:highlight w:val="white"/>
        </w:rPr>
        <w:t>By :</w:t>
      </w:r>
    </w:p>
    <w:p>
      <w:pPr>
        <w:pStyle w:val="TextBody"/>
        <w:spacing w:lineRule="auto" w:line="288" w:before="0" w:after="0"/>
        <w:ind w:left="0" w:right="0" w:firstLine="3960"/>
        <w:jc w:val="both"/>
        <w:rPr/>
      </w:pPr>
      <w:r>
        <w:rPr>
          <w:rFonts w:ascii="Times New Roman;sans-serif" w:hAnsi="Times New Roman;sans-serif"/>
          <w:b/>
          <w:color w:val="000000"/>
          <w:sz w:val="22"/>
          <w:highlight w:val="white"/>
        </w:rPr>
        <w:t>TMT GENERAL PARTNER LTD</w:t>
      </w:r>
      <w:r>
        <w:rPr>
          <w:rFonts w:ascii="Times New Roman;sans-serif" w:hAnsi="Times New Roman;sans-serif"/>
          <w:b w:val="false"/>
          <w:color w:val="000000"/>
          <w:sz w:val="22"/>
          <w:highlight w:val="white"/>
        </w:rPr>
        <w:t>.,    </w:t>
      </w:r>
    </w:p>
    <w:p>
      <w:pPr>
        <w:pStyle w:val="TextBody"/>
        <w:spacing w:lineRule="auto" w:line="288" w:before="0" w:after="0"/>
        <w:ind w:left="0" w:right="0" w:firstLine="3960"/>
        <w:jc w:val="both"/>
        <w:rPr>
          <w:rFonts w:ascii="Times New Roman;sans-serif" w:hAnsi="Times New Roman;sans-serif"/>
          <w:b w:val="false"/>
          <w:color w:val="000000"/>
          <w:sz w:val="22"/>
          <w:highlight w:val="white"/>
        </w:rPr>
      </w:pPr>
      <w:r>
        <w:rPr>
          <w:rFonts w:ascii="Times New Roman;sans-serif" w:hAnsi="Times New Roman;sans-serif"/>
          <w:b w:val="false"/>
          <w:color w:val="000000"/>
          <w:sz w:val="22"/>
          <w:highlight w:val="white"/>
        </w:rPr>
        <w:t>a Cayman Islands limited company,    </w:t>
      </w:r>
    </w:p>
    <w:p>
      <w:pPr>
        <w:pStyle w:val="TextBody"/>
        <w:spacing w:lineRule="auto" w:line="288" w:before="0" w:after="0"/>
        <w:ind w:left="0" w:right="0" w:firstLine="3960"/>
        <w:jc w:val="both"/>
        <w:rPr>
          <w:rFonts w:ascii="Times New Roman;sans-serif" w:hAnsi="Times New Roman;sans-serif"/>
          <w:b w:val="false"/>
          <w:color w:val="000000"/>
          <w:sz w:val="22"/>
          <w:highlight w:val="white"/>
        </w:rPr>
      </w:pPr>
      <w:r>
        <w:rPr>
          <w:rFonts w:ascii="Times New Roman;sans-serif" w:hAnsi="Times New Roman;sans-serif"/>
          <w:b w:val="false"/>
          <w:color w:val="000000"/>
          <w:sz w:val="22"/>
          <w:highlight w:val="white"/>
        </w:rPr>
        <w:t>its general partner    </w:t>
      </w:r>
    </w:p>
    <w:p>
      <w:pPr>
        <w:pStyle w:val="TextBody"/>
        <w:spacing w:lineRule="auto" w:line="288" w:before="0" w:after="0"/>
        <w:ind w:left="0" w:right="0" w:firstLine="3960"/>
        <w:jc w:val="both"/>
        <w:rPr>
          <w:color w:val="000000"/>
          <w:highlight w:val="white"/>
        </w:rPr>
      </w:pPr>
      <w:r>
        <w:rPr>
          <w:color w:val="000000"/>
          <w:highlight w:val="white"/>
        </w:rPr>
        <w:t>    </w:t>
      </w:r>
    </w:p>
    <w:p>
      <w:pPr>
        <w:pStyle w:val="TextBody"/>
        <w:spacing w:lineRule="auto" w:line="288" w:before="0" w:after="0"/>
        <w:ind w:left="0" w:right="0" w:firstLine="3960"/>
        <w:jc w:val="both"/>
        <w:rPr>
          <w:rFonts w:ascii="Times New Roman;sans-serif" w:hAnsi="Times New Roman;sans-serif"/>
          <w:b w:val="false"/>
          <w:color w:val="000000"/>
          <w:sz w:val="22"/>
          <w:highlight w:val="white"/>
        </w:rPr>
      </w:pPr>
      <w:r>
        <w:rPr>
          <w:rFonts w:ascii="Times New Roman;sans-serif" w:hAnsi="Times New Roman;sans-serif"/>
          <w:b w:val="false"/>
          <w:color w:val="000000"/>
          <w:sz w:val="22"/>
          <w:highlight w:val="white"/>
        </w:rPr>
        <w:t>in    on    </w:t>
      </w:r>
    </w:p>
    <w:p>
      <w:pPr>
        <w:pStyle w:val="TextBody"/>
        <w:spacing w:lineRule="auto" w:line="288" w:before="0" w:after="0"/>
        <w:ind w:left="0" w:right="0" w:firstLine="3960"/>
        <w:jc w:val="both"/>
        <w:rPr>
          <w:color w:val="000000"/>
          <w:highlight w:val="white"/>
        </w:rPr>
      </w:pPr>
      <w:r>
        <w:rPr>
          <w:color w:val="000000"/>
          <w:highlight w:val="white"/>
        </w:rPr>
        <w:t>    </w:t>
      </w:r>
    </w:p>
    <w:p>
      <w:pPr>
        <w:pStyle w:val="TextBody"/>
        <w:spacing w:lineRule="auto" w:line="288" w:before="0" w:after="0"/>
        <w:ind w:left="0" w:right="0" w:firstLine="3960"/>
        <w:jc w:val="both"/>
        <w:rPr>
          <w:color w:val="000000"/>
          <w:highlight w:val="white"/>
        </w:rPr>
      </w:pPr>
      <w:r>
        <w:rPr>
          <w:color w:val="000000"/>
          <w:highlight w:val="white"/>
        </w:rPr>
        <w:t>    </w:t>
      </w:r>
    </w:p>
    <w:p>
      <w:pPr>
        <w:pStyle w:val="TextBody"/>
        <w:spacing w:lineRule="auto" w:line="288" w:before="0" w:after="0"/>
        <w:ind w:left="0" w:right="0" w:firstLine="3960"/>
        <w:jc w:val="both"/>
        <w:rPr>
          <w:color w:val="000000"/>
          <w:highlight w:val="white"/>
        </w:rPr>
      </w:pPr>
      <w:r>
        <w:rPr>
          <w:color w:val="000000"/>
          <w:highlight w:val="white"/>
        </w:rPr>
        <w:t>    </w:t>
      </w:r>
    </w:p>
    <w:p>
      <w:pPr>
        <w:pStyle w:val="TextBody"/>
        <w:spacing w:lineRule="auto" w:line="288" w:before="0" w:after="0"/>
        <w:jc w:val="both"/>
        <w:rPr>
          <w:rFonts w:ascii="Times New Roman;sans-serif" w:hAnsi="Times New Roman;sans-serif"/>
          <w:b w:val="false"/>
          <w:color w:val="000000"/>
          <w:sz w:val="22"/>
          <w:highlight w:val="white"/>
          <w:u w:val="single"/>
        </w:rPr>
      </w:pPr>
      <w:r>
        <w:rPr>
          <w:rFonts w:ascii="Times New Roman;sans-serif" w:hAnsi="Times New Roman;sans-serif"/>
          <w:b w:val="false"/>
          <w:color w:val="000000"/>
          <w:sz w:val="22"/>
          <w:highlight w:val="white"/>
          <w:u w:val="single"/>
        </w:rPr>
        <w:t xml:space="preserve">/s/ Jill Marie Franklin </w:t>
      </w:r>
    </w:p>
    <w:p>
      <w:pPr>
        <w:pStyle w:val="TextBody"/>
        <w:spacing w:lineRule="auto" w:line="288" w:before="2" w:after="283"/>
        <w:ind w:left="0" w:right="0" w:firstLine="7"/>
        <w:jc w:val="both"/>
        <w:rPr>
          <w:rFonts w:ascii="Times New Roman;sans-serif" w:hAnsi="Times New Roman;sans-serif"/>
          <w:b w:val="false"/>
          <w:color w:val="000000"/>
          <w:sz w:val="22"/>
          <w:highlight w:val="white"/>
        </w:rPr>
      </w:pPr>
      <w:r>
        <w:rPr>
          <w:rFonts w:ascii="Times New Roman;sans-serif" w:hAnsi="Times New Roman;sans-serif"/>
          <w:b w:val="false"/>
          <w:color w:val="000000"/>
          <w:sz w:val="22"/>
          <w:highlight w:val="white"/>
        </w:rPr>
        <w:t xml:space="preserve">Jill Marie Franklin </w:t>
      </w:r>
    </w:p>
    <w:p>
      <w:pPr>
        <w:pStyle w:val="TextBody"/>
        <w:spacing w:lineRule="auto" w:line="288" w:before="2" w:after="283"/>
        <w:ind w:left="0" w:right="0" w:firstLine="7"/>
        <w:jc w:val="both"/>
        <w:rPr>
          <w:rFonts w:ascii="Times New Roman;sans-serif" w:hAnsi="Times New Roman;sans-serif"/>
          <w:b w:val="false"/>
          <w:color w:val="000000"/>
          <w:sz w:val="22"/>
          <w:highlight w:val="white"/>
        </w:rPr>
      </w:pPr>
      <w:r>
        <w:rPr>
          <w:rFonts w:ascii="Times New Roman;sans-serif" w:hAnsi="Times New Roman;sans-serif"/>
          <w:b w:val="false"/>
          <w:color w:val="000000"/>
          <w:sz w:val="22"/>
          <w:highlight w:val="white"/>
        </w:rPr>
        <w:t>Director/Authorised Signatory</w:t>
      </w:r>
    </w:p>
    <w:p>
      <w:pPr>
        <w:pStyle w:val="TextBody"/>
        <w:spacing w:before="2" w:after="283"/>
        <w:ind w:left="0" w:right="0" w:firstLine="7"/>
        <w:jc w:val="both"/>
        <w:rPr/>
      </w:pPr>
      <w:r>
        <w:rPr/>
      </w:r>
      <w:r>
        <w:br w:type="page"/>
      </w:r>
    </w:p>
    <w:p>
      <w:pPr>
        <w:pStyle w:val="TextBody"/>
        <w:spacing w:before="0" w:after="0"/>
        <w:jc w:val="right"/>
        <w:rPr/>
      </w:pPr>
      <w:r>
        <w:rPr/>
      </w:r>
      <w:r>
        <mc:AlternateContent>
          <mc:Choice Requires="wps">
            <w:drawing>
              <wp:anchor behindDoc="0" distT="0" distB="0" distL="0" distR="0" simplePos="0" locked="0" layoutInCell="1" allowOverlap="1" relativeHeight="385">
                <wp:simplePos x="0" y="0"/>
                <wp:positionH relativeFrom="character">
                  <wp:align>left</wp:align>
                </wp:positionH>
                <wp:positionV relativeFrom="line">
                  <wp:posOffset>635</wp:posOffset>
                </wp:positionV>
                <wp:extent cx="6480175" cy="131445"/>
                <wp:effectExtent l="0" t="0" r="0" b="0"/>
                <wp:wrapNone/>
                <wp:docPr id="384" name="Frame381"/>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Signature Page to Amendment to Amended and Restated Shareholders Agreement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Signature Page to Amendment to Amended and Restated Shareholders Agreement</w:t>
                      </w:r>
                    </w:p>
                  </w:txbxContent>
                </v:textbox>
              </v:rect>
            </w:pict>
          </mc:Fallback>
        </mc:AlternateContent>
      </w:r>
    </w:p>
    <w:p>
      <w:pPr>
        <w:pStyle w:val="TextBody"/>
        <w:spacing w:before="2" w:after="283"/>
        <w:ind w:left="0" w:right="0" w:firstLine="7"/>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IN WITNESS WHEREOF, the parties hereto have caused their respective duly authorized representatives to execute this Amendment on the date first written above.</w:t>
      </w:r>
    </w:p>
    <w:p>
      <w:pPr>
        <w:pStyle w:val="TextBody"/>
        <w:spacing w:before="240" w:after="283"/>
        <w:ind w:left="0" w:right="0" w:firstLine="720"/>
        <w:jc w:val="both"/>
        <w:rPr/>
      </w:pPr>
      <w:r>
        <w:rPr/>
      </w:r>
    </w:p>
    <w:p>
      <w:pPr>
        <w:pStyle w:val="TextBody"/>
        <w:spacing w:lineRule="auto" w:line="288" w:before="0" w:after="0"/>
        <w:rPr/>
      </w:pPr>
      <w:r>
        <w:rPr>
          <w:rFonts w:ascii="Times New Roman;sans-serif" w:hAnsi="Times New Roman;sans-serif"/>
          <w:b w:val="false"/>
          <w:color w:val="000000"/>
          <w:sz w:val="22"/>
          <w:u w:val="single"/>
        </w:rPr>
        <w:t>PREFERRED HOLDER</w:t>
      </w:r>
      <w:r>
        <w:rPr>
          <w:rFonts w:ascii="Times New Roman;sans-serif" w:hAnsi="Times New Roman;sans-serif"/>
          <w:b w:val="false"/>
          <w:color w:val="000000"/>
          <w:sz w:val="22"/>
        </w:rPr>
        <w:t>:    </w:t>
      </w:r>
      <w:r>
        <w:rPr>
          <w:rFonts w:ascii="Times New Roman;sans-serif" w:hAnsi="Times New Roman;sans-serif"/>
          <w:b/>
          <w:color w:val="000000"/>
          <w:sz w:val="22"/>
        </w:rPr>
        <w:t>Evolution Special Opportunity Fund I, L.P.</w:t>
      </w:r>
    </w:p>
    <w:p>
      <w:pPr>
        <w:pStyle w:val="TextBody"/>
        <w:spacing w:lineRule="auto" w:line="288" w:before="0" w:after="0"/>
        <w:ind w:left="0" w:right="0" w:hanging="238"/>
        <w:rPr>
          <w:rFonts w:ascii="Times New Roman;sans-serif" w:hAnsi="Times New Roman;sans-serif"/>
          <w:b w:val="false"/>
          <w:color w:val="000000"/>
          <w:sz w:val="22"/>
        </w:rPr>
      </w:pPr>
      <w:r>
        <w:rPr>
          <w:rFonts w:ascii="Times New Roman;sans-serif" w:hAnsi="Times New Roman;sans-serif"/>
          <w:b w:val="false"/>
          <w:color w:val="000000"/>
          <w:sz w:val="22"/>
        </w:rPr>
        <w:t>a Cayman Islands exempted limited partnership</w:t>
      </w:r>
    </w:p>
    <w:p>
      <w:pPr>
        <w:pStyle w:val="TextBody"/>
        <w:spacing w:lineRule="auto" w:line="288" w:before="0" w:after="0"/>
        <w:ind w:left="0" w:right="0" w:hanging="238"/>
        <w:rPr>
          <w:rFonts w:ascii="Times New Roman;sans-serif" w:hAnsi="Times New Roman;sans-serif"/>
          <w:b w:val="false"/>
          <w:color w:val="000000"/>
          <w:sz w:val="22"/>
        </w:rPr>
      </w:pPr>
      <w:r>
        <w:rPr>
          <w:rFonts w:ascii="Times New Roman;sans-serif" w:hAnsi="Times New Roman;sans-serif"/>
          <w:b w:val="false"/>
          <w:color w:val="000000"/>
          <w:sz w:val="22"/>
        </w:rPr>
        <w:t xml:space="preserve">By: MSVC GP Limited, </w:t>
      </w:r>
    </w:p>
    <w:p>
      <w:pPr>
        <w:pStyle w:val="TextBody"/>
        <w:spacing w:lineRule="auto" w:line="288" w:before="0" w:after="0"/>
        <w:ind w:left="0" w:right="0" w:hanging="238"/>
        <w:rPr>
          <w:rFonts w:ascii="Times New Roman;sans-serif" w:hAnsi="Times New Roman;sans-serif"/>
          <w:b w:val="false"/>
          <w:color w:val="000000"/>
          <w:sz w:val="22"/>
        </w:rPr>
      </w:pPr>
      <w:r>
        <w:rPr>
          <w:rFonts w:ascii="Times New Roman;sans-serif" w:hAnsi="Times New Roman;sans-serif"/>
          <w:b w:val="false"/>
          <w:color w:val="000000"/>
          <w:sz w:val="22"/>
        </w:rPr>
        <w:t>a Cayman Islands exempted company, as its general partner</w:t>
      </w:r>
    </w:p>
    <w:p>
      <w:pPr>
        <w:pStyle w:val="TextBody"/>
        <w:spacing w:before="200" w:after="283"/>
        <w:ind w:left="0" w:right="0" w:hanging="240"/>
        <w:rPr/>
      </w:pPr>
      <w:r>
        <w:rPr/>
      </w:r>
    </w:p>
    <w:p>
      <w:pPr>
        <w:pStyle w:val="TextBody"/>
        <w:spacing w:lineRule="auto" w:line="288" w:before="200" w:after="283"/>
        <w:ind w:left="0" w:right="0" w:hanging="240"/>
        <w:rPr/>
      </w:pPr>
      <w:r>
        <w:rPr>
          <w:rFonts w:ascii="Times New Roman;sans-serif" w:hAnsi="Times New Roman;sans-serif"/>
          <w:b w:val="false"/>
          <w:color w:val="000000"/>
          <w:sz w:val="22"/>
        </w:rPr>
        <w:t xml:space="preserve">By: </w:t>
      </w:r>
      <w:r>
        <w:rPr>
          <w:rFonts w:ascii="Times New Roman;sans-serif" w:hAnsi="Times New Roman;sans-serif"/>
          <w:b w:val="false"/>
          <w:color w:val="000000"/>
          <w:sz w:val="22"/>
          <w:u w:val="single"/>
        </w:rPr>
        <w:t>/s/ Wai Shan WONG    </w:t>
      </w:r>
    </w:p>
    <w:p>
      <w:pPr>
        <w:pStyle w:val="TextBody"/>
        <w:spacing w:lineRule="auto" w:line="288" w:before="0" w:after="0"/>
        <w:ind w:left="0" w:right="0" w:hanging="238"/>
        <w:rPr>
          <w:rFonts w:ascii="Times New Roman;sans-serif" w:hAnsi="Times New Roman;sans-serif"/>
          <w:b w:val="false"/>
          <w:color w:val="000000"/>
          <w:sz w:val="22"/>
        </w:rPr>
      </w:pPr>
      <w:r>
        <w:rPr>
          <w:rFonts w:ascii="Times New Roman;sans-serif" w:hAnsi="Times New Roman;sans-serif"/>
          <w:b w:val="false"/>
          <w:color w:val="000000"/>
          <w:sz w:val="22"/>
        </w:rPr>
        <w:t>Name: Wai Shan WONG</w:t>
      </w:r>
    </w:p>
    <w:p>
      <w:pPr>
        <w:pStyle w:val="TextBody"/>
        <w:spacing w:lineRule="auto" w:line="288" w:before="0" w:after="0"/>
        <w:ind w:left="0" w:right="0" w:hanging="238"/>
        <w:rPr>
          <w:rFonts w:ascii="Times New Roman;sans-serif" w:hAnsi="Times New Roman;sans-serif"/>
          <w:b w:val="false"/>
          <w:color w:val="000000"/>
          <w:sz w:val="22"/>
        </w:rPr>
      </w:pPr>
      <w:r>
        <w:rPr>
          <w:rFonts w:ascii="Times New Roman;sans-serif" w:hAnsi="Times New Roman;sans-serif"/>
          <w:b w:val="false"/>
          <w:color w:val="000000"/>
          <w:sz w:val="22"/>
        </w:rPr>
        <w:t>Title: Director / Authorized Signatory</w:t>
      </w:r>
    </w:p>
    <w:p>
      <w:pPr>
        <w:pStyle w:val="TextBody"/>
        <w:spacing w:before="200" w:after="283"/>
        <w:rPr/>
      </w:pPr>
      <w:r>
        <w:rPr/>
      </w:r>
    </w:p>
    <w:p>
      <w:pPr>
        <w:pStyle w:val="TextBody"/>
        <w:spacing w:before="200" w:after="283"/>
        <w:ind w:left="0" w:right="0" w:hanging="240"/>
        <w:rPr/>
      </w:pPr>
      <w:r>
        <w:rPr/>
      </w:r>
    </w:p>
    <w:p>
      <w:pPr>
        <w:pStyle w:val="TextBody"/>
        <w:spacing w:lineRule="auto" w:line="288" w:before="200" w:after="283"/>
        <w:rPr/>
      </w:pPr>
      <w:r>
        <w:rPr>
          <w:rFonts w:ascii="Times New Roman;sans-serif" w:hAnsi="Times New Roman;sans-serif"/>
          <w:b w:val="false"/>
          <w:color w:val="000000"/>
          <w:sz w:val="22"/>
          <w:u w:val="single"/>
        </w:rPr>
        <w:t>PREFERRED HOLDER</w:t>
      </w:r>
      <w:r>
        <w:rPr>
          <w:rFonts w:ascii="Times New Roman;sans-serif" w:hAnsi="Times New Roman;sans-serif"/>
          <w:b w:val="false"/>
          <w:color w:val="000000"/>
          <w:sz w:val="22"/>
        </w:rPr>
        <w:t>:    </w:t>
      </w:r>
      <w:r>
        <w:rPr>
          <w:rFonts w:ascii="Times New Roman;sans-serif" w:hAnsi="Times New Roman;sans-serif"/>
          <w:b/>
          <w:color w:val="000000"/>
          <w:sz w:val="22"/>
        </w:rPr>
        <w:t>Evolution Fund I Co-investment, L.P.</w:t>
      </w:r>
    </w:p>
    <w:p>
      <w:pPr>
        <w:pStyle w:val="TextBody"/>
        <w:spacing w:lineRule="auto" w:line="288" w:before="0" w:after="0"/>
        <w:ind w:left="0" w:right="0" w:hanging="238"/>
        <w:rPr>
          <w:rFonts w:ascii="Times New Roman;sans-serif" w:hAnsi="Times New Roman;sans-serif"/>
          <w:b w:val="false"/>
          <w:color w:val="000000"/>
          <w:sz w:val="22"/>
        </w:rPr>
      </w:pPr>
      <w:r>
        <w:rPr>
          <w:rFonts w:ascii="Times New Roman;sans-serif" w:hAnsi="Times New Roman;sans-serif"/>
          <w:b w:val="false"/>
          <w:color w:val="000000"/>
          <w:sz w:val="22"/>
        </w:rPr>
        <w:t>a Cayman Islands exempted limited partnership</w:t>
      </w:r>
    </w:p>
    <w:p>
      <w:pPr>
        <w:pStyle w:val="TextBody"/>
        <w:spacing w:lineRule="auto" w:line="288" w:before="0" w:after="0"/>
        <w:ind w:left="0" w:right="0" w:hanging="238"/>
        <w:rPr>
          <w:rFonts w:ascii="Times New Roman;sans-serif" w:hAnsi="Times New Roman;sans-serif"/>
          <w:b w:val="false"/>
          <w:color w:val="000000"/>
          <w:sz w:val="22"/>
        </w:rPr>
      </w:pPr>
      <w:r>
        <w:rPr>
          <w:rFonts w:ascii="Times New Roman;sans-serif" w:hAnsi="Times New Roman;sans-serif"/>
          <w:b w:val="false"/>
          <w:color w:val="000000"/>
          <w:sz w:val="22"/>
        </w:rPr>
        <w:t xml:space="preserve">By: MSVC GP Limited, </w:t>
      </w:r>
    </w:p>
    <w:p>
      <w:pPr>
        <w:pStyle w:val="TextBody"/>
        <w:spacing w:lineRule="auto" w:line="288" w:before="0" w:after="0"/>
        <w:ind w:left="0" w:right="0" w:hanging="238"/>
        <w:rPr>
          <w:rFonts w:ascii="Times New Roman;sans-serif" w:hAnsi="Times New Roman;sans-serif"/>
          <w:b w:val="false"/>
          <w:color w:val="000000"/>
          <w:sz w:val="22"/>
        </w:rPr>
      </w:pPr>
      <w:r>
        <w:rPr>
          <w:rFonts w:ascii="Times New Roman;sans-serif" w:hAnsi="Times New Roman;sans-serif"/>
          <w:b w:val="false"/>
          <w:color w:val="000000"/>
          <w:sz w:val="22"/>
        </w:rPr>
        <w:t>a Cayman Islands exempted company, as its general partner</w:t>
      </w:r>
    </w:p>
    <w:p>
      <w:pPr>
        <w:pStyle w:val="TextBody"/>
        <w:spacing w:before="200" w:after="283"/>
        <w:ind w:left="0" w:right="0" w:hanging="240"/>
        <w:rPr/>
      </w:pPr>
      <w:r>
        <w:rPr/>
      </w:r>
    </w:p>
    <w:p>
      <w:pPr>
        <w:pStyle w:val="TextBody"/>
        <w:spacing w:lineRule="auto" w:line="288" w:before="200" w:after="283"/>
        <w:ind w:left="0" w:right="0" w:hanging="240"/>
        <w:rPr/>
      </w:pPr>
      <w:r>
        <w:rPr>
          <w:rFonts w:ascii="Times New Roman;sans-serif" w:hAnsi="Times New Roman;sans-serif"/>
          <w:b w:val="false"/>
          <w:color w:val="000000"/>
          <w:sz w:val="22"/>
        </w:rPr>
        <w:t>By:</w:t>
      </w:r>
      <w:r>
        <w:rPr>
          <w:color w:val="000000"/>
          <w:u w:val="single"/>
        </w:rPr>
        <w:t xml:space="preserve"> </w:t>
      </w:r>
      <w:r>
        <w:rPr>
          <w:rFonts w:ascii="Times New Roman;sans-serif" w:hAnsi="Times New Roman;sans-serif"/>
          <w:b w:val="false"/>
          <w:color w:val="000000"/>
          <w:sz w:val="22"/>
          <w:u w:val="single"/>
        </w:rPr>
        <w:t>/s/ Wai Shan WONG    </w:t>
      </w:r>
    </w:p>
    <w:p>
      <w:pPr>
        <w:pStyle w:val="TextBody"/>
        <w:spacing w:lineRule="auto" w:line="288" w:before="0" w:after="0"/>
        <w:ind w:left="0" w:right="0" w:hanging="238"/>
        <w:rPr>
          <w:rFonts w:ascii="Times New Roman;sans-serif" w:hAnsi="Times New Roman;sans-serif"/>
          <w:b w:val="false"/>
          <w:color w:val="000000"/>
          <w:sz w:val="22"/>
        </w:rPr>
      </w:pPr>
      <w:r>
        <w:rPr>
          <w:rFonts w:ascii="Times New Roman;sans-serif" w:hAnsi="Times New Roman;sans-serif"/>
          <w:b w:val="false"/>
          <w:color w:val="000000"/>
          <w:sz w:val="22"/>
        </w:rPr>
        <w:t>Name: Wai Shan WONG</w:t>
      </w:r>
    </w:p>
    <w:p>
      <w:pPr>
        <w:pStyle w:val="TextBody"/>
        <w:spacing w:lineRule="auto" w:line="288" w:before="0" w:after="0"/>
        <w:ind w:left="0" w:right="0" w:hanging="238"/>
        <w:rPr>
          <w:rFonts w:ascii="Times New Roman;sans-serif" w:hAnsi="Times New Roman;sans-serif"/>
          <w:b w:val="false"/>
          <w:color w:val="000000"/>
          <w:sz w:val="22"/>
        </w:rPr>
      </w:pPr>
      <w:r>
        <w:rPr>
          <w:rFonts w:ascii="Times New Roman;sans-serif" w:hAnsi="Times New Roman;sans-serif"/>
          <w:b w:val="false"/>
          <w:color w:val="000000"/>
          <w:sz w:val="22"/>
        </w:rPr>
        <w:t>Title: Director / Authorized Signatory</w:t>
      </w:r>
    </w:p>
    <w:p>
      <w:pPr>
        <w:pStyle w:val="TextBody"/>
        <w:spacing w:before="200" w:after="283"/>
        <w:rPr/>
      </w:pPr>
      <w:r>
        <w:rPr/>
      </w:r>
    </w:p>
    <w:p>
      <w:pPr>
        <w:pStyle w:val="TextBody"/>
        <w:spacing w:before="240" w:after="283"/>
        <w:ind w:left="0" w:right="0" w:firstLine="720"/>
        <w:jc w:val="both"/>
        <w:rPr/>
      </w:pPr>
      <w:r>
        <w:rPr/>
      </w:r>
      <w:r>
        <w:br w:type="page"/>
      </w:r>
    </w:p>
    <w:p>
      <w:pPr>
        <w:pStyle w:val="TextBody"/>
        <w:spacing w:before="0" w:after="0"/>
        <w:jc w:val="right"/>
        <w:rPr/>
      </w:pPr>
      <w:r>
        <w:rPr/>
      </w:r>
      <w:r>
        <mc:AlternateContent>
          <mc:Choice Requires="wps">
            <w:drawing>
              <wp:anchor behindDoc="0" distT="0" distB="0" distL="0" distR="0" simplePos="0" locked="0" layoutInCell="1" allowOverlap="1" relativeHeight="386">
                <wp:simplePos x="0" y="0"/>
                <wp:positionH relativeFrom="character">
                  <wp:align>left</wp:align>
                </wp:positionH>
                <wp:positionV relativeFrom="line">
                  <wp:posOffset>635</wp:posOffset>
                </wp:positionV>
                <wp:extent cx="6480175" cy="131445"/>
                <wp:effectExtent l="0" t="0" r="0" b="0"/>
                <wp:wrapNone/>
                <wp:docPr id="385" name="Frame382"/>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Signature Page to Amendment to Amended and Restated Shareholders Agreement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Signature Page to Amendment to Amended and Restated Shareholders Agreement</w:t>
                      </w:r>
                    </w:p>
                  </w:txbxContent>
                </v:textbox>
              </v:rect>
            </w:pict>
          </mc:Fallback>
        </mc:AlternateContent>
      </w:r>
    </w:p>
    <w:p>
      <w:pPr>
        <w:pStyle w:val="TextBody"/>
        <w:spacing w:lineRule="auto" w:line="28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IN WITNESS WHEREOF, the parties hereto have caused their respective duly authorized representatives to execute this Amendment on the date first written above.</w:t>
      </w:r>
    </w:p>
    <w:p>
      <w:pPr>
        <w:pStyle w:val="TextBody"/>
        <w:spacing w:before="0" w:after="0"/>
        <w:ind w:left="0" w:right="0" w:hanging="3960"/>
        <w:rPr/>
      </w:pPr>
      <w:r>
        <w:rPr/>
      </w:r>
    </w:p>
    <w:p>
      <w:pPr>
        <w:pStyle w:val="TextBody"/>
        <w:spacing w:lineRule="auto" w:line="288" w:before="2" w:after="283"/>
        <w:ind w:left="0" w:right="0" w:firstLine="1"/>
        <w:rPr/>
      </w:pPr>
      <w:r>
        <w:rPr>
          <w:rFonts w:ascii="Times New Roman;sans-serif" w:hAnsi="Times New Roman;sans-serif"/>
          <w:b w:val="false"/>
          <w:color w:val="000000"/>
          <w:sz w:val="22"/>
          <w:u w:val="single"/>
        </w:rPr>
        <w:t>PREFERRED HOLDER</w:t>
      </w:r>
      <w:r>
        <w:rPr>
          <w:rFonts w:ascii="Times New Roman;sans-serif" w:hAnsi="Times New Roman;sans-serif"/>
          <w:b w:val="false"/>
          <w:color w:val="000000"/>
          <w:sz w:val="22"/>
        </w:rPr>
        <w:t>:    </w:t>
      </w:r>
      <w:r>
        <w:rPr>
          <w:rFonts w:ascii="Times New Roman;sans-serif" w:hAnsi="Times New Roman;sans-serif"/>
          <w:b/>
          <w:color w:val="000000"/>
          <w:sz w:val="22"/>
        </w:rPr>
        <w:t>GGV CAPITAL IV L.P.</w:t>
      </w:r>
    </w:p>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By: GGV Capital IV L.L.C., its General Partner</w:t>
      </w:r>
    </w:p>
    <w:p>
      <w:pPr>
        <w:pStyle w:val="TextBody"/>
        <w:spacing w:before="0" w:after="0"/>
        <w:rPr/>
      </w:pPr>
      <w:r>
        <w:rPr/>
      </w:r>
    </w:p>
    <w:p>
      <w:pPr>
        <w:pStyle w:val="TextBody"/>
        <w:spacing w:before="0" w:after="0"/>
        <w:rPr/>
      </w:pPr>
      <w:r>
        <w:rPr/>
      </w:r>
    </w:p>
    <w:p>
      <w:pPr>
        <w:pStyle w:val="TextBody"/>
        <w:spacing w:lineRule="auto" w:line="288" w:before="0" w:after="0"/>
        <w:rPr/>
      </w:pPr>
      <w:r>
        <w:rPr>
          <w:rFonts w:ascii="Times New Roman;sans-serif" w:hAnsi="Times New Roman;sans-serif"/>
          <w:b w:val="false"/>
          <w:color w:val="000000"/>
          <w:sz w:val="22"/>
        </w:rPr>
        <w:t xml:space="preserve">By: </w:t>
      </w:r>
      <w:r>
        <w:rPr>
          <w:rFonts w:ascii="Times New Roman;sans-serif" w:hAnsi="Times New Roman;sans-serif"/>
          <w:b w:val="false"/>
          <w:color w:val="000000"/>
          <w:sz w:val="22"/>
          <w:u w:val="single"/>
        </w:rPr>
        <w:t>/s/ Stephen Hyndman    </w:t>
      </w:r>
    </w:p>
    <w:p>
      <w:pPr>
        <w:pStyle w:val="TextBody"/>
        <w:spacing w:lineRule="auto" w:line="288" w:before="2" w:after="283"/>
        <w:ind w:left="0" w:right="0" w:firstLine="1"/>
        <w:rPr>
          <w:rFonts w:ascii="Times New Roman;sans-serif" w:hAnsi="Times New Roman;sans-serif"/>
          <w:b w:val="false"/>
          <w:color w:val="000000"/>
          <w:sz w:val="22"/>
        </w:rPr>
      </w:pPr>
      <w:r>
        <w:rPr>
          <w:rFonts w:ascii="Times New Roman;sans-serif" w:hAnsi="Times New Roman;sans-serif"/>
          <w:b w:val="false"/>
          <w:color w:val="000000"/>
          <w:sz w:val="22"/>
        </w:rPr>
        <w:t>Name: Stephen Hyndman</w:t>
      </w:r>
    </w:p>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Title: Attorney in Fact</w:t>
      </w:r>
    </w:p>
    <w:p>
      <w:pPr>
        <w:pStyle w:val="TextBody"/>
        <w:spacing w:before="0" w:after="0"/>
        <w:ind w:left="0" w:right="0" w:hanging="2"/>
        <w:jc w:val="both"/>
        <w:rPr/>
      </w:pPr>
      <w:r>
        <w:rPr/>
      </w:r>
    </w:p>
    <w:p>
      <w:pPr>
        <w:pStyle w:val="TextBody"/>
        <w:spacing w:before="0" w:after="0"/>
        <w:ind w:left="0" w:right="0" w:hanging="2"/>
        <w:jc w:val="both"/>
        <w:rPr/>
      </w:pPr>
      <w:r>
        <w:rPr/>
      </w:r>
    </w:p>
    <w:p>
      <w:pPr>
        <w:pStyle w:val="TextBody"/>
        <w:spacing w:before="0" w:after="0"/>
        <w:ind w:left="0" w:right="0" w:hanging="2"/>
        <w:jc w:val="both"/>
        <w:rPr/>
      </w:pPr>
      <w:r>
        <w:rPr/>
      </w:r>
    </w:p>
    <w:p>
      <w:pPr>
        <w:pStyle w:val="TextBody"/>
        <w:spacing w:lineRule="auto" w:line="288" w:before="0" w:after="0"/>
        <w:ind w:left="0" w:right="0" w:hanging="3960"/>
        <w:rPr/>
      </w:pPr>
      <w:r>
        <w:rPr>
          <w:rFonts w:ascii="Times New Roman;sans-serif" w:hAnsi="Times New Roman;sans-serif"/>
          <w:b w:val="false"/>
          <w:color w:val="000000"/>
          <w:sz w:val="22"/>
          <w:u w:val="single"/>
        </w:rPr>
        <w:t>PREFERRED HOLDER</w:t>
      </w:r>
      <w:r>
        <w:rPr>
          <w:rFonts w:ascii="Times New Roman;sans-serif" w:hAnsi="Times New Roman;sans-serif"/>
          <w:b w:val="false"/>
          <w:color w:val="000000"/>
          <w:sz w:val="22"/>
        </w:rPr>
        <w:t>:    </w:t>
      </w:r>
      <w:r>
        <w:rPr>
          <w:rFonts w:ascii="Times New Roman;sans-serif" w:hAnsi="Times New Roman;sans-serif"/>
          <w:b/>
          <w:color w:val="000000"/>
          <w:sz w:val="22"/>
        </w:rPr>
        <w:t>GGV Capital IV Entrepreneurs Fund L.P.</w:t>
      </w:r>
    </w:p>
    <w:p>
      <w:pPr>
        <w:pStyle w:val="TextBody"/>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By: GGV Capital IV L.L.C., its General Partner</w:t>
      </w:r>
    </w:p>
    <w:p>
      <w:pPr>
        <w:pStyle w:val="TextBody"/>
        <w:spacing w:before="0" w:after="0"/>
        <w:ind w:left="0" w:right="0" w:firstLine="22"/>
        <w:rPr/>
      </w:pPr>
      <w:r>
        <w:rPr/>
      </w:r>
    </w:p>
    <w:p>
      <w:pPr>
        <w:pStyle w:val="TextBody"/>
        <w:spacing w:before="0" w:after="0"/>
        <w:rPr/>
      </w:pPr>
      <w:r>
        <w:rPr/>
      </w:r>
    </w:p>
    <w:p>
      <w:pPr>
        <w:pStyle w:val="TextBody"/>
        <w:spacing w:before="0" w:after="0"/>
        <w:ind w:left="0" w:right="0" w:firstLine="22"/>
        <w:rPr/>
      </w:pPr>
      <w:r>
        <w:rPr/>
      </w:r>
    </w:p>
    <w:p>
      <w:pPr>
        <w:pStyle w:val="TextBody"/>
        <w:spacing w:lineRule="auto" w:line="288" w:before="0" w:after="0"/>
        <w:rPr/>
      </w:pPr>
      <w:r>
        <w:rPr>
          <w:rFonts w:ascii="Times New Roman;sans-serif" w:hAnsi="Times New Roman;sans-serif"/>
          <w:b w:val="false"/>
          <w:color w:val="000000"/>
          <w:sz w:val="22"/>
        </w:rPr>
        <w:t xml:space="preserve">By: </w:t>
      </w:r>
      <w:r>
        <w:rPr>
          <w:rFonts w:ascii="Times New Roman;sans-serif" w:hAnsi="Times New Roman;sans-serif"/>
          <w:b w:val="false"/>
          <w:color w:val="000000"/>
          <w:sz w:val="22"/>
          <w:u w:val="single"/>
        </w:rPr>
        <w:t>/s/ Stephen Hyndman    </w:t>
      </w:r>
    </w:p>
    <w:p>
      <w:pPr>
        <w:pStyle w:val="TextBody"/>
        <w:spacing w:lineRule="auto" w:line="288" w:before="2" w:after="283"/>
        <w:ind w:left="0" w:right="0" w:firstLine="1"/>
        <w:rPr>
          <w:rFonts w:ascii="Times New Roman;sans-serif" w:hAnsi="Times New Roman;sans-serif"/>
          <w:b w:val="false"/>
          <w:color w:val="000000"/>
          <w:sz w:val="22"/>
        </w:rPr>
      </w:pPr>
      <w:r>
        <w:rPr>
          <w:rFonts w:ascii="Times New Roman;sans-serif" w:hAnsi="Times New Roman;sans-serif"/>
          <w:b w:val="false"/>
          <w:color w:val="000000"/>
          <w:sz w:val="22"/>
        </w:rPr>
        <w:t>Name: Stephen Hyndman</w:t>
      </w:r>
    </w:p>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Title: Attorney in Fact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 w:after="283"/>
        <w:ind w:left="0" w:right="0" w:firstLine="7"/>
        <w:jc w:val="both"/>
        <w:rPr/>
      </w:pPr>
      <w:r>
        <w:rPr/>
      </w:r>
      <w:r>
        <mc:AlternateContent>
          <mc:Choice Requires="wps">
            <w:drawing>
              <wp:anchor behindDoc="0" distT="0" distB="0" distL="0" distR="0" simplePos="0" locked="0" layoutInCell="1" allowOverlap="1" relativeHeight="387">
                <wp:simplePos x="0" y="0"/>
                <wp:positionH relativeFrom="character">
                  <wp:align>left</wp:align>
                </wp:positionH>
                <wp:positionV relativeFrom="line">
                  <wp:posOffset>635</wp:posOffset>
                </wp:positionV>
                <wp:extent cx="6480175" cy="131445"/>
                <wp:effectExtent l="0" t="0" r="0" b="0"/>
                <wp:wrapNone/>
                <wp:docPr id="386" name="Frame383"/>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Signature Page to Amendment to Amended and Restated Shareholders Agreement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Signature Page to Amendment to Amended and Restated Shareholders Agreement</w:t>
                      </w:r>
                    </w:p>
                  </w:txbxContent>
                </v:textbox>
              </v:rect>
            </w:pict>
          </mc:Fallback>
        </mc:AlternateContent>
      </w:r>
    </w:p>
    <w:p>
      <w:pPr>
        <w:pStyle w:val="TextBody"/>
        <w:spacing w:lineRule="auto" w:line="28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IN WITNESS WHEREOF, the parties hereto have caused their respective duly authorized representatives to execute this Amendment on the date first written above.</w:t>
      </w:r>
    </w:p>
    <w:p>
      <w:pPr>
        <w:pStyle w:val="TextBody"/>
        <w:spacing w:lineRule="auto" w:line="288" w:before="120" w:after="120"/>
        <w:ind w:left="0" w:right="0" w:hanging="2880"/>
        <w:jc w:val="both"/>
        <w:rPr>
          <w:color w:val="000000"/>
        </w:rPr>
      </w:pPr>
      <w:r>
        <w:rPr>
          <w:color w:val="000000"/>
        </w:rPr>
        <w:t>    </w:t>
      </w:r>
    </w:p>
    <w:p>
      <w:pPr>
        <w:pStyle w:val="TextBody"/>
        <w:spacing w:lineRule="auto" w:line="288" w:before="120" w:after="283"/>
        <w:ind w:left="0" w:right="0" w:hanging="3969"/>
        <w:jc w:val="both"/>
        <w:rPr/>
      </w:pPr>
      <w:r>
        <w:rPr>
          <w:rFonts w:ascii="Times New Roman;sans-serif" w:hAnsi="Times New Roman;sans-serif"/>
          <w:b w:val="false"/>
          <w:color w:val="000000"/>
          <w:sz w:val="22"/>
          <w:u w:val="single"/>
        </w:rPr>
        <w:t>PREFERRED HOLDER</w:t>
      </w:r>
      <w:r>
        <w:rPr>
          <w:rFonts w:ascii="Times New Roman;sans-serif" w:hAnsi="Times New Roman;sans-serif"/>
          <w:b w:val="false"/>
          <w:color w:val="000000"/>
          <w:sz w:val="22"/>
        </w:rPr>
        <w:t xml:space="preserve">: </w:t>
      </w:r>
      <w:r>
        <w:rPr>
          <w:rFonts w:ascii="Times New Roman;sans-serif" w:hAnsi="Times New Roman;sans-serif"/>
          <w:b/>
          <w:color w:val="000000"/>
          <w:sz w:val="22"/>
        </w:rPr>
        <w:t>CRCM Opportunity Fund, L.P.</w:t>
      </w:r>
    </w:p>
    <w:p>
      <w:pPr>
        <w:pStyle w:val="TextBody"/>
        <w:spacing w:before="120" w:after="283"/>
        <w:ind w:left="0" w:right="0" w:hanging="3969"/>
        <w:jc w:val="both"/>
        <w:rPr/>
      </w:pPr>
      <w:r>
        <w:rPr/>
      </w:r>
    </w:p>
    <w:p>
      <w:pPr>
        <w:pStyle w:val="TextBody"/>
        <w:spacing w:before="0" w:after="0"/>
        <w:ind w:left="0" w:right="0" w:hanging="3427"/>
        <w:jc w:val="both"/>
        <w:rPr/>
      </w:pPr>
      <w:r>
        <w:rPr/>
      </w:r>
    </w:p>
    <w:p>
      <w:pPr>
        <w:pStyle w:val="TextBody"/>
        <w:spacing w:lineRule="auto" w:line="288" w:before="200" w:after="283"/>
        <w:ind w:left="0" w:right="0" w:firstLine="142"/>
        <w:rPr/>
      </w:pPr>
      <w:r>
        <w:rPr>
          <w:rFonts w:ascii="Times New Roman;sans-serif" w:hAnsi="Times New Roman;sans-serif"/>
          <w:b w:val="false"/>
          <w:color w:val="000000"/>
          <w:sz w:val="22"/>
        </w:rPr>
        <w:t xml:space="preserve">By: </w:t>
      </w:r>
      <w:r>
        <w:rPr>
          <w:rFonts w:ascii="Times New Roman;sans-serif" w:hAnsi="Times New Roman;sans-serif"/>
          <w:b w:val="false"/>
          <w:color w:val="000000"/>
          <w:sz w:val="22"/>
          <w:u w:val="single"/>
        </w:rPr>
        <w:t>/s/ Toby Zhang    </w:t>
      </w:r>
    </w:p>
    <w:p>
      <w:pPr>
        <w:pStyle w:val="TextBody"/>
        <w:spacing w:lineRule="auto" w:line="288" w:before="0" w:after="0"/>
        <w:ind w:left="0" w:right="0" w:firstLine="142"/>
        <w:rPr>
          <w:rFonts w:ascii="Times New Roman;sans-serif" w:hAnsi="Times New Roman;sans-serif"/>
          <w:b w:val="false"/>
          <w:color w:val="000000"/>
          <w:sz w:val="22"/>
        </w:rPr>
      </w:pPr>
      <w:r>
        <w:rPr>
          <w:rFonts w:ascii="Times New Roman;sans-serif" w:hAnsi="Times New Roman;sans-serif"/>
          <w:b w:val="false"/>
          <w:color w:val="000000"/>
          <w:sz w:val="22"/>
        </w:rPr>
        <w:t>Name: Toby Zhang</w:t>
      </w:r>
    </w:p>
    <w:p>
      <w:pPr>
        <w:pStyle w:val="TextBody"/>
        <w:spacing w:lineRule="auto" w:line="288" w:before="0" w:after="0"/>
        <w:ind w:left="0" w:right="0" w:firstLine="142"/>
        <w:rPr>
          <w:rFonts w:ascii="Times New Roman;sans-serif" w:hAnsi="Times New Roman;sans-serif"/>
          <w:b w:val="false"/>
          <w:color w:val="000000"/>
          <w:sz w:val="22"/>
        </w:rPr>
      </w:pPr>
      <w:r>
        <w:rPr>
          <w:rFonts w:ascii="Times New Roman;sans-serif" w:hAnsi="Times New Roman;sans-serif"/>
          <w:b w:val="false"/>
          <w:color w:val="000000"/>
          <w:sz w:val="22"/>
        </w:rPr>
        <w:t>Title: Partner</w:t>
      </w:r>
    </w:p>
    <w:p>
      <w:pPr>
        <w:pStyle w:val="TextBody"/>
        <w:spacing w:before="0" w:after="0"/>
        <w:ind w:left="0" w:right="0" w:firstLine="142"/>
        <w:rPr/>
      </w:pPr>
      <w:r>
        <w:rPr/>
      </w:r>
    </w:p>
    <w:p>
      <w:pPr>
        <w:pStyle w:val="TextBody"/>
        <w:spacing w:before="240" w:after="283"/>
        <w:ind w:left="0" w:right="0" w:firstLine="720"/>
        <w:jc w:val="both"/>
        <w:rPr/>
      </w:pPr>
      <w:r>
        <w:rPr/>
      </w:r>
      <w:r>
        <w:br w:type="page"/>
      </w:r>
    </w:p>
    <w:p>
      <w:pPr>
        <w:pStyle w:val="TextBody"/>
        <w:spacing w:before="0" w:after="0"/>
        <w:jc w:val="right"/>
        <w:rPr/>
      </w:pPr>
      <w:r>
        <w:rPr/>
      </w:r>
      <w:r>
        <mc:AlternateContent>
          <mc:Choice Requires="wps">
            <w:drawing>
              <wp:anchor behindDoc="0" distT="0" distB="0" distL="0" distR="0" simplePos="0" locked="0" layoutInCell="1" allowOverlap="1" relativeHeight="388">
                <wp:simplePos x="0" y="0"/>
                <wp:positionH relativeFrom="character">
                  <wp:align>left</wp:align>
                </wp:positionH>
                <wp:positionV relativeFrom="line">
                  <wp:posOffset>635</wp:posOffset>
                </wp:positionV>
                <wp:extent cx="6480175" cy="131445"/>
                <wp:effectExtent l="0" t="0" r="0" b="0"/>
                <wp:wrapNone/>
                <wp:docPr id="387" name="Frame384"/>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Signature Page to Amendment to Amended and Restated Shareholders Agreement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Signature Page to Amendment to Amended and Restated Shareholders Agreement</w:t>
                      </w:r>
                    </w:p>
                  </w:txbxContent>
                </v:textbox>
              </v:rect>
            </w:pict>
          </mc:Fallback>
        </mc:AlternateContent>
      </w:r>
    </w:p>
    <w:p>
      <w:pPr>
        <w:pStyle w:val="TextBody"/>
        <w:spacing w:lineRule="auto" w:line="288" w:before="240" w:after="283"/>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IN WITNESS WHEREOF, the parties hereto have caused their respective duly authorized representatives to execute this Amendment on the date first written above.</w:t>
      </w:r>
    </w:p>
    <w:p>
      <w:pPr>
        <w:pStyle w:val="TextBody"/>
        <w:spacing w:before="120" w:after="283"/>
        <w:ind w:left="0" w:right="0" w:hanging="3969"/>
        <w:rPr/>
      </w:pPr>
      <w:r>
        <w:rPr/>
      </w:r>
    </w:p>
    <w:p>
      <w:pPr>
        <w:pStyle w:val="TextBody"/>
        <w:spacing w:lineRule="auto" w:line="288" w:before="2" w:after="283"/>
        <w:ind w:left="0" w:right="0" w:firstLine="1"/>
        <w:rPr/>
      </w:pPr>
      <w:r>
        <w:rPr>
          <w:rFonts w:ascii="Times New Roman;sans-serif" w:hAnsi="Times New Roman;sans-serif"/>
          <w:b w:val="false"/>
          <w:color w:val="000000"/>
          <w:sz w:val="22"/>
          <w:u w:val="single"/>
        </w:rPr>
        <w:t>PREFERRED HOLDER</w:t>
      </w:r>
      <w:r>
        <w:rPr>
          <w:rFonts w:ascii="Times New Roman;sans-serif" w:hAnsi="Times New Roman;sans-serif"/>
          <w:b w:val="false"/>
          <w:color w:val="000000"/>
          <w:sz w:val="22"/>
        </w:rPr>
        <w:t xml:space="preserve">: </w:t>
      </w:r>
      <w:r>
        <w:rPr>
          <w:rFonts w:ascii="Times New Roman;sans-serif" w:hAnsi="Times New Roman;sans-serif"/>
          <w:b/>
          <w:color w:val="000000"/>
          <w:sz w:val="22"/>
        </w:rPr>
        <w:t>Yan Capital L.P.</w:t>
      </w:r>
    </w:p>
    <w:p>
      <w:pPr>
        <w:pStyle w:val="TextBody"/>
        <w:spacing w:before="2" w:after="283"/>
        <w:ind w:left="0" w:right="0" w:firstLine="7"/>
        <w:jc w:val="both"/>
        <w:rPr/>
      </w:pPr>
      <w:r>
        <w:rPr/>
      </w:r>
    </w:p>
    <w:p>
      <w:pPr>
        <w:pStyle w:val="TextBody"/>
        <w:spacing w:before="2" w:after="283"/>
        <w:ind w:left="0" w:right="0" w:firstLine="7"/>
        <w:jc w:val="both"/>
        <w:rPr/>
      </w:pPr>
      <w:r>
        <w:rPr/>
      </w:r>
    </w:p>
    <w:p>
      <w:pPr>
        <w:pStyle w:val="TextBody"/>
        <w:spacing w:lineRule="auto" w:line="288" w:before="120" w:after="283"/>
        <w:ind w:left="0" w:right="0" w:hanging="360"/>
        <w:rPr>
          <w:rFonts w:ascii="Times New Roman;sans-serif" w:hAnsi="Times New Roman;sans-serif"/>
          <w:b/>
          <w:color w:val="000000"/>
          <w:sz w:val="22"/>
        </w:rPr>
      </w:pPr>
      <w:r>
        <w:rPr>
          <w:rFonts w:ascii="Times New Roman;sans-serif" w:hAnsi="Times New Roman;sans-serif"/>
          <w:b/>
          <w:color w:val="000000"/>
          <w:sz w:val="22"/>
        </w:rPr>
        <w:t>By: Yan Capital Management Ltd.</w:t>
      </w:r>
    </w:p>
    <w:p>
      <w:pPr>
        <w:pStyle w:val="TextBody"/>
        <w:spacing w:lineRule="auto" w:line="288" w:before="120" w:after="283"/>
        <w:ind w:left="0" w:right="0" w:hanging="360"/>
        <w:rPr>
          <w:rFonts w:ascii="Times New Roman;sans-serif" w:hAnsi="Times New Roman;sans-serif"/>
          <w:b w:val="false"/>
          <w:color w:val="000000"/>
          <w:sz w:val="22"/>
        </w:rPr>
      </w:pPr>
      <w:r>
        <w:rPr>
          <w:rFonts w:ascii="Times New Roman;sans-serif" w:hAnsi="Times New Roman;sans-serif"/>
          <w:b w:val="false"/>
          <w:color w:val="000000"/>
          <w:sz w:val="22"/>
        </w:rPr>
        <w:t>Its Authorized Agent</w:t>
      </w:r>
    </w:p>
    <w:p>
      <w:pPr>
        <w:pStyle w:val="TextBody"/>
        <w:spacing w:before="2" w:after="283"/>
        <w:ind w:left="0" w:right="0" w:firstLine="7"/>
        <w:jc w:val="both"/>
        <w:rPr/>
      </w:pPr>
      <w:r>
        <w:rPr/>
      </w:r>
    </w:p>
    <w:p>
      <w:pPr>
        <w:pStyle w:val="TextBody"/>
        <w:spacing w:before="2" w:after="283"/>
        <w:ind w:left="0" w:right="0" w:firstLine="7"/>
        <w:jc w:val="both"/>
        <w:rPr/>
      </w:pPr>
      <w:r>
        <w:rPr/>
      </w:r>
    </w:p>
    <w:p>
      <w:pPr>
        <w:pStyle w:val="TextBody"/>
        <w:spacing w:before="2" w:after="283"/>
        <w:ind w:left="0" w:right="0" w:firstLine="7"/>
        <w:jc w:val="both"/>
        <w:rPr/>
      </w:pPr>
      <w:r>
        <w:rPr/>
      </w:r>
    </w:p>
    <w:p>
      <w:pPr>
        <w:pStyle w:val="TextBody"/>
        <w:spacing w:lineRule="auto" w:line="288" w:before="0" w:after="0"/>
        <w:rPr/>
      </w:pPr>
      <w:r>
        <w:rPr>
          <w:rFonts w:ascii="Times New Roman;sans-serif" w:hAnsi="Times New Roman;sans-serif"/>
          <w:b w:val="false"/>
          <w:color w:val="000000"/>
          <w:sz w:val="22"/>
        </w:rPr>
        <w:t xml:space="preserve">By: </w:t>
      </w:r>
      <w:r>
        <w:rPr>
          <w:rFonts w:ascii="Times New Roman;sans-serif" w:hAnsi="Times New Roman;sans-serif"/>
          <w:b w:val="false"/>
          <w:color w:val="000000"/>
          <w:sz w:val="22"/>
          <w:u w:val="single"/>
        </w:rPr>
        <w:t>/s/ Yan Dan    </w:t>
      </w:r>
    </w:p>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 xml:space="preserve">Name: Yan Dan </w:t>
      </w:r>
    </w:p>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Title: Authorized Signatory</w:t>
      </w:r>
    </w:p>
    <w:p>
      <w:pPr>
        <w:pStyle w:val="TextBody"/>
        <w:spacing w:before="120" w:after="283"/>
        <w:ind w:left="0" w:right="0" w:hanging="3969"/>
        <w:jc w:val="both"/>
        <w:rPr/>
      </w:pPr>
      <w:r>
        <w:rPr/>
      </w:r>
      <w:r>
        <w:br w:type="page"/>
      </w:r>
    </w:p>
    <w:p>
      <w:pPr>
        <w:pStyle w:val="TextBody"/>
        <w:spacing w:before="0" w:after="0"/>
        <w:jc w:val="right"/>
        <w:rPr/>
      </w:pPr>
      <w:r>
        <w:rPr/>
      </w:r>
      <w:r>
        <mc:AlternateContent>
          <mc:Choice Requires="wps">
            <w:drawing>
              <wp:anchor behindDoc="0" distT="0" distB="0" distL="0" distR="0" simplePos="0" locked="0" layoutInCell="1" allowOverlap="1" relativeHeight="389">
                <wp:simplePos x="0" y="0"/>
                <wp:positionH relativeFrom="character">
                  <wp:align>left</wp:align>
                </wp:positionH>
                <wp:positionV relativeFrom="line">
                  <wp:posOffset>635</wp:posOffset>
                </wp:positionV>
                <wp:extent cx="6480175" cy="131445"/>
                <wp:effectExtent l="0" t="0" r="0" b="0"/>
                <wp:wrapNone/>
                <wp:docPr id="388" name="Frame385"/>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Signature Page to Amendment to Amended and Restated Shareholders Agreement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Signature Page to Amendment to Amended and Restated Shareholders Agreement</w:t>
                      </w:r>
                    </w:p>
                  </w:txbxContent>
                </v:textbox>
              </v:rect>
            </w:pict>
          </mc:Fallback>
        </mc:AlternateContent>
      </w:r>
    </w:p>
    <w:p>
      <w:pPr>
        <w:pStyle w:val="TextBody"/>
        <w:spacing w:lineRule="auto" w:line="288" w:before="240" w:after="283"/>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IN WITNESS WHEREOF, the parties hereto have caused their respective duly authorized representatives to execute this Amendment on the date first written above.</w:t>
      </w:r>
    </w:p>
    <w:p>
      <w:pPr>
        <w:pStyle w:val="TextBody"/>
        <w:spacing w:before="2" w:after="283"/>
        <w:ind w:left="0" w:right="0" w:firstLine="7"/>
        <w:jc w:val="both"/>
        <w:rPr/>
      </w:pPr>
      <w:r>
        <w:rPr/>
      </w:r>
    </w:p>
    <w:p>
      <w:pPr>
        <w:pStyle w:val="TextBody"/>
        <w:spacing w:lineRule="auto" w:line="288" w:before="0" w:after="0"/>
        <w:ind w:left="0" w:right="0" w:hanging="3960"/>
        <w:rPr/>
      </w:pPr>
      <w:r>
        <w:rPr>
          <w:rFonts w:ascii="Times New Roman;sans-serif" w:hAnsi="Times New Roman;sans-serif"/>
          <w:b w:val="false"/>
          <w:color w:val="000000"/>
          <w:sz w:val="22"/>
          <w:u w:val="single"/>
        </w:rPr>
        <w:t>PREFERRED HOLDER</w:t>
      </w:r>
      <w:r>
        <w:rPr>
          <w:rFonts w:ascii="Times New Roman;sans-serif" w:hAnsi="Times New Roman;sans-serif"/>
          <w:b w:val="false"/>
          <w:color w:val="000000"/>
          <w:sz w:val="22"/>
        </w:rPr>
        <w:t>:    </w:t>
      </w:r>
      <w:r>
        <w:rPr>
          <w:rFonts w:ascii="Times New Roman;sans-serif" w:hAnsi="Times New Roman;sans-serif"/>
          <w:b/>
          <w:color w:val="000000"/>
          <w:sz w:val="22"/>
        </w:rPr>
        <w:t>Coatue PE Asia XVI LLC</w:t>
      </w:r>
    </w:p>
    <w:p>
      <w:pPr>
        <w:pStyle w:val="TextBody"/>
        <w:spacing w:lineRule="auto" w:line="288" w:before="0" w:after="0"/>
        <w:rPr>
          <w:color w:val="000000"/>
        </w:rPr>
      </w:pPr>
      <w:r>
        <w:rPr>
          <w:color w:val="000000"/>
        </w:rPr>
        <w:t>    </w:t>
      </w:r>
      <w:r>
        <w:rPr>
          <w:rFonts w:ascii="Times New Roman;sans-serif" w:hAnsi="Times New Roman;sans-serif"/>
          <w:b w:val="false"/>
          <w:color w:val="000000"/>
          <w:sz w:val="22"/>
        </w:rPr>
        <w:t>By: Coatue Management, L.L.C., its investment manager</w: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288" w:before="0" w:after="0"/>
        <w:rPr/>
      </w:pPr>
      <w:r>
        <w:rPr>
          <w:rFonts w:ascii="Times New Roman;sans-serif" w:hAnsi="Times New Roman;sans-serif"/>
          <w:b w:val="false"/>
          <w:color w:val="000000"/>
          <w:sz w:val="22"/>
        </w:rPr>
        <w:t xml:space="preserve">By: </w:t>
      </w:r>
      <w:r>
        <w:rPr>
          <w:rFonts w:ascii="Times New Roman;sans-serif" w:hAnsi="Times New Roman;sans-serif"/>
          <w:b w:val="false"/>
          <w:color w:val="000000"/>
          <w:sz w:val="22"/>
          <w:u w:val="single"/>
        </w:rPr>
        <w:t>/s/ Zachary Feingold    </w:t>
      </w:r>
    </w:p>
    <w:p>
      <w:pPr>
        <w:pStyle w:val="TextBody"/>
        <w:spacing w:lineRule="auto" w:line="288" w:before="2" w:after="283"/>
        <w:ind w:left="0" w:right="0" w:firstLine="1"/>
        <w:rPr>
          <w:rFonts w:ascii="Times New Roman;sans-serif" w:hAnsi="Times New Roman;sans-serif"/>
          <w:b w:val="false"/>
          <w:color w:val="000000"/>
          <w:sz w:val="22"/>
        </w:rPr>
      </w:pPr>
      <w:r>
        <w:rPr>
          <w:rFonts w:ascii="Times New Roman;sans-serif" w:hAnsi="Times New Roman;sans-serif"/>
          <w:b w:val="false"/>
          <w:color w:val="000000"/>
          <w:sz w:val="22"/>
        </w:rPr>
        <w:t>Name: Zachary Feingold</w:t>
      </w:r>
    </w:p>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Title: Authorized Signatory</w:t>
      </w:r>
    </w:p>
    <w:p>
      <w:pPr>
        <w:pStyle w:val="TextBody"/>
        <w:spacing w:before="2" w:after="283"/>
        <w:ind w:left="0" w:right="0" w:firstLine="7"/>
        <w:jc w:val="both"/>
        <w:rPr/>
      </w:pPr>
      <w:r>
        <w:rPr/>
      </w:r>
      <w:r>
        <w:br w:type="page"/>
      </w:r>
    </w:p>
    <w:p>
      <w:pPr>
        <w:pStyle w:val="TextBody"/>
        <w:spacing w:before="0" w:after="0"/>
        <w:jc w:val="right"/>
        <w:rPr/>
      </w:pPr>
      <w:r>
        <w:rPr/>
      </w:r>
      <w:r>
        <mc:AlternateContent>
          <mc:Choice Requires="wps">
            <w:drawing>
              <wp:anchor behindDoc="0" distT="0" distB="0" distL="0" distR="0" simplePos="0" locked="0" layoutInCell="1" allowOverlap="1" relativeHeight="390">
                <wp:simplePos x="0" y="0"/>
                <wp:positionH relativeFrom="character">
                  <wp:align>left</wp:align>
                </wp:positionH>
                <wp:positionV relativeFrom="line">
                  <wp:posOffset>635</wp:posOffset>
                </wp:positionV>
                <wp:extent cx="6480175" cy="131445"/>
                <wp:effectExtent l="0" t="0" r="0" b="0"/>
                <wp:wrapNone/>
                <wp:docPr id="389" name="Frame386"/>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Signature Page to Amendment to Amended and Restated Shareholders Agreement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Signature Page to Amendment to Amended and Restated Shareholders Agreement</w:t>
                      </w:r>
                    </w:p>
                  </w:txbxContent>
                </v:textbox>
              </v:rect>
            </w:pict>
          </mc:Fallback>
        </mc:AlternateContent>
      </w:r>
    </w:p>
    <w:p>
      <w:pPr>
        <w:pStyle w:val="TextBody"/>
        <w:spacing w:lineRule="auto" w:line="288" w:before="240" w:after="283"/>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IN WITNESS WHEREOF, the parties hereto have caused their respective duly authorized representatives to execute this Amendment on the date first written above.</w:t>
      </w:r>
    </w:p>
    <w:p>
      <w:pPr>
        <w:pStyle w:val="TextBody"/>
        <w:spacing w:before="120" w:after="120"/>
        <w:ind w:left="0" w:right="0" w:hanging="3960"/>
        <w:rPr/>
      </w:pPr>
      <w:r>
        <w:rPr/>
      </w:r>
    </w:p>
    <w:p>
      <w:pPr>
        <w:pStyle w:val="TextBody"/>
        <w:spacing w:lineRule="auto" w:line="288" w:before="2" w:after="283"/>
        <w:ind w:left="0" w:right="0" w:firstLine="1"/>
        <w:rPr/>
      </w:pPr>
      <w:r>
        <w:rPr>
          <w:rFonts w:ascii="Times New Roman;sans-serif" w:hAnsi="Times New Roman;sans-serif"/>
          <w:b w:val="false"/>
          <w:color w:val="000000"/>
          <w:sz w:val="22"/>
          <w:u w:val="single"/>
        </w:rPr>
        <w:t>PREFERRED HOLDER</w:t>
      </w:r>
      <w:r>
        <w:rPr>
          <w:rFonts w:ascii="Times New Roman;sans-serif" w:hAnsi="Times New Roman;sans-serif"/>
          <w:b w:val="false"/>
          <w:color w:val="000000"/>
          <w:sz w:val="22"/>
        </w:rPr>
        <w:t>:    </w:t>
      </w:r>
      <w:r>
        <w:rPr>
          <w:rFonts w:ascii="Times New Roman;sans-serif" w:hAnsi="Times New Roman;sans-serif"/>
          <w:b/>
          <w:color w:val="000000"/>
          <w:sz w:val="22"/>
        </w:rPr>
        <w:t>Internet Fund VI Pte. Ltd.</w:t>
      </w:r>
      <w:r>
        <w:rPr>
          <w:color w:val="000000"/>
        </w:rPr>
        <w:t xml:space="preserve"> </w:t>
      </w:r>
    </w:p>
    <w:p>
      <w:pPr>
        <w:pStyle w:val="TextBody"/>
        <w:spacing w:before="200" w:after="283"/>
        <w:rPr/>
      </w:pPr>
      <w:r>
        <w:rPr/>
      </w:r>
    </w:p>
    <w:p>
      <w:pPr>
        <w:pStyle w:val="TextBody"/>
        <w:spacing w:before="2" w:after="283"/>
        <w:ind w:left="0" w:right="0" w:firstLine="7"/>
        <w:rPr/>
      </w:pPr>
      <w:r>
        <w:rPr/>
      </w:r>
    </w:p>
    <w:p>
      <w:pPr>
        <w:pStyle w:val="TextBody"/>
        <w:spacing w:lineRule="auto" w:line="288" w:before="0" w:after="0"/>
        <w:rPr/>
      </w:pPr>
      <w:r>
        <w:rPr>
          <w:rFonts w:ascii="Times New Roman;sans-serif" w:hAnsi="Times New Roman;sans-serif"/>
          <w:b w:val="false"/>
          <w:color w:val="000000"/>
          <w:sz w:val="22"/>
        </w:rPr>
        <w:t xml:space="preserve">By: </w:t>
      </w:r>
      <w:r>
        <w:rPr>
          <w:rFonts w:ascii="Times New Roman;sans-serif" w:hAnsi="Times New Roman;sans-serif"/>
          <w:b w:val="false"/>
          <w:color w:val="000000"/>
          <w:sz w:val="22"/>
          <w:u w:val="single"/>
        </w:rPr>
        <w:t>/s/ Venkatagiri Mudeliar    </w:t>
      </w:r>
    </w:p>
    <w:p>
      <w:pPr>
        <w:pStyle w:val="TextBody"/>
        <w:spacing w:lineRule="auto" w:line="288" w:before="2" w:after="283"/>
        <w:ind w:left="0" w:right="0" w:firstLine="1"/>
        <w:rPr>
          <w:rFonts w:ascii="Times New Roman;sans-serif" w:hAnsi="Times New Roman;sans-serif"/>
          <w:b w:val="false"/>
          <w:color w:val="000000"/>
          <w:sz w:val="22"/>
        </w:rPr>
      </w:pPr>
      <w:r>
        <w:rPr>
          <w:rFonts w:ascii="Times New Roman;sans-serif" w:hAnsi="Times New Roman;sans-serif"/>
          <w:b w:val="false"/>
          <w:color w:val="000000"/>
          <w:sz w:val="22"/>
        </w:rPr>
        <w:t>Name: Venkatagiri Mudeliar</w:t>
      </w:r>
    </w:p>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Title: Director</w:t>
      </w:r>
    </w:p>
    <w:p>
      <w:pPr>
        <w:pStyle w:val="TextBody"/>
        <w:spacing w:before="2" w:after="283"/>
        <w:ind w:left="0" w:right="0" w:firstLine="7"/>
        <w:rPr/>
      </w:pPr>
      <w:r>
        <w:rPr/>
      </w:r>
      <w:r>
        <w:br w:type="page"/>
      </w:r>
    </w:p>
    <w:p>
      <w:pPr>
        <w:pStyle w:val="TextBody"/>
        <w:spacing w:before="0" w:after="0"/>
        <w:jc w:val="right"/>
        <w:rPr/>
      </w:pPr>
      <w:r>
        <w:rPr/>
      </w:r>
      <w:r>
        <mc:AlternateContent>
          <mc:Choice Requires="wps">
            <w:drawing>
              <wp:anchor behindDoc="0" distT="0" distB="0" distL="0" distR="0" simplePos="0" locked="0" layoutInCell="1" allowOverlap="1" relativeHeight="391">
                <wp:simplePos x="0" y="0"/>
                <wp:positionH relativeFrom="character">
                  <wp:align>left</wp:align>
                </wp:positionH>
                <wp:positionV relativeFrom="line">
                  <wp:posOffset>635</wp:posOffset>
                </wp:positionV>
                <wp:extent cx="6480175" cy="131445"/>
                <wp:effectExtent l="0" t="0" r="0" b="0"/>
                <wp:wrapNone/>
                <wp:docPr id="390" name="Frame387"/>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Signature Page to Amendment to Amended and Restated Shareholders Agreement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Signature Page to Amendment to Amended and Restated Shareholders Agreement</w:t>
                      </w:r>
                    </w:p>
                  </w:txbxContent>
                </v:textbox>
              </v:rect>
            </w:pict>
          </mc:Fallback>
        </mc:AlternateContent>
      </w:r>
    </w:p>
    <w:p>
      <w:pPr>
        <w:pStyle w:val="TextBody"/>
        <w:spacing w:before="2" w:after="283"/>
        <w:ind w:left="0" w:right="0" w:firstLine="7"/>
        <w:rPr/>
      </w:pPr>
      <w:r>
        <w:rPr/>
      </w:r>
    </w:p>
    <w:p>
      <w:pPr>
        <w:pStyle w:val="TextBody"/>
        <w:spacing w:before="2" w:after="283"/>
        <w:ind w:left="0" w:right="0" w:hanging="288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IN WITNESS WHEREOF, the parties hereto have caused their respective duly authorized representatives to execute this Amendment on the date first written above.</w:t>
      </w:r>
    </w:p>
    <w:p>
      <w:pPr>
        <w:pStyle w:val="TextBody"/>
        <w:spacing w:lineRule="auto" w:line="288" w:before="120" w:after="120"/>
        <w:ind w:left="0" w:right="0" w:hanging="2880"/>
        <w:jc w:val="both"/>
        <w:rPr>
          <w:color w:val="000000"/>
        </w:rPr>
      </w:pPr>
      <w:r>
        <w:rPr>
          <w:color w:val="000000"/>
        </w:rPr>
        <w:t>    </w:t>
      </w:r>
    </w:p>
    <w:p>
      <w:pPr>
        <w:pStyle w:val="TextBody"/>
        <w:spacing w:lineRule="auto" w:line="288" w:before="120" w:after="283"/>
        <w:ind w:left="0" w:right="0" w:hanging="3960"/>
        <w:rPr/>
      </w:pPr>
      <w:r>
        <w:rPr>
          <w:rFonts w:ascii="Times New Roman;sans-serif" w:hAnsi="Times New Roman;sans-serif"/>
          <w:b w:val="false"/>
          <w:color w:val="000000"/>
          <w:sz w:val="22"/>
          <w:u w:val="single"/>
        </w:rPr>
        <w:t>CPP PURCHASER</w:t>
      </w:r>
      <w:r>
        <w:rPr>
          <w:rFonts w:ascii="Times New Roman;sans-serif" w:hAnsi="Times New Roman;sans-serif"/>
          <w:b w:val="false"/>
          <w:color w:val="000000"/>
          <w:sz w:val="22"/>
        </w:rPr>
        <w:t>:    </w:t>
      </w:r>
      <w:r>
        <w:rPr>
          <w:rFonts w:ascii="Times New Roman;sans-serif" w:hAnsi="Times New Roman;sans-serif"/>
          <w:b/>
          <w:color w:val="000000"/>
          <w:sz w:val="22"/>
        </w:rPr>
        <w:t>COATUE CPP 10 LLC</w:t>
      </w:r>
    </w:p>
    <w:p>
      <w:pPr>
        <w:pStyle w:val="TextBody"/>
        <w:spacing w:lineRule="auto" w:line="28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By: Coatue Management, L.L.C., its investment manager</w:t>
      </w:r>
    </w:p>
    <w:p>
      <w:pPr>
        <w:pStyle w:val="TextBody"/>
        <w:spacing w:before="120" w:after="120"/>
        <w:ind w:left="0" w:right="0" w:hanging="3960"/>
        <w:rPr/>
      </w:pPr>
      <w:r>
        <w:rPr/>
      </w:r>
    </w:p>
    <w:p>
      <w:pPr>
        <w:pStyle w:val="TextBody"/>
        <w:spacing w:before="200" w:after="283"/>
        <w:rPr/>
      </w:pPr>
      <w:r>
        <w:rPr/>
      </w:r>
    </w:p>
    <w:p>
      <w:pPr>
        <w:pStyle w:val="TextBody"/>
        <w:spacing w:lineRule="auto" w:line="288" w:before="0" w:after="0"/>
        <w:rPr/>
      </w:pPr>
      <w:r>
        <w:rPr>
          <w:rFonts w:ascii="Times New Roman;sans-serif" w:hAnsi="Times New Roman;sans-serif"/>
          <w:b w:val="false"/>
          <w:color w:val="000000"/>
          <w:sz w:val="22"/>
        </w:rPr>
        <w:t xml:space="preserve">By: </w:t>
      </w:r>
      <w:r>
        <w:rPr>
          <w:rFonts w:ascii="Times New Roman;sans-serif" w:hAnsi="Times New Roman;sans-serif"/>
          <w:b w:val="false"/>
          <w:color w:val="000000"/>
          <w:sz w:val="22"/>
          <w:u w:val="single"/>
        </w:rPr>
        <w:t>/s/ Zachary Feingold    </w:t>
      </w:r>
    </w:p>
    <w:p>
      <w:pPr>
        <w:pStyle w:val="TextBody"/>
        <w:spacing w:lineRule="auto" w:line="288" w:before="2" w:after="283"/>
        <w:ind w:left="0" w:right="0" w:firstLine="1"/>
        <w:rPr>
          <w:rFonts w:ascii="Times New Roman;sans-serif" w:hAnsi="Times New Roman;sans-serif"/>
          <w:b w:val="false"/>
          <w:color w:val="000000"/>
          <w:sz w:val="22"/>
        </w:rPr>
      </w:pPr>
      <w:r>
        <w:rPr>
          <w:rFonts w:ascii="Times New Roman;sans-serif" w:hAnsi="Times New Roman;sans-serif"/>
          <w:b w:val="false"/>
          <w:color w:val="000000"/>
          <w:sz w:val="22"/>
        </w:rPr>
        <w:t>Name: Zachary Feingold</w:t>
      </w:r>
    </w:p>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Title: Authorized Signatory</w:t>
      </w:r>
    </w:p>
    <w:p>
      <w:pPr>
        <w:pStyle w:val="TextBody"/>
        <w:spacing w:before="2" w:after="283"/>
        <w:ind w:left="0" w:right="0" w:firstLine="7"/>
        <w:rPr/>
      </w:pPr>
      <w:r>
        <w:rPr/>
      </w:r>
      <w:r>
        <w:br w:type="page"/>
      </w:r>
    </w:p>
    <w:p>
      <w:pPr>
        <w:pStyle w:val="TextBody"/>
        <w:spacing w:before="0" w:after="0"/>
        <w:jc w:val="right"/>
        <w:rPr/>
      </w:pPr>
      <w:r>
        <w:rPr/>
      </w:r>
      <w:r>
        <mc:AlternateContent>
          <mc:Choice Requires="wps">
            <w:drawing>
              <wp:anchor behindDoc="0" distT="0" distB="0" distL="0" distR="0" simplePos="0" locked="0" layoutInCell="1" allowOverlap="1" relativeHeight="392">
                <wp:simplePos x="0" y="0"/>
                <wp:positionH relativeFrom="character">
                  <wp:align>left</wp:align>
                </wp:positionH>
                <wp:positionV relativeFrom="line">
                  <wp:posOffset>635</wp:posOffset>
                </wp:positionV>
                <wp:extent cx="6480175" cy="131445"/>
                <wp:effectExtent l="0" t="0" r="0" b="0"/>
                <wp:wrapNone/>
                <wp:docPr id="391" name="Frame388"/>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Signature Page to Amendment to Amended and Restated Shareholders Agreement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Signature Page to Amendment to Amended and Restated Shareholders Agreement</w:t>
                      </w:r>
                    </w:p>
                  </w:txbxContent>
                </v:textbox>
              </v:rect>
            </w:pict>
          </mc:Fallback>
        </mc:AlternateContent>
      </w:r>
    </w:p>
    <w:p>
      <w:pPr>
        <w:pStyle w:val="TextBody"/>
        <w:spacing w:lineRule="auto" w:line="28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IN WITNESS WHEREOF, the parties hereto have caused their respective duly authorized representatives to execute this Amendment on the date first written above.</w:t>
      </w:r>
    </w:p>
    <w:p>
      <w:pPr>
        <w:pStyle w:val="TextBody"/>
        <w:spacing w:before="120" w:after="283"/>
        <w:ind w:left="0" w:right="0" w:hanging="3960"/>
        <w:rPr/>
      </w:pPr>
      <w:r>
        <w:rPr/>
      </w:r>
    </w:p>
    <w:p>
      <w:pPr>
        <w:pStyle w:val="TextBody"/>
        <w:spacing w:lineRule="auto" w:line="288" w:before="2" w:after="283"/>
        <w:ind w:left="0" w:right="0" w:firstLine="1"/>
        <w:rPr/>
      </w:pPr>
      <w:r>
        <w:rPr>
          <w:rFonts w:ascii="Times New Roman;sans-serif" w:hAnsi="Times New Roman;sans-serif"/>
          <w:b w:val="false"/>
          <w:color w:val="000000"/>
          <w:sz w:val="22"/>
          <w:u w:val="single"/>
        </w:rPr>
        <w:t>CPP PURCHASER</w:t>
      </w:r>
      <w:r>
        <w:rPr>
          <w:rFonts w:ascii="Times New Roman;sans-serif" w:hAnsi="Times New Roman;sans-serif"/>
          <w:b w:val="false"/>
          <w:color w:val="000000"/>
          <w:sz w:val="22"/>
        </w:rPr>
        <w:t>:    </w:t>
      </w:r>
      <w:r>
        <w:rPr>
          <w:rFonts w:ascii="Times New Roman;sans-serif" w:hAnsi="Times New Roman;sans-serif"/>
          <w:b/>
          <w:color w:val="000000"/>
          <w:sz w:val="22"/>
        </w:rPr>
        <w:t>NEUMANN CAPITAL</w:t>
      </w:r>
    </w:p>
    <w:p>
      <w:pPr>
        <w:pStyle w:val="TextBody"/>
        <w:spacing w:before="120" w:after="120"/>
        <w:ind w:left="0" w:right="0" w:hanging="3960"/>
        <w:rPr/>
      </w:pPr>
      <w:r>
        <w:rPr/>
      </w:r>
    </w:p>
    <w:p>
      <w:pPr>
        <w:pStyle w:val="TextBody"/>
        <w:spacing w:before="200" w:after="283"/>
        <w:rPr/>
      </w:pPr>
      <w:r>
        <w:rPr/>
      </w:r>
    </w:p>
    <w:p>
      <w:pPr>
        <w:pStyle w:val="TextBody"/>
        <w:spacing w:lineRule="auto" w:line="288" w:before="0" w:after="0"/>
        <w:rPr/>
      </w:pPr>
      <w:r>
        <w:rPr>
          <w:rFonts w:ascii="Times New Roman;sans-serif" w:hAnsi="Times New Roman;sans-serif"/>
          <w:b w:val="false"/>
          <w:color w:val="000000"/>
          <w:sz w:val="22"/>
        </w:rPr>
        <w:t xml:space="preserve">By: </w:t>
      </w:r>
      <w:r>
        <w:rPr>
          <w:rFonts w:ascii="Times New Roman;sans-serif" w:hAnsi="Times New Roman;sans-serif"/>
          <w:b w:val="false"/>
          <w:color w:val="000000"/>
          <w:sz w:val="22"/>
          <w:u w:val="single"/>
        </w:rPr>
        <w:t>/s/ ZHANG Fei    </w:t>
      </w:r>
    </w:p>
    <w:p>
      <w:pPr>
        <w:pStyle w:val="TextBody"/>
        <w:spacing w:lineRule="auto" w:line="288" w:before="2" w:after="283"/>
        <w:ind w:left="0" w:right="0" w:firstLine="1"/>
        <w:rPr>
          <w:rFonts w:ascii="Times New Roman;sans-serif" w:hAnsi="Times New Roman;sans-serif"/>
          <w:b w:val="false"/>
          <w:color w:val="000000"/>
          <w:sz w:val="22"/>
        </w:rPr>
      </w:pPr>
      <w:r>
        <w:rPr>
          <w:rFonts w:ascii="Times New Roman;sans-serif" w:hAnsi="Times New Roman;sans-serif"/>
          <w:b w:val="false"/>
          <w:color w:val="000000"/>
          <w:sz w:val="22"/>
        </w:rPr>
        <w:t>Name: ZHANG Fei</w:t>
      </w:r>
    </w:p>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Title: Director</w:t>
      </w:r>
    </w:p>
    <w:p>
      <w:pPr>
        <w:pStyle w:val="TextBody"/>
        <w:spacing w:before="2" w:after="283"/>
        <w:ind w:left="0" w:right="0" w:firstLine="7"/>
        <w:rPr/>
      </w:pPr>
      <w:r>
        <w:rPr/>
      </w:r>
      <w:r>
        <w:br w:type="page"/>
      </w:r>
    </w:p>
    <w:p>
      <w:pPr>
        <w:pStyle w:val="TextBody"/>
        <w:spacing w:before="0" w:after="0"/>
        <w:jc w:val="right"/>
        <w:rPr/>
      </w:pPr>
      <w:r>
        <w:rPr/>
      </w:r>
      <w:r>
        <mc:AlternateContent>
          <mc:Choice Requires="wps">
            <w:drawing>
              <wp:anchor behindDoc="0" distT="0" distB="0" distL="0" distR="0" simplePos="0" locked="0" layoutInCell="1" allowOverlap="1" relativeHeight="393">
                <wp:simplePos x="0" y="0"/>
                <wp:positionH relativeFrom="character">
                  <wp:align>left</wp:align>
                </wp:positionH>
                <wp:positionV relativeFrom="line">
                  <wp:posOffset>635</wp:posOffset>
                </wp:positionV>
                <wp:extent cx="6480175" cy="131445"/>
                <wp:effectExtent l="0" t="0" r="0" b="0"/>
                <wp:wrapNone/>
                <wp:docPr id="392" name="Frame389"/>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Signature Page to Amendment to Amended and Restated Shareholders Agreement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Signature Page to Amendment to Amended and Restated Shareholders Agreement</w:t>
                      </w:r>
                    </w:p>
                  </w:txbxContent>
                </v:textbox>
              </v:rect>
            </w:pict>
          </mc:Fallback>
        </mc:AlternateContent>
      </w:r>
    </w:p>
    <w:p>
      <w:pPr>
        <w:pStyle w:val="TextBody"/>
        <w:spacing w:lineRule="auto" w:line="28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IN WITNESS WHEREOF, the parties hereto have caused their respective duly authorized representatives to execute this Amendment on the date first written above.</w:t>
      </w:r>
    </w:p>
    <w:p>
      <w:pPr>
        <w:pStyle w:val="TextBody"/>
        <w:spacing w:before="120" w:after="283"/>
        <w:ind w:left="0" w:right="0" w:hanging="3960"/>
        <w:rPr/>
      </w:pPr>
      <w:r>
        <w:rPr/>
      </w:r>
    </w:p>
    <w:p>
      <w:pPr>
        <w:pStyle w:val="TextBody"/>
        <w:spacing w:lineRule="auto" w:line="288" w:before="2" w:after="283"/>
        <w:ind w:left="0" w:right="0" w:firstLine="1"/>
        <w:rPr/>
      </w:pPr>
      <w:r>
        <w:rPr>
          <w:rFonts w:ascii="Times New Roman;sans-serif" w:hAnsi="Times New Roman;sans-serif"/>
          <w:b w:val="false"/>
          <w:color w:val="000000"/>
          <w:sz w:val="22"/>
          <w:u w:val="single"/>
        </w:rPr>
        <w:t>CPP PURCHASER</w:t>
      </w:r>
      <w:r>
        <w:rPr>
          <w:rFonts w:ascii="Times New Roman;sans-serif" w:hAnsi="Times New Roman;sans-serif"/>
          <w:b w:val="false"/>
          <w:color w:val="000000"/>
          <w:sz w:val="22"/>
        </w:rPr>
        <w:t>:    </w:t>
      </w:r>
      <w:r>
        <w:rPr>
          <w:rFonts w:ascii="Times New Roman;sans-serif" w:hAnsi="Times New Roman;sans-serif"/>
          <w:b/>
          <w:color w:val="000000"/>
          <w:sz w:val="22"/>
        </w:rPr>
        <w:t>VIP III NOMINEES LIMITED</w:t>
      </w:r>
    </w:p>
    <w:p>
      <w:pPr>
        <w:pStyle w:val="TextBody"/>
        <w:spacing w:before="120" w:after="120"/>
        <w:ind w:left="0" w:right="0" w:hanging="3960"/>
        <w:rPr/>
      </w:pPr>
      <w:r>
        <w:rPr/>
      </w:r>
    </w:p>
    <w:p>
      <w:pPr>
        <w:pStyle w:val="TextBody"/>
        <w:spacing w:before="200" w:after="283"/>
        <w:rPr/>
      </w:pPr>
      <w:r>
        <w:rPr/>
      </w:r>
    </w:p>
    <w:p>
      <w:pPr>
        <w:pStyle w:val="TextBody"/>
        <w:spacing w:lineRule="auto" w:line="288" w:before="0" w:after="0"/>
        <w:rPr/>
      </w:pPr>
      <w:r>
        <w:rPr>
          <w:rFonts w:ascii="Times New Roman;sans-serif" w:hAnsi="Times New Roman;sans-serif"/>
          <w:b w:val="false"/>
          <w:color w:val="000000"/>
          <w:sz w:val="22"/>
        </w:rPr>
        <w:t xml:space="preserve">By: </w:t>
      </w:r>
      <w:r>
        <w:rPr>
          <w:rFonts w:ascii="Times New Roman;sans-serif" w:hAnsi="Times New Roman;sans-serif"/>
          <w:b w:val="false"/>
          <w:color w:val="000000"/>
          <w:sz w:val="22"/>
          <w:u w:val="single"/>
        </w:rPr>
        <w:t>/s/ Thomas Studd    </w:t>
      </w:r>
    </w:p>
    <w:p>
      <w:pPr>
        <w:pStyle w:val="TextBody"/>
        <w:spacing w:lineRule="auto" w:line="288" w:before="2" w:after="283"/>
        <w:ind w:left="0" w:right="0" w:firstLine="1"/>
        <w:rPr>
          <w:rFonts w:ascii="Times New Roman;sans-serif" w:hAnsi="Times New Roman;sans-serif"/>
          <w:b w:val="false"/>
          <w:color w:val="000000"/>
          <w:sz w:val="22"/>
        </w:rPr>
      </w:pPr>
      <w:r>
        <w:rPr>
          <w:rFonts w:ascii="Times New Roman;sans-serif" w:hAnsi="Times New Roman;sans-serif"/>
          <w:b w:val="false"/>
          <w:color w:val="000000"/>
          <w:sz w:val="22"/>
        </w:rPr>
        <w:t>Name: Thomas Studd</w:t>
      </w:r>
    </w:p>
    <w:p>
      <w:pPr>
        <w:pStyle w:val="TextBody"/>
        <w:spacing w:lineRule="auto" w:line="288" w:before="0" w:after="0"/>
        <w:ind w:left="0" w:right="0" w:hanging="630"/>
        <w:rPr>
          <w:rFonts w:ascii="Times New Roman;sans-serif" w:hAnsi="Times New Roman;sans-serif"/>
          <w:b w:val="false"/>
          <w:color w:val="000000"/>
          <w:sz w:val="22"/>
        </w:rPr>
      </w:pPr>
      <w:r>
        <w:rPr>
          <w:rFonts w:ascii="Times New Roman;sans-serif" w:hAnsi="Times New Roman;sans-serif"/>
          <w:b w:val="false"/>
          <w:color w:val="000000"/>
          <w:sz w:val="22"/>
        </w:rPr>
        <w:t>Title: Member of Vitruvian Partners LLP in its capacity as director of VIP III Nominees Limited</w:t>
      </w:r>
    </w:p>
    <w:p>
      <w:pPr>
        <w:pStyle w:val="TextBody"/>
        <w:spacing w:before="240" w:after="283"/>
        <w:ind w:left="0" w:right="0" w:firstLine="720"/>
        <w:jc w:val="both"/>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394">
                <wp:simplePos x="0" y="0"/>
                <wp:positionH relativeFrom="character">
                  <wp:align>left</wp:align>
                </wp:positionH>
                <wp:positionV relativeFrom="line">
                  <wp:posOffset>635</wp:posOffset>
                </wp:positionV>
                <wp:extent cx="6480175" cy="131445"/>
                <wp:effectExtent l="0" t="0" r="0" b="0"/>
                <wp:wrapNone/>
                <wp:docPr id="393" name="Frame390"/>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Signature Page to Amendment to Amended and Restated Shareholders Agreement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Signature Page to Amendment to Amended and Restated Shareholders Agreement</w:t>
                      </w:r>
                    </w:p>
                  </w:txbxContent>
                </v:textbox>
              </v:rect>
            </w:pict>
          </mc:Fallback>
        </mc:AlternateContent>
      </w:r>
    </w:p>
    <w:p>
      <w:pPr>
        <w:pStyle w:val="TextBody"/>
        <w:spacing w:before="219" w:after="283"/>
        <w:rPr/>
      </w:pPr>
      <w:r>
        <w:rPr/>
      </w:r>
    </w:p>
    <w:p>
      <w:pPr>
        <w:pStyle w:val="TextBody"/>
        <w:spacing w:before="3" w:after="283"/>
        <w:jc w:val="right"/>
        <w:rPr/>
      </w:pPr>
      <w:r>
        <w:rPr/>
      </w:r>
    </w:p>
    <w:p>
      <w:pPr>
        <w:pStyle w:val="TextBody"/>
        <w:spacing w:lineRule="auto" w:line="288" w:before="0" w:after="240"/>
        <w:jc w:val="center"/>
        <w:rPr>
          <w:rFonts w:ascii="Times New Roman;sans-serif" w:hAnsi="Times New Roman;sans-serif"/>
          <w:b/>
          <w:color w:val="000000"/>
          <w:sz w:val="22"/>
        </w:rPr>
      </w:pPr>
      <w:r>
        <w:rPr>
          <w:rFonts w:ascii="Times New Roman;sans-serif" w:hAnsi="Times New Roman;sans-serif"/>
          <w:b/>
          <w:color w:val="000000"/>
          <w:sz w:val="22"/>
        </w:rPr>
        <w:t>Description of rights of securities registered under Section 12 of the Securities Exchange Act of 1934 (the “Exchange Act”)</w:t>
      </w:r>
    </w:p>
    <w:p>
      <w:pPr>
        <w:pStyle w:val="TextBody"/>
        <w:spacing w:lineRule="auto" w:line="288" w:before="0" w:after="240"/>
        <w:ind w:left="0" w:right="0" w:firstLine="432"/>
        <w:rPr>
          <w:rFonts w:ascii="Times New Roman;sans-serif" w:hAnsi="Times New Roman;sans-serif"/>
          <w:b w:val="false"/>
          <w:color w:val="000000"/>
          <w:sz w:val="22"/>
        </w:rPr>
      </w:pPr>
      <w:r>
        <w:rPr>
          <w:rFonts w:ascii="Times New Roman;sans-serif" w:hAnsi="Times New Roman;sans-serif"/>
          <w:b w:val="false"/>
          <w:color w:val="000000"/>
          <w:sz w:val="22"/>
        </w:rPr>
        <w:t>American depositary shares (“ADSs”), each of which represents four Class A ordinary shares of Agora Inc. (“we,” “us,” “our company,” or “our”), are listed and traded on the Nasdaq Global Select Market and, in connection with this listing (but not for trading), the Class A ordinary shares are registered under Section 12(b) of the Exchange Act. This exhibit contains a description of the rights of (1) the holders of Class A ordinary shares and (2) the holders of ADSs. Class A ordinary shares underlying the ADSs are held by the Bank of New York Mellon, and holders of ADSs will not be treated as holders of Class A ordinary shares.</w:t>
      </w:r>
    </w:p>
    <w:p>
      <w:pPr>
        <w:pStyle w:val="TextBody"/>
        <w:spacing w:lineRule="auto" w:line="288" w:before="0" w:after="240"/>
        <w:rPr>
          <w:rFonts w:ascii="Times New Roman;sans-serif" w:hAnsi="Times New Roman;sans-serif"/>
          <w:b/>
          <w:color w:val="000000"/>
          <w:sz w:val="22"/>
        </w:rPr>
      </w:pPr>
      <w:r>
        <w:rPr>
          <w:rFonts w:ascii="Times New Roman;sans-serif" w:hAnsi="Times New Roman;sans-serif"/>
          <w:b/>
          <w:color w:val="000000"/>
          <w:sz w:val="22"/>
        </w:rPr>
        <w:t>Description of Class A Ordinary Shares</w:t>
      </w:r>
    </w:p>
    <w:p>
      <w:pPr>
        <w:pStyle w:val="TextBody"/>
        <w:spacing w:lineRule="auto" w:line="288" w:before="0" w:after="240"/>
        <w:ind w:left="0" w:right="0" w:firstLine="432"/>
        <w:rPr>
          <w:rFonts w:ascii="Times New Roman;sans-serif" w:hAnsi="Times New Roman;sans-serif"/>
          <w:b w:val="false"/>
          <w:color w:val="000000"/>
          <w:sz w:val="22"/>
        </w:rPr>
      </w:pPr>
      <w:r>
        <w:rPr>
          <w:rFonts w:ascii="Times New Roman;sans-serif" w:hAnsi="Times New Roman;sans-serif"/>
          <w:b w:val="false"/>
          <w:color w:val="000000"/>
          <w:sz w:val="22"/>
        </w:rPr>
        <w:t>The following is a summary of material provisions of our currently effective fifth amended and restated memorandum of association (the “Articles”) as well as the Companies Act (As Revised) of the Cayman Islands (the “Companies Act”) insofar as they relate to the material terms of our Class A ordinary shares. As it is a summary, it may not contain all the information that you may otherwise deem important. For more complete information, you should read the entire Articles, which has been filed with the Securities and Exchange Commission (the “SEC”) as an exhibit to our registration statement on Form F-1 (File No. 333-238960), as amended, initially filed with the SEC on June 5, 2020.</w:t>
      </w:r>
    </w:p>
    <w:p>
      <w:pPr>
        <w:pStyle w:val="TextBody"/>
        <w:spacing w:lineRule="auto" w:line="288" w:before="0" w:after="240"/>
        <w:rPr>
          <w:rFonts w:ascii="Times New Roman;sans-serif" w:hAnsi="Times New Roman;sans-serif"/>
          <w:b/>
          <w:i/>
          <w:color w:val="000000"/>
          <w:sz w:val="22"/>
        </w:rPr>
      </w:pPr>
      <w:r>
        <w:rPr>
          <w:rFonts w:ascii="Times New Roman;sans-serif" w:hAnsi="Times New Roman;sans-serif"/>
          <w:b/>
          <w:i/>
          <w:color w:val="000000"/>
          <w:sz w:val="22"/>
        </w:rPr>
        <w:t>Type and Class of Securities (Item 9.A.5 of Form 20-F)</w:t>
      </w:r>
    </w:p>
    <w:p>
      <w:pPr>
        <w:pStyle w:val="TextBody"/>
        <w:spacing w:lineRule="auto" w:line="288" w:before="0" w:after="240"/>
        <w:ind w:left="0" w:right="0" w:firstLine="432"/>
        <w:rPr>
          <w:rFonts w:ascii="Times New Roman;sans-serif" w:hAnsi="Times New Roman;sans-serif"/>
          <w:b w:val="false"/>
          <w:color w:val="000000"/>
          <w:sz w:val="22"/>
        </w:rPr>
      </w:pPr>
      <w:r>
        <w:rPr>
          <w:rFonts w:ascii="Times New Roman;sans-serif" w:hAnsi="Times New Roman;sans-serif"/>
          <w:b w:val="false"/>
          <w:color w:val="000000"/>
          <w:sz w:val="22"/>
        </w:rPr>
        <w:t>The par value of Class A ordinary shares is US$0.0001 per share. The number of Class A ordinary shares that had been issued as of December 31, 2020 is provided on the cover of the annual report on Form 20-F for the fiscal year ended December 31, 2020. Our Class A ordinary shares are issued in registered form and are issued when registered in our register of members. We may not issue shares to bearer. Our shareholders who are not Cayman Islands residents may freely hold and vote their shares.</w:t>
      </w:r>
    </w:p>
    <w:p>
      <w:pPr>
        <w:pStyle w:val="TextBody"/>
        <w:spacing w:lineRule="auto" w:line="288" w:before="0" w:after="240"/>
        <w:rPr>
          <w:rFonts w:ascii="Times New Roman;sans-serif" w:hAnsi="Times New Roman;sans-serif"/>
          <w:b/>
          <w:i/>
          <w:color w:val="000000"/>
          <w:sz w:val="22"/>
        </w:rPr>
      </w:pPr>
      <w:r>
        <w:rPr>
          <w:rFonts w:ascii="Times New Roman;sans-serif" w:hAnsi="Times New Roman;sans-serif"/>
          <w:b/>
          <w:i/>
          <w:color w:val="000000"/>
          <w:sz w:val="22"/>
        </w:rPr>
        <w:t>Preemptive Rights (Item 9.A.3 of Form 20-F)</w:t>
      </w:r>
    </w:p>
    <w:p>
      <w:pPr>
        <w:pStyle w:val="TextBody"/>
        <w:spacing w:lineRule="auto" w:line="288" w:before="0" w:after="240"/>
        <w:ind w:left="0" w:right="0" w:firstLine="432"/>
        <w:rPr>
          <w:rFonts w:ascii="Times New Roman;sans-serif" w:hAnsi="Times New Roman;sans-serif"/>
          <w:b w:val="false"/>
          <w:color w:val="000000"/>
          <w:sz w:val="22"/>
        </w:rPr>
      </w:pPr>
      <w:r>
        <w:rPr>
          <w:rFonts w:ascii="Times New Roman;sans-serif" w:hAnsi="Times New Roman;sans-serif"/>
          <w:b w:val="false"/>
          <w:color w:val="000000"/>
          <w:sz w:val="22"/>
        </w:rPr>
        <w:t>Our shareholders do not have preemptive rights.</w:t>
      </w:r>
    </w:p>
    <w:p>
      <w:pPr>
        <w:pStyle w:val="TextBody"/>
        <w:spacing w:lineRule="auto" w:line="288" w:before="0" w:after="240"/>
        <w:rPr>
          <w:rFonts w:ascii="Times New Roman;sans-serif" w:hAnsi="Times New Roman;sans-serif"/>
          <w:b/>
          <w:i/>
          <w:color w:val="000000"/>
          <w:sz w:val="22"/>
        </w:rPr>
      </w:pPr>
      <w:r>
        <w:rPr>
          <w:rFonts w:ascii="Times New Roman;sans-serif" w:hAnsi="Times New Roman;sans-serif"/>
          <w:b/>
          <w:i/>
          <w:color w:val="000000"/>
          <w:sz w:val="22"/>
        </w:rPr>
        <w:t>Limitations or Qualifications (Item 9.A.6 of Form 20-F)</w:t>
      </w:r>
    </w:p>
    <w:p>
      <w:pPr>
        <w:pStyle w:val="TextBody"/>
        <w:spacing w:lineRule="auto" w:line="288" w:before="0" w:after="240"/>
        <w:ind w:left="0" w:right="0" w:firstLine="432"/>
        <w:rPr>
          <w:rFonts w:ascii="Times New Roman;sans-serif" w:hAnsi="Times New Roman;sans-serif"/>
          <w:b w:val="false"/>
          <w:color w:val="000000"/>
          <w:sz w:val="22"/>
        </w:rPr>
      </w:pPr>
      <w:r>
        <w:rPr>
          <w:rFonts w:ascii="Times New Roman;sans-serif" w:hAnsi="Times New Roman;sans-serif"/>
          <w:b w:val="false"/>
          <w:color w:val="000000"/>
          <w:sz w:val="22"/>
        </w:rPr>
        <w:t>Holders of our Class A ordinary shares and our Class B ordinary shares will vote together as one class on all matters submitted to a vote by our shareholders at any general meeting of our company. Each Class A ordinary share is entitled to one vote and each Class B ordinary share is entitled to 20 votes on all matters subject to a vote at general meetings of our company. Due to the super voting power of conferred upon the holders of Class B ordinary shares, the voting power of the holders of Class A ordinary shares may be limited.</w:t>
      </w:r>
    </w:p>
    <w:p>
      <w:pPr>
        <w:pStyle w:val="TextBody"/>
        <w:spacing w:lineRule="auto" w:line="288" w:before="0" w:after="240"/>
        <w:rPr>
          <w:rFonts w:ascii="Times New Roman;sans-serif" w:hAnsi="Times New Roman;sans-serif"/>
          <w:b/>
          <w:i/>
          <w:color w:val="000000"/>
          <w:sz w:val="22"/>
        </w:rPr>
      </w:pPr>
      <w:r>
        <w:rPr>
          <w:rFonts w:ascii="Times New Roman;sans-serif" w:hAnsi="Times New Roman;sans-serif"/>
          <w:b/>
          <w:i/>
          <w:color w:val="000000"/>
          <w:sz w:val="22"/>
        </w:rPr>
        <w:t xml:space="preserve">Rights of Other Types of Securities (Item 9.A.7 of Form 20-F) </w:t>
      </w:r>
    </w:p>
    <w:p>
      <w:pPr>
        <w:pStyle w:val="TextBody"/>
        <w:spacing w:lineRule="auto" w:line="288" w:before="0" w:after="240"/>
        <w:ind w:left="0" w:right="0" w:firstLine="432"/>
        <w:rPr>
          <w:rFonts w:ascii="Times New Roman;sans-serif" w:hAnsi="Times New Roman;sans-serif"/>
          <w:b w:val="false"/>
          <w:color w:val="000000"/>
          <w:sz w:val="22"/>
        </w:rPr>
      </w:pPr>
      <w:r>
        <w:rPr>
          <w:rFonts w:ascii="Times New Roman;sans-serif" w:hAnsi="Times New Roman;sans-serif"/>
          <w:b w:val="false"/>
          <w:color w:val="000000"/>
          <w:sz w:val="22"/>
        </w:rPr>
        <w:t>Not applicable.</w:t>
      </w:r>
    </w:p>
    <w:p>
      <w:pPr>
        <w:pStyle w:val="TextBody"/>
        <w:spacing w:lineRule="auto" w:line="288" w:before="0" w:after="240"/>
        <w:rPr>
          <w:rFonts w:ascii="Times New Roman;sans-serif" w:hAnsi="Times New Roman;sans-serif"/>
          <w:b/>
          <w:i/>
          <w:color w:val="000000"/>
          <w:sz w:val="22"/>
        </w:rPr>
      </w:pPr>
      <w:r>
        <w:rPr>
          <w:rFonts w:ascii="Times New Roman;sans-serif" w:hAnsi="Times New Roman;sans-serif"/>
          <w:b/>
          <w:i/>
          <w:color w:val="000000"/>
          <w:sz w:val="22"/>
        </w:rPr>
        <w:t xml:space="preserve">Rights of Class A Ordinary Shares (Item 10.B.3 of Form 20-F) </w:t>
      </w:r>
      <w:r>
        <w:br w:type="page"/>
      </w:r>
    </w:p>
    <w:p>
      <w:pPr>
        <w:pStyle w:val="TextBody"/>
        <w:spacing w:before="0" w:after="0"/>
        <w:rPr/>
      </w:pPr>
      <w:r>
        <w:rPr/>
      </w:r>
      <w:r>
        <mc:AlternateContent>
          <mc:Choice Requires="wps">
            <w:drawing>
              <wp:anchor behindDoc="0" distT="0" distB="0" distL="0" distR="0" simplePos="0" locked="0" layoutInCell="1" allowOverlap="1" relativeHeight="395">
                <wp:simplePos x="0" y="0"/>
                <wp:positionH relativeFrom="character">
                  <wp:align>left</wp:align>
                </wp:positionH>
                <wp:positionV relativeFrom="line">
                  <wp:posOffset>635</wp:posOffset>
                </wp:positionV>
                <wp:extent cx="6480175" cy="175260"/>
                <wp:effectExtent l="0" t="0" r="0" b="0"/>
                <wp:wrapNone/>
                <wp:docPr id="394" name="Frame39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240"/>
        <w:rPr>
          <w:rFonts w:ascii="Times New Roman;sans-serif" w:hAnsi="Times New Roman;sans-serif"/>
          <w:b w:val="false"/>
          <w:i/>
          <w:color w:val="000000"/>
          <w:sz w:val="22"/>
        </w:rPr>
      </w:pPr>
      <w:r>
        <w:rPr>
          <w:rFonts w:ascii="Times New Roman;sans-serif" w:hAnsi="Times New Roman;sans-serif"/>
          <w:b w:val="false"/>
          <w:i/>
          <w:color w:val="000000"/>
          <w:sz w:val="22"/>
        </w:rPr>
        <w:t>Classes of Ordinary Shares</w:t>
      </w:r>
    </w:p>
    <w:p>
      <w:pPr>
        <w:pStyle w:val="TextBody"/>
        <w:spacing w:lineRule="auto" w:line="288" w:before="0" w:after="240"/>
        <w:ind w:left="0" w:right="0" w:firstLine="432"/>
        <w:rPr>
          <w:rFonts w:ascii="Times New Roman;sans-serif" w:hAnsi="Times New Roman;sans-serif"/>
          <w:b w:val="false"/>
          <w:color w:val="000000"/>
          <w:sz w:val="22"/>
        </w:rPr>
      </w:pPr>
      <w:r>
        <w:rPr>
          <w:rFonts w:ascii="Times New Roman;sans-serif" w:hAnsi="Times New Roman;sans-serif"/>
          <w:b w:val="false"/>
          <w:color w:val="000000"/>
          <w:sz w:val="22"/>
        </w:rPr>
        <w:t xml:space="preserve">Our ordinary shares are divided into Class A ordinary shares and Class B ordinary shares. Holders of our Class A ordinary shares and Class B ordinary shares will have the same rights except for voting and conversion rights. </w:t>
      </w:r>
    </w:p>
    <w:p>
      <w:pPr>
        <w:pStyle w:val="TextBody"/>
        <w:spacing w:lineRule="auto" w:line="288" w:before="0" w:after="240"/>
        <w:rPr>
          <w:rFonts w:ascii="Times New Roman;sans-serif" w:hAnsi="Times New Roman;sans-serif"/>
          <w:b w:val="false"/>
          <w:i/>
          <w:color w:val="000000"/>
          <w:sz w:val="22"/>
        </w:rPr>
      </w:pPr>
      <w:r>
        <w:rPr>
          <w:rFonts w:ascii="Times New Roman;sans-serif" w:hAnsi="Times New Roman;sans-serif"/>
          <w:b w:val="false"/>
          <w:i/>
          <w:color w:val="000000"/>
          <w:sz w:val="22"/>
        </w:rPr>
        <w:t>Voting Rights</w:t>
      </w:r>
    </w:p>
    <w:p>
      <w:pPr>
        <w:pStyle w:val="TextBody"/>
        <w:spacing w:lineRule="auto" w:line="288" w:before="0" w:after="240"/>
        <w:ind w:left="0" w:right="0" w:firstLine="432"/>
        <w:rPr>
          <w:rFonts w:ascii="Times New Roman;sans-serif" w:hAnsi="Times New Roman;sans-serif"/>
          <w:b w:val="false"/>
          <w:color w:val="000000"/>
          <w:sz w:val="22"/>
        </w:rPr>
      </w:pPr>
      <w:r>
        <w:rPr>
          <w:rFonts w:ascii="Times New Roman;sans-serif" w:hAnsi="Times New Roman;sans-serif"/>
          <w:b w:val="false"/>
          <w:color w:val="000000"/>
          <w:sz w:val="22"/>
        </w:rPr>
        <w:t>Holders of our Class A ordinary shares and our Class B ordinary shares will vote together as one class on all matters submitted to a vote by our shareholders at any general meeting of our company. Each Class A ordinary share is entitled to one vote and each Class B ordinary share is entitled to 20 votes on all matters subject to a vote at general meetings of our company. Voting at any shareholders’ meeting is by show of hands unless a poll is demanded (before or on the declaration of the result of the show of hands). A poll may be demanded by the chairman of such meeting or any one shareholder present in person or by proxy at the meeting.</w:t>
      </w:r>
    </w:p>
    <w:p>
      <w:pPr>
        <w:pStyle w:val="TextBody"/>
        <w:spacing w:lineRule="auto" w:line="288" w:before="0" w:after="240"/>
        <w:ind w:left="0" w:right="0" w:firstLine="432"/>
        <w:rPr>
          <w:rFonts w:ascii="Times New Roman;sans-serif" w:hAnsi="Times New Roman;sans-serif"/>
          <w:b w:val="false"/>
          <w:color w:val="000000"/>
          <w:sz w:val="22"/>
        </w:rPr>
      </w:pPr>
      <w:r>
        <w:rPr>
          <w:rFonts w:ascii="Times New Roman;sans-serif" w:hAnsi="Times New Roman;sans-serif"/>
          <w:b w:val="false"/>
          <w:color w:val="000000"/>
          <w:sz w:val="22"/>
        </w:rPr>
        <w:t>An ordinary resolution to be passed at a meeting by the shareholders requires the affirmative vote of a simple majority of the votes attaching to the issued and ordinary shares cast at a meeting, while a special resolution requires the affirmative vote of no less than two-thirds of the votes cast attaching to the issued and outstanding ordinary shares at a meeting. A special resolution will be required for certain significant matters such as changing the name of our company or amending the Articles. Holders of the ordinary shares may, among other things, divide or combine their shares by ordinary resolution.</w:t>
      </w:r>
    </w:p>
    <w:p>
      <w:pPr>
        <w:pStyle w:val="TextBody"/>
        <w:spacing w:lineRule="auto" w:line="288" w:before="0" w:after="240"/>
        <w:rPr>
          <w:rFonts w:ascii="Times New Roman;sans-serif" w:hAnsi="Times New Roman;sans-serif"/>
          <w:b w:val="false"/>
          <w:i/>
          <w:color w:val="000000"/>
          <w:sz w:val="22"/>
        </w:rPr>
      </w:pPr>
      <w:r>
        <w:rPr>
          <w:rFonts w:ascii="Times New Roman;sans-serif" w:hAnsi="Times New Roman;sans-serif"/>
          <w:b w:val="false"/>
          <w:i/>
          <w:color w:val="000000"/>
          <w:sz w:val="22"/>
        </w:rPr>
        <w:t>Conversion Rights</w:t>
      </w:r>
    </w:p>
    <w:p>
      <w:pPr>
        <w:pStyle w:val="TextBody"/>
        <w:spacing w:lineRule="auto" w:line="288" w:before="0" w:after="240"/>
        <w:ind w:left="0" w:right="0" w:firstLine="432"/>
        <w:rPr>
          <w:rFonts w:ascii="Times New Roman;sans-serif" w:hAnsi="Times New Roman;sans-serif"/>
          <w:b w:val="false"/>
          <w:color w:val="000000"/>
          <w:sz w:val="22"/>
        </w:rPr>
      </w:pPr>
      <w:r>
        <w:rPr>
          <w:rFonts w:ascii="Times New Roman;sans-serif" w:hAnsi="Times New Roman;sans-serif"/>
          <w:b w:val="false"/>
          <w:color w:val="000000"/>
          <w:sz w:val="22"/>
        </w:rPr>
        <w:t>Each Class B ordinary share is convertible into one Class A ordinary share at any time at the option of the holder thereof. Class A ordinary shares are not convertible into Class B ordinary shares in any event. Upon any sale, transfer, assignment or disposition of any Class B ordinary shares by their holder or a change of ultimate beneficial ownership of any Class B ordinary share to any person who is neither Agora Partners L.P., an exempted limited partnership to be established in the Cayman Islands (the limited partners of which shall include members of management of our company and or its affiliates), nor an affiliate controlled by our chief executive officer, Mr. Zhao, such Class B ordinary shares shall be automatically and immediately converted into the same number of Class A ordinary shares.</w:t>
      </w:r>
    </w:p>
    <w:p>
      <w:pPr>
        <w:pStyle w:val="TextBody"/>
        <w:spacing w:lineRule="auto" w:line="288" w:before="0" w:after="240"/>
        <w:rPr>
          <w:rFonts w:ascii="Times New Roman;sans-serif" w:hAnsi="Times New Roman;sans-serif"/>
          <w:b w:val="false"/>
          <w:i/>
          <w:color w:val="000000"/>
          <w:sz w:val="22"/>
        </w:rPr>
      </w:pPr>
      <w:r>
        <w:rPr>
          <w:rFonts w:ascii="Times New Roman;sans-serif" w:hAnsi="Times New Roman;sans-serif"/>
          <w:b w:val="false"/>
          <w:i/>
          <w:color w:val="000000"/>
          <w:sz w:val="22"/>
        </w:rPr>
        <w:t xml:space="preserve">Dividend Rights </w:t>
      </w:r>
    </w:p>
    <w:p>
      <w:pPr>
        <w:pStyle w:val="TextBody"/>
        <w:spacing w:lineRule="auto" w:line="288" w:before="0" w:after="240"/>
        <w:ind w:left="0" w:right="0" w:firstLine="432"/>
        <w:rPr>
          <w:rFonts w:ascii="Times New Roman;sans-serif" w:hAnsi="Times New Roman;sans-serif"/>
          <w:b w:val="false"/>
          <w:color w:val="000000"/>
          <w:sz w:val="22"/>
        </w:rPr>
      </w:pPr>
      <w:r>
        <w:rPr>
          <w:rFonts w:ascii="Times New Roman;sans-serif" w:hAnsi="Times New Roman;sans-serif"/>
          <w:b w:val="false"/>
          <w:color w:val="000000"/>
          <w:sz w:val="22"/>
        </w:rPr>
        <w:t>The holders of our ordinary shares are entitled to such dividends as may be declared by our board of directors. In addition, our shareholders may declare dividends by ordinary resolution, but no dividend shall exceed the amount recommended by our directors. Our Articles provide that the directors may, before recommending or declaring any dividend, set aside out of the funds legally available for distribution such sums as they think proper as a reserve or reserves which shall, in the absolute discretion of the directors, be applicable for meeting contingencies or for equalizing dividends or for any other purpose to which those funds may be properly applied. Under the laws of the Cayman Islands, our company may pay a dividend out of either profit or share premium account, provided that in no circumstances may a dividend be paid if this would result in our company being unable to pay its debts as they fall due in the ordinary course of business.</w:t>
      </w:r>
    </w:p>
    <w:p>
      <w:pPr>
        <w:pStyle w:val="TextBody"/>
        <w:spacing w:lineRule="auto" w:line="288" w:before="0" w:after="240"/>
        <w:rPr>
          <w:rFonts w:ascii="Times New Roman;sans-serif" w:hAnsi="Times New Roman;sans-serif"/>
          <w:b w:val="false"/>
          <w:i/>
          <w:color w:val="000000"/>
          <w:sz w:val="22"/>
        </w:rPr>
      </w:pPr>
      <w:r>
        <w:rPr>
          <w:rFonts w:ascii="Times New Roman;sans-serif" w:hAnsi="Times New Roman;sans-serif"/>
          <w:b w:val="false"/>
          <w:i/>
          <w:color w:val="000000"/>
          <w:sz w:val="22"/>
        </w:rPr>
        <w:t>General Meetings of Shareholders</w:t>
      </w:r>
      <w:r>
        <w:br w:type="page"/>
      </w:r>
    </w:p>
    <w:p>
      <w:pPr>
        <w:pStyle w:val="TextBody"/>
        <w:spacing w:before="0" w:after="0"/>
        <w:rPr/>
      </w:pPr>
      <w:r>
        <w:rPr/>
      </w:r>
      <w:r>
        <mc:AlternateContent>
          <mc:Choice Requires="wps">
            <w:drawing>
              <wp:anchor behindDoc="0" distT="0" distB="0" distL="0" distR="0" simplePos="0" locked="0" layoutInCell="1" allowOverlap="1" relativeHeight="396">
                <wp:simplePos x="0" y="0"/>
                <wp:positionH relativeFrom="character">
                  <wp:align>left</wp:align>
                </wp:positionH>
                <wp:positionV relativeFrom="line">
                  <wp:posOffset>635</wp:posOffset>
                </wp:positionV>
                <wp:extent cx="6480175" cy="175260"/>
                <wp:effectExtent l="0" t="0" r="0" b="0"/>
                <wp:wrapNone/>
                <wp:docPr id="395" name="Frame39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240"/>
        <w:ind w:left="0" w:right="0" w:firstLine="432"/>
        <w:rPr>
          <w:rFonts w:ascii="Times New Roman;sans-serif" w:hAnsi="Times New Roman;sans-serif"/>
          <w:b w:val="false"/>
          <w:color w:val="000000"/>
          <w:sz w:val="22"/>
        </w:rPr>
      </w:pPr>
      <w:r>
        <w:rPr>
          <w:rFonts w:ascii="Times New Roman;sans-serif" w:hAnsi="Times New Roman;sans-serif"/>
          <w:b w:val="false"/>
          <w:color w:val="000000"/>
          <w:sz w:val="22"/>
        </w:rPr>
        <w:t>As a Cayman Islands exempted company, the Companies Act does not require us to call shareholders’ annual general meetings. The Articles provide that we may (but are not obligated to) hold a general meeting as our annual general meeting, in which case we shall specify the meeting as such in the meeting notice, and the annual general meeting shall be held at such time and place as may be determined by our directors.</w:t>
      </w:r>
    </w:p>
    <w:p>
      <w:pPr>
        <w:pStyle w:val="TextBody"/>
        <w:spacing w:lineRule="auto" w:line="288" w:before="0" w:after="240"/>
        <w:ind w:left="0" w:right="0" w:firstLine="432"/>
        <w:rPr>
          <w:rFonts w:ascii="Times New Roman;sans-serif" w:hAnsi="Times New Roman;sans-serif"/>
          <w:b w:val="false"/>
          <w:color w:val="000000"/>
          <w:sz w:val="22"/>
        </w:rPr>
      </w:pPr>
      <w:r>
        <w:rPr>
          <w:rFonts w:ascii="Times New Roman;sans-serif" w:hAnsi="Times New Roman;sans-serif"/>
          <w:b w:val="false"/>
          <w:color w:val="000000"/>
          <w:sz w:val="22"/>
        </w:rPr>
        <w:t>Shareholders’ general meetings may be convened by the chairman of our board or a majority of our board of directors. Advance notice of at least ten calendar days is required for the convening of our annual general shareholders’ meeting (if any) and any other general meeting of our shareholders. A quorum required for any general meeting of shareholders consists of at least one shareholder present or by proxy, representing not less than one-third of all votes attaching to all of our shares in issue and entitled to vote.</w:t>
      </w:r>
    </w:p>
    <w:p>
      <w:pPr>
        <w:pStyle w:val="TextBody"/>
        <w:spacing w:lineRule="auto" w:line="288" w:before="0" w:after="240"/>
        <w:ind w:left="0" w:right="0" w:firstLine="432"/>
        <w:rPr>
          <w:rFonts w:ascii="Times New Roman;sans-serif" w:hAnsi="Times New Roman;sans-serif"/>
          <w:b w:val="false"/>
          <w:color w:val="000000"/>
          <w:sz w:val="22"/>
        </w:rPr>
      </w:pPr>
      <w:r>
        <w:rPr>
          <w:rFonts w:ascii="Times New Roman;sans-serif" w:hAnsi="Times New Roman;sans-serif"/>
          <w:b w:val="false"/>
          <w:color w:val="000000"/>
          <w:sz w:val="22"/>
        </w:rPr>
        <w:t>The Companies Act provides shareholders with only limited rights to requisition a general meeting, and does not provide shareholders with any right to put any proposal before a general meeting. However, these rights may be provided in a company’s articles of association. Our Articles provide that upon the requisition of shareholders representing in aggregate not less than one-third of the votes attaching to the issued and outstanding shares of our company entitled to vote at general meetings, our board will convene an extraordinary general meeting and put the resolutions so requisitioned to a vote at such meeting. However, our Articles do not provide our shareholders with any right to put any proposals before annual general meetings or extraordinary general meetings not called by such shareholders.</w:t>
      </w:r>
    </w:p>
    <w:p>
      <w:pPr>
        <w:pStyle w:val="TextBody"/>
        <w:spacing w:lineRule="auto" w:line="288" w:before="0" w:after="240"/>
        <w:rPr>
          <w:rFonts w:ascii="Times New Roman;sans-serif" w:hAnsi="Times New Roman;sans-serif"/>
          <w:b w:val="false"/>
          <w:i/>
          <w:color w:val="000000"/>
          <w:sz w:val="22"/>
        </w:rPr>
      </w:pPr>
      <w:r>
        <w:rPr>
          <w:rFonts w:ascii="Times New Roman;sans-serif" w:hAnsi="Times New Roman;sans-serif"/>
          <w:b w:val="false"/>
          <w:i/>
          <w:color w:val="000000"/>
          <w:sz w:val="22"/>
        </w:rPr>
        <w:t>Transfer of Ordinary Shares</w:t>
      </w:r>
    </w:p>
    <w:p>
      <w:pPr>
        <w:pStyle w:val="TextBody"/>
        <w:spacing w:lineRule="auto" w:line="288" w:before="0" w:after="240"/>
        <w:ind w:left="0" w:right="0" w:firstLine="432"/>
        <w:rPr>
          <w:rFonts w:ascii="Times New Roman;sans-serif" w:hAnsi="Times New Roman;sans-serif"/>
          <w:b w:val="false"/>
          <w:color w:val="000000"/>
          <w:sz w:val="22"/>
        </w:rPr>
      </w:pPr>
      <w:r>
        <w:rPr>
          <w:rFonts w:ascii="Times New Roman;sans-serif" w:hAnsi="Times New Roman;sans-serif"/>
          <w:b w:val="false"/>
          <w:color w:val="000000"/>
          <w:sz w:val="22"/>
        </w:rPr>
        <w:t>Subject to the restrictions set forth below, any of our shareholders may transfer all or any of his or her ordinary shares by an instrument of transfer in the usual or common form or any other form approved by our board of directors.</w:t>
      </w:r>
    </w:p>
    <w:p>
      <w:pPr>
        <w:pStyle w:val="TextBody"/>
        <w:spacing w:lineRule="auto" w:line="288" w:before="0" w:after="240"/>
        <w:ind w:left="0" w:right="0" w:firstLine="432"/>
        <w:rPr>
          <w:rFonts w:ascii="Times New Roman;sans-serif" w:hAnsi="Times New Roman;sans-serif"/>
          <w:b w:val="false"/>
          <w:color w:val="000000"/>
          <w:sz w:val="22"/>
        </w:rPr>
      </w:pPr>
      <w:r>
        <w:rPr>
          <w:rFonts w:ascii="Times New Roman;sans-serif" w:hAnsi="Times New Roman;sans-serif"/>
          <w:b w:val="false"/>
          <w:color w:val="000000"/>
          <w:sz w:val="22"/>
        </w:rPr>
        <w:t>Our board of directors may, in its absolute discretion, decline to register any transfer of any ordinary share which is not fully paid up or on which we have a lien. Our board of directors may also decline to register any transfer of any ordinary share unless:</w:t>
      </w:r>
    </w:p>
    <w:p>
      <w:pPr>
        <w:pStyle w:val="TextBody"/>
        <w:spacing w:lineRule="auto" w:line="288" w:before="0" w:after="240"/>
        <w:ind w:left="0" w:right="0" w:hanging="432"/>
        <w:rPr/>
      </w:pPr>
      <w:r>
        <w:rPr>
          <w:color w:val="000000"/>
        </w:rPr>
        <w:t>•</w:t>
      </w:r>
      <w:r>
        <w:rPr>
          <w:rFonts w:ascii="Times New Roman;sans-serif" w:hAnsi="Times New Roman;sans-serif"/>
          <w:b w:val="false"/>
          <w:color w:val="000000"/>
          <w:sz w:val="22"/>
        </w:rPr>
        <w:t>the instrument of transfer is lodged with us, accompanied by the certificate for the ordinary shares to which it relates and such other evidence as our board of directors may reasonably require to show the right of the transferor to make the transfer;</w:t>
      </w:r>
    </w:p>
    <w:p>
      <w:pPr>
        <w:pStyle w:val="TextBody"/>
        <w:spacing w:lineRule="auto" w:line="288" w:before="0" w:after="240"/>
        <w:ind w:left="0" w:right="0" w:hanging="432"/>
        <w:rPr/>
      </w:pPr>
      <w:r>
        <w:rPr>
          <w:color w:val="000000"/>
        </w:rPr>
        <w:t>•</w:t>
      </w:r>
      <w:r>
        <w:rPr>
          <w:rFonts w:ascii="Times New Roman;sans-serif" w:hAnsi="Times New Roman;sans-serif"/>
          <w:b w:val="false"/>
          <w:color w:val="000000"/>
          <w:sz w:val="22"/>
        </w:rPr>
        <w:t>the instrument of transfer is in respect of only one class of ordinary shares;</w:t>
      </w:r>
    </w:p>
    <w:p>
      <w:pPr>
        <w:pStyle w:val="TextBody"/>
        <w:spacing w:lineRule="auto" w:line="288" w:before="0" w:after="240"/>
        <w:ind w:left="0" w:right="0" w:hanging="432"/>
        <w:rPr/>
      </w:pPr>
      <w:r>
        <w:rPr>
          <w:color w:val="000000"/>
        </w:rPr>
        <w:t>•</w:t>
      </w:r>
      <w:r>
        <w:rPr>
          <w:rFonts w:ascii="Times New Roman;sans-serif" w:hAnsi="Times New Roman;sans-serif"/>
          <w:b w:val="false"/>
          <w:color w:val="000000"/>
          <w:sz w:val="22"/>
        </w:rPr>
        <w:t>the instrument of transfer is properly stamped, if required;</w:t>
      </w:r>
    </w:p>
    <w:p>
      <w:pPr>
        <w:pStyle w:val="TextBody"/>
        <w:spacing w:lineRule="auto" w:line="288" w:before="0" w:after="240"/>
        <w:ind w:left="0" w:right="0" w:hanging="432"/>
        <w:rPr/>
      </w:pPr>
      <w:r>
        <w:rPr>
          <w:color w:val="000000"/>
        </w:rPr>
        <w:t>•</w:t>
      </w:r>
      <w:r>
        <w:rPr>
          <w:rFonts w:ascii="Times New Roman;sans-serif" w:hAnsi="Times New Roman;sans-serif"/>
          <w:b w:val="false"/>
          <w:color w:val="000000"/>
          <w:sz w:val="22"/>
        </w:rPr>
        <w:t>in the case of a transfer to joint holders, the number of joint holders to whom the ordinary share is to be transferred does not exceed four; and</w:t>
      </w:r>
    </w:p>
    <w:p>
      <w:pPr>
        <w:pStyle w:val="TextBody"/>
        <w:spacing w:lineRule="auto" w:line="288" w:before="0" w:after="240"/>
        <w:ind w:left="0" w:right="0" w:hanging="432"/>
        <w:rPr/>
      </w:pPr>
      <w:r>
        <w:rPr>
          <w:color w:val="000000"/>
        </w:rPr>
        <w:t>•</w:t>
      </w:r>
      <w:r>
        <w:rPr>
          <w:rFonts w:ascii="Times New Roman;sans-serif" w:hAnsi="Times New Roman;sans-serif"/>
          <w:b w:val="false"/>
          <w:color w:val="000000"/>
          <w:sz w:val="22"/>
        </w:rPr>
        <w:t>a fee of such maximum sum as the Nasdaq Stock Market may determine to be payable or such lesser sum as our directors may from time to time require is paid to us in respect thereof.</w:t>
      </w:r>
    </w:p>
    <w:p>
      <w:pPr>
        <w:pStyle w:val="TextBody"/>
        <w:spacing w:lineRule="auto" w:line="288" w:before="0" w:after="240"/>
        <w:ind w:left="0" w:right="0" w:firstLine="432"/>
        <w:rPr>
          <w:rFonts w:ascii="Times New Roman;sans-serif" w:hAnsi="Times New Roman;sans-serif"/>
          <w:b w:val="false"/>
          <w:color w:val="000000"/>
          <w:sz w:val="22"/>
        </w:rPr>
      </w:pPr>
      <w:r>
        <w:rPr>
          <w:rFonts w:ascii="Times New Roman;sans-serif" w:hAnsi="Times New Roman;sans-serif"/>
          <w:b w:val="false"/>
          <w:color w:val="000000"/>
          <w:sz w:val="22"/>
        </w:rPr>
        <w:t>If our directors refuse to register a transfer, they shall, within three months after the date on which the instrument of transfer was lodged, send to each of the transferor and the transferee notice of such refusal.</w:t>
      </w:r>
      <w:r>
        <w:br w:type="page"/>
      </w:r>
    </w:p>
    <w:p>
      <w:pPr>
        <w:pStyle w:val="TextBody"/>
        <w:spacing w:before="0" w:after="0"/>
        <w:rPr/>
      </w:pPr>
      <w:r>
        <w:rPr/>
      </w:r>
      <w:r>
        <mc:AlternateContent>
          <mc:Choice Requires="wps">
            <w:drawing>
              <wp:anchor behindDoc="0" distT="0" distB="0" distL="0" distR="0" simplePos="0" locked="0" layoutInCell="1" allowOverlap="1" relativeHeight="397">
                <wp:simplePos x="0" y="0"/>
                <wp:positionH relativeFrom="character">
                  <wp:align>left</wp:align>
                </wp:positionH>
                <wp:positionV relativeFrom="line">
                  <wp:posOffset>635</wp:posOffset>
                </wp:positionV>
                <wp:extent cx="6480175" cy="175260"/>
                <wp:effectExtent l="0" t="0" r="0" b="0"/>
                <wp:wrapNone/>
                <wp:docPr id="396" name="Frame39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240"/>
        <w:ind w:left="0" w:right="0" w:firstLine="432"/>
        <w:rPr>
          <w:rFonts w:ascii="Times New Roman;sans-serif" w:hAnsi="Times New Roman;sans-serif"/>
          <w:b w:val="false"/>
          <w:color w:val="000000"/>
          <w:sz w:val="22"/>
        </w:rPr>
      </w:pPr>
      <w:r>
        <w:rPr>
          <w:rFonts w:ascii="Times New Roman;sans-serif" w:hAnsi="Times New Roman;sans-serif"/>
          <w:b w:val="false"/>
          <w:color w:val="000000"/>
          <w:sz w:val="22"/>
        </w:rPr>
        <w:t>The registration of transfers may, after compliance with any notice required by the Nasdaq Stock Market, be suspended and the register closed at such times and for such periods as our board of directors may from time to time determine, provided, however, that the registration of transfers shall not be suspended nor the register closed for more than 30 calendar days in any year.</w:t>
      </w:r>
    </w:p>
    <w:p>
      <w:pPr>
        <w:pStyle w:val="TextBody"/>
        <w:spacing w:lineRule="auto" w:line="288" w:before="0" w:after="240"/>
        <w:rPr>
          <w:rFonts w:ascii="Times New Roman;sans-serif" w:hAnsi="Times New Roman;sans-serif"/>
          <w:b w:val="false"/>
          <w:i/>
          <w:color w:val="000000"/>
          <w:sz w:val="22"/>
        </w:rPr>
      </w:pPr>
      <w:r>
        <w:rPr>
          <w:rFonts w:ascii="Times New Roman;sans-serif" w:hAnsi="Times New Roman;sans-serif"/>
          <w:b w:val="false"/>
          <w:i/>
          <w:color w:val="000000"/>
          <w:sz w:val="22"/>
        </w:rPr>
        <w:t>Liquidation Rights</w:t>
      </w:r>
    </w:p>
    <w:p>
      <w:pPr>
        <w:pStyle w:val="TextBody"/>
        <w:spacing w:lineRule="auto" w:line="288" w:before="0" w:after="240"/>
        <w:ind w:left="0" w:right="0" w:firstLine="432"/>
        <w:rPr>
          <w:rFonts w:ascii="Times New Roman;sans-serif" w:hAnsi="Times New Roman;sans-serif"/>
          <w:b w:val="false"/>
          <w:color w:val="000000"/>
          <w:sz w:val="22"/>
        </w:rPr>
      </w:pPr>
      <w:r>
        <w:rPr>
          <w:rFonts w:ascii="Times New Roman;sans-serif" w:hAnsi="Times New Roman;sans-serif"/>
          <w:b w:val="false"/>
          <w:color w:val="000000"/>
          <w:sz w:val="22"/>
        </w:rPr>
        <w:t>On the winding up of our company, if the assets available for distribution amongst our shareholders shall be more than sufficient to repay the whole of the share capital at the commencement of the winding up, the surplus shall be distributed amongst our shareholders in proportion to the par value of the shares held by them at the commencement of the winding up, subject to a deduction from those shares in respect of which there are monies due, of all monies payable to our company for unpaid calls or otherwise. If our assets available for distribution are insufficient to repay the whole of the share capital, the assets will be distributed so that the losses are borne by our shareholders in proportion to the par value of the shares held by them.</w:t>
      </w:r>
    </w:p>
    <w:p>
      <w:pPr>
        <w:pStyle w:val="TextBody"/>
        <w:spacing w:lineRule="auto" w:line="288" w:before="0" w:after="240"/>
        <w:rPr>
          <w:rFonts w:ascii="Times New Roman;sans-serif" w:hAnsi="Times New Roman;sans-serif"/>
          <w:b w:val="false"/>
          <w:i/>
          <w:color w:val="000000"/>
          <w:sz w:val="22"/>
        </w:rPr>
      </w:pPr>
      <w:r>
        <w:rPr>
          <w:rFonts w:ascii="Times New Roman;sans-serif" w:hAnsi="Times New Roman;sans-serif"/>
          <w:b w:val="false"/>
          <w:i/>
          <w:color w:val="000000"/>
          <w:sz w:val="22"/>
        </w:rPr>
        <w:t>Calls on Shares and Forfeiture of Shares</w:t>
      </w:r>
    </w:p>
    <w:p>
      <w:pPr>
        <w:pStyle w:val="TextBody"/>
        <w:spacing w:lineRule="auto" w:line="288" w:before="0" w:after="240"/>
        <w:ind w:left="0" w:right="0" w:firstLine="432"/>
        <w:rPr>
          <w:rFonts w:ascii="Times New Roman;sans-serif" w:hAnsi="Times New Roman;sans-serif"/>
          <w:b w:val="false"/>
          <w:color w:val="000000"/>
          <w:sz w:val="22"/>
        </w:rPr>
      </w:pPr>
      <w:r>
        <w:rPr>
          <w:rFonts w:ascii="Times New Roman;sans-serif" w:hAnsi="Times New Roman;sans-serif"/>
          <w:b w:val="false"/>
          <w:color w:val="000000"/>
          <w:sz w:val="22"/>
        </w:rPr>
        <w:t>Our board of directors may from time to time make calls upon shareholders for any amounts unpaid on their shares in a notice served to such shareholders at least 14 calendar days prior to the specified time and place of payment. The shares that have been called upon and remain unpaid are subject to forfeiture.</w:t>
      </w:r>
    </w:p>
    <w:p>
      <w:pPr>
        <w:pStyle w:val="TextBody"/>
        <w:spacing w:lineRule="auto" w:line="288" w:before="0" w:after="240"/>
        <w:rPr>
          <w:rFonts w:ascii="Times New Roman;sans-serif" w:hAnsi="Times New Roman;sans-serif"/>
          <w:b w:val="false"/>
          <w:i/>
          <w:color w:val="000000"/>
          <w:sz w:val="22"/>
        </w:rPr>
      </w:pPr>
      <w:r>
        <w:rPr>
          <w:rFonts w:ascii="Times New Roman;sans-serif" w:hAnsi="Times New Roman;sans-serif"/>
          <w:b w:val="false"/>
          <w:i/>
          <w:color w:val="000000"/>
          <w:sz w:val="22"/>
        </w:rPr>
        <w:t>Redemption, Repurchase and Surrender of Shares</w:t>
      </w:r>
    </w:p>
    <w:p>
      <w:pPr>
        <w:pStyle w:val="TextBody"/>
        <w:spacing w:lineRule="auto" w:line="288" w:before="0" w:after="240"/>
        <w:ind w:left="0" w:right="0" w:firstLine="432"/>
        <w:rPr>
          <w:rFonts w:ascii="Times New Roman;sans-serif" w:hAnsi="Times New Roman;sans-serif"/>
          <w:b w:val="false"/>
          <w:color w:val="000000"/>
          <w:sz w:val="22"/>
        </w:rPr>
      </w:pPr>
      <w:r>
        <w:rPr>
          <w:rFonts w:ascii="Times New Roman;sans-serif" w:hAnsi="Times New Roman;sans-serif"/>
          <w:b w:val="false"/>
          <w:color w:val="000000"/>
          <w:sz w:val="22"/>
        </w:rPr>
        <w:t>We may issue shares on terms that such shares are subject to redemption, at our option or at the option of the holders of such shares, on such terms and in such manner as may be determined by our board of directors. Our Company may also repurchase any of our shares on such terms and in such manner as have been approved by our board of directors or by an ordinary resolution of our shareholders. Under the Companies Act, the redemption or repurchase of any share may be paid out of the company’s profits or out of the proceeds of a new issue of shares made for the purpose of such redemption or repurchase, or out of capital (including share premium account and capital redemption reserve) if our company can, immediately following such payment, pay its debts as they fall due in the ordinary course of business. In addition, under the Companies Act no share may be redeemed or repurchased (1) unless it is fully paid up, (2) if such redemption or repurchase would result in there being no shares outstanding or (3) if the company has commenced liquidation. In addition, our company may accept the surrender of any fully paid share for no consideration.</w:t>
      </w:r>
    </w:p>
    <w:p>
      <w:pPr>
        <w:pStyle w:val="TextBody"/>
        <w:spacing w:lineRule="auto" w:line="288" w:before="0" w:after="240"/>
        <w:rPr>
          <w:rFonts w:ascii="Times New Roman;sans-serif" w:hAnsi="Times New Roman;sans-serif"/>
          <w:b w:val="false"/>
          <w:i/>
          <w:color w:val="000000"/>
          <w:sz w:val="22"/>
        </w:rPr>
      </w:pPr>
      <w:r>
        <w:rPr>
          <w:rFonts w:ascii="Times New Roman;sans-serif" w:hAnsi="Times New Roman;sans-serif"/>
          <w:b w:val="false"/>
          <w:i/>
          <w:color w:val="000000"/>
          <w:sz w:val="22"/>
        </w:rPr>
        <w:t>Issuance of Additional Shares</w:t>
      </w:r>
    </w:p>
    <w:p>
      <w:pPr>
        <w:pStyle w:val="TextBody"/>
        <w:spacing w:lineRule="auto" w:line="288" w:before="0" w:after="240"/>
        <w:ind w:left="0" w:right="0" w:firstLine="432"/>
        <w:rPr>
          <w:rFonts w:ascii="Times New Roman;sans-serif" w:hAnsi="Times New Roman;sans-serif"/>
          <w:b w:val="false"/>
          <w:color w:val="000000"/>
          <w:sz w:val="22"/>
        </w:rPr>
      </w:pPr>
      <w:r>
        <w:rPr>
          <w:rFonts w:ascii="Times New Roman;sans-serif" w:hAnsi="Times New Roman;sans-serif"/>
          <w:b w:val="false"/>
          <w:color w:val="000000"/>
          <w:sz w:val="22"/>
        </w:rPr>
        <w:t>The Articles authorize our board of directors to issue additional ordinary shares from time to time as our board of directors shall determine, to the extent of available authorized but unissued shares. The Articles also authorize our board of directors to establish from time to time one or more series of preference shares and to determine, with respect to any series of preference shares, the terms and rights of such series, including:</w:t>
      </w:r>
    </w:p>
    <w:p>
      <w:pPr>
        <w:pStyle w:val="TextBody"/>
        <w:spacing w:lineRule="auto" w:line="288" w:before="0" w:after="240"/>
        <w:ind w:left="0" w:right="0" w:hanging="432"/>
        <w:rPr/>
      </w:pPr>
      <w:r>
        <w:rPr>
          <w:color w:val="000000"/>
        </w:rPr>
        <w:t>•</w:t>
      </w:r>
      <w:r>
        <w:rPr>
          <w:rFonts w:ascii="Times New Roman;sans-serif" w:hAnsi="Times New Roman;sans-serif"/>
          <w:b w:val="false"/>
          <w:color w:val="000000"/>
          <w:sz w:val="22"/>
        </w:rPr>
        <w:t>the designation of the series;</w:t>
      </w:r>
    </w:p>
    <w:p>
      <w:pPr>
        <w:pStyle w:val="TextBody"/>
        <w:spacing w:lineRule="auto" w:line="288" w:before="0" w:after="240"/>
        <w:ind w:left="0" w:right="0" w:hanging="432"/>
        <w:rPr/>
      </w:pPr>
      <w:r>
        <w:rPr>
          <w:color w:val="000000"/>
        </w:rPr>
        <w:t>•</w:t>
      </w:r>
      <w:r>
        <w:rPr>
          <w:rFonts w:ascii="Times New Roman;sans-serif" w:hAnsi="Times New Roman;sans-serif"/>
          <w:b w:val="false"/>
          <w:color w:val="000000"/>
          <w:sz w:val="22"/>
        </w:rPr>
        <w:t>the number of shares of the series;</w:t>
      </w:r>
    </w:p>
    <w:p>
      <w:pPr>
        <w:pStyle w:val="TextBody"/>
        <w:spacing w:lineRule="auto" w:line="288" w:before="0" w:after="240"/>
        <w:ind w:left="0" w:right="0" w:hanging="432"/>
        <w:rPr/>
      </w:pPr>
      <w:r>
        <w:rPr>
          <w:color w:val="000000"/>
        </w:rPr>
        <w:t>•</w:t>
      </w:r>
      <w:r>
        <w:rPr>
          <w:rFonts w:ascii="Times New Roman;sans-serif" w:hAnsi="Times New Roman;sans-serif"/>
          <w:b w:val="false"/>
          <w:color w:val="000000"/>
          <w:sz w:val="22"/>
        </w:rPr>
        <w:t>the dividend rights, dividend rates, conversion rights and voting rights; and</w:t>
      </w:r>
      <w:r>
        <w:br w:type="page"/>
      </w:r>
    </w:p>
    <w:p>
      <w:pPr>
        <w:pStyle w:val="TextBody"/>
        <w:spacing w:before="0" w:after="0"/>
        <w:rPr/>
      </w:pPr>
      <w:r>
        <w:rPr/>
      </w:r>
      <w:r>
        <mc:AlternateContent>
          <mc:Choice Requires="wps">
            <w:drawing>
              <wp:anchor behindDoc="0" distT="0" distB="0" distL="0" distR="0" simplePos="0" locked="0" layoutInCell="1" allowOverlap="1" relativeHeight="398">
                <wp:simplePos x="0" y="0"/>
                <wp:positionH relativeFrom="character">
                  <wp:align>left</wp:align>
                </wp:positionH>
                <wp:positionV relativeFrom="line">
                  <wp:posOffset>635</wp:posOffset>
                </wp:positionV>
                <wp:extent cx="6480175" cy="175260"/>
                <wp:effectExtent l="0" t="0" r="0" b="0"/>
                <wp:wrapNone/>
                <wp:docPr id="397" name="Frame39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240"/>
        <w:ind w:left="0" w:right="0" w:hanging="432"/>
        <w:rPr/>
      </w:pPr>
      <w:r>
        <w:rPr>
          <w:color w:val="000000"/>
        </w:rPr>
        <w:t>•</w:t>
      </w:r>
      <w:r>
        <w:rPr>
          <w:rFonts w:ascii="Times New Roman;sans-serif" w:hAnsi="Times New Roman;sans-serif"/>
          <w:b w:val="false"/>
          <w:color w:val="000000"/>
          <w:sz w:val="22"/>
        </w:rPr>
        <w:t>the redemption rights and terms and liquidation preferences.</w:t>
      </w:r>
    </w:p>
    <w:p>
      <w:pPr>
        <w:pStyle w:val="TextBody"/>
        <w:spacing w:lineRule="auto" w:line="288" w:before="0" w:after="240"/>
        <w:ind w:left="0" w:right="0" w:firstLine="432"/>
        <w:rPr>
          <w:rFonts w:ascii="Times New Roman;sans-serif" w:hAnsi="Times New Roman;sans-serif"/>
          <w:b w:val="false"/>
          <w:color w:val="000000"/>
          <w:sz w:val="22"/>
        </w:rPr>
      </w:pPr>
      <w:r>
        <w:rPr>
          <w:rFonts w:ascii="Times New Roman;sans-serif" w:hAnsi="Times New Roman;sans-serif"/>
          <w:b w:val="false"/>
          <w:color w:val="000000"/>
          <w:sz w:val="22"/>
        </w:rPr>
        <w:t>Our board of directors may issue preference shares without action by our shareholders to the extent authorized but unissued. Issuance of these shares may dilute the voting power of holders of ordinary shares.</w:t>
      </w:r>
    </w:p>
    <w:p>
      <w:pPr>
        <w:pStyle w:val="TextBody"/>
        <w:spacing w:lineRule="auto" w:line="288" w:before="0" w:after="240"/>
        <w:rPr>
          <w:rFonts w:ascii="Times New Roman;sans-serif" w:hAnsi="Times New Roman;sans-serif"/>
          <w:b w:val="false"/>
          <w:i/>
          <w:color w:val="000000"/>
          <w:sz w:val="22"/>
        </w:rPr>
      </w:pPr>
      <w:r>
        <w:rPr>
          <w:rFonts w:ascii="Times New Roman;sans-serif" w:hAnsi="Times New Roman;sans-serif"/>
          <w:b w:val="false"/>
          <w:i/>
          <w:color w:val="000000"/>
          <w:sz w:val="22"/>
        </w:rPr>
        <w:t>Inspection of Books and Records</w:t>
      </w:r>
    </w:p>
    <w:p>
      <w:pPr>
        <w:pStyle w:val="TextBody"/>
        <w:spacing w:lineRule="auto" w:line="288" w:before="0" w:after="240"/>
        <w:ind w:left="0" w:right="0" w:firstLine="432"/>
        <w:rPr>
          <w:rFonts w:ascii="Times New Roman;sans-serif" w:hAnsi="Times New Roman;sans-serif"/>
          <w:b w:val="false"/>
          <w:color w:val="000000"/>
          <w:sz w:val="22"/>
        </w:rPr>
      </w:pPr>
      <w:r>
        <w:rPr>
          <w:rFonts w:ascii="Times New Roman;sans-serif" w:hAnsi="Times New Roman;sans-serif"/>
          <w:b w:val="false"/>
          <w:color w:val="000000"/>
          <w:sz w:val="22"/>
        </w:rPr>
        <w:t xml:space="preserve">Holders of our ordinary shares will have no general right under Cayman Islands law to inspect or obtain copies of our corporate records (except for the Articles and our register of mortgages and charges) or a list of our shareholders. However, we will provide our shareholders with annual audited financial statements. </w:t>
      </w:r>
    </w:p>
    <w:p>
      <w:pPr>
        <w:pStyle w:val="TextBody"/>
        <w:spacing w:lineRule="auto" w:line="288" w:before="0" w:after="240"/>
        <w:rPr>
          <w:rFonts w:ascii="Times New Roman;sans-serif" w:hAnsi="Times New Roman;sans-serif"/>
          <w:b/>
          <w:i/>
          <w:color w:val="000000"/>
          <w:sz w:val="22"/>
        </w:rPr>
      </w:pPr>
      <w:r>
        <w:rPr>
          <w:rFonts w:ascii="Times New Roman;sans-serif" w:hAnsi="Times New Roman;sans-serif"/>
          <w:b/>
          <w:i/>
          <w:color w:val="000000"/>
          <w:sz w:val="22"/>
        </w:rPr>
        <w:t>Requirements to Change the Rights of Holders of Class A Ordinary Shares (Item 10.B.4 of Form 20-F)</w:t>
      </w:r>
    </w:p>
    <w:p>
      <w:pPr>
        <w:pStyle w:val="TextBody"/>
        <w:spacing w:lineRule="auto" w:line="288" w:before="0" w:after="240"/>
        <w:rPr>
          <w:rFonts w:ascii="Times New Roman;sans-serif" w:hAnsi="Times New Roman;sans-serif"/>
          <w:b w:val="false"/>
          <w:i/>
          <w:color w:val="000000"/>
          <w:sz w:val="22"/>
        </w:rPr>
      </w:pPr>
      <w:r>
        <w:rPr>
          <w:rFonts w:ascii="Times New Roman;sans-serif" w:hAnsi="Times New Roman;sans-serif"/>
          <w:b w:val="false"/>
          <w:i/>
          <w:color w:val="000000"/>
          <w:sz w:val="22"/>
        </w:rPr>
        <w:t xml:space="preserve">Variations of Rights of Shares </w:t>
      </w:r>
    </w:p>
    <w:p>
      <w:pPr>
        <w:pStyle w:val="TextBody"/>
        <w:spacing w:lineRule="auto" w:line="288" w:before="0" w:after="240"/>
        <w:ind w:left="0" w:right="0" w:firstLine="432"/>
        <w:rPr/>
      </w:pPr>
      <w:r>
        <w:rPr>
          <w:rFonts w:ascii="Times New Roman;sans-serif" w:hAnsi="Times New Roman;sans-serif"/>
          <w:b w:val="false"/>
          <w:color w:val="000000"/>
          <w:sz w:val="22"/>
        </w:rPr>
        <w:t xml:space="preserve">If at any time, our share capital is divided into different classes or series of shares, the rights attached to any such class may, subject to any rights or restrictions for the time being attached to any class, only be materially adversely varied with the consent in writing of the holders of 50% of the issued shares of that class with the sanction of an ordinary resolution passed at a separate meeting of the holders of the shares of the class. The rights conferred upon the holders of the shares of any class issued with preferred or other rights shall not be deemed to be varied by the creation or issue of further shares ranking </w:t>
      </w:r>
      <w:r>
        <w:rPr>
          <w:rFonts w:ascii="Times New Roman;sans-serif" w:hAnsi="Times New Roman;sans-serif"/>
          <w:b w:val="false"/>
          <w:i/>
          <w:color w:val="000000"/>
          <w:sz w:val="22"/>
        </w:rPr>
        <w:t>pari passu</w:t>
      </w:r>
      <w:r>
        <w:rPr>
          <w:color w:val="000000"/>
        </w:rPr>
        <w:t xml:space="preserve"> </w:t>
      </w:r>
      <w:r>
        <w:rPr>
          <w:rFonts w:ascii="Times New Roman;sans-serif" w:hAnsi="Times New Roman;sans-serif"/>
          <w:b w:val="false"/>
          <w:color w:val="000000"/>
          <w:sz w:val="22"/>
        </w:rPr>
        <w:t xml:space="preserve">with such existing class of shares. </w:t>
      </w:r>
    </w:p>
    <w:p>
      <w:pPr>
        <w:pStyle w:val="TextBody"/>
        <w:spacing w:lineRule="auto" w:line="288" w:before="0" w:after="240"/>
        <w:rPr>
          <w:rFonts w:ascii="Times New Roman;sans-serif" w:hAnsi="Times New Roman;sans-serif"/>
          <w:b/>
          <w:i/>
          <w:color w:val="000000"/>
          <w:sz w:val="22"/>
        </w:rPr>
      </w:pPr>
      <w:r>
        <w:rPr>
          <w:rFonts w:ascii="Times New Roman;sans-serif" w:hAnsi="Times New Roman;sans-serif"/>
          <w:b/>
          <w:i/>
          <w:color w:val="000000"/>
          <w:sz w:val="22"/>
        </w:rPr>
        <w:t>Limitations on the Rights to Own Class A Ordinary Shares (Item 10.B.6 of Form 20-F)</w:t>
      </w:r>
    </w:p>
    <w:p>
      <w:pPr>
        <w:pStyle w:val="TextBody"/>
        <w:spacing w:lineRule="auto" w:line="288" w:before="0" w:after="240"/>
        <w:ind w:left="0" w:right="0" w:firstLine="432"/>
        <w:rPr>
          <w:rFonts w:ascii="Times New Roman;sans-serif" w:hAnsi="Times New Roman;sans-serif"/>
          <w:b w:val="false"/>
          <w:color w:val="000000"/>
          <w:sz w:val="22"/>
        </w:rPr>
      </w:pPr>
      <w:r>
        <w:rPr>
          <w:rFonts w:ascii="Times New Roman;sans-serif" w:hAnsi="Times New Roman;sans-serif"/>
          <w:b w:val="false"/>
          <w:color w:val="000000"/>
          <w:sz w:val="22"/>
        </w:rPr>
        <w:t>There are no limitations under the laws of the Cayman Islands or under the Articles that limit the right of non-resident or foreign owners to hold or vote Class A ordinary shares.</w:t>
      </w:r>
    </w:p>
    <w:p>
      <w:pPr>
        <w:pStyle w:val="TextBody"/>
        <w:spacing w:lineRule="auto" w:line="288" w:before="0" w:after="240"/>
        <w:rPr>
          <w:rFonts w:ascii="Times New Roman;sans-serif" w:hAnsi="Times New Roman;sans-serif"/>
          <w:b/>
          <w:i/>
          <w:color w:val="000000"/>
          <w:sz w:val="22"/>
        </w:rPr>
      </w:pPr>
      <w:r>
        <w:rPr>
          <w:rFonts w:ascii="Times New Roman;sans-serif" w:hAnsi="Times New Roman;sans-serif"/>
          <w:b/>
          <w:i/>
          <w:color w:val="000000"/>
          <w:sz w:val="22"/>
        </w:rPr>
        <w:t>Provisions Affecting Any Change of Control (Item 10.B.7 of Form 20-F)</w:t>
      </w:r>
    </w:p>
    <w:p>
      <w:pPr>
        <w:pStyle w:val="TextBody"/>
        <w:spacing w:lineRule="auto" w:line="288" w:before="0" w:after="240"/>
        <w:rPr>
          <w:rFonts w:ascii="Times New Roman;sans-serif" w:hAnsi="Times New Roman;sans-serif"/>
          <w:b w:val="false"/>
          <w:i/>
          <w:color w:val="000000"/>
          <w:sz w:val="22"/>
        </w:rPr>
      </w:pPr>
      <w:r>
        <w:rPr>
          <w:rFonts w:ascii="Times New Roman;sans-serif" w:hAnsi="Times New Roman;sans-serif"/>
          <w:b w:val="false"/>
          <w:i/>
          <w:color w:val="000000"/>
          <w:sz w:val="22"/>
        </w:rPr>
        <w:t>Anti-Takeover Provisions</w:t>
      </w:r>
    </w:p>
    <w:p>
      <w:pPr>
        <w:pStyle w:val="TextBody"/>
        <w:spacing w:lineRule="auto" w:line="288" w:before="0" w:after="240"/>
        <w:ind w:left="0" w:right="0" w:firstLine="432"/>
        <w:rPr>
          <w:rFonts w:ascii="Times New Roman;sans-serif" w:hAnsi="Times New Roman;sans-serif"/>
          <w:b w:val="false"/>
          <w:color w:val="000000"/>
          <w:sz w:val="22"/>
        </w:rPr>
      </w:pPr>
      <w:r>
        <w:rPr>
          <w:rFonts w:ascii="Times New Roman;sans-serif" w:hAnsi="Times New Roman;sans-serif"/>
          <w:b w:val="false"/>
          <w:color w:val="000000"/>
          <w:sz w:val="22"/>
        </w:rPr>
        <w:t>Some provisions of our Articles may discourage, delay or prevent a change of control of our company or management that shareholders may consider favorable, including provisions that:</w:t>
      </w:r>
    </w:p>
    <w:p>
      <w:pPr>
        <w:pStyle w:val="TextBody"/>
        <w:spacing w:lineRule="auto" w:line="288" w:before="0" w:after="240"/>
        <w:ind w:left="0" w:right="0" w:hanging="432"/>
        <w:rPr/>
      </w:pPr>
      <w:r>
        <w:rPr>
          <w:color w:val="000000"/>
        </w:rPr>
        <w:t>•</w:t>
      </w:r>
      <w:r>
        <w:rPr>
          <w:rFonts w:ascii="Times New Roman;sans-serif" w:hAnsi="Times New Roman;sans-serif"/>
          <w:b w:val="false"/>
          <w:color w:val="000000"/>
          <w:sz w:val="22"/>
        </w:rPr>
        <w:t>authorize our board of directors to issue preference shares in one or more series and to designate the price, rights, preferences, privileges and restrictions of such preference shares without any further vote or action by our shareholders; and</w:t>
      </w:r>
    </w:p>
    <w:p>
      <w:pPr>
        <w:pStyle w:val="TextBody"/>
        <w:spacing w:lineRule="auto" w:line="288" w:before="0" w:after="240"/>
        <w:ind w:left="0" w:right="0" w:hanging="432"/>
        <w:rPr/>
      </w:pPr>
      <w:r>
        <w:rPr>
          <w:color w:val="000000"/>
        </w:rPr>
        <w:t>•</w:t>
      </w:r>
      <w:r>
        <w:rPr>
          <w:rFonts w:ascii="Times New Roman;sans-serif" w:hAnsi="Times New Roman;sans-serif"/>
          <w:b w:val="false"/>
          <w:color w:val="000000"/>
          <w:sz w:val="22"/>
        </w:rPr>
        <w:t>limit the ability of shareholders to requisition and convene general meetings of shareholders.</w:t>
      </w:r>
    </w:p>
    <w:p>
      <w:pPr>
        <w:pStyle w:val="TextBody"/>
        <w:spacing w:lineRule="auto" w:line="288" w:before="0" w:after="240"/>
        <w:ind w:left="0" w:right="0" w:firstLine="432"/>
        <w:rPr>
          <w:rFonts w:ascii="Times New Roman;sans-serif" w:hAnsi="Times New Roman;sans-serif"/>
          <w:b w:val="false"/>
          <w:color w:val="000000"/>
          <w:sz w:val="22"/>
        </w:rPr>
      </w:pPr>
      <w:r>
        <w:rPr>
          <w:rFonts w:ascii="Times New Roman;sans-serif" w:hAnsi="Times New Roman;sans-serif"/>
          <w:b w:val="false"/>
          <w:color w:val="000000"/>
          <w:sz w:val="22"/>
        </w:rPr>
        <w:t>However, under Cayman Islands law, our directors may only exercise the rights and powers granted to them under the Articles for a proper purpose and for what they believe in good faith to be in the best interests of our company.</w:t>
      </w:r>
    </w:p>
    <w:p>
      <w:pPr>
        <w:pStyle w:val="TextBody"/>
        <w:spacing w:lineRule="auto" w:line="288" w:before="0" w:after="240"/>
        <w:rPr>
          <w:rFonts w:ascii="Times New Roman;sans-serif" w:hAnsi="Times New Roman;sans-serif"/>
          <w:b/>
          <w:i/>
          <w:color w:val="000000"/>
          <w:sz w:val="22"/>
        </w:rPr>
      </w:pPr>
      <w:r>
        <w:rPr>
          <w:rFonts w:ascii="Times New Roman;sans-serif" w:hAnsi="Times New Roman;sans-serif"/>
          <w:b/>
          <w:i/>
          <w:color w:val="000000"/>
          <w:sz w:val="22"/>
        </w:rPr>
        <w:t>Ownership Threshold (Item 10.B.8 of Form 20-F)</w:t>
      </w:r>
      <w:r>
        <w:br w:type="page"/>
      </w:r>
    </w:p>
    <w:p>
      <w:pPr>
        <w:pStyle w:val="TextBody"/>
        <w:spacing w:before="0" w:after="0"/>
        <w:rPr/>
      </w:pPr>
      <w:r>
        <w:rPr/>
      </w:r>
      <w:r>
        <mc:AlternateContent>
          <mc:Choice Requires="wps">
            <w:drawing>
              <wp:anchor behindDoc="0" distT="0" distB="0" distL="0" distR="0" simplePos="0" locked="0" layoutInCell="1" allowOverlap="1" relativeHeight="399">
                <wp:simplePos x="0" y="0"/>
                <wp:positionH relativeFrom="character">
                  <wp:align>left</wp:align>
                </wp:positionH>
                <wp:positionV relativeFrom="line">
                  <wp:posOffset>635</wp:posOffset>
                </wp:positionV>
                <wp:extent cx="6480175" cy="175260"/>
                <wp:effectExtent l="0" t="0" r="0" b="0"/>
                <wp:wrapNone/>
                <wp:docPr id="398" name="Frame39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240"/>
        <w:ind w:left="0" w:right="0" w:firstLine="432"/>
        <w:rPr>
          <w:rFonts w:ascii="Times New Roman;sans-serif" w:hAnsi="Times New Roman;sans-serif"/>
          <w:b w:val="false"/>
          <w:color w:val="000000"/>
          <w:sz w:val="22"/>
        </w:rPr>
      </w:pPr>
      <w:r>
        <w:rPr>
          <w:rFonts w:ascii="Times New Roman;sans-serif" w:hAnsi="Times New Roman;sans-serif"/>
          <w:b w:val="false"/>
          <w:color w:val="000000"/>
          <w:sz w:val="22"/>
        </w:rPr>
        <w:t>There are no provisions under Cayman Islands law applicable to the Company, or under the Articles, that require our company to disclose shareholder ownership above any particular ownership threshold.</w:t>
      </w:r>
    </w:p>
    <w:p>
      <w:pPr>
        <w:pStyle w:val="TextBody"/>
        <w:spacing w:lineRule="auto" w:line="288" w:before="0" w:after="240"/>
        <w:rPr>
          <w:rFonts w:ascii="Times New Roman;sans-serif" w:hAnsi="Times New Roman;sans-serif"/>
          <w:b/>
          <w:i/>
          <w:color w:val="000000"/>
          <w:sz w:val="22"/>
        </w:rPr>
      </w:pPr>
      <w:r>
        <w:rPr>
          <w:rFonts w:ascii="Times New Roman;sans-serif" w:hAnsi="Times New Roman;sans-serif"/>
          <w:b/>
          <w:i/>
          <w:color w:val="000000"/>
          <w:sz w:val="22"/>
        </w:rPr>
        <w:t>Differences Between the Law of Different Jurisdictions (Item 10.B.9 of Form 20-F)</w:t>
      </w:r>
    </w:p>
    <w:p>
      <w:pPr>
        <w:pStyle w:val="TextBody"/>
        <w:spacing w:lineRule="auto" w:line="288" w:before="0" w:after="240"/>
        <w:ind w:left="0" w:right="0" w:firstLine="432"/>
        <w:rPr>
          <w:rFonts w:ascii="Times New Roman;sans-serif" w:hAnsi="Times New Roman;sans-serif"/>
          <w:b w:val="false"/>
          <w:color w:val="000000"/>
          <w:sz w:val="22"/>
        </w:rPr>
      </w:pPr>
      <w:r>
        <w:rPr>
          <w:rFonts w:ascii="Times New Roman;sans-serif" w:hAnsi="Times New Roman;sans-serif"/>
          <w:b w:val="false"/>
          <w:color w:val="000000"/>
          <w:sz w:val="22"/>
        </w:rPr>
        <w:t xml:space="preserve">The Companies Act is modeled after the older Companies Acts of England and Wales but does not follow recent statutory enactments in England. In addition, the Companies Act differs from laws applicable to corporations incorporated in the State of Delaware and their stockholders. Set forth below is a summary of the significant differences between the provisions of the Companies Act applicable to us and the laws applicable to corporations incorporated in the State of Delaware. </w:t>
      </w:r>
    </w:p>
    <w:tbl>
      <w:tblPr>
        <w:tblW w:w="10205" w:type="dxa"/>
        <w:jc w:val="left"/>
        <w:tblInd w:w="0" w:type="dxa"/>
        <w:tblCellMar>
          <w:top w:w="28" w:type="dxa"/>
          <w:left w:w="28" w:type="dxa"/>
          <w:bottom w:w="28" w:type="dxa"/>
          <w:right w:w="28" w:type="dxa"/>
        </w:tblCellMar>
      </w:tblPr>
      <w:tblGrid>
        <w:gridCol w:w="587"/>
        <w:gridCol w:w="516"/>
        <w:gridCol w:w="518"/>
        <w:gridCol w:w="1477"/>
        <w:gridCol w:w="1316"/>
        <w:gridCol w:w="1084"/>
        <w:gridCol w:w="1376"/>
        <w:gridCol w:w="1376"/>
        <w:gridCol w:w="1955"/>
      </w:tblGrid>
      <w:tr>
        <w:trPr/>
        <w:tc>
          <w:tcPr>
            <w:tcW w:w="587" w:type="dxa"/>
            <w:tcBorders/>
            <w:shd w:fill="auto" w:val="clear"/>
            <w:vAlign w:val="center"/>
          </w:tcPr>
          <w:p>
            <w:pPr>
              <w:pStyle w:val="TableContents"/>
              <w:spacing w:before="0" w:after="283"/>
              <w:rPr>
                <w:sz w:val="4"/>
                <w:szCs w:val="4"/>
              </w:rPr>
            </w:pPr>
            <w:r>
              <w:rPr>
                <w:sz w:val="4"/>
                <w:szCs w:val="4"/>
              </w:rPr>
            </w:r>
          </w:p>
        </w:tc>
        <w:tc>
          <w:tcPr>
            <w:tcW w:w="516" w:type="dxa"/>
            <w:tcBorders/>
            <w:shd w:fill="auto" w:val="clear"/>
            <w:vAlign w:val="center"/>
          </w:tcPr>
          <w:p>
            <w:pPr>
              <w:pStyle w:val="TableContents"/>
              <w:spacing w:before="0" w:after="283"/>
              <w:rPr>
                <w:sz w:val="4"/>
                <w:szCs w:val="4"/>
              </w:rPr>
            </w:pPr>
            <w:r>
              <w:rPr>
                <w:sz w:val="4"/>
                <w:szCs w:val="4"/>
              </w:rPr>
            </w:r>
          </w:p>
        </w:tc>
        <w:tc>
          <w:tcPr>
            <w:tcW w:w="518" w:type="dxa"/>
            <w:tcBorders/>
            <w:shd w:fill="auto" w:val="clear"/>
            <w:vAlign w:val="center"/>
          </w:tcPr>
          <w:p>
            <w:pPr>
              <w:pStyle w:val="TableContents"/>
              <w:spacing w:before="0" w:after="283"/>
              <w:rPr>
                <w:sz w:val="4"/>
                <w:szCs w:val="4"/>
              </w:rPr>
            </w:pPr>
            <w:r>
              <w:rPr>
                <w:sz w:val="4"/>
                <w:szCs w:val="4"/>
              </w:rPr>
            </w:r>
          </w:p>
        </w:tc>
        <w:tc>
          <w:tcPr>
            <w:tcW w:w="1477" w:type="dxa"/>
            <w:tcBorders/>
            <w:shd w:fill="auto" w:val="clear"/>
            <w:vAlign w:val="center"/>
          </w:tcPr>
          <w:p>
            <w:pPr>
              <w:pStyle w:val="TableContents"/>
              <w:spacing w:before="0" w:after="283"/>
              <w:rPr>
                <w:sz w:val="4"/>
                <w:szCs w:val="4"/>
              </w:rPr>
            </w:pPr>
            <w:r>
              <w:rPr>
                <w:sz w:val="4"/>
                <w:szCs w:val="4"/>
              </w:rPr>
            </w:r>
          </w:p>
        </w:tc>
        <w:tc>
          <w:tcPr>
            <w:tcW w:w="1316" w:type="dxa"/>
            <w:tcBorders/>
            <w:shd w:fill="auto" w:val="clear"/>
            <w:vAlign w:val="center"/>
          </w:tcPr>
          <w:p>
            <w:pPr>
              <w:pStyle w:val="TableContents"/>
              <w:spacing w:before="0" w:after="283"/>
              <w:rPr>
                <w:sz w:val="4"/>
                <w:szCs w:val="4"/>
              </w:rPr>
            </w:pPr>
            <w:r>
              <w:rPr>
                <w:sz w:val="4"/>
                <w:szCs w:val="4"/>
              </w:rPr>
            </w:r>
          </w:p>
        </w:tc>
        <w:tc>
          <w:tcPr>
            <w:tcW w:w="1084" w:type="dxa"/>
            <w:tcBorders/>
            <w:shd w:fill="auto" w:val="clear"/>
            <w:vAlign w:val="center"/>
          </w:tcPr>
          <w:p>
            <w:pPr>
              <w:pStyle w:val="TableContents"/>
              <w:spacing w:before="0" w:after="283"/>
              <w:rPr>
                <w:sz w:val="4"/>
                <w:szCs w:val="4"/>
              </w:rPr>
            </w:pPr>
            <w:r>
              <w:rPr>
                <w:sz w:val="4"/>
                <w:szCs w:val="4"/>
              </w:rPr>
            </w:r>
          </w:p>
        </w:tc>
        <w:tc>
          <w:tcPr>
            <w:tcW w:w="1376" w:type="dxa"/>
            <w:tcBorders/>
            <w:shd w:fill="auto" w:val="clear"/>
            <w:vAlign w:val="center"/>
          </w:tcPr>
          <w:p>
            <w:pPr>
              <w:pStyle w:val="TableContents"/>
              <w:spacing w:before="0" w:after="283"/>
              <w:rPr>
                <w:sz w:val="4"/>
                <w:szCs w:val="4"/>
              </w:rPr>
            </w:pPr>
            <w:r>
              <w:rPr>
                <w:sz w:val="4"/>
                <w:szCs w:val="4"/>
              </w:rPr>
            </w:r>
          </w:p>
        </w:tc>
        <w:tc>
          <w:tcPr>
            <w:tcW w:w="1376" w:type="dxa"/>
            <w:tcBorders/>
            <w:shd w:fill="auto" w:val="clear"/>
            <w:vAlign w:val="center"/>
          </w:tcPr>
          <w:p>
            <w:pPr>
              <w:pStyle w:val="TableContents"/>
              <w:spacing w:before="0" w:after="283"/>
              <w:rPr>
                <w:sz w:val="4"/>
                <w:szCs w:val="4"/>
              </w:rPr>
            </w:pPr>
            <w:r>
              <w:rPr>
                <w:sz w:val="4"/>
                <w:szCs w:val="4"/>
              </w:rPr>
            </w:r>
          </w:p>
        </w:tc>
        <w:tc>
          <w:tcPr>
            <w:tcW w:w="1955" w:type="dxa"/>
            <w:tcBorders/>
            <w:shd w:fill="auto" w:val="clear"/>
            <w:vAlign w:val="center"/>
          </w:tcPr>
          <w:p>
            <w:pPr>
              <w:pStyle w:val="TableContents"/>
              <w:spacing w:before="0" w:after="283"/>
              <w:rPr>
                <w:sz w:val="4"/>
                <w:szCs w:val="4"/>
              </w:rPr>
            </w:pPr>
            <w:r>
              <w:rPr>
                <w:sz w:val="4"/>
                <w:szCs w:val="4"/>
              </w:rPr>
            </w:r>
          </w:p>
        </w:tc>
      </w:tr>
      <w:tr>
        <w:trPr/>
        <w:tc>
          <w:tcPr>
            <w:tcW w:w="1621" w:type="dxa"/>
            <w:gridSpan w:val="3"/>
            <w:tcBorders>
              <w:top w:val="single" w:sz="8" w:space="0" w:color="000000"/>
              <w:left w:val="single" w:sz="8" w:space="0" w:color="000000"/>
            </w:tcBorders>
            <w:shd w:fill="auto" w:val="clear"/>
            <w:tcMar>
              <w:bottom w:w="0" w:type="dxa"/>
              <w:right w:w="0" w:type="dxa"/>
            </w:tcMar>
            <w:vAlign w:val="center"/>
          </w:tcPr>
          <w:p>
            <w:pPr>
              <w:pStyle w:val="TableContents"/>
              <w:spacing w:before="0" w:after="283"/>
              <w:rPr>
                <w:sz w:val="4"/>
                <w:szCs w:val="4"/>
              </w:rPr>
            </w:pPr>
            <w:r>
              <w:rPr>
                <w:sz w:val="4"/>
                <w:szCs w:val="4"/>
              </w:rPr>
            </w:r>
          </w:p>
        </w:tc>
        <w:tc>
          <w:tcPr>
            <w:tcW w:w="3877"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2"/>
              </w:rPr>
            </w:pPr>
            <w:r>
              <w:rPr>
                <w:rFonts w:ascii="Times New Roman;sans-serif" w:hAnsi="Times New Roman;sans-serif"/>
                <w:b/>
                <w:color w:val="000000"/>
                <w:sz w:val="22"/>
              </w:rPr>
              <w:t>Cayman Islands</w:t>
            </w:r>
          </w:p>
        </w:tc>
        <w:tc>
          <w:tcPr>
            <w:tcW w:w="4707"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88" w:before="0" w:after="283"/>
              <w:jc w:val="center"/>
              <w:rPr>
                <w:rFonts w:ascii="Times New Roman;sans-serif" w:hAnsi="Times New Roman;sans-serif"/>
                <w:b/>
                <w:color w:val="000000"/>
                <w:sz w:val="22"/>
              </w:rPr>
            </w:pPr>
            <w:r>
              <w:rPr>
                <w:rFonts w:ascii="Times New Roman;sans-serif" w:hAnsi="Times New Roman;sans-serif"/>
                <w:b/>
                <w:color w:val="000000"/>
                <w:sz w:val="22"/>
              </w:rPr>
              <w:t>Delaware</w:t>
            </w:r>
          </w:p>
        </w:tc>
      </w:tr>
      <w:tr>
        <w:trPr/>
        <w:tc>
          <w:tcPr>
            <w:tcW w:w="1621"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22"/>
              </w:rPr>
            </w:pPr>
            <w:r>
              <w:rPr>
                <w:rFonts w:ascii="Times New Roman;sans-serif" w:hAnsi="Times New Roman;sans-serif"/>
                <w:b/>
                <w:i/>
                <w:color w:val="000000"/>
                <w:sz w:val="22"/>
              </w:rPr>
              <w:t>Title of Organizational Documents</w:t>
            </w:r>
          </w:p>
        </w:tc>
        <w:tc>
          <w:tcPr>
            <w:tcW w:w="3877"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Memorandum and Articles of Association</w:t>
            </w:r>
          </w:p>
        </w:tc>
        <w:tc>
          <w:tcPr>
            <w:tcW w:w="4707"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Certificate of Incorporation and Bylaws</w:t>
            </w:r>
          </w:p>
        </w:tc>
      </w:tr>
      <w:tr>
        <w:trPr/>
        <w:tc>
          <w:tcPr>
            <w:tcW w:w="1621"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88" w:before="0" w:after="283"/>
              <w:jc w:val="left"/>
              <w:rPr>
                <w:rFonts w:ascii="Times New Roman;sans-serif" w:hAnsi="Times New Roman;sans-serif"/>
                <w:b/>
                <w:i/>
                <w:color w:val="000000"/>
                <w:sz w:val="22"/>
              </w:rPr>
            </w:pPr>
            <w:r>
              <w:rPr>
                <w:rFonts w:ascii="Times New Roman;sans-serif" w:hAnsi="Times New Roman;sans-serif"/>
                <w:b/>
                <w:i/>
                <w:color w:val="000000"/>
                <w:sz w:val="22"/>
              </w:rPr>
              <w:t>Duties of Directors</w:t>
            </w:r>
          </w:p>
        </w:tc>
        <w:tc>
          <w:tcPr>
            <w:tcW w:w="3877"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88" w:before="0" w:after="120"/>
              <w:jc w:val="left"/>
              <w:rPr>
                <w:rFonts w:ascii="Times New Roman;sans-serif" w:hAnsi="Times New Roman;sans-serif"/>
                <w:b w:val="false"/>
                <w:color w:val="000000"/>
                <w:sz w:val="22"/>
              </w:rPr>
            </w:pPr>
            <w:r>
              <w:rPr>
                <w:rFonts w:ascii="Times New Roman;sans-serif" w:hAnsi="Times New Roman;sans-serif"/>
                <w:b w:val="false"/>
                <w:color w:val="000000"/>
                <w:sz w:val="22"/>
              </w:rPr>
              <w:t>As a matter of Cayman Islands law, a director of a Cayman Islands company is in the position of a fiduciary with respect to the company and therefore it is considered that he owes the following duties to the company—a duty to act in good faith in the best interests of the company, a duty not to make a personal profit based on his position as director (unless the company permits him to do so), a duty not to put himself in a position where the interests of the company conflict with his personal interest or his duty to a third party and a duty to exercise powers for the purpose for which such powers were intended.</w:t>
            </w:r>
          </w:p>
          <w:p>
            <w:pPr>
              <w:pStyle w:val="TableContents"/>
              <w:spacing w:lineRule="auto" w:line="288" w:before="0" w:after="120"/>
              <w:jc w:val="left"/>
              <w:rPr>
                <w:rFonts w:ascii="Times New Roman;sans-serif" w:hAnsi="Times New Roman;sans-serif"/>
                <w:b w:val="false"/>
                <w:color w:val="000000"/>
                <w:sz w:val="22"/>
              </w:rPr>
            </w:pPr>
            <w:r>
              <w:rPr>
                <w:rFonts w:ascii="Times New Roman;sans-serif" w:hAnsi="Times New Roman;sans-serif"/>
                <w:b w:val="false"/>
                <w:color w:val="000000"/>
                <w:sz w:val="22"/>
              </w:rPr>
              <w:t>A director of a Cayman Islands company owes to the company a duty to act with skill and care. It was previously considered that a director need not exhibit in the performance of his duties a greater degree of skill than may reasonably be expected from a person of his knowledge and experience. However, English and Commonwealth courts have moved towards an objective standard with regard to the required skill and care and these authorities are likely to be followed in the Cayman Islands.</w:t>
            </w:r>
          </w:p>
        </w:tc>
        <w:tc>
          <w:tcPr>
            <w:tcW w:w="4707" w:type="dxa"/>
            <w:gridSpan w:val="3"/>
            <w:tcBorders>
              <w:top w:val="single" w:sz="8" w:space="0" w:color="000000"/>
              <w:left w:val="single" w:sz="8" w:space="0" w:color="000000"/>
              <w:bottom w:val="single" w:sz="8" w:space="0" w:color="000000"/>
              <w:right w:val="single" w:sz="8" w:space="0" w:color="000000"/>
            </w:tcBorders>
            <w:shd w:fill="auto" w:val="clear"/>
            <w:tcMar>
              <w:top w:w="30" w:type="dxa"/>
              <w:bottom w:w="3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Under Delaware law, the business and affairs of a corporation are managed by or under the direction of its board of directors. In exercising their powers, directors are charged with a fiduciary duty of care to protect the interests of the corporation and a fiduciary duty of loyalty to act in the best interests of the company and its stockholders. The duty of care requires that directors act in an informed and deliberative manner and inform themselves, prior to making a business decision, of all material information reasonably available to them. The duty of care also requires that directors exercise care in overseeing and investigating the conduct of the corporation’s employees. The duty of loyalty may be summarized as the duty to act in good faith, not out of self-interest, and in a manner which the director reasonably believes to be in the best interests of the stockholders.</w:t>
            </w:r>
          </w:p>
        </w:tc>
      </w:tr>
    </w:tbl>
    <w:p>
      <w:pPr>
        <w:pStyle w:val="TextBody"/>
        <w:spacing w:before="0" w:after="0"/>
        <w:rPr/>
      </w:pPr>
      <w:r>
        <w:br w:type="page"/>
      </w:r>
      <w:r>
        <w:rPr/>
      </w:r>
      <w:r>
        <mc:AlternateContent>
          <mc:Choice Requires="wps">
            <w:drawing>
              <wp:anchor behindDoc="0" distT="0" distB="0" distL="0" distR="0" simplePos="0" locked="0" layoutInCell="1" allowOverlap="1" relativeHeight="400">
                <wp:simplePos x="0" y="0"/>
                <wp:positionH relativeFrom="character">
                  <wp:align>left</wp:align>
                </wp:positionH>
                <wp:positionV relativeFrom="line">
                  <wp:posOffset>635</wp:posOffset>
                </wp:positionV>
                <wp:extent cx="6480175" cy="175260"/>
                <wp:effectExtent l="0" t="0" r="0" b="0"/>
                <wp:wrapNone/>
                <wp:docPr id="399" name="Frame39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tbl>
      <w:tblPr>
        <w:tblW w:w="10205" w:type="dxa"/>
        <w:jc w:val="left"/>
        <w:tblInd w:w="0" w:type="dxa"/>
        <w:tblCellMar>
          <w:top w:w="28" w:type="dxa"/>
          <w:left w:w="28" w:type="dxa"/>
          <w:bottom w:w="28" w:type="dxa"/>
          <w:right w:w="28" w:type="dxa"/>
        </w:tblCellMar>
      </w:tblPr>
      <w:tblGrid>
        <w:gridCol w:w="502"/>
        <w:gridCol w:w="440"/>
        <w:gridCol w:w="443"/>
        <w:gridCol w:w="1114"/>
        <w:gridCol w:w="1114"/>
        <w:gridCol w:w="1117"/>
        <w:gridCol w:w="1601"/>
        <w:gridCol w:w="1601"/>
        <w:gridCol w:w="2273"/>
      </w:tblGrid>
      <w:tr>
        <w:trPr/>
        <w:tc>
          <w:tcPr>
            <w:tcW w:w="502" w:type="dxa"/>
            <w:tcBorders/>
            <w:shd w:fill="auto" w:val="clear"/>
            <w:vAlign w:val="center"/>
          </w:tcPr>
          <w:p>
            <w:pPr>
              <w:pStyle w:val="TableContents"/>
              <w:spacing w:before="0" w:after="283"/>
              <w:rPr>
                <w:sz w:val="4"/>
                <w:szCs w:val="4"/>
              </w:rPr>
            </w:pPr>
            <w:r>
              <w:rPr>
                <w:sz w:val="4"/>
                <w:szCs w:val="4"/>
              </w:rPr>
            </w:r>
          </w:p>
        </w:tc>
        <w:tc>
          <w:tcPr>
            <w:tcW w:w="440" w:type="dxa"/>
            <w:tcBorders/>
            <w:shd w:fill="auto" w:val="clear"/>
            <w:vAlign w:val="center"/>
          </w:tcPr>
          <w:p>
            <w:pPr>
              <w:pStyle w:val="TableContents"/>
              <w:spacing w:before="0" w:after="283"/>
              <w:rPr>
                <w:sz w:val="4"/>
                <w:szCs w:val="4"/>
              </w:rPr>
            </w:pPr>
            <w:r>
              <w:rPr>
                <w:sz w:val="4"/>
                <w:szCs w:val="4"/>
              </w:rPr>
            </w:r>
          </w:p>
        </w:tc>
        <w:tc>
          <w:tcPr>
            <w:tcW w:w="443" w:type="dxa"/>
            <w:tcBorders/>
            <w:shd w:fill="auto" w:val="clear"/>
            <w:vAlign w:val="center"/>
          </w:tcPr>
          <w:p>
            <w:pPr>
              <w:pStyle w:val="TableContents"/>
              <w:spacing w:before="0" w:after="283"/>
              <w:rPr>
                <w:sz w:val="4"/>
                <w:szCs w:val="4"/>
              </w:rPr>
            </w:pPr>
            <w:r>
              <w:rPr>
                <w:sz w:val="4"/>
                <w:szCs w:val="4"/>
              </w:rPr>
            </w:r>
          </w:p>
        </w:tc>
        <w:tc>
          <w:tcPr>
            <w:tcW w:w="1114" w:type="dxa"/>
            <w:tcBorders/>
            <w:shd w:fill="auto" w:val="clear"/>
            <w:vAlign w:val="center"/>
          </w:tcPr>
          <w:p>
            <w:pPr>
              <w:pStyle w:val="TableContents"/>
              <w:spacing w:before="0" w:after="283"/>
              <w:rPr>
                <w:sz w:val="4"/>
                <w:szCs w:val="4"/>
              </w:rPr>
            </w:pPr>
            <w:r>
              <w:rPr>
                <w:sz w:val="4"/>
                <w:szCs w:val="4"/>
              </w:rPr>
            </w:r>
          </w:p>
        </w:tc>
        <w:tc>
          <w:tcPr>
            <w:tcW w:w="1114" w:type="dxa"/>
            <w:tcBorders/>
            <w:shd w:fill="auto" w:val="clear"/>
            <w:vAlign w:val="center"/>
          </w:tcPr>
          <w:p>
            <w:pPr>
              <w:pStyle w:val="TableContents"/>
              <w:spacing w:before="0" w:after="283"/>
              <w:rPr>
                <w:sz w:val="4"/>
                <w:szCs w:val="4"/>
              </w:rPr>
            </w:pPr>
            <w:r>
              <w:rPr>
                <w:sz w:val="4"/>
                <w:szCs w:val="4"/>
              </w:rPr>
            </w:r>
          </w:p>
        </w:tc>
        <w:tc>
          <w:tcPr>
            <w:tcW w:w="1117" w:type="dxa"/>
            <w:tcBorders/>
            <w:shd w:fill="auto" w:val="clear"/>
            <w:vAlign w:val="center"/>
          </w:tcPr>
          <w:p>
            <w:pPr>
              <w:pStyle w:val="TableContents"/>
              <w:spacing w:before="0" w:after="283"/>
              <w:rPr>
                <w:sz w:val="4"/>
                <w:szCs w:val="4"/>
              </w:rPr>
            </w:pPr>
            <w:r>
              <w:rPr>
                <w:sz w:val="4"/>
                <w:szCs w:val="4"/>
              </w:rPr>
            </w:r>
          </w:p>
        </w:tc>
        <w:tc>
          <w:tcPr>
            <w:tcW w:w="1601" w:type="dxa"/>
            <w:tcBorders/>
            <w:shd w:fill="auto" w:val="clear"/>
            <w:vAlign w:val="center"/>
          </w:tcPr>
          <w:p>
            <w:pPr>
              <w:pStyle w:val="TableContents"/>
              <w:spacing w:before="0" w:after="283"/>
              <w:rPr>
                <w:sz w:val="4"/>
                <w:szCs w:val="4"/>
              </w:rPr>
            </w:pPr>
            <w:r>
              <w:rPr>
                <w:sz w:val="4"/>
                <w:szCs w:val="4"/>
              </w:rPr>
            </w:r>
          </w:p>
        </w:tc>
        <w:tc>
          <w:tcPr>
            <w:tcW w:w="1601" w:type="dxa"/>
            <w:tcBorders/>
            <w:shd w:fill="auto" w:val="clear"/>
            <w:vAlign w:val="center"/>
          </w:tcPr>
          <w:p>
            <w:pPr>
              <w:pStyle w:val="TableContents"/>
              <w:spacing w:before="0" w:after="283"/>
              <w:rPr>
                <w:sz w:val="4"/>
                <w:szCs w:val="4"/>
              </w:rPr>
            </w:pPr>
            <w:r>
              <w:rPr>
                <w:sz w:val="4"/>
                <w:szCs w:val="4"/>
              </w:rPr>
            </w:r>
          </w:p>
        </w:tc>
        <w:tc>
          <w:tcPr>
            <w:tcW w:w="2273" w:type="dxa"/>
            <w:tcBorders/>
            <w:shd w:fill="auto" w:val="clear"/>
            <w:vAlign w:val="center"/>
          </w:tcPr>
          <w:p>
            <w:pPr>
              <w:pStyle w:val="TableContents"/>
              <w:spacing w:before="0" w:after="283"/>
              <w:rPr>
                <w:sz w:val="4"/>
                <w:szCs w:val="4"/>
              </w:rPr>
            </w:pPr>
            <w:r>
              <w:rPr>
                <w:sz w:val="4"/>
                <w:szCs w:val="4"/>
              </w:rPr>
            </w:r>
          </w:p>
        </w:tc>
      </w:tr>
      <w:tr>
        <w:trPr/>
        <w:tc>
          <w:tcPr>
            <w:tcW w:w="1385"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88" w:before="0" w:after="283"/>
              <w:jc w:val="left"/>
              <w:rPr>
                <w:rFonts w:ascii="Times New Roman;sans-serif" w:hAnsi="Times New Roman;sans-serif"/>
                <w:b/>
                <w:i/>
                <w:color w:val="000000"/>
                <w:sz w:val="22"/>
              </w:rPr>
            </w:pPr>
            <w:r>
              <w:rPr>
                <w:rFonts w:ascii="Times New Roman;sans-serif" w:hAnsi="Times New Roman;sans-serif"/>
                <w:b/>
                <w:i/>
                <w:color w:val="000000"/>
                <w:sz w:val="22"/>
              </w:rPr>
              <w:t>Limitations on Personal Liability of Directors</w:t>
            </w:r>
          </w:p>
        </w:tc>
        <w:tc>
          <w:tcPr>
            <w:tcW w:w="3345"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The Companies Act has no equivalent provision to Delaware law regarding the limitation of director’s liability. However, as a matter of public policy, Cayman Islands law will not allow the limitation of a director’s liability to the extent that the liability is a consequence of the director committing a crime or of the director’s own fraud, dishonesty or wilful default.</w:t>
            </w:r>
          </w:p>
        </w:tc>
        <w:tc>
          <w:tcPr>
            <w:tcW w:w="5475" w:type="dxa"/>
            <w:gridSpan w:val="3"/>
            <w:tcBorders>
              <w:top w:val="single" w:sz="8" w:space="0" w:color="000000"/>
              <w:left w:val="single" w:sz="8" w:space="0" w:color="000000"/>
              <w:bottom w:val="single" w:sz="8" w:space="0" w:color="000000"/>
              <w:right w:val="single" w:sz="8" w:space="0" w:color="000000"/>
            </w:tcBorders>
            <w:shd w:fill="auto" w:val="clear"/>
            <w:tcMar>
              <w:top w:w="30" w:type="dxa"/>
              <w:bottom w:w="3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Subject to the limitations described below, a certificate of incorporation may provide for the elimination or limitation of the personal liability of a director for money damages to the corporation or its stockholders for monetary damages for a breach of fiduciary duty as a director. Such provision cannot limit liability for breach of loyalty, acts or omissions not in good faith or that involve intentional misconduct or a knowing violation of law, unlawful payment of dividends or unlawful stock repurchase or redemption. In addition, an exculpatory provision with terms described in the previous sentence cannot limit liability for any act or omission occurring prior to the date when such provision becomes effective.</w:t>
            </w:r>
          </w:p>
        </w:tc>
      </w:tr>
    </w:tbl>
    <w:p>
      <w:pPr>
        <w:pStyle w:val="TextBody"/>
        <w:spacing w:before="0" w:after="0"/>
        <w:rPr/>
      </w:pPr>
      <w:r>
        <w:br w:type="page"/>
      </w:r>
      <w:r>
        <w:rPr/>
      </w:r>
      <w:r>
        <mc:AlternateContent>
          <mc:Choice Requires="wps">
            <w:drawing>
              <wp:anchor behindDoc="0" distT="0" distB="0" distL="0" distR="0" simplePos="0" locked="0" layoutInCell="1" allowOverlap="1" relativeHeight="401">
                <wp:simplePos x="0" y="0"/>
                <wp:positionH relativeFrom="character">
                  <wp:align>left</wp:align>
                </wp:positionH>
                <wp:positionV relativeFrom="line">
                  <wp:posOffset>635</wp:posOffset>
                </wp:positionV>
                <wp:extent cx="6480175" cy="175260"/>
                <wp:effectExtent l="0" t="0" r="0" b="0"/>
                <wp:wrapNone/>
                <wp:docPr id="400" name="Frame39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tbl>
      <w:tblPr>
        <w:tblW w:w="10205" w:type="dxa"/>
        <w:jc w:val="left"/>
        <w:tblInd w:w="0" w:type="dxa"/>
        <w:tblCellMar>
          <w:top w:w="28" w:type="dxa"/>
          <w:left w:w="28" w:type="dxa"/>
          <w:bottom w:w="28" w:type="dxa"/>
          <w:right w:w="28" w:type="dxa"/>
        </w:tblCellMar>
      </w:tblPr>
      <w:tblGrid>
        <w:gridCol w:w="654"/>
        <w:gridCol w:w="575"/>
        <w:gridCol w:w="576"/>
        <w:gridCol w:w="1134"/>
        <w:gridCol w:w="1134"/>
        <w:gridCol w:w="1136"/>
        <w:gridCol w:w="1461"/>
        <w:gridCol w:w="1461"/>
        <w:gridCol w:w="2074"/>
      </w:tblGrid>
      <w:tr>
        <w:trPr/>
        <w:tc>
          <w:tcPr>
            <w:tcW w:w="654" w:type="dxa"/>
            <w:tcBorders/>
            <w:shd w:fill="auto" w:val="clear"/>
            <w:vAlign w:val="center"/>
          </w:tcPr>
          <w:p>
            <w:pPr>
              <w:pStyle w:val="TableContents"/>
              <w:spacing w:before="0" w:after="283"/>
              <w:rPr>
                <w:sz w:val="4"/>
                <w:szCs w:val="4"/>
              </w:rPr>
            </w:pPr>
            <w:r>
              <w:rPr>
                <w:sz w:val="4"/>
                <w:szCs w:val="4"/>
              </w:rPr>
            </w:r>
          </w:p>
        </w:tc>
        <w:tc>
          <w:tcPr>
            <w:tcW w:w="575" w:type="dxa"/>
            <w:tcBorders/>
            <w:shd w:fill="auto" w:val="clear"/>
            <w:vAlign w:val="center"/>
          </w:tcPr>
          <w:p>
            <w:pPr>
              <w:pStyle w:val="TableContents"/>
              <w:spacing w:before="0" w:after="283"/>
              <w:rPr>
                <w:sz w:val="4"/>
                <w:szCs w:val="4"/>
              </w:rPr>
            </w:pPr>
            <w:r>
              <w:rPr>
                <w:sz w:val="4"/>
                <w:szCs w:val="4"/>
              </w:rPr>
            </w:r>
          </w:p>
        </w:tc>
        <w:tc>
          <w:tcPr>
            <w:tcW w:w="576" w:type="dxa"/>
            <w:tcBorders/>
            <w:shd w:fill="auto" w:val="clear"/>
            <w:vAlign w:val="center"/>
          </w:tcPr>
          <w:p>
            <w:pPr>
              <w:pStyle w:val="TableContents"/>
              <w:spacing w:before="0" w:after="283"/>
              <w:rPr>
                <w:sz w:val="4"/>
                <w:szCs w:val="4"/>
              </w:rPr>
            </w:pPr>
            <w:r>
              <w:rPr>
                <w:sz w:val="4"/>
                <w:szCs w:val="4"/>
              </w:rPr>
            </w:r>
          </w:p>
        </w:tc>
        <w:tc>
          <w:tcPr>
            <w:tcW w:w="1134" w:type="dxa"/>
            <w:tcBorders/>
            <w:shd w:fill="auto" w:val="clear"/>
            <w:vAlign w:val="center"/>
          </w:tcPr>
          <w:p>
            <w:pPr>
              <w:pStyle w:val="TableContents"/>
              <w:spacing w:before="0" w:after="283"/>
              <w:rPr>
                <w:sz w:val="4"/>
                <w:szCs w:val="4"/>
              </w:rPr>
            </w:pPr>
            <w:r>
              <w:rPr>
                <w:sz w:val="4"/>
                <w:szCs w:val="4"/>
              </w:rPr>
            </w:r>
          </w:p>
        </w:tc>
        <w:tc>
          <w:tcPr>
            <w:tcW w:w="1134" w:type="dxa"/>
            <w:tcBorders/>
            <w:shd w:fill="auto" w:val="clear"/>
            <w:vAlign w:val="center"/>
          </w:tcPr>
          <w:p>
            <w:pPr>
              <w:pStyle w:val="TableContents"/>
              <w:spacing w:before="0" w:after="283"/>
              <w:rPr>
                <w:sz w:val="4"/>
                <w:szCs w:val="4"/>
              </w:rPr>
            </w:pPr>
            <w:r>
              <w:rPr>
                <w:sz w:val="4"/>
                <w:szCs w:val="4"/>
              </w:rPr>
            </w:r>
          </w:p>
        </w:tc>
        <w:tc>
          <w:tcPr>
            <w:tcW w:w="1136" w:type="dxa"/>
            <w:tcBorders/>
            <w:shd w:fill="auto" w:val="clear"/>
            <w:vAlign w:val="center"/>
          </w:tcPr>
          <w:p>
            <w:pPr>
              <w:pStyle w:val="TableContents"/>
              <w:spacing w:before="0" w:after="283"/>
              <w:rPr>
                <w:sz w:val="4"/>
                <w:szCs w:val="4"/>
              </w:rPr>
            </w:pPr>
            <w:r>
              <w:rPr>
                <w:sz w:val="4"/>
                <w:szCs w:val="4"/>
              </w:rPr>
            </w:r>
          </w:p>
        </w:tc>
        <w:tc>
          <w:tcPr>
            <w:tcW w:w="1461" w:type="dxa"/>
            <w:tcBorders/>
            <w:shd w:fill="auto" w:val="clear"/>
            <w:vAlign w:val="center"/>
          </w:tcPr>
          <w:p>
            <w:pPr>
              <w:pStyle w:val="TableContents"/>
              <w:spacing w:before="0" w:after="283"/>
              <w:rPr>
                <w:sz w:val="4"/>
                <w:szCs w:val="4"/>
              </w:rPr>
            </w:pPr>
            <w:r>
              <w:rPr>
                <w:sz w:val="4"/>
                <w:szCs w:val="4"/>
              </w:rPr>
            </w:r>
          </w:p>
        </w:tc>
        <w:tc>
          <w:tcPr>
            <w:tcW w:w="1461" w:type="dxa"/>
            <w:tcBorders/>
            <w:shd w:fill="auto" w:val="clear"/>
            <w:vAlign w:val="center"/>
          </w:tcPr>
          <w:p>
            <w:pPr>
              <w:pStyle w:val="TableContents"/>
              <w:spacing w:before="0" w:after="283"/>
              <w:rPr>
                <w:sz w:val="4"/>
                <w:szCs w:val="4"/>
              </w:rPr>
            </w:pPr>
            <w:r>
              <w:rPr>
                <w:sz w:val="4"/>
                <w:szCs w:val="4"/>
              </w:rPr>
            </w:r>
          </w:p>
        </w:tc>
        <w:tc>
          <w:tcPr>
            <w:tcW w:w="2074" w:type="dxa"/>
            <w:tcBorders/>
            <w:shd w:fill="auto" w:val="clear"/>
            <w:vAlign w:val="center"/>
          </w:tcPr>
          <w:p>
            <w:pPr>
              <w:pStyle w:val="TableContents"/>
              <w:spacing w:before="0" w:after="283"/>
              <w:rPr>
                <w:sz w:val="4"/>
                <w:szCs w:val="4"/>
              </w:rPr>
            </w:pPr>
            <w:r>
              <w:rPr>
                <w:sz w:val="4"/>
                <w:szCs w:val="4"/>
              </w:rPr>
            </w:r>
          </w:p>
        </w:tc>
      </w:tr>
      <w:tr>
        <w:trPr/>
        <w:tc>
          <w:tcPr>
            <w:tcW w:w="1805"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88" w:before="0" w:after="283"/>
              <w:jc w:val="left"/>
              <w:rPr>
                <w:rFonts w:ascii="Times New Roman;sans-serif" w:hAnsi="Times New Roman;sans-serif"/>
                <w:b/>
                <w:i/>
                <w:color w:val="000000"/>
                <w:sz w:val="22"/>
              </w:rPr>
            </w:pPr>
            <w:r>
              <w:rPr>
                <w:rFonts w:ascii="Times New Roman;sans-serif" w:hAnsi="Times New Roman;sans-serif"/>
                <w:b/>
                <w:i/>
                <w:color w:val="000000"/>
                <w:sz w:val="22"/>
              </w:rPr>
              <w:t>Indemnification of Directors, Officers, Agents and Others</w:t>
            </w:r>
          </w:p>
        </w:tc>
        <w:tc>
          <w:tcPr>
            <w:tcW w:w="3404"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88" w:before="0" w:after="120"/>
              <w:jc w:val="left"/>
              <w:rPr>
                <w:rFonts w:ascii="Times New Roman;sans-serif" w:hAnsi="Times New Roman;sans-serif"/>
                <w:b w:val="false"/>
                <w:color w:val="000000"/>
                <w:sz w:val="22"/>
              </w:rPr>
            </w:pPr>
            <w:r>
              <w:rPr>
                <w:rFonts w:ascii="Times New Roman;sans-serif" w:hAnsi="Times New Roman;sans-serif"/>
                <w:b w:val="false"/>
                <w:color w:val="000000"/>
                <w:sz w:val="22"/>
              </w:rPr>
              <w:t>Cayman Islands law does not limit the extent to which a company’s articles of association may provide for indemnification of directors and officers, except to the extent any such provision may be held by the Cayman Islands Court to be contrary to public policy, such as to provide indemnification against the consequences of committing a crime, or against the indemnified person’s own fraud, dishonesty or wilful default.</w:t>
            </w:r>
          </w:p>
          <w:p>
            <w:pPr>
              <w:pStyle w:val="TableContents"/>
              <w:spacing w:lineRule="auto" w:line="288" w:before="0" w:after="120"/>
              <w:jc w:val="left"/>
              <w:rPr>
                <w:rFonts w:ascii="Times New Roman;sans-serif" w:hAnsi="Times New Roman;sans-serif"/>
                <w:b w:val="false"/>
                <w:color w:val="000000"/>
                <w:sz w:val="22"/>
              </w:rPr>
            </w:pPr>
            <w:r>
              <w:rPr>
                <w:rFonts w:ascii="Times New Roman;sans-serif" w:hAnsi="Times New Roman;sans-serif"/>
                <w:b w:val="false"/>
                <w:color w:val="000000"/>
                <w:sz w:val="22"/>
              </w:rPr>
              <w:t>Our Articles provide that we will indemnify each director and officer against all actions, proceedings, costs, charges, expenses, losses, damages or liabilities incurred or sustained by such person, other than by reason of such person’s own dishonesty, wilful default or fraud. In addition, we have entered into indemnification agreements with our directors and executive officers that provide such persons with additional indemnification beyond that provided in our Articles.</w:t>
            </w:r>
          </w:p>
          <w:p>
            <w:pPr>
              <w:pStyle w:val="TableContents"/>
              <w:spacing w:lineRule="auto" w:line="288" w:before="0" w:after="120"/>
              <w:jc w:val="left"/>
              <w:rPr>
                <w:rFonts w:ascii="Times New Roman;sans-serif" w:hAnsi="Times New Roman;sans-serif"/>
                <w:b w:val="false"/>
                <w:color w:val="000000"/>
                <w:sz w:val="22"/>
              </w:rPr>
            </w:pPr>
            <w:r>
              <w:rPr>
                <w:rFonts w:ascii="Times New Roman;sans-serif" w:hAnsi="Times New Roman;sans-serif"/>
                <w:b w:val="false"/>
                <w:color w:val="000000"/>
                <w:sz w:val="22"/>
              </w:rPr>
              <w:t>Insofar as indemnification for liabilities arising under the Securities Act may be permitted to our directors, officers or persons controlling us under the foregoing provisions, we have been informed that in the opinion of the SEC, such indemnification is against public policy as expressed in the Securities Act and is therefore unenforceable.</w:t>
            </w:r>
          </w:p>
        </w:tc>
        <w:tc>
          <w:tcPr>
            <w:tcW w:w="4996" w:type="dxa"/>
            <w:gridSpan w:val="3"/>
            <w:tcBorders>
              <w:top w:val="single" w:sz="8" w:space="0" w:color="000000"/>
              <w:left w:val="single" w:sz="8" w:space="0" w:color="000000"/>
              <w:bottom w:val="single" w:sz="8" w:space="0" w:color="000000"/>
              <w:right w:val="single" w:sz="8" w:space="0" w:color="000000"/>
            </w:tcBorders>
            <w:shd w:fill="auto" w:val="clear"/>
            <w:tcMar>
              <w:top w:w="30" w:type="dxa"/>
              <w:bottom w:w="3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 corporation has the power to indemnify any director, officer, employee, or agent of the corporation who was, is or is threatened to be made a party to an action, suit or proceeding who acted in good faith and in a manner they believed to be in the best interests of the corporation, and if with respect to a criminal proceeding, had no reasonable cause to believe his or her conduct would be unlawful, against amounts actually and reasonably incurred. Additionally, under the Delaware General Corporation Law, a Delaware corporation must indemnify its present or former directors and officers against expenses (including attorneys’ fees) actually and reasonably incurred to the extent that the officer or director has been successful on the merits or otherwise in defense of any action, suit or proceeding brought against him or her by reason of the fact that he or she is or was a director or officer of the corporation.</w:t>
            </w:r>
          </w:p>
        </w:tc>
      </w:tr>
    </w:tbl>
    <w:p>
      <w:pPr>
        <w:pStyle w:val="TextBody"/>
        <w:spacing w:before="0" w:after="0"/>
        <w:rPr/>
      </w:pPr>
      <w:r>
        <w:br w:type="page"/>
      </w:r>
      <w:r>
        <w:rPr/>
      </w:r>
      <w:r>
        <mc:AlternateContent>
          <mc:Choice Requires="wps">
            <w:drawing>
              <wp:anchor behindDoc="0" distT="0" distB="0" distL="0" distR="0" simplePos="0" locked="0" layoutInCell="1" allowOverlap="1" relativeHeight="402">
                <wp:simplePos x="0" y="0"/>
                <wp:positionH relativeFrom="character">
                  <wp:align>left</wp:align>
                </wp:positionH>
                <wp:positionV relativeFrom="line">
                  <wp:posOffset>635</wp:posOffset>
                </wp:positionV>
                <wp:extent cx="6480175" cy="175260"/>
                <wp:effectExtent l="0" t="0" r="0" b="0"/>
                <wp:wrapNone/>
                <wp:docPr id="401" name="Frame39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tbl>
      <w:tblPr>
        <w:tblW w:w="10205" w:type="dxa"/>
        <w:jc w:val="left"/>
        <w:tblInd w:w="0" w:type="dxa"/>
        <w:tblCellMar>
          <w:top w:w="28" w:type="dxa"/>
          <w:left w:w="28" w:type="dxa"/>
          <w:bottom w:w="28" w:type="dxa"/>
          <w:right w:w="28" w:type="dxa"/>
        </w:tblCellMar>
      </w:tblPr>
      <w:tblGrid>
        <w:gridCol w:w="401"/>
        <w:gridCol w:w="352"/>
        <w:gridCol w:w="354"/>
        <w:gridCol w:w="1143"/>
        <w:gridCol w:w="1143"/>
        <w:gridCol w:w="1145"/>
        <w:gridCol w:w="1659"/>
        <w:gridCol w:w="1659"/>
        <w:gridCol w:w="2349"/>
      </w:tblGrid>
      <w:tr>
        <w:trPr/>
        <w:tc>
          <w:tcPr>
            <w:tcW w:w="401" w:type="dxa"/>
            <w:tcBorders/>
            <w:shd w:fill="auto" w:val="clear"/>
            <w:vAlign w:val="center"/>
          </w:tcPr>
          <w:p>
            <w:pPr>
              <w:pStyle w:val="TableContents"/>
              <w:spacing w:before="0" w:after="283"/>
              <w:rPr>
                <w:sz w:val="4"/>
                <w:szCs w:val="4"/>
              </w:rPr>
            </w:pPr>
            <w:r>
              <w:rPr>
                <w:sz w:val="4"/>
                <w:szCs w:val="4"/>
              </w:rPr>
            </w:r>
          </w:p>
        </w:tc>
        <w:tc>
          <w:tcPr>
            <w:tcW w:w="352" w:type="dxa"/>
            <w:tcBorders/>
            <w:shd w:fill="auto" w:val="clear"/>
            <w:vAlign w:val="center"/>
          </w:tcPr>
          <w:p>
            <w:pPr>
              <w:pStyle w:val="TableContents"/>
              <w:spacing w:before="0" w:after="283"/>
              <w:rPr>
                <w:sz w:val="4"/>
                <w:szCs w:val="4"/>
              </w:rPr>
            </w:pPr>
            <w:r>
              <w:rPr>
                <w:sz w:val="4"/>
                <w:szCs w:val="4"/>
              </w:rPr>
            </w:r>
          </w:p>
        </w:tc>
        <w:tc>
          <w:tcPr>
            <w:tcW w:w="354" w:type="dxa"/>
            <w:tcBorders/>
            <w:shd w:fill="auto" w:val="clear"/>
            <w:vAlign w:val="center"/>
          </w:tcPr>
          <w:p>
            <w:pPr>
              <w:pStyle w:val="TableContents"/>
              <w:spacing w:before="0" w:after="283"/>
              <w:rPr>
                <w:sz w:val="4"/>
                <w:szCs w:val="4"/>
              </w:rPr>
            </w:pPr>
            <w:r>
              <w:rPr>
                <w:sz w:val="4"/>
                <w:szCs w:val="4"/>
              </w:rPr>
            </w:r>
          </w:p>
        </w:tc>
        <w:tc>
          <w:tcPr>
            <w:tcW w:w="1143" w:type="dxa"/>
            <w:tcBorders/>
            <w:shd w:fill="auto" w:val="clear"/>
            <w:vAlign w:val="center"/>
          </w:tcPr>
          <w:p>
            <w:pPr>
              <w:pStyle w:val="TableContents"/>
              <w:spacing w:before="0" w:after="283"/>
              <w:rPr>
                <w:sz w:val="4"/>
                <w:szCs w:val="4"/>
              </w:rPr>
            </w:pPr>
            <w:r>
              <w:rPr>
                <w:sz w:val="4"/>
                <w:szCs w:val="4"/>
              </w:rPr>
            </w:r>
          </w:p>
        </w:tc>
        <w:tc>
          <w:tcPr>
            <w:tcW w:w="1143" w:type="dxa"/>
            <w:tcBorders/>
            <w:shd w:fill="auto" w:val="clear"/>
            <w:vAlign w:val="center"/>
          </w:tcPr>
          <w:p>
            <w:pPr>
              <w:pStyle w:val="TableContents"/>
              <w:spacing w:before="0" w:after="283"/>
              <w:rPr>
                <w:sz w:val="4"/>
                <w:szCs w:val="4"/>
              </w:rPr>
            </w:pPr>
            <w:r>
              <w:rPr>
                <w:sz w:val="4"/>
                <w:szCs w:val="4"/>
              </w:rPr>
            </w:r>
          </w:p>
        </w:tc>
        <w:tc>
          <w:tcPr>
            <w:tcW w:w="1145" w:type="dxa"/>
            <w:tcBorders/>
            <w:shd w:fill="auto" w:val="clear"/>
            <w:vAlign w:val="center"/>
          </w:tcPr>
          <w:p>
            <w:pPr>
              <w:pStyle w:val="TableContents"/>
              <w:spacing w:before="0" w:after="283"/>
              <w:rPr>
                <w:sz w:val="4"/>
                <w:szCs w:val="4"/>
              </w:rPr>
            </w:pPr>
            <w:r>
              <w:rPr>
                <w:sz w:val="4"/>
                <w:szCs w:val="4"/>
              </w:rPr>
            </w:r>
          </w:p>
        </w:tc>
        <w:tc>
          <w:tcPr>
            <w:tcW w:w="1659" w:type="dxa"/>
            <w:tcBorders/>
            <w:shd w:fill="auto" w:val="clear"/>
            <w:vAlign w:val="center"/>
          </w:tcPr>
          <w:p>
            <w:pPr>
              <w:pStyle w:val="TableContents"/>
              <w:spacing w:before="0" w:after="283"/>
              <w:rPr>
                <w:sz w:val="4"/>
                <w:szCs w:val="4"/>
              </w:rPr>
            </w:pPr>
            <w:r>
              <w:rPr>
                <w:sz w:val="4"/>
                <w:szCs w:val="4"/>
              </w:rPr>
            </w:r>
          </w:p>
        </w:tc>
        <w:tc>
          <w:tcPr>
            <w:tcW w:w="1659" w:type="dxa"/>
            <w:tcBorders/>
            <w:shd w:fill="auto" w:val="clear"/>
            <w:vAlign w:val="center"/>
          </w:tcPr>
          <w:p>
            <w:pPr>
              <w:pStyle w:val="TableContents"/>
              <w:spacing w:before="0" w:after="283"/>
              <w:rPr>
                <w:sz w:val="4"/>
                <w:szCs w:val="4"/>
              </w:rPr>
            </w:pPr>
            <w:r>
              <w:rPr>
                <w:sz w:val="4"/>
                <w:szCs w:val="4"/>
              </w:rPr>
            </w:r>
          </w:p>
        </w:tc>
        <w:tc>
          <w:tcPr>
            <w:tcW w:w="2349" w:type="dxa"/>
            <w:tcBorders/>
            <w:shd w:fill="auto" w:val="clear"/>
            <w:vAlign w:val="center"/>
          </w:tcPr>
          <w:p>
            <w:pPr>
              <w:pStyle w:val="TableContents"/>
              <w:spacing w:before="0" w:after="283"/>
              <w:rPr>
                <w:sz w:val="4"/>
                <w:szCs w:val="4"/>
              </w:rPr>
            </w:pPr>
            <w:r>
              <w:rPr>
                <w:sz w:val="4"/>
                <w:szCs w:val="4"/>
              </w:rPr>
            </w:r>
          </w:p>
        </w:tc>
      </w:tr>
      <w:tr>
        <w:trPr/>
        <w:tc>
          <w:tcPr>
            <w:tcW w:w="1107"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88" w:before="0" w:after="283"/>
              <w:jc w:val="left"/>
              <w:rPr>
                <w:rFonts w:ascii="Times New Roman;sans-serif" w:hAnsi="Times New Roman;sans-serif"/>
                <w:b/>
                <w:i/>
                <w:color w:val="000000"/>
                <w:sz w:val="22"/>
              </w:rPr>
            </w:pPr>
            <w:r>
              <w:rPr>
                <w:rFonts w:ascii="Times New Roman;sans-serif" w:hAnsi="Times New Roman;sans-serif"/>
                <w:b/>
                <w:i/>
                <w:color w:val="000000"/>
                <w:sz w:val="22"/>
              </w:rPr>
              <w:t>Interested Directors</w:t>
            </w:r>
          </w:p>
        </w:tc>
        <w:tc>
          <w:tcPr>
            <w:tcW w:w="3431"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Under the Articles, directors who are in any way, whether directly or indirectly, interested in a contract or proposed contract with our company must declare the nature of their interest at a meeting of the board of directors. Following such declaration, a director may vote in respect of any contract or proposed contract notwithstanding his or her interest, provided that in exercising any such vote, such director’s duties remain as described above.</w:t>
            </w:r>
          </w:p>
        </w:tc>
        <w:tc>
          <w:tcPr>
            <w:tcW w:w="5667" w:type="dxa"/>
            <w:gridSpan w:val="3"/>
            <w:tcBorders>
              <w:top w:val="single" w:sz="8" w:space="0" w:color="000000"/>
              <w:left w:val="single" w:sz="8" w:space="0" w:color="000000"/>
              <w:bottom w:val="single" w:sz="8" w:space="0" w:color="000000"/>
              <w:right w:val="single" w:sz="8" w:space="0" w:color="000000"/>
            </w:tcBorders>
            <w:shd w:fill="auto" w:val="clear"/>
            <w:tcMar>
              <w:top w:w="30" w:type="dxa"/>
              <w:bottom w:w="3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Under Delaware law, a transaction in which a director has an interest is not void or voidable solely because such interested director is present at or participates in the meeting that authorizes the transaction if: (1) the material facts as to such interested director’s relationship or interests are disclosed or are known to the board of directors and the board in good faith authorizes the transaction by the affirmative vote of a majority of the disinterested directors, even though the disinterested directors are less than a quorum; (2) such material facts are disclosed or are known to the stockholders entitled to vote on such transaction and the transaction is specifically approved in good faith by vote of the stockholders; or (3) the transaction is fair as to the corporation as of the time it is authorized, approved or ratified by the board of directors, a committee of the board, or the stockholders. Under Delaware law, a director could be held liable for any transaction in which such director derived an improper personal benefit.</w:t>
            </w:r>
          </w:p>
        </w:tc>
      </w:tr>
    </w:tbl>
    <w:p>
      <w:pPr>
        <w:pStyle w:val="TextBody"/>
        <w:spacing w:before="0" w:after="0"/>
        <w:rPr/>
      </w:pPr>
      <w:r>
        <w:br w:type="page"/>
      </w:r>
      <w:r>
        <w:rPr/>
      </w:r>
      <w:r>
        <mc:AlternateContent>
          <mc:Choice Requires="wps">
            <w:drawing>
              <wp:anchor behindDoc="0" distT="0" distB="0" distL="0" distR="0" simplePos="0" locked="0" layoutInCell="1" allowOverlap="1" relativeHeight="403">
                <wp:simplePos x="0" y="0"/>
                <wp:positionH relativeFrom="character">
                  <wp:align>left</wp:align>
                </wp:positionH>
                <wp:positionV relativeFrom="line">
                  <wp:posOffset>635</wp:posOffset>
                </wp:positionV>
                <wp:extent cx="6480175" cy="175260"/>
                <wp:effectExtent l="0" t="0" r="0" b="0"/>
                <wp:wrapNone/>
                <wp:docPr id="402" name="Frame39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tbl>
      <w:tblPr>
        <w:tblW w:w="10205" w:type="dxa"/>
        <w:jc w:val="left"/>
        <w:tblInd w:w="0" w:type="dxa"/>
        <w:tblCellMar>
          <w:top w:w="28" w:type="dxa"/>
          <w:left w:w="28" w:type="dxa"/>
          <w:bottom w:w="28" w:type="dxa"/>
          <w:right w:w="28" w:type="dxa"/>
        </w:tblCellMar>
      </w:tblPr>
      <w:tblGrid>
        <w:gridCol w:w="525"/>
        <w:gridCol w:w="461"/>
        <w:gridCol w:w="462"/>
        <w:gridCol w:w="1317"/>
        <w:gridCol w:w="1317"/>
        <w:gridCol w:w="1319"/>
        <w:gridCol w:w="1405"/>
        <w:gridCol w:w="1405"/>
        <w:gridCol w:w="1994"/>
      </w:tblGrid>
      <w:tr>
        <w:trPr/>
        <w:tc>
          <w:tcPr>
            <w:tcW w:w="525" w:type="dxa"/>
            <w:tcBorders/>
            <w:shd w:fill="auto" w:val="clear"/>
            <w:vAlign w:val="center"/>
          </w:tcPr>
          <w:p>
            <w:pPr>
              <w:pStyle w:val="TableContents"/>
              <w:spacing w:before="0" w:after="283"/>
              <w:rPr>
                <w:sz w:val="4"/>
                <w:szCs w:val="4"/>
              </w:rPr>
            </w:pPr>
            <w:r>
              <w:rPr>
                <w:sz w:val="4"/>
                <w:szCs w:val="4"/>
              </w:rPr>
            </w:r>
          </w:p>
        </w:tc>
        <w:tc>
          <w:tcPr>
            <w:tcW w:w="461" w:type="dxa"/>
            <w:tcBorders/>
            <w:shd w:fill="auto" w:val="clear"/>
            <w:vAlign w:val="center"/>
          </w:tcPr>
          <w:p>
            <w:pPr>
              <w:pStyle w:val="TableContents"/>
              <w:spacing w:before="0" w:after="283"/>
              <w:rPr>
                <w:sz w:val="4"/>
                <w:szCs w:val="4"/>
              </w:rPr>
            </w:pPr>
            <w:r>
              <w:rPr>
                <w:sz w:val="4"/>
                <w:szCs w:val="4"/>
              </w:rPr>
            </w:r>
          </w:p>
        </w:tc>
        <w:tc>
          <w:tcPr>
            <w:tcW w:w="462" w:type="dxa"/>
            <w:tcBorders/>
            <w:shd w:fill="auto" w:val="clear"/>
            <w:vAlign w:val="center"/>
          </w:tcPr>
          <w:p>
            <w:pPr>
              <w:pStyle w:val="TableContents"/>
              <w:spacing w:before="0" w:after="283"/>
              <w:rPr>
                <w:sz w:val="4"/>
                <w:szCs w:val="4"/>
              </w:rPr>
            </w:pPr>
            <w:r>
              <w:rPr>
                <w:sz w:val="4"/>
                <w:szCs w:val="4"/>
              </w:rPr>
            </w:r>
          </w:p>
        </w:tc>
        <w:tc>
          <w:tcPr>
            <w:tcW w:w="1317" w:type="dxa"/>
            <w:tcBorders/>
            <w:shd w:fill="auto" w:val="clear"/>
            <w:vAlign w:val="center"/>
          </w:tcPr>
          <w:p>
            <w:pPr>
              <w:pStyle w:val="TableContents"/>
              <w:spacing w:before="0" w:after="283"/>
              <w:rPr>
                <w:sz w:val="4"/>
                <w:szCs w:val="4"/>
              </w:rPr>
            </w:pPr>
            <w:r>
              <w:rPr>
                <w:sz w:val="4"/>
                <w:szCs w:val="4"/>
              </w:rPr>
            </w:r>
          </w:p>
        </w:tc>
        <w:tc>
          <w:tcPr>
            <w:tcW w:w="1317" w:type="dxa"/>
            <w:tcBorders/>
            <w:shd w:fill="auto" w:val="clear"/>
            <w:vAlign w:val="center"/>
          </w:tcPr>
          <w:p>
            <w:pPr>
              <w:pStyle w:val="TableContents"/>
              <w:spacing w:before="0" w:after="283"/>
              <w:rPr>
                <w:sz w:val="4"/>
                <w:szCs w:val="4"/>
              </w:rPr>
            </w:pPr>
            <w:r>
              <w:rPr>
                <w:sz w:val="4"/>
                <w:szCs w:val="4"/>
              </w:rPr>
            </w:r>
          </w:p>
        </w:tc>
        <w:tc>
          <w:tcPr>
            <w:tcW w:w="1319" w:type="dxa"/>
            <w:tcBorders/>
            <w:shd w:fill="auto" w:val="clear"/>
            <w:vAlign w:val="center"/>
          </w:tcPr>
          <w:p>
            <w:pPr>
              <w:pStyle w:val="TableContents"/>
              <w:spacing w:before="0" w:after="283"/>
              <w:rPr>
                <w:sz w:val="4"/>
                <w:szCs w:val="4"/>
              </w:rPr>
            </w:pPr>
            <w:r>
              <w:rPr>
                <w:sz w:val="4"/>
                <w:szCs w:val="4"/>
              </w:rPr>
            </w:r>
          </w:p>
        </w:tc>
        <w:tc>
          <w:tcPr>
            <w:tcW w:w="1405" w:type="dxa"/>
            <w:tcBorders/>
            <w:shd w:fill="auto" w:val="clear"/>
            <w:vAlign w:val="center"/>
          </w:tcPr>
          <w:p>
            <w:pPr>
              <w:pStyle w:val="TableContents"/>
              <w:spacing w:before="0" w:after="283"/>
              <w:rPr>
                <w:sz w:val="4"/>
                <w:szCs w:val="4"/>
              </w:rPr>
            </w:pPr>
            <w:r>
              <w:rPr>
                <w:sz w:val="4"/>
                <w:szCs w:val="4"/>
              </w:rPr>
            </w:r>
          </w:p>
        </w:tc>
        <w:tc>
          <w:tcPr>
            <w:tcW w:w="1405" w:type="dxa"/>
            <w:tcBorders/>
            <w:shd w:fill="auto" w:val="clear"/>
            <w:vAlign w:val="center"/>
          </w:tcPr>
          <w:p>
            <w:pPr>
              <w:pStyle w:val="TableContents"/>
              <w:spacing w:before="0" w:after="283"/>
              <w:rPr>
                <w:sz w:val="4"/>
                <w:szCs w:val="4"/>
              </w:rPr>
            </w:pPr>
            <w:r>
              <w:rPr>
                <w:sz w:val="4"/>
                <w:szCs w:val="4"/>
              </w:rPr>
            </w:r>
          </w:p>
        </w:tc>
        <w:tc>
          <w:tcPr>
            <w:tcW w:w="1994" w:type="dxa"/>
            <w:tcBorders/>
            <w:shd w:fill="auto" w:val="clear"/>
            <w:vAlign w:val="center"/>
          </w:tcPr>
          <w:p>
            <w:pPr>
              <w:pStyle w:val="TableContents"/>
              <w:spacing w:before="0" w:after="283"/>
              <w:rPr>
                <w:sz w:val="4"/>
                <w:szCs w:val="4"/>
              </w:rPr>
            </w:pPr>
            <w:r>
              <w:rPr>
                <w:sz w:val="4"/>
                <w:szCs w:val="4"/>
              </w:rPr>
            </w:r>
          </w:p>
        </w:tc>
      </w:tr>
      <w:tr>
        <w:trPr/>
        <w:tc>
          <w:tcPr>
            <w:tcW w:w="1448"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88" w:before="0" w:after="283"/>
              <w:jc w:val="left"/>
              <w:rPr>
                <w:rFonts w:ascii="Times New Roman;sans-serif" w:hAnsi="Times New Roman;sans-serif"/>
                <w:b/>
                <w:i/>
                <w:color w:val="000000"/>
                <w:sz w:val="22"/>
              </w:rPr>
            </w:pPr>
            <w:r>
              <w:rPr>
                <w:rFonts w:ascii="Times New Roman;sans-serif" w:hAnsi="Times New Roman;sans-serif"/>
                <w:b/>
                <w:i/>
                <w:color w:val="000000"/>
                <w:sz w:val="22"/>
              </w:rPr>
              <w:t>Voting Requirements</w:t>
            </w:r>
          </w:p>
        </w:tc>
        <w:tc>
          <w:tcPr>
            <w:tcW w:w="3953"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88" w:before="0" w:after="120"/>
              <w:jc w:val="left"/>
              <w:rPr>
                <w:rFonts w:ascii="Times New Roman;sans-serif" w:hAnsi="Times New Roman;sans-serif"/>
                <w:b w:val="false"/>
                <w:color w:val="000000"/>
                <w:sz w:val="22"/>
              </w:rPr>
            </w:pPr>
            <w:r>
              <w:rPr>
                <w:rFonts w:ascii="Times New Roman;sans-serif" w:hAnsi="Times New Roman;sans-serif"/>
                <w:b w:val="false"/>
                <w:color w:val="000000"/>
                <w:sz w:val="22"/>
              </w:rPr>
              <w:t>As a matter of Cayman Islands law, certain matters must be approved by special resolution of the shareholders, including amending or adopting memorandum or articles of association of a Cayman Islands company, reduction of share capital, change of name, authorization of a plan of merger, voluntary winding up of the company or the recalling of the voluntary liquidation of the company.</w:t>
            </w:r>
          </w:p>
          <w:p>
            <w:pPr>
              <w:pStyle w:val="TableContents"/>
              <w:spacing w:lineRule="auto" w:line="288" w:before="0" w:after="120"/>
              <w:jc w:val="left"/>
              <w:rPr>
                <w:rFonts w:ascii="Times New Roman;sans-serif" w:hAnsi="Times New Roman;sans-serif"/>
                <w:b w:val="false"/>
                <w:color w:val="000000"/>
                <w:sz w:val="22"/>
              </w:rPr>
            </w:pPr>
            <w:r>
              <w:rPr>
                <w:rFonts w:ascii="Times New Roman;sans-serif" w:hAnsi="Times New Roman;sans-serif"/>
                <w:b w:val="false"/>
                <w:color w:val="000000"/>
                <w:sz w:val="22"/>
              </w:rPr>
              <w:t>The Companies Act requires that a special resolution be passed by a majority of at least two-thirds or such higher percentage as set forth in the articles of association, of shareholders being entitled to vote and do vote in person or by proxy at a general meeting, or by unanimous written consent of shareholders entitled to vote at a general meeting. The Articles do not provide for a higher threshold.</w:t>
            </w:r>
          </w:p>
          <w:p>
            <w:pPr>
              <w:pStyle w:val="TableContents"/>
              <w:spacing w:lineRule="auto" w:line="288" w:before="0" w:after="120"/>
              <w:jc w:val="left"/>
              <w:rPr>
                <w:rFonts w:ascii="Times New Roman;sans-serif" w:hAnsi="Times New Roman;sans-serif"/>
                <w:b w:val="false"/>
                <w:color w:val="000000"/>
                <w:sz w:val="22"/>
              </w:rPr>
            </w:pPr>
            <w:r>
              <w:rPr>
                <w:rFonts w:ascii="Times New Roman;sans-serif" w:hAnsi="Times New Roman;sans-serif"/>
                <w:b w:val="false"/>
                <w:color w:val="000000"/>
                <w:sz w:val="22"/>
              </w:rPr>
              <w:t>The Companies Act defines “special resolutions” only. A company’s articles of association can therefore tailor the definition of “ordinary resolutions” as a whole, or with respect to specific provisions. The Articles provide that an ordinary resolution is a resolution (1) passed by a simple majority of such shareholders as, being entitled to do so, vote in person (or, where proxies are allowed, by proxy) at a general meeting and regard shall be had in computing a majority to the number of votes to which each shareholder is entitled or (2) approved in writing by all of the shareholders entitled to vote at a general meeting in one or more instruments each signed by one or more of the shareholders and the effective date of the resolution so adopted shall be the date on which the instrument (or the last of such instruments, if more than one) is executed.</w:t>
            </w:r>
          </w:p>
        </w:tc>
        <w:tc>
          <w:tcPr>
            <w:tcW w:w="4804" w:type="dxa"/>
            <w:gridSpan w:val="3"/>
            <w:tcBorders>
              <w:top w:val="single" w:sz="8" w:space="0" w:color="000000"/>
              <w:left w:val="single" w:sz="8" w:space="0" w:color="000000"/>
              <w:bottom w:val="single" w:sz="8" w:space="0" w:color="000000"/>
              <w:right w:val="single" w:sz="8" w:space="0" w:color="000000"/>
            </w:tcBorders>
            <w:shd w:fill="auto" w:val="clear"/>
            <w:tcMar>
              <w:top w:w="30" w:type="dxa"/>
              <w:bottom w:w="30" w:type="dxa"/>
            </w:tcMar>
            <w:vAlign w:val="center"/>
          </w:tcPr>
          <w:p>
            <w:pPr>
              <w:pStyle w:val="TableContents"/>
              <w:spacing w:lineRule="auto" w:line="288" w:before="0" w:after="120"/>
              <w:jc w:val="left"/>
              <w:rPr>
                <w:rFonts w:ascii="Times New Roman;sans-serif" w:hAnsi="Times New Roman;sans-serif"/>
                <w:b w:val="false"/>
                <w:color w:val="000000"/>
                <w:sz w:val="22"/>
              </w:rPr>
            </w:pPr>
            <w:r>
              <w:rPr>
                <w:rFonts w:ascii="Times New Roman;sans-serif" w:hAnsi="Times New Roman;sans-serif"/>
                <w:b w:val="false"/>
                <w:color w:val="000000"/>
                <w:sz w:val="22"/>
              </w:rPr>
              <w:t>Under Delaware law, each stockholder is entitled to one vote for each share of capital stock held by such stockholder as of the applicable record date, unless otherwise provided in a corporation’s certificate of incorporation. Except as otherwise provided under the Delaware General Corporation Law or by the corporation’s certificate of incorporation or bylaws, under Delaware law, all matters brought before a meeting of stockholders at which a quorum is present (other than the election of directors) require the affirmative vote of the majority of the shares present in person or represented by proxy and entitled to vote at that meeting. Certain matters for stockholder approval, including the approval of certain merger agreements, certain amendments to the certificate of incorporation, and the sale, lease, or exchange of all or substantially all of the corporation’s assets will require approval of the holders of a majority of the outstanding capital stock. The certificate of incorporation may also include a provision requiring supermajority approval by the directors or stockholders for any corporate action.</w:t>
            </w:r>
          </w:p>
          <w:p>
            <w:pPr>
              <w:pStyle w:val="TableContents"/>
              <w:spacing w:lineRule="auto" w:line="288" w:before="0" w:after="120"/>
              <w:jc w:val="left"/>
              <w:rPr>
                <w:rFonts w:ascii="Times New Roman;sans-serif" w:hAnsi="Times New Roman;sans-serif"/>
                <w:b w:val="false"/>
                <w:color w:val="000000"/>
                <w:sz w:val="22"/>
              </w:rPr>
            </w:pPr>
            <w:r>
              <w:rPr>
                <w:rFonts w:ascii="Times New Roman;sans-serif" w:hAnsi="Times New Roman;sans-serif"/>
                <w:b w:val="false"/>
                <w:color w:val="000000"/>
                <w:sz w:val="22"/>
              </w:rPr>
              <w:t>In addition, under Delaware law, certain business combinations involving interested stockholders of publicly traded corporations may require approval by a supermajority of the non-interested stockholders.</w:t>
            </w:r>
          </w:p>
        </w:tc>
      </w:tr>
    </w:tbl>
    <w:p>
      <w:pPr>
        <w:pStyle w:val="TextBody"/>
        <w:spacing w:before="0" w:after="0"/>
        <w:rPr/>
      </w:pPr>
      <w:r>
        <w:br w:type="page"/>
      </w:r>
      <w:r>
        <w:rPr/>
      </w:r>
      <w:r>
        <mc:AlternateContent>
          <mc:Choice Requires="wps">
            <w:drawing>
              <wp:anchor behindDoc="0" distT="0" distB="0" distL="0" distR="0" simplePos="0" locked="0" layoutInCell="1" allowOverlap="1" relativeHeight="404">
                <wp:simplePos x="0" y="0"/>
                <wp:positionH relativeFrom="character">
                  <wp:align>left</wp:align>
                </wp:positionH>
                <wp:positionV relativeFrom="line">
                  <wp:posOffset>635</wp:posOffset>
                </wp:positionV>
                <wp:extent cx="6480175" cy="175260"/>
                <wp:effectExtent l="0" t="0" r="0" b="0"/>
                <wp:wrapNone/>
                <wp:docPr id="403" name="Frame400"/>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tbl>
      <w:tblPr>
        <w:tblW w:w="10205" w:type="dxa"/>
        <w:jc w:val="left"/>
        <w:tblInd w:w="0" w:type="dxa"/>
        <w:tblCellMar>
          <w:top w:w="28" w:type="dxa"/>
          <w:left w:w="28" w:type="dxa"/>
          <w:bottom w:w="28" w:type="dxa"/>
          <w:right w:w="28" w:type="dxa"/>
        </w:tblCellMar>
      </w:tblPr>
      <w:tblGrid>
        <w:gridCol w:w="611"/>
        <w:gridCol w:w="378"/>
        <w:gridCol w:w="380"/>
        <w:gridCol w:w="1871"/>
        <w:gridCol w:w="1871"/>
        <w:gridCol w:w="1875"/>
        <w:gridCol w:w="980"/>
        <w:gridCol w:w="924"/>
        <w:gridCol w:w="1315"/>
      </w:tblGrid>
      <w:tr>
        <w:trPr/>
        <w:tc>
          <w:tcPr>
            <w:tcW w:w="611" w:type="dxa"/>
            <w:tcBorders/>
            <w:shd w:fill="auto" w:val="clear"/>
            <w:vAlign w:val="center"/>
          </w:tcPr>
          <w:p>
            <w:pPr>
              <w:pStyle w:val="TableContents"/>
              <w:spacing w:before="0" w:after="283"/>
              <w:rPr>
                <w:sz w:val="4"/>
                <w:szCs w:val="4"/>
              </w:rPr>
            </w:pPr>
            <w:r>
              <w:rPr>
                <w:sz w:val="4"/>
                <w:szCs w:val="4"/>
              </w:rPr>
            </w:r>
          </w:p>
        </w:tc>
        <w:tc>
          <w:tcPr>
            <w:tcW w:w="378" w:type="dxa"/>
            <w:tcBorders/>
            <w:shd w:fill="auto" w:val="clear"/>
            <w:vAlign w:val="center"/>
          </w:tcPr>
          <w:p>
            <w:pPr>
              <w:pStyle w:val="TableContents"/>
              <w:spacing w:before="0" w:after="283"/>
              <w:rPr>
                <w:sz w:val="4"/>
                <w:szCs w:val="4"/>
              </w:rPr>
            </w:pPr>
            <w:r>
              <w:rPr>
                <w:sz w:val="4"/>
                <w:szCs w:val="4"/>
              </w:rPr>
            </w:r>
          </w:p>
        </w:tc>
        <w:tc>
          <w:tcPr>
            <w:tcW w:w="380" w:type="dxa"/>
            <w:tcBorders/>
            <w:shd w:fill="auto" w:val="clear"/>
            <w:vAlign w:val="center"/>
          </w:tcPr>
          <w:p>
            <w:pPr>
              <w:pStyle w:val="TableContents"/>
              <w:spacing w:before="0" w:after="283"/>
              <w:rPr>
                <w:sz w:val="4"/>
                <w:szCs w:val="4"/>
              </w:rPr>
            </w:pPr>
            <w:r>
              <w:rPr>
                <w:sz w:val="4"/>
                <w:szCs w:val="4"/>
              </w:rPr>
            </w:r>
          </w:p>
        </w:tc>
        <w:tc>
          <w:tcPr>
            <w:tcW w:w="1871" w:type="dxa"/>
            <w:tcBorders/>
            <w:shd w:fill="auto" w:val="clear"/>
            <w:vAlign w:val="center"/>
          </w:tcPr>
          <w:p>
            <w:pPr>
              <w:pStyle w:val="TableContents"/>
              <w:spacing w:before="0" w:after="283"/>
              <w:rPr>
                <w:sz w:val="4"/>
                <w:szCs w:val="4"/>
              </w:rPr>
            </w:pPr>
            <w:r>
              <w:rPr>
                <w:sz w:val="4"/>
                <w:szCs w:val="4"/>
              </w:rPr>
            </w:r>
          </w:p>
        </w:tc>
        <w:tc>
          <w:tcPr>
            <w:tcW w:w="1871" w:type="dxa"/>
            <w:tcBorders/>
            <w:shd w:fill="auto" w:val="clear"/>
            <w:vAlign w:val="center"/>
          </w:tcPr>
          <w:p>
            <w:pPr>
              <w:pStyle w:val="TableContents"/>
              <w:spacing w:before="0" w:after="283"/>
              <w:rPr>
                <w:sz w:val="4"/>
                <w:szCs w:val="4"/>
              </w:rPr>
            </w:pPr>
            <w:r>
              <w:rPr>
                <w:sz w:val="4"/>
                <w:szCs w:val="4"/>
              </w:rPr>
            </w:r>
          </w:p>
        </w:tc>
        <w:tc>
          <w:tcPr>
            <w:tcW w:w="1875"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924" w:type="dxa"/>
            <w:tcBorders/>
            <w:shd w:fill="auto" w:val="clear"/>
            <w:vAlign w:val="center"/>
          </w:tcPr>
          <w:p>
            <w:pPr>
              <w:pStyle w:val="TableContents"/>
              <w:spacing w:before="0" w:after="283"/>
              <w:rPr>
                <w:sz w:val="4"/>
                <w:szCs w:val="4"/>
              </w:rPr>
            </w:pPr>
            <w:r>
              <w:rPr>
                <w:sz w:val="4"/>
                <w:szCs w:val="4"/>
              </w:rPr>
            </w:r>
          </w:p>
        </w:tc>
        <w:tc>
          <w:tcPr>
            <w:tcW w:w="1315" w:type="dxa"/>
            <w:tcBorders/>
            <w:shd w:fill="auto" w:val="clear"/>
            <w:vAlign w:val="center"/>
          </w:tcPr>
          <w:p>
            <w:pPr>
              <w:pStyle w:val="TableContents"/>
              <w:spacing w:before="0" w:after="283"/>
              <w:rPr>
                <w:sz w:val="4"/>
                <w:szCs w:val="4"/>
              </w:rPr>
            </w:pPr>
            <w:r>
              <w:rPr>
                <w:sz w:val="4"/>
                <w:szCs w:val="4"/>
              </w:rPr>
            </w:r>
          </w:p>
        </w:tc>
      </w:tr>
      <w:tr>
        <w:trPr/>
        <w:tc>
          <w:tcPr>
            <w:tcW w:w="1369"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22"/>
              </w:rPr>
            </w:pPr>
            <w:r>
              <w:rPr>
                <w:rFonts w:ascii="Times New Roman;sans-serif" w:hAnsi="Times New Roman;sans-serif"/>
                <w:b/>
                <w:i/>
                <w:color w:val="000000"/>
                <w:sz w:val="22"/>
              </w:rPr>
              <w:t>Voting for Directors</w:t>
            </w:r>
          </w:p>
        </w:tc>
        <w:tc>
          <w:tcPr>
            <w:tcW w:w="5617"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The Articles provide that, for as long as Soundscape Limited, the holding company of our chief executive officer, and its affiliates collectively hold such number of Class B ordinary shares that constitute not less than 5% of the issued and outstanding shares of our Company, our chief executive officer shall be entitled, through its holding company, appoint a majority of our directors and to remove or replace any such directors. Subject to the foregoing, our directors may be appointed by a resolution of our board of directors to fill a casual vacancy on the board of directors or as an addition to the board of directors or by an ordinary resolution of our shareholders.</w:t>
            </w:r>
          </w:p>
        </w:tc>
        <w:tc>
          <w:tcPr>
            <w:tcW w:w="3219"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Under Delaware law, unless otherwise specified in the certificate of incorporation or bylaws of the corporation, directors shall be elected by a plurality of the votes of the shares present in person or represented by proxy at the meeting and entitled to vote on the election of directors.</w:t>
            </w:r>
          </w:p>
        </w:tc>
      </w:tr>
      <w:tr>
        <w:trPr/>
        <w:tc>
          <w:tcPr>
            <w:tcW w:w="1369"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22"/>
              </w:rPr>
            </w:pPr>
            <w:r>
              <w:rPr>
                <w:rFonts w:ascii="Times New Roman;sans-serif" w:hAnsi="Times New Roman;sans-serif"/>
                <w:b/>
                <w:i/>
                <w:color w:val="000000"/>
                <w:sz w:val="22"/>
              </w:rPr>
              <w:t>Cumulative Voting</w:t>
            </w:r>
          </w:p>
        </w:tc>
        <w:tc>
          <w:tcPr>
            <w:tcW w:w="5617"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88" w:before="0" w:after="120"/>
              <w:jc w:val="left"/>
              <w:rPr>
                <w:rFonts w:ascii="Times New Roman;sans-serif" w:hAnsi="Times New Roman;sans-serif"/>
                <w:b w:val="false"/>
                <w:color w:val="000000"/>
                <w:sz w:val="22"/>
              </w:rPr>
            </w:pPr>
            <w:r>
              <w:rPr>
                <w:rFonts w:ascii="Times New Roman;sans-serif" w:hAnsi="Times New Roman;sans-serif"/>
                <w:b w:val="false"/>
                <w:color w:val="000000"/>
                <w:sz w:val="22"/>
              </w:rPr>
              <w:t>There are no prohibitions in relation to cumulative voting under the laws of the Cayman Islands.</w:t>
            </w:r>
          </w:p>
          <w:p>
            <w:pPr>
              <w:pStyle w:val="TableContents"/>
              <w:spacing w:lineRule="auto" w:line="288" w:before="0" w:after="120"/>
              <w:jc w:val="left"/>
              <w:rPr>
                <w:rFonts w:ascii="Times New Roman;sans-serif" w:hAnsi="Times New Roman;sans-serif"/>
                <w:b w:val="false"/>
                <w:color w:val="000000"/>
                <w:sz w:val="22"/>
              </w:rPr>
            </w:pPr>
            <w:r>
              <w:rPr>
                <w:rFonts w:ascii="Times New Roman;sans-serif" w:hAnsi="Times New Roman;sans-serif"/>
                <w:b w:val="false"/>
                <w:color w:val="000000"/>
                <w:sz w:val="22"/>
              </w:rPr>
              <w:t>The Articles do not provide for cumulative voting on the election of the directors as described above.</w:t>
            </w:r>
          </w:p>
        </w:tc>
        <w:tc>
          <w:tcPr>
            <w:tcW w:w="3219"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No cumulative voting for the election of directors unless provided for in the certificate of incorporation.</w:t>
            </w:r>
          </w:p>
        </w:tc>
      </w:tr>
      <w:tr>
        <w:trPr/>
        <w:tc>
          <w:tcPr>
            <w:tcW w:w="1369"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88" w:before="0" w:after="283"/>
              <w:jc w:val="left"/>
              <w:rPr>
                <w:rFonts w:ascii="Times New Roman;sans-serif" w:hAnsi="Times New Roman;sans-serif"/>
                <w:b/>
                <w:i/>
                <w:color w:val="000000"/>
                <w:sz w:val="22"/>
              </w:rPr>
            </w:pPr>
            <w:r>
              <w:rPr>
                <w:rFonts w:ascii="Times New Roman;sans-serif" w:hAnsi="Times New Roman;sans-serif"/>
                <w:b/>
                <w:i/>
                <w:color w:val="000000"/>
                <w:sz w:val="22"/>
              </w:rPr>
              <w:t>Directors’ Powers Regarding Bylaws</w:t>
            </w:r>
          </w:p>
        </w:tc>
        <w:tc>
          <w:tcPr>
            <w:tcW w:w="5617"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The Articles may only be amended by a special resolution of the shareholders of the company.</w:t>
            </w:r>
          </w:p>
        </w:tc>
        <w:tc>
          <w:tcPr>
            <w:tcW w:w="3219" w:type="dxa"/>
            <w:gridSpan w:val="3"/>
            <w:tcBorders>
              <w:top w:val="single" w:sz="8" w:space="0" w:color="000000"/>
              <w:left w:val="single" w:sz="8" w:space="0" w:color="000000"/>
              <w:bottom w:val="single" w:sz="8" w:space="0" w:color="000000"/>
              <w:right w:val="single" w:sz="8" w:space="0" w:color="000000"/>
            </w:tcBorders>
            <w:shd w:fill="auto" w:val="clear"/>
            <w:tcMar>
              <w:top w:w="30" w:type="dxa"/>
              <w:bottom w:w="3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The certificate of incorporation may grant the directors the power to adopt, amend or repeal bylaws.</w:t>
            </w:r>
          </w:p>
        </w:tc>
      </w:tr>
    </w:tbl>
    <w:p>
      <w:pPr>
        <w:pStyle w:val="TextBody"/>
        <w:spacing w:before="0" w:after="0"/>
        <w:rPr/>
      </w:pPr>
      <w:r>
        <w:br w:type="page"/>
      </w:r>
      <w:r>
        <w:rPr/>
      </w:r>
      <w:r>
        <mc:AlternateContent>
          <mc:Choice Requires="wps">
            <w:drawing>
              <wp:anchor behindDoc="0" distT="0" distB="0" distL="0" distR="0" simplePos="0" locked="0" layoutInCell="1" allowOverlap="1" relativeHeight="405">
                <wp:simplePos x="0" y="0"/>
                <wp:positionH relativeFrom="character">
                  <wp:align>left</wp:align>
                </wp:positionH>
                <wp:positionV relativeFrom="line">
                  <wp:posOffset>635</wp:posOffset>
                </wp:positionV>
                <wp:extent cx="6480175" cy="175260"/>
                <wp:effectExtent l="0" t="0" r="0" b="0"/>
                <wp:wrapNone/>
                <wp:docPr id="404" name="Frame40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tbl>
      <w:tblPr>
        <w:tblW w:w="10205" w:type="dxa"/>
        <w:jc w:val="left"/>
        <w:tblInd w:w="0" w:type="dxa"/>
        <w:tblCellMar>
          <w:top w:w="28" w:type="dxa"/>
          <w:left w:w="28" w:type="dxa"/>
          <w:bottom w:w="28" w:type="dxa"/>
          <w:right w:w="28" w:type="dxa"/>
        </w:tblCellMar>
      </w:tblPr>
      <w:tblGrid>
        <w:gridCol w:w="555"/>
        <w:gridCol w:w="488"/>
        <w:gridCol w:w="490"/>
        <w:gridCol w:w="1782"/>
        <w:gridCol w:w="1782"/>
        <w:gridCol w:w="1785"/>
        <w:gridCol w:w="971"/>
        <w:gridCol w:w="971"/>
        <w:gridCol w:w="1381"/>
      </w:tblGrid>
      <w:tr>
        <w:trPr/>
        <w:tc>
          <w:tcPr>
            <w:tcW w:w="555"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490" w:type="dxa"/>
            <w:tcBorders/>
            <w:shd w:fill="auto" w:val="clear"/>
            <w:vAlign w:val="center"/>
          </w:tcPr>
          <w:p>
            <w:pPr>
              <w:pStyle w:val="TableContents"/>
              <w:spacing w:before="0" w:after="283"/>
              <w:rPr>
                <w:sz w:val="4"/>
                <w:szCs w:val="4"/>
              </w:rPr>
            </w:pPr>
            <w:r>
              <w:rPr>
                <w:sz w:val="4"/>
                <w:szCs w:val="4"/>
              </w:rPr>
            </w:r>
          </w:p>
        </w:tc>
        <w:tc>
          <w:tcPr>
            <w:tcW w:w="1782" w:type="dxa"/>
            <w:tcBorders/>
            <w:shd w:fill="auto" w:val="clear"/>
            <w:vAlign w:val="center"/>
          </w:tcPr>
          <w:p>
            <w:pPr>
              <w:pStyle w:val="TableContents"/>
              <w:spacing w:before="0" w:after="283"/>
              <w:rPr>
                <w:sz w:val="4"/>
                <w:szCs w:val="4"/>
              </w:rPr>
            </w:pPr>
            <w:r>
              <w:rPr>
                <w:sz w:val="4"/>
                <w:szCs w:val="4"/>
              </w:rPr>
            </w:r>
          </w:p>
        </w:tc>
        <w:tc>
          <w:tcPr>
            <w:tcW w:w="1782" w:type="dxa"/>
            <w:tcBorders/>
            <w:shd w:fill="auto" w:val="clear"/>
            <w:vAlign w:val="center"/>
          </w:tcPr>
          <w:p>
            <w:pPr>
              <w:pStyle w:val="TableContents"/>
              <w:spacing w:before="0" w:after="283"/>
              <w:rPr>
                <w:sz w:val="4"/>
                <w:szCs w:val="4"/>
              </w:rPr>
            </w:pPr>
            <w:r>
              <w:rPr>
                <w:sz w:val="4"/>
                <w:szCs w:val="4"/>
              </w:rPr>
            </w:r>
          </w:p>
        </w:tc>
        <w:tc>
          <w:tcPr>
            <w:tcW w:w="1785" w:type="dxa"/>
            <w:tcBorders/>
            <w:shd w:fill="auto" w:val="clear"/>
            <w:vAlign w:val="center"/>
          </w:tcPr>
          <w:p>
            <w:pPr>
              <w:pStyle w:val="TableContents"/>
              <w:spacing w:before="0" w:after="283"/>
              <w:rPr>
                <w:sz w:val="4"/>
                <w:szCs w:val="4"/>
              </w:rPr>
            </w:pPr>
            <w:r>
              <w:rPr>
                <w:sz w:val="4"/>
                <w:szCs w:val="4"/>
              </w:rPr>
            </w:r>
          </w:p>
        </w:tc>
        <w:tc>
          <w:tcPr>
            <w:tcW w:w="971" w:type="dxa"/>
            <w:tcBorders/>
            <w:shd w:fill="auto" w:val="clear"/>
            <w:vAlign w:val="center"/>
          </w:tcPr>
          <w:p>
            <w:pPr>
              <w:pStyle w:val="TableContents"/>
              <w:spacing w:before="0" w:after="283"/>
              <w:rPr>
                <w:sz w:val="4"/>
                <w:szCs w:val="4"/>
              </w:rPr>
            </w:pPr>
            <w:r>
              <w:rPr>
                <w:sz w:val="4"/>
                <w:szCs w:val="4"/>
              </w:rPr>
            </w:r>
          </w:p>
        </w:tc>
        <w:tc>
          <w:tcPr>
            <w:tcW w:w="971" w:type="dxa"/>
            <w:tcBorders/>
            <w:shd w:fill="auto" w:val="clear"/>
            <w:vAlign w:val="center"/>
          </w:tcPr>
          <w:p>
            <w:pPr>
              <w:pStyle w:val="TableContents"/>
              <w:spacing w:before="0" w:after="283"/>
              <w:rPr>
                <w:sz w:val="4"/>
                <w:szCs w:val="4"/>
              </w:rPr>
            </w:pPr>
            <w:r>
              <w:rPr>
                <w:sz w:val="4"/>
                <w:szCs w:val="4"/>
              </w:rPr>
            </w:r>
          </w:p>
        </w:tc>
        <w:tc>
          <w:tcPr>
            <w:tcW w:w="1381" w:type="dxa"/>
            <w:tcBorders/>
            <w:shd w:fill="auto" w:val="clear"/>
            <w:vAlign w:val="center"/>
          </w:tcPr>
          <w:p>
            <w:pPr>
              <w:pStyle w:val="TableContents"/>
              <w:spacing w:before="0" w:after="283"/>
              <w:rPr>
                <w:sz w:val="4"/>
                <w:szCs w:val="4"/>
              </w:rPr>
            </w:pPr>
            <w:r>
              <w:rPr>
                <w:sz w:val="4"/>
                <w:szCs w:val="4"/>
              </w:rPr>
            </w:r>
          </w:p>
        </w:tc>
      </w:tr>
      <w:tr>
        <w:trPr/>
        <w:tc>
          <w:tcPr>
            <w:tcW w:w="1533"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88" w:before="0" w:after="283"/>
              <w:jc w:val="left"/>
              <w:rPr>
                <w:rFonts w:ascii="Times New Roman;sans-serif" w:hAnsi="Times New Roman;sans-serif"/>
                <w:b/>
                <w:i/>
                <w:color w:val="000000"/>
                <w:sz w:val="22"/>
              </w:rPr>
            </w:pPr>
            <w:r>
              <w:rPr>
                <w:rFonts w:ascii="Times New Roman;sans-serif" w:hAnsi="Times New Roman;sans-serif"/>
                <w:b/>
                <w:i/>
                <w:color w:val="000000"/>
                <w:sz w:val="22"/>
              </w:rPr>
              <w:t>Nomination and Removal of Directors and Filling Vacancies on Board</w:t>
            </w:r>
          </w:p>
        </w:tc>
        <w:tc>
          <w:tcPr>
            <w:tcW w:w="5349"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88" w:before="0" w:after="120"/>
              <w:jc w:val="left"/>
              <w:rPr>
                <w:rFonts w:ascii="Times New Roman;sans-serif" w:hAnsi="Times New Roman;sans-serif"/>
                <w:b w:val="false"/>
                <w:color w:val="000000"/>
                <w:sz w:val="22"/>
              </w:rPr>
            </w:pPr>
            <w:r>
              <w:rPr>
                <w:rFonts w:ascii="Times New Roman;sans-serif" w:hAnsi="Times New Roman;sans-serif"/>
                <w:b w:val="false"/>
                <w:color w:val="000000"/>
                <w:sz w:val="22"/>
              </w:rPr>
              <w:t>Nomination and removal of directors and filling of board vacancies are governed by the terms of the articles of association. The Articles provide that subject to certain restrictions as contained therein (including that our chief executive officer, through his holding company, shall be entitled to remove or replace any directors appointed by his holding company), directors may be removed with or without cause, by an ordinary resolution of our shareholders. An appointment of a director may be on terms that the director shall automatically retire from office (unless he has sooner vacated office) at the next or a subsequent annual general meeting or upon any specified event or after any specified period in a written agreement between the company and the director, if any; but no such term shall be implied in the absence of express provision.</w:t>
            </w:r>
          </w:p>
          <w:p>
            <w:pPr>
              <w:pStyle w:val="TableContents"/>
              <w:spacing w:lineRule="auto" w:line="288" w:before="0" w:after="120"/>
              <w:jc w:val="left"/>
              <w:rPr>
                <w:rFonts w:ascii="Times New Roman;sans-serif" w:hAnsi="Times New Roman;sans-serif"/>
                <w:b w:val="false"/>
                <w:color w:val="000000"/>
                <w:sz w:val="22"/>
              </w:rPr>
            </w:pPr>
            <w:r>
              <w:rPr>
                <w:rFonts w:ascii="Times New Roman;sans-serif" w:hAnsi="Times New Roman;sans-serif"/>
                <w:b w:val="false"/>
                <w:color w:val="000000"/>
                <w:sz w:val="22"/>
              </w:rPr>
              <w:t>In addition, a director’s office shall be vacated if the director (1) becomes bankrupt or makes any arrangement or composition with his creditors; (2) is found to be or becomes of unsound mind or dies; (3) resigns his office by notice in writing to the company; or (4) is removed from office pursuant to any other provisions of our Articles.</w:t>
            </w:r>
          </w:p>
        </w:tc>
        <w:tc>
          <w:tcPr>
            <w:tcW w:w="3323" w:type="dxa"/>
            <w:gridSpan w:val="3"/>
            <w:tcBorders>
              <w:top w:val="single" w:sz="8" w:space="0" w:color="000000"/>
              <w:left w:val="single" w:sz="8" w:space="0" w:color="000000"/>
              <w:bottom w:val="single" w:sz="8" w:space="0" w:color="000000"/>
              <w:right w:val="single" w:sz="8" w:space="0" w:color="000000"/>
            </w:tcBorders>
            <w:shd w:fill="auto" w:val="clear"/>
            <w:tcMar>
              <w:top w:w="30" w:type="dxa"/>
              <w:bottom w:w="30" w:type="dxa"/>
            </w:tcMar>
            <w:vAlign w:val="center"/>
          </w:tcPr>
          <w:p>
            <w:pPr>
              <w:pStyle w:val="TableContents"/>
              <w:spacing w:lineRule="auto" w:line="288" w:before="0" w:after="120"/>
              <w:jc w:val="left"/>
              <w:rPr>
                <w:rFonts w:ascii="Times New Roman;sans-serif" w:hAnsi="Times New Roman;sans-serif"/>
                <w:b w:val="false"/>
                <w:color w:val="000000"/>
                <w:sz w:val="22"/>
              </w:rPr>
            </w:pPr>
            <w:r>
              <w:rPr>
                <w:rFonts w:ascii="Times New Roman;sans-serif" w:hAnsi="Times New Roman;sans-serif"/>
                <w:b w:val="false"/>
                <w:color w:val="000000"/>
                <w:sz w:val="22"/>
              </w:rPr>
              <w:t>Stockholders may generally nominate directors if they comply with any applicable advance notice provisions and other procedural requirements in company bylaws.</w:t>
            </w:r>
          </w:p>
          <w:p>
            <w:pPr>
              <w:pStyle w:val="TableContents"/>
              <w:spacing w:lineRule="auto" w:line="288" w:before="0" w:after="120"/>
              <w:jc w:val="left"/>
              <w:rPr>
                <w:rFonts w:ascii="Times New Roman;sans-serif" w:hAnsi="Times New Roman;sans-serif"/>
                <w:b w:val="false"/>
                <w:color w:val="000000"/>
                <w:sz w:val="22"/>
              </w:rPr>
            </w:pPr>
            <w:r>
              <w:rPr>
                <w:rFonts w:ascii="Times New Roman;sans-serif" w:hAnsi="Times New Roman;sans-serif"/>
                <w:b w:val="false"/>
                <w:color w:val="000000"/>
                <w:sz w:val="22"/>
              </w:rPr>
              <w:t>Holders of a majority of the shares then entitled to vote at an election of directors may remove a director with or without cause, except in certain cases involving a classified board or if the company uses cumulative voting. Unless otherwise provided for in the certificate of incorporation or bylaws, directorship vacancies may be filled by a majority of the directors elected or then in office, or by the stockholders.</w:t>
            </w:r>
          </w:p>
        </w:tc>
      </w:tr>
    </w:tbl>
    <w:p>
      <w:pPr>
        <w:pStyle w:val="TextBody"/>
        <w:spacing w:before="0" w:after="0"/>
        <w:rPr/>
      </w:pPr>
      <w:r>
        <w:br w:type="page"/>
      </w:r>
      <w:r>
        <w:rPr/>
      </w:r>
      <w:r>
        <mc:AlternateContent>
          <mc:Choice Requires="wps">
            <w:drawing>
              <wp:anchor behindDoc="0" distT="0" distB="0" distL="0" distR="0" simplePos="0" locked="0" layoutInCell="1" allowOverlap="1" relativeHeight="406">
                <wp:simplePos x="0" y="0"/>
                <wp:positionH relativeFrom="character">
                  <wp:align>left</wp:align>
                </wp:positionH>
                <wp:positionV relativeFrom="line">
                  <wp:posOffset>635</wp:posOffset>
                </wp:positionV>
                <wp:extent cx="6480175" cy="175260"/>
                <wp:effectExtent l="0" t="0" r="0" b="0"/>
                <wp:wrapNone/>
                <wp:docPr id="405" name="Frame40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tbl>
      <w:tblPr>
        <w:tblW w:w="10205" w:type="dxa"/>
        <w:jc w:val="left"/>
        <w:tblInd w:w="0" w:type="dxa"/>
        <w:tblCellMar>
          <w:top w:w="28" w:type="dxa"/>
          <w:left w:w="28" w:type="dxa"/>
          <w:bottom w:w="28" w:type="dxa"/>
          <w:right w:w="28" w:type="dxa"/>
        </w:tblCellMar>
      </w:tblPr>
      <w:tblGrid>
        <w:gridCol w:w="553"/>
        <w:gridCol w:w="485"/>
        <w:gridCol w:w="488"/>
        <w:gridCol w:w="1883"/>
        <w:gridCol w:w="1883"/>
        <w:gridCol w:w="1886"/>
        <w:gridCol w:w="886"/>
        <w:gridCol w:w="886"/>
        <w:gridCol w:w="1255"/>
      </w:tblGrid>
      <w:tr>
        <w:trPr/>
        <w:tc>
          <w:tcPr>
            <w:tcW w:w="553" w:type="dxa"/>
            <w:tcBorders/>
            <w:shd w:fill="auto" w:val="clear"/>
            <w:vAlign w:val="center"/>
          </w:tcPr>
          <w:p>
            <w:pPr>
              <w:pStyle w:val="TableContents"/>
              <w:spacing w:before="0" w:after="283"/>
              <w:rPr>
                <w:sz w:val="4"/>
                <w:szCs w:val="4"/>
              </w:rPr>
            </w:pPr>
            <w:r>
              <w:rPr>
                <w:sz w:val="4"/>
                <w:szCs w:val="4"/>
              </w:rPr>
            </w:r>
          </w:p>
        </w:tc>
        <w:tc>
          <w:tcPr>
            <w:tcW w:w="485"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1883" w:type="dxa"/>
            <w:tcBorders/>
            <w:shd w:fill="auto" w:val="clear"/>
            <w:vAlign w:val="center"/>
          </w:tcPr>
          <w:p>
            <w:pPr>
              <w:pStyle w:val="TableContents"/>
              <w:spacing w:before="0" w:after="283"/>
              <w:rPr>
                <w:sz w:val="4"/>
                <w:szCs w:val="4"/>
              </w:rPr>
            </w:pPr>
            <w:r>
              <w:rPr>
                <w:sz w:val="4"/>
                <w:szCs w:val="4"/>
              </w:rPr>
            </w:r>
          </w:p>
        </w:tc>
        <w:tc>
          <w:tcPr>
            <w:tcW w:w="1883" w:type="dxa"/>
            <w:tcBorders/>
            <w:shd w:fill="auto" w:val="clear"/>
            <w:vAlign w:val="center"/>
          </w:tcPr>
          <w:p>
            <w:pPr>
              <w:pStyle w:val="TableContents"/>
              <w:spacing w:before="0" w:after="283"/>
              <w:rPr>
                <w:sz w:val="4"/>
                <w:szCs w:val="4"/>
              </w:rPr>
            </w:pPr>
            <w:r>
              <w:rPr>
                <w:sz w:val="4"/>
                <w:szCs w:val="4"/>
              </w:rPr>
            </w:r>
          </w:p>
        </w:tc>
        <w:tc>
          <w:tcPr>
            <w:tcW w:w="1886" w:type="dxa"/>
            <w:tcBorders/>
            <w:shd w:fill="auto" w:val="clear"/>
            <w:vAlign w:val="center"/>
          </w:tcPr>
          <w:p>
            <w:pPr>
              <w:pStyle w:val="TableContents"/>
              <w:spacing w:before="0" w:after="283"/>
              <w:rPr>
                <w:sz w:val="4"/>
                <w:szCs w:val="4"/>
              </w:rPr>
            </w:pPr>
            <w:r>
              <w:rPr>
                <w:sz w:val="4"/>
                <w:szCs w:val="4"/>
              </w:rPr>
            </w:r>
          </w:p>
        </w:tc>
        <w:tc>
          <w:tcPr>
            <w:tcW w:w="886" w:type="dxa"/>
            <w:tcBorders/>
            <w:shd w:fill="auto" w:val="clear"/>
            <w:vAlign w:val="center"/>
          </w:tcPr>
          <w:p>
            <w:pPr>
              <w:pStyle w:val="TableContents"/>
              <w:spacing w:before="0" w:after="283"/>
              <w:rPr>
                <w:sz w:val="4"/>
                <w:szCs w:val="4"/>
              </w:rPr>
            </w:pPr>
            <w:r>
              <w:rPr>
                <w:sz w:val="4"/>
                <w:szCs w:val="4"/>
              </w:rPr>
            </w:r>
          </w:p>
        </w:tc>
        <w:tc>
          <w:tcPr>
            <w:tcW w:w="886" w:type="dxa"/>
            <w:tcBorders/>
            <w:shd w:fill="auto" w:val="clear"/>
            <w:vAlign w:val="center"/>
          </w:tcPr>
          <w:p>
            <w:pPr>
              <w:pStyle w:val="TableContents"/>
              <w:spacing w:before="0" w:after="283"/>
              <w:rPr>
                <w:sz w:val="4"/>
                <w:szCs w:val="4"/>
              </w:rPr>
            </w:pPr>
            <w:r>
              <w:rPr>
                <w:sz w:val="4"/>
                <w:szCs w:val="4"/>
              </w:rPr>
            </w:r>
          </w:p>
        </w:tc>
        <w:tc>
          <w:tcPr>
            <w:tcW w:w="1255" w:type="dxa"/>
            <w:tcBorders/>
            <w:shd w:fill="auto" w:val="clear"/>
            <w:vAlign w:val="center"/>
          </w:tcPr>
          <w:p>
            <w:pPr>
              <w:pStyle w:val="TableContents"/>
              <w:spacing w:before="0" w:after="283"/>
              <w:rPr>
                <w:sz w:val="4"/>
                <w:szCs w:val="4"/>
              </w:rPr>
            </w:pPr>
            <w:r>
              <w:rPr>
                <w:sz w:val="4"/>
                <w:szCs w:val="4"/>
              </w:rPr>
            </w:r>
          </w:p>
        </w:tc>
      </w:tr>
      <w:tr>
        <w:trPr/>
        <w:tc>
          <w:tcPr>
            <w:tcW w:w="1526"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88" w:before="0" w:after="283"/>
              <w:jc w:val="left"/>
              <w:rPr>
                <w:rFonts w:ascii="Times New Roman;sans-serif" w:hAnsi="Times New Roman;sans-serif"/>
                <w:b/>
                <w:i/>
                <w:color w:val="000000"/>
                <w:sz w:val="22"/>
              </w:rPr>
            </w:pPr>
            <w:r>
              <w:rPr>
                <w:rFonts w:ascii="Times New Roman;sans-serif" w:hAnsi="Times New Roman;sans-serif"/>
                <w:b/>
                <w:i/>
                <w:color w:val="000000"/>
                <w:sz w:val="22"/>
              </w:rPr>
              <w:t>Mergers and Similar Arrangements</w:t>
            </w:r>
          </w:p>
        </w:tc>
        <w:tc>
          <w:tcPr>
            <w:tcW w:w="5652"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88" w:before="0" w:after="120"/>
              <w:jc w:val="left"/>
              <w:rPr>
                <w:rFonts w:ascii="Times New Roman;sans-serif" w:hAnsi="Times New Roman;sans-serif"/>
                <w:b w:val="false"/>
                <w:color w:val="000000"/>
                <w:sz w:val="22"/>
              </w:rPr>
            </w:pPr>
            <w:r>
              <w:rPr>
                <w:rFonts w:ascii="Times New Roman;sans-serif" w:hAnsi="Times New Roman;sans-serif"/>
                <w:b w:val="false"/>
                <w:color w:val="000000"/>
                <w:sz w:val="22"/>
              </w:rPr>
              <w:t>The Companies Act permits mergers and consolidations between Cayman Islands companies and between Cayman Islands companies and non-Cayman Islands companies. For these purposes, (1) “merger” means the merging of two or more constituent companies and the vesting of their undertaking, property and liabilities in one of such companies as the surviving company, and (2) a “consolidation” means the combination of two or more constituent companies into a consolidated company and the vesting of the undertaking, property and liabilities of such companies to the consolidated company. In order to effect such a merger or consolidation, the directors of each constituent company must approve a written plan of merger or consolidation, which must then be authorized by (1) a special resolution of the shareholders of each constituent company, and (2) such other authorization, if any, as may be specified in such constituent company’s articles of association. The plan must be filed with the Registrar of Companies of the Cayman Islands together with a declaration as to the solvency of the consolidated or surviving company, a list of the assets and liabilities of each constituent company and an undertaking that a copy of the certificate of merger or consolidation will be given to the members and creditors of each constituent company and that notification of the merger or consolidation will be published in the Cayman Islands Gazette. Court approval is not required for a merger or consolidation which is effected in compliance with these statutory procedures.</w:t>
            </w:r>
          </w:p>
          <w:p>
            <w:pPr>
              <w:pStyle w:val="TableContents"/>
              <w:spacing w:lineRule="auto" w:line="288" w:before="0" w:after="120"/>
              <w:jc w:val="left"/>
              <w:rPr>
                <w:rFonts w:ascii="Times New Roman;sans-serif" w:hAnsi="Times New Roman;sans-serif"/>
                <w:b w:val="false"/>
                <w:color w:val="000000"/>
                <w:sz w:val="22"/>
              </w:rPr>
            </w:pPr>
            <w:r>
              <w:rPr>
                <w:rFonts w:ascii="Times New Roman;sans-serif" w:hAnsi="Times New Roman;sans-serif"/>
                <w:b w:val="false"/>
                <w:color w:val="000000"/>
                <w:sz w:val="22"/>
              </w:rPr>
              <w:t>A merger between a Cayman parent company and its Cayman subsidiary or subsidiaries does not require authorization by a resolution of shareholders of that Cayman subsidiary if a copy of the plan of merger is given to every member of that Cayman subsidiary to be merged unless that member agrees otherwise. For this purpose a company is a “parent” of a subsidiary if it holds issued shares that together represent at least ninety percent (90%) of the votes at a general meeting of the subsidiary.</w:t>
            </w:r>
          </w:p>
          <w:p>
            <w:pPr>
              <w:pStyle w:val="TableContents"/>
              <w:spacing w:lineRule="auto" w:line="288" w:before="0" w:after="120"/>
              <w:jc w:val="left"/>
              <w:rPr>
                <w:rFonts w:ascii="Times New Roman;sans-serif" w:hAnsi="Times New Roman;sans-serif"/>
                <w:b w:val="false"/>
                <w:color w:val="000000"/>
                <w:sz w:val="22"/>
              </w:rPr>
            </w:pPr>
            <w:r>
              <w:rPr>
                <w:rFonts w:ascii="Times New Roman;sans-serif" w:hAnsi="Times New Roman;sans-serif"/>
                <w:b w:val="false"/>
                <w:color w:val="000000"/>
                <w:sz w:val="22"/>
              </w:rPr>
              <w:t>The consent of each holder of a fixed or floating security interest over a constituent company is required unless this requirement is waived by a court in the Cayman Islands.</w:t>
            </w:r>
          </w:p>
          <w:p>
            <w:pPr>
              <w:pStyle w:val="TableContents"/>
              <w:spacing w:lineRule="auto" w:line="288" w:before="0" w:after="120"/>
              <w:jc w:val="left"/>
              <w:rPr>
                <w:rFonts w:ascii="Times New Roman;sans-serif" w:hAnsi="Times New Roman;sans-serif"/>
                <w:b w:val="false"/>
                <w:color w:val="000000"/>
                <w:sz w:val="22"/>
              </w:rPr>
            </w:pPr>
            <w:r>
              <w:rPr>
                <w:rFonts w:ascii="Times New Roman;sans-serif" w:hAnsi="Times New Roman;sans-serif"/>
                <w:b w:val="false"/>
                <w:color w:val="000000"/>
                <w:sz w:val="22"/>
              </w:rPr>
              <w:t>Save in certain limited circumstances, a shareholder of a Cayman constituent company who dissents from the merger or consolidation is entitled to payment of the fair value of his shares (which, if not agreed between the parties, will be determined by the Cayman Islands court) upon dissenting to the merger or consolidation, provide the dissenting shareholder complies strictly with the procedures set out in the Companies Act. The exercise of dissenter rights will preclude the exercise by the dissenting shareholder of any other rights to which he or she might otherwise be entitled by virtue of holding shares, save for the right to seek relief on the grounds that the merger or consolidation is void or unlawful.</w:t>
            </w:r>
          </w:p>
          <w:p>
            <w:pPr>
              <w:pStyle w:val="TableContents"/>
              <w:spacing w:lineRule="auto" w:line="288" w:before="0" w:after="120"/>
              <w:jc w:val="left"/>
              <w:rPr>
                <w:rFonts w:ascii="Times New Roman;sans-serif" w:hAnsi="Times New Roman;sans-serif"/>
                <w:b w:val="false"/>
                <w:color w:val="000000"/>
                <w:sz w:val="22"/>
              </w:rPr>
            </w:pPr>
            <w:r>
              <w:rPr>
                <w:rFonts w:ascii="Times New Roman;sans-serif" w:hAnsi="Times New Roman;sans-serif"/>
                <w:b w:val="false"/>
                <w:color w:val="000000"/>
                <w:sz w:val="22"/>
              </w:rPr>
              <w:t>Separate from the statutory provisions relating to mergers and consolidations, the Companies Act also contains statutory provisions that facilitate the reconstruction and amalgamation of companies by way of schemes of arrangement, provided that the arrangement is approved by a majority in number of each class of shareholders and creditors with whom the arrangement is to be made, and who must in addition represent three-fourths in value of each such class of shareholders or creditors, as the case may be, that are present and voting either in person or by proxy at a meeting, or meetings, convened for that purpose. The convening of the meetings and subsequently the arrangement must be sanctioned by the Grand Court of the Cayman Islands. While a dissenting shareholder has the right to express to the court the view that the transaction ought not to be approved, the court can be expected to approve the arrangement if it determines that:</w:t>
            </w:r>
          </w:p>
          <w:p>
            <w:pPr>
              <w:pStyle w:val="TableContents"/>
              <w:spacing w:lineRule="auto" w:line="288" w:before="0" w:after="120"/>
              <w:ind w:left="0" w:right="0" w:hanging="216"/>
              <w:jc w:val="left"/>
              <w:rPr/>
            </w:pPr>
            <w:r>
              <w:rPr>
                <w:color w:val="000000"/>
              </w:rPr>
              <w:t>•</w:t>
            </w:r>
            <w:r>
              <w:rPr>
                <w:rFonts w:ascii="Times New Roman;sans-serif" w:hAnsi="Times New Roman;sans-serif"/>
                <w:b w:val="false"/>
                <w:color w:val="000000"/>
                <w:sz w:val="22"/>
              </w:rPr>
              <w:t>the statutory provisions as to the required majority vote have been met;</w:t>
            </w:r>
          </w:p>
          <w:p>
            <w:pPr>
              <w:pStyle w:val="TableContents"/>
              <w:spacing w:lineRule="auto" w:line="288" w:before="0" w:after="120"/>
              <w:ind w:left="0" w:right="0" w:hanging="216"/>
              <w:jc w:val="left"/>
              <w:rPr/>
            </w:pPr>
            <w:r>
              <w:rPr>
                <w:color w:val="000000"/>
              </w:rPr>
              <w:t>•</w:t>
            </w:r>
            <w:r>
              <w:rPr>
                <w:rFonts w:ascii="Times New Roman;sans-serif" w:hAnsi="Times New Roman;sans-serif"/>
                <w:b w:val="false"/>
                <w:color w:val="000000"/>
                <w:sz w:val="22"/>
              </w:rPr>
              <w:t>the shareholders have been fairly represented at the meeting in question and the statutory majority are acting bona fide without coercion of the minority to promote interests adverse to those of the class;</w:t>
            </w:r>
          </w:p>
          <w:p>
            <w:pPr>
              <w:pStyle w:val="TableContents"/>
              <w:spacing w:lineRule="auto" w:line="288" w:before="0" w:after="120"/>
              <w:ind w:left="0" w:right="0" w:hanging="216"/>
              <w:jc w:val="left"/>
              <w:rPr/>
            </w:pPr>
            <w:r>
              <w:rPr>
                <w:color w:val="000000"/>
              </w:rPr>
              <w:t>•</w:t>
            </w:r>
            <w:r>
              <w:rPr>
                <w:rFonts w:ascii="Times New Roman;sans-serif" w:hAnsi="Times New Roman;sans-serif"/>
                <w:b w:val="false"/>
                <w:color w:val="000000"/>
                <w:sz w:val="22"/>
              </w:rPr>
              <w:t>the arrangement is such that may be reasonably approved by an intelligent and honest man of that class acting in respect of his interest; and</w:t>
            </w:r>
          </w:p>
          <w:p>
            <w:pPr>
              <w:pStyle w:val="TableContents"/>
              <w:spacing w:lineRule="auto" w:line="288" w:before="0" w:after="120"/>
              <w:ind w:left="0" w:right="0" w:hanging="216"/>
              <w:jc w:val="left"/>
              <w:rPr/>
            </w:pPr>
            <w:r>
              <w:rPr>
                <w:color w:val="000000"/>
              </w:rPr>
              <w:t>•</w:t>
            </w:r>
            <w:r>
              <w:rPr>
                <w:rFonts w:ascii="Times New Roman;sans-serif" w:hAnsi="Times New Roman;sans-serif"/>
                <w:b w:val="false"/>
                <w:color w:val="000000"/>
                <w:sz w:val="22"/>
              </w:rPr>
              <w:t>the arrangement is not one that would more properly be sanctioned under some other provision of the Companies Act.</w:t>
            </w:r>
          </w:p>
          <w:p>
            <w:pPr>
              <w:pStyle w:val="TableContents"/>
              <w:spacing w:lineRule="auto" w:line="288" w:before="0" w:after="120"/>
              <w:jc w:val="left"/>
              <w:rPr>
                <w:rFonts w:ascii="Times New Roman;sans-serif" w:hAnsi="Times New Roman;sans-serif"/>
                <w:b w:val="false"/>
                <w:color w:val="000000"/>
                <w:sz w:val="22"/>
              </w:rPr>
            </w:pPr>
            <w:r>
              <w:rPr>
                <w:rFonts w:ascii="Times New Roman;sans-serif" w:hAnsi="Times New Roman;sans-serif"/>
                <w:b w:val="false"/>
                <w:color w:val="000000"/>
                <w:sz w:val="22"/>
              </w:rPr>
              <w:t>The Companies Act also contains a statutory power of compulsory acquisition which may facilitate the “squeeze out” of dissentient minority shareholder upon a tender offer. When a tender offer is made and accepted by holders of 90% of the shares affected within four months, the offeror may, within a two-month period commencing on the expiration of such four-month period, require the holders of the remaining shares to transfer such shares to the offeror on the terms of the offer. An objection can be made to the Grand Court of the Cayman Islands but this is unlikely to succeed in the case of an offer which has been so approved unless there is evidence of fraud, bad faith or collusion.</w:t>
            </w:r>
          </w:p>
          <w:p>
            <w:pPr>
              <w:pStyle w:val="TableContents"/>
              <w:spacing w:lineRule="auto" w:line="288" w:before="0" w:after="120"/>
              <w:jc w:val="left"/>
              <w:rPr>
                <w:rFonts w:ascii="Times New Roman;sans-serif" w:hAnsi="Times New Roman;sans-serif"/>
                <w:b w:val="false"/>
                <w:color w:val="000000"/>
                <w:sz w:val="22"/>
              </w:rPr>
            </w:pPr>
            <w:r>
              <w:rPr>
                <w:rFonts w:ascii="Times New Roman;sans-serif" w:hAnsi="Times New Roman;sans-serif"/>
                <w:b w:val="false"/>
                <w:color w:val="000000"/>
                <w:sz w:val="22"/>
              </w:rPr>
              <w:t>If an arrangement and reconstruction by way of scheme of arrangement is thus approved and sanctioned, or if a tender offer is made and accepted, in accordance with the foregoing statutory procedures, a dissenting shareholder would have no rights comparable to appraisal rights, save that objectors to a takeover offer may apply to the Grand Court of the Cayman Islands for various orders that the Grand Court of the Cayman Islands has a broad discretion to make, which would otherwise ordinarily be available to dissenting shareholders of Delaware corporations, providing rights to receive payment in cash for the judicially determined value of the shares.</w:t>
            </w:r>
          </w:p>
        </w:tc>
        <w:tc>
          <w:tcPr>
            <w:tcW w:w="3027" w:type="dxa"/>
            <w:gridSpan w:val="3"/>
            <w:tcBorders>
              <w:top w:val="single" w:sz="8" w:space="0" w:color="000000"/>
              <w:left w:val="single" w:sz="8" w:space="0" w:color="000000"/>
              <w:bottom w:val="single" w:sz="8" w:space="0" w:color="000000"/>
              <w:right w:val="single" w:sz="8" w:space="0" w:color="000000"/>
            </w:tcBorders>
            <w:shd w:fill="auto" w:val="clear"/>
            <w:tcMar>
              <w:top w:w="30" w:type="dxa"/>
              <w:bottom w:w="30" w:type="dxa"/>
            </w:tcMar>
            <w:vAlign w:val="center"/>
          </w:tcPr>
          <w:p>
            <w:pPr>
              <w:pStyle w:val="TableContents"/>
              <w:spacing w:lineRule="auto" w:line="288" w:before="0" w:after="120"/>
              <w:jc w:val="left"/>
              <w:rPr>
                <w:rFonts w:ascii="Times New Roman;sans-serif" w:hAnsi="Times New Roman;sans-serif"/>
                <w:b w:val="false"/>
                <w:color w:val="000000"/>
                <w:sz w:val="22"/>
              </w:rPr>
            </w:pPr>
            <w:r>
              <w:rPr>
                <w:rFonts w:ascii="Times New Roman;sans-serif" w:hAnsi="Times New Roman;sans-serif"/>
                <w:b w:val="false"/>
                <w:color w:val="000000"/>
                <w:sz w:val="22"/>
              </w:rPr>
              <w:t>Under Delaware law, with certain exceptions, a merger, a consolidation, or a sale, lease or exchange of all or substantially all the assets of a corporation must be approved by the board of directors and a majority of the outstanding shares entitled to vote thereon. However, unless required by its certificate of incorporation, approval is not required by the holders of the outstanding stock of a constituent corporation surviving a merger if:</w:t>
            </w:r>
          </w:p>
          <w:p>
            <w:pPr>
              <w:pStyle w:val="TableContents"/>
              <w:spacing w:lineRule="auto" w:line="288" w:before="0" w:after="120"/>
              <w:ind w:left="0" w:right="0" w:hanging="216"/>
              <w:jc w:val="left"/>
              <w:rPr/>
            </w:pPr>
            <w:r>
              <w:rPr>
                <w:color w:val="000000"/>
              </w:rPr>
              <w:t>•</w:t>
            </w:r>
            <w:r>
              <w:rPr>
                <w:rFonts w:ascii="Times New Roman;sans-serif" w:hAnsi="Times New Roman;sans-serif"/>
                <w:b w:val="false"/>
                <w:color w:val="000000"/>
                <w:sz w:val="22"/>
              </w:rPr>
              <w:t>the merger agreement does not amend in any respect its certificate of incorporation;</w:t>
            </w:r>
          </w:p>
          <w:p>
            <w:pPr>
              <w:pStyle w:val="TableContents"/>
              <w:spacing w:lineRule="auto" w:line="288" w:before="0" w:after="120"/>
              <w:ind w:left="0" w:right="0" w:hanging="216"/>
              <w:jc w:val="left"/>
              <w:rPr/>
            </w:pPr>
            <w:r>
              <w:rPr>
                <w:color w:val="000000"/>
              </w:rPr>
              <w:t>•</w:t>
            </w:r>
            <w:r>
              <w:rPr>
                <w:rFonts w:ascii="Times New Roman;sans-serif" w:hAnsi="Times New Roman;sans-serif"/>
                <w:b w:val="false"/>
                <w:color w:val="000000"/>
                <w:sz w:val="22"/>
              </w:rPr>
              <w:t>each share of its stock outstanding prior to the merger will be an identical share of stock following the merger; and</w:t>
            </w:r>
          </w:p>
          <w:p>
            <w:pPr>
              <w:pStyle w:val="TableContents"/>
              <w:spacing w:lineRule="auto" w:line="288" w:before="0" w:after="120"/>
              <w:ind w:left="0" w:right="0" w:hanging="216"/>
              <w:jc w:val="left"/>
              <w:rPr/>
            </w:pPr>
            <w:r>
              <w:rPr>
                <w:color w:val="000000"/>
              </w:rPr>
              <w:t>•</w:t>
            </w:r>
            <w:r>
              <w:rPr>
                <w:rFonts w:ascii="Times New Roman;sans-serif" w:hAnsi="Times New Roman;sans-serif"/>
                <w:b w:val="false"/>
                <w:color w:val="000000"/>
                <w:sz w:val="22"/>
              </w:rPr>
              <w:t>either no shares of the surviving corporation’s common stock and no shares, securities or obligations convertible into such stock will be issued or delivered pursuant to the merger, or the authorized unissued shares or treasury shares of the surviving corporation’s common stock to be issued or delivered pursuant to the merger plus those initially issuable upon conversion of any other shares, securities or obligations to be issued or delivered pursuant to the merger do not exceed 20% of the shares of the surviving corporation’s common stock outstanding immediately prior to the effective date of the merger.</w:t>
            </w:r>
          </w:p>
        </w:tc>
      </w:tr>
    </w:tbl>
    <w:p>
      <w:pPr>
        <w:pStyle w:val="TextBody"/>
        <w:spacing w:before="0" w:after="0"/>
        <w:rPr/>
      </w:pPr>
      <w:r>
        <w:br w:type="page"/>
      </w:r>
      <w:r>
        <w:rPr/>
      </w:r>
      <w:r>
        <mc:AlternateContent>
          <mc:Choice Requires="wps">
            <w:drawing>
              <wp:anchor behindDoc="0" distT="0" distB="0" distL="0" distR="0" simplePos="0" locked="0" layoutInCell="1" allowOverlap="1" relativeHeight="407">
                <wp:simplePos x="0" y="0"/>
                <wp:positionH relativeFrom="character">
                  <wp:align>left</wp:align>
                </wp:positionH>
                <wp:positionV relativeFrom="line">
                  <wp:posOffset>635</wp:posOffset>
                </wp:positionV>
                <wp:extent cx="6480175" cy="175260"/>
                <wp:effectExtent l="0" t="0" r="0" b="0"/>
                <wp:wrapNone/>
                <wp:docPr id="406" name="Frame40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tbl>
      <w:tblPr>
        <w:tblW w:w="10205" w:type="dxa"/>
        <w:jc w:val="left"/>
        <w:tblInd w:w="0" w:type="dxa"/>
        <w:tblCellMar>
          <w:top w:w="28" w:type="dxa"/>
          <w:left w:w="28" w:type="dxa"/>
          <w:bottom w:w="28" w:type="dxa"/>
          <w:right w:w="28" w:type="dxa"/>
        </w:tblCellMar>
      </w:tblPr>
      <w:tblGrid>
        <w:gridCol w:w="477"/>
        <w:gridCol w:w="419"/>
        <w:gridCol w:w="420"/>
        <w:gridCol w:w="1929"/>
        <w:gridCol w:w="1929"/>
        <w:gridCol w:w="1933"/>
        <w:gridCol w:w="905"/>
        <w:gridCol w:w="905"/>
        <w:gridCol w:w="1288"/>
      </w:tblGrid>
      <w:tr>
        <w:trPr/>
        <w:tc>
          <w:tcPr>
            <w:tcW w:w="477" w:type="dxa"/>
            <w:tcBorders/>
            <w:shd w:fill="auto" w:val="clear"/>
            <w:vAlign w:val="center"/>
          </w:tcPr>
          <w:p>
            <w:pPr>
              <w:pStyle w:val="TableContents"/>
              <w:spacing w:before="0" w:after="283"/>
              <w:rPr>
                <w:sz w:val="4"/>
                <w:szCs w:val="4"/>
              </w:rPr>
            </w:pPr>
            <w:r>
              <w:rPr>
                <w:sz w:val="4"/>
                <w:szCs w:val="4"/>
              </w:rPr>
            </w:r>
          </w:p>
        </w:tc>
        <w:tc>
          <w:tcPr>
            <w:tcW w:w="419" w:type="dxa"/>
            <w:tcBorders/>
            <w:shd w:fill="auto" w:val="clear"/>
            <w:vAlign w:val="center"/>
          </w:tcPr>
          <w:p>
            <w:pPr>
              <w:pStyle w:val="TableContents"/>
              <w:spacing w:before="0" w:after="283"/>
              <w:rPr>
                <w:sz w:val="4"/>
                <w:szCs w:val="4"/>
              </w:rPr>
            </w:pPr>
            <w:r>
              <w:rPr>
                <w:sz w:val="4"/>
                <w:szCs w:val="4"/>
              </w:rPr>
            </w:r>
          </w:p>
        </w:tc>
        <w:tc>
          <w:tcPr>
            <w:tcW w:w="420" w:type="dxa"/>
            <w:tcBorders/>
            <w:shd w:fill="auto" w:val="clear"/>
            <w:vAlign w:val="center"/>
          </w:tcPr>
          <w:p>
            <w:pPr>
              <w:pStyle w:val="TableContents"/>
              <w:spacing w:before="0" w:after="283"/>
              <w:rPr>
                <w:sz w:val="4"/>
                <w:szCs w:val="4"/>
              </w:rPr>
            </w:pPr>
            <w:r>
              <w:rPr>
                <w:sz w:val="4"/>
                <w:szCs w:val="4"/>
              </w:rPr>
            </w:r>
          </w:p>
        </w:tc>
        <w:tc>
          <w:tcPr>
            <w:tcW w:w="1929" w:type="dxa"/>
            <w:tcBorders/>
            <w:shd w:fill="auto" w:val="clear"/>
            <w:vAlign w:val="center"/>
          </w:tcPr>
          <w:p>
            <w:pPr>
              <w:pStyle w:val="TableContents"/>
              <w:spacing w:before="0" w:after="283"/>
              <w:rPr>
                <w:sz w:val="4"/>
                <w:szCs w:val="4"/>
              </w:rPr>
            </w:pPr>
            <w:r>
              <w:rPr>
                <w:sz w:val="4"/>
                <w:szCs w:val="4"/>
              </w:rPr>
            </w:r>
          </w:p>
        </w:tc>
        <w:tc>
          <w:tcPr>
            <w:tcW w:w="1929" w:type="dxa"/>
            <w:tcBorders/>
            <w:shd w:fill="auto" w:val="clear"/>
            <w:vAlign w:val="center"/>
          </w:tcPr>
          <w:p>
            <w:pPr>
              <w:pStyle w:val="TableContents"/>
              <w:spacing w:before="0" w:after="283"/>
              <w:rPr>
                <w:sz w:val="4"/>
                <w:szCs w:val="4"/>
              </w:rPr>
            </w:pPr>
            <w:r>
              <w:rPr>
                <w:sz w:val="4"/>
                <w:szCs w:val="4"/>
              </w:rPr>
            </w:r>
          </w:p>
        </w:tc>
        <w:tc>
          <w:tcPr>
            <w:tcW w:w="1933" w:type="dxa"/>
            <w:tcBorders/>
            <w:shd w:fill="auto" w:val="clear"/>
            <w:vAlign w:val="center"/>
          </w:tcPr>
          <w:p>
            <w:pPr>
              <w:pStyle w:val="TableContents"/>
              <w:spacing w:before="0" w:after="283"/>
              <w:rPr>
                <w:sz w:val="4"/>
                <w:szCs w:val="4"/>
              </w:rPr>
            </w:pPr>
            <w:r>
              <w:rPr>
                <w:sz w:val="4"/>
                <w:szCs w:val="4"/>
              </w:rPr>
            </w:r>
          </w:p>
        </w:tc>
        <w:tc>
          <w:tcPr>
            <w:tcW w:w="905" w:type="dxa"/>
            <w:tcBorders/>
            <w:shd w:fill="auto" w:val="clear"/>
            <w:vAlign w:val="center"/>
          </w:tcPr>
          <w:p>
            <w:pPr>
              <w:pStyle w:val="TableContents"/>
              <w:spacing w:before="0" w:after="283"/>
              <w:rPr>
                <w:sz w:val="4"/>
                <w:szCs w:val="4"/>
              </w:rPr>
            </w:pPr>
            <w:r>
              <w:rPr>
                <w:sz w:val="4"/>
                <w:szCs w:val="4"/>
              </w:rPr>
            </w:r>
          </w:p>
        </w:tc>
        <w:tc>
          <w:tcPr>
            <w:tcW w:w="905" w:type="dxa"/>
            <w:tcBorders/>
            <w:shd w:fill="auto" w:val="clear"/>
            <w:vAlign w:val="center"/>
          </w:tcPr>
          <w:p>
            <w:pPr>
              <w:pStyle w:val="TableContents"/>
              <w:spacing w:before="0" w:after="283"/>
              <w:rPr>
                <w:sz w:val="4"/>
                <w:szCs w:val="4"/>
              </w:rPr>
            </w:pPr>
            <w:r>
              <w:rPr>
                <w:sz w:val="4"/>
                <w:szCs w:val="4"/>
              </w:rPr>
            </w:r>
          </w:p>
        </w:tc>
        <w:tc>
          <w:tcPr>
            <w:tcW w:w="1288" w:type="dxa"/>
            <w:tcBorders/>
            <w:shd w:fill="auto" w:val="clear"/>
            <w:vAlign w:val="center"/>
          </w:tcPr>
          <w:p>
            <w:pPr>
              <w:pStyle w:val="TableContents"/>
              <w:spacing w:before="0" w:after="283"/>
              <w:rPr>
                <w:sz w:val="4"/>
                <w:szCs w:val="4"/>
              </w:rPr>
            </w:pPr>
            <w:r>
              <w:rPr>
                <w:sz w:val="4"/>
                <w:szCs w:val="4"/>
              </w:rPr>
            </w:r>
          </w:p>
        </w:tc>
      </w:tr>
      <w:tr>
        <w:trPr/>
        <w:tc>
          <w:tcPr>
            <w:tcW w:w="1316"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88" w:before="0" w:after="283"/>
              <w:jc w:val="left"/>
              <w:rPr>
                <w:rFonts w:ascii="Times New Roman;sans-serif" w:hAnsi="Times New Roman;sans-serif"/>
                <w:b/>
                <w:i/>
                <w:color w:val="000000"/>
                <w:sz w:val="22"/>
              </w:rPr>
            </w:pPr>
            <w:r>
              <w:rPr>
                <w:rFonts w:ascii="Times New Roman;sans-serif" w:hAnsi="Times New Roman;sans-serif"/>
                <w:b/>
                <w:i/>
                <w:color w:val="000000"/>
                <w:sz w:val="22"/>
              </w:rPr>
              <w:t>Shareholder Suits</w:t>
            </w:r>
          </w:p>
        </w:tc>
        <w:tc>
          <w:tcPr>
            <w:tcW w:w="5791"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88" w:before="0" w:after="120"/>
              <w:jc w:val="left"/>
              <w:rPr>
                <w:rFonts w:ascii="Times New Roman;sans-serif" w:hAnsi="Times New Roman;sans-serif"/>
                <w:b w:val="false"/>
                <w:color w:val="000000"/>
                <w:sz w:val="22"/>
              </w:rPr>
            </w:pPr>
            <w:r>
              <w:rPr>
                <w:rFonts w:ascii="Times New Roman;sans-serif" w:hAnsi="Times New Roman;sans-serif"/>
                <w:b w:val="false"/>
                <w:color w:val="000000"/>
                <w:sz w:val="22"/>
              </w:rPr>
              <w:t>The rights of shareholders under Cayman Islands law are not as extensive as those under Delaware law. Class actions are generally not available to shareholders under Cayman Islands laws; historically, there have not been any reported instances of such class actions having been successfully brought before the Cayman Islands Court. In principle, we will normally be the proper plaintiff and as a general rule a derivative action may not be brought by a minority shareholder. However, based on English authorities, which would in all likelihood be of persuasive authority in the Cayman Islands, the Cayman Islands courts can be expected (and have had occasion) to follow and apply the common law principles (namely the rule in Foss v. Harbottle and the exceptions thereto) which permit a minority shareholder to commence a class action against, or derivative actions in the name of, our company to challenge:</w:t>
            </w:r>
          </w:p>
          <w:p>
            <w:pPr>
              <w:pStyle w:val="TableContents"/>
              <w:spacing w:lineRule="auto" w:line="288" w:before="0" w:after="120"/>
              <w:ind w:left="0" w:right="0" w:hanging="216"/>
              <w:jc w:val="left"/>
              <w:rPr/>
            </w:pPr>
            <w:r>
              <w:rPr>
                <w:color w:val="000000"/>
              </w:rPr>
              <w:t>•</w:t>
            </w:r>
            <w:r>
              <w:rPr>
                <w:rFonts w:ascii="Times New Roman;sans-serif" w:hAnsi="Times New Roman;sans-serif"/>
                <w:b w:val="false"/>
                <w:color w:val="000000"/>
                <w:sz w:val="22"/>
              </w:rPr>
              <w:t>an act which is ultra vires or illegal and is therefore incapable of ratification by the shareholders;</w:t>
            </w:r>
          </w:p>
          <w:p>
            <w:pPr>
              <w:pStyle w:val="TableContents"/>
              <w:spacing w:lineRule="auto" w:line="288" w:before="0" w:after="120"/>
              <w:ind w:left="0" w:right="0" w:hanging="216"/>
              <w:jc w:val="left"/>
              <w:rPr/>
            </w:pPr>
            <w:r>
              <w:rPr>
                <w:color w:val="000000"/>
              </w:rPr>
              <w:t>•</w:t>
            </w:r>
            <w:r>
              <w:rPr>
                <w:rFonts w:ascii="Times New Roman;sans-serif" w:hAnsi="Times New Roman;sans-serif"/>
                <w:b w:val="false"/>
                <w:color w:val="000000"/>
                <w:sz w:val="22"/>
              </w:rPr>
              <w:t>an act which constitutes a fraud against the minority where the wrongdoer are themselves in control of the company; and</w:t>
            </w:r>
          </w:p>
          <w:p>
            <w:pPr>
              <w:pStyle w:val="TableContents"/>
              <w:spacing w:lineRule="auto" w:line="288" w:before="0" w:after="120"/>
              <w:ind w:left="0" w:right="0" w:hanging="216"/>
              <w:jc w:val="left"/>
              <w:rPr/>
            </w:pPr>
            <w:r>
              <w:rPr>
                <w:color w:val="000000"/>
              </w:rPr>
              <w:t>•</w:t>
            </w:r>
            <w:r>
              <w:rPr>
                <w:rFonts w:ascii="Times New Roman;sans-serif" w:hAnsi="Times New Roman;sans-serif"/>
                <w:b w:val="false"/>
                <w:color w:val="000000"/>
                <w:sz w:val="22"/>
              </w:rPr>
              <w:t>an act which requires a resolution with a qualified (or special) majority (i.e. more than a simple majority) which has not been obtained.</w:t>
            </w:r>
          </w:p>
        </w:tc>
        <w:tc>
          <w:tcPr>
            <w:tcW w:w="3098" w:type="dxa"/>
            <w:gridSpan w:val="3"/>
            <w:tcBorders>
              <w:top w:val="single" w:sz="8" w:space="0" w:color="000000"/>
              <w:left w:val="single" w:sz="8" w:space="0" w:color="000000"/>
              <w:bottom w:val="single" w:sz="8" w:space="0" w:color="000000"/>
              <w:right w:val="single" w:sz="8" w:space="0" w:color="000000"/>
            </w:tcBorders>
            <w:shd w:fill="auto" w:val="clear"/>
            <w:tcMar>
              <w:top w:w="30" w:type="dxa"/>
              <w:bottom w:w="3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Class actions and derivative actions generally are available to stockholders under Delaware law for, among other things, breach of fiduciary duty, corporate waste and actions not taken in accordance with applicable law. In such actions, the court generally has discretion to permit a winning plaintiff to recover attorneys’ fees incurred in connection with such action.</w:t>
            </w:r>
          </w:p>
        </w:tc>
      </w:tr>
    </w:tbl>
    <w:p>
      <w:pPr>
        <w:pStyle w:val="TextBody"/>
        <w:spacing w:before="0" w:after="0"/>
        <w:rPr/>
      </w:pPr>
      <w:r>
        <w:br w:type="page"/>
      </w:r>
      <w:r>
        <w:rPr/>
      </w:r>
      <w:r>
        <mc:AlternateContent>
          <mc:Choice Requires="wps">
            <w:drawing>
              <wp:anchor behindDoc="0" distT="0" distB="0" distL="0" distR="0" simplePos="0" locked="0" layoutInCell="1" allowOverlap="1" relativeHeight="408">
                <wp:simplePos x="0" y="0"/>
                <wp:positionH relativeFrom="character">
                  <wp:align>left</wp:align>
                </wp:positionH>
                <wp:positionV relativeFrom="line">
                  <wp:posOffset>635</wp:posOffset>
                </wp:positionV>
                <wp:extent cx="6480175" cy="175260"/>
                <wp:effectExtent l="0" t="0" r="0" b="0"/>
                <wp:wrapNone/>
                <wp:docPr id="407" name="Frame40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tbl>
      <w:tblPr>
        <w:tblW w:w="10205" w:type="dxa"/>
        <w:jc w:val="left"/>
        <w:tblInd w:w="0" w:type="dxa"/>
        <w:tblCellMar>
          <w:top w:w="28" w:type="dxa"/>
          <w:left w:w="28" w:type="dxa"/>
          <w:bottom w:w="28" w:type="dxa"/>
          <w:right w:w="28" w:type="dxa"/>
        </w:tblCellMar>
      </w:tblPr>
      <w:tblGrid>
        <w:gridCol w:w="657"/>
        <w:gridCol w:w="427"/>
        <w:gridCol w:w="428"/>
        <w:gridCol w:w="1770"/>
        <w:gridCol w:w="1770"/>
        <w:gridCol w:w="1774"/>
        <w:gridCol w:w="988"/>
        <w:gridCol w:w="988"/>
        <w:gridCol w:w="1403"/>
      </w:tblGrid>
      <w:tr>
        <w:trPr/>
        <w:tc>
          <w:tcPr>
            <w:tcW w:w="657" w:type="dxa"/>
            <w:tcBorders/>
            <w:shd w:fill="auto" w:val="clear"/>
            <w:vAlign w:val="center"/>
          </w:tcPr>
          <w:p>
            <w:pPr>
              <w:pStyle w:val="TableContents"/>
              <w:spacing w:before="0" w:after="283"/>
              <w:rPr>
                <w:sz w:val="4"/>
                <w:szCs w:val="4"/>
              </w:rPr>
            </w:pPr>
            <w:r>
              <w:rPr>
                <w:sz w:val="4"/>
                <w:szCs w:val="4"/>
              </w:rPr>
            </w:r>
          </w:p>
        </w:tc>
        <w:tc>
          <w:tcPr>
            <w:tcW w:w="427" w:type="dxa"/>
            <w:tcBorders/>
            <w:shd w:fill="auto" w:val="clear"/>
            <w:vAlign w:val="center"/>
          </w:tcPr>
          <w:p>
            <w:pPr>
              <w:pStyle w:val="TableContents"/>
              <w:spacing w:before="0" w:after="283"/>
              <w:rPr>
                <w:sz w:val="4"/>
                <w:szCs w:val="4"/>
              </w:rPr>
            </w:pPr>
            <w:r>
              <w:rPr>
                <w:sz w:val="4"/>
                <w:szCs w:val="4"/>
              </w:rPr>
            </w:r>
          </w:p>
        </w:tc>
        <w:tc>
          <w:tcPr>
            <w:tcW w:w="428" w:type="dxa"/>
            <w:tcBorders/>
            <w:shd w:fill="auto" w:val="clear"/>
            <w:vAlign w:val="center"/>
          </w:tcPr>
          <w:p>
            <w:pPr>
              <w:pStyle w:val="TableContents"/>
              <w:spacing w:before="0" w:after="283"/>
              <w:rPr>
                <w:sz w:val="4"/>
                <w:szCs w:val="4"/>
              </w:rPr>
            </w:pPr>
            <w:r>
              <w:rPr>
                <w:sz w:val="4"/>
                <w:szCs w:val="4"/>
              </w:rPr>
            </w:r>
          </w:p>
        </w:tc>
        <w:tc>
          <w:tcPr>
            <w:tcW w:w="1770" w:type="dxa"/>
            <w:tcBorders/>
            <w:shd w:fill="auto" w:val="clear"/>
            <w:vAlign w:val="center"/>
          </w:tcPr>
          <w:p>
            <w:pPr>
              <w:pStyle w:val="TableContents"/>
              <w:spacing w:before="0" w:after="283"/>
              <w:rPr>
                <w:sz w:val="4"/>
                <w:szCs w:val="4"/>
              </w:rPr>
            </w:pPr>
            <w:r>
              <w:rPr>
                <w:sz w:val="4"/>
                <w:szCs w:val="4"/>
              </w:rPr>
            </w:r>
          </w:p>
        </w:tc>
        <w:tc>
          <w:tcPr>
            <w:tcW w:w="1770" w:type="dxa"/>
            <w:tcBorders/>
            <w:shd w:fill="auto" w:val="clear"/>
            <w:vAlign w:val="center"/>
          </w:tcPr>
          <w:p>
            <w:pPr>
              <w:pStyle w:val="TableContents"/>
              <w:spacing w:before="0" w:after="283"/>
              <w:rPr>
                <w:sz w:val="4"/>
                <w:szCs w:val="4"/>
              </w:rPr>
            </w:pPr>
            <w:r>
              <w:rPr>
                <w:sz w:val="4"/>
                <w:szCs w:val="4"/>
              </w:rPr>
            </w:r>
          </w:p>
        </w:tc>
        <w:tc>
          <w:tcPr>
            <w:tcW w:w="1774" w:type="dxa"/>
            <w:tcBorders/>
            <w:shd w:fill="auto" w:val="clear"/>
            <w:vAlign w:val="center"/>
          </w:tcPr>
          <w:p>
            <w:pPr>
              <w:pStyle w:val="TableContents"/>
              <w:spacing w:before="0" w:after="283"/>
              <w:rPr>
                <w:sz w:val="4"/>
                <w:szCs w:val="4"/>
              </w:rPr>
            </w:pPr>
            <w:r>
              <w:rPr>
                <w:sz w:val="4"/>
                <w:szCs w:val="4"/>
              </w:rPr>
            </w:r>
          </w:p>
        </w:tc>
        <w:tc>
          <w:tcPr>
            <w:tcW w:w="988" w:type="dxa"/>
            <w:tcBorders/>
            <w:shd w:fill="auto" w:val="clear"/>
            <w:vAlign w:val="center"/>
          </w:tcPr>
          <w:p>
            <w:pPr>
              <w:pStyle w:val="TableContents"/>
              <w:spacing w:before="0" w:after="283"/>
              <w:rPr>
                <w:sz w:val="4"/>
                <w:szCs w:val="4"/>
              </w:rPr>
            </w:pPr>
            <w:r>
              <w:rPr>
                <w:sz w:val="4"/>
                <w:szCs w:val="4"/>
              </w:rPr>
            </w:r>
          </w:p>
        </w:tc>
        <w:tc>
          <w:tcPr>
            <w:tcW w:w="988" w:type="dxa"/>
            <w:tcBorders/>
            <w:shd w:fill="auto" w:val="clear"/>
            <w:vAlign w:val="center"/>
          </w:tcPr>
          <w:p>
            <w:pPr>
              <w:pStyle w:val="TableContents"/>
              <w:spacing w:before="0" w:after="283"/>
              <w:rPr>
                <w:sz w:val="4"/>
                <w:szCs w:val="4"/>
              </w:rPr>
            </w:pPr>
            <w:r>
              <w:rPr>
                <w:sz w:val="4"/>
                <w:szCs w:val="4"/>
              </w:rPr>
            </w:r>
          </w:p>
        </w:tc>
        <w:tc>
          <w:tcPr>
            <w:tcW w:w="1403" w:type="dxa"/>
            <w:tcBorders/>
            <w:shd w:fill="auto" w:val="clear"/>
            <w:vAlign w:val="center"/>
          </w:tcPr>
          <w:p>
            <w:pPr>
              <w:pStyle w:val="TableContents"/>
              <w:spacing w:before="0" w:after="283"/>
              <w:rPr>
                <w:sz w:val="4"/>
                <w:szCs w:val="4"/>
              </w:rPr>
            </w:pPr>
            <w:r>
              <w:rPr>
                <w:sz w:val="4"/>
                <w:szCs w:val="4"/>
              </w:rPr>
            </w:r>
          </w:p>
        </w:tc>
      </w:tr>
      <w:tr>
        <w:trPr/>
        <w:tc>
          <w:tcPr>
            <w:tcW w:w="1512"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22"/>
              </w:rPr>
            </w:pPr>
            <w:r>
              <w:rPr>
                <w:rFonts w:ascii="Times New Roman;sans-serif" w:hAnsi="Times New Roman;sans-serif"/>
                <w:b/>
                <w:i/>
                <w:color w:val="000000"/>
                <w:sz w:val="22"/>
              </w:rPr>
              <w:t>Inspection of Corporate Records</w:t>
            </w:r>
          </w:p>
        </w:tc>
        <w:tc>
          <w:tcPr>
            <w:tcW w:w="5314"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Shareholders of a Cayman Islands exempted company have no general right under Cayman Islands law to inspect or obtain copies of the register of members or other corporate records (other than the memorandum and articles of association and the register of mortgages and charges) of the company. However, these rights may be provided in the company’s articles of association.</w:t>
            </w:r>
          </w:p>
        </w:tc>
        <w:tc>
          <w:tcPr>
            <w:tcW w:w="3379"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Under Delaware law, stockholders of a Delaware corporation have the right during normal business hours to inspect for any proper purpose, and to obtain copies of lists of stockholders and other books and records of the corporation and its subsidiaries, if any, to the extent the books and records of such subsidiaries are available to the corporation. A complete list of the stockholders entitled to vote at a stockholders’ meeting generally must be available for stockholder inspection at least ten days before the meeting.</w:t>
            </w:r>
          </w:p>
        </w:tc>
      </w:tr>
      <w:tr>
        <w:trPr/>
        <w:tc>
          <w:tcPr>
            <w:tcW w:w="1512"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88" w:before="0" w:after="283"/>
              <w:jc w:val="left"/>
              <w:rPr>
                <w:rFonts w:ascii="Times New Roman;sans-serif" w:hAnsi="Times New Roman;sans-serif"/>
                <w:b/>
                <w:i/>
                <w:color w:val="000000"/>
                <w:sz w:val="22"/>
              </w:rPr>
            </w:pPr>
            <w:r>
              <w:rPr>
                <w:rFonts w:ascii="Times New Roman;sans-serif" w:hAnsi="Times New Roman;sans-serif"/>
                <w:b/>
                <w:i/>
                <w:color w:val="000000"/>
                <w:sz w:val="22"/>
              </w:rPr>
              <w:t>Shareholder Proposals and Calling of Special Shareholder Meetings</w:t>
            </w:r>
          </w:p>
        </w:tc>
        <w:tc>
          <w:tcPr>
            <w:tcW w:w="5314"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The Companies Act provide shareholders with only limited rights to requisition a general meeting, and does not provide shareholders with any right to put any proposal before a general meeting. However, these rights may be provided in a company’s articles of association. Our Articles allow our shareholders holding shares which carry in aggregate not less than one-third of all votes attaching to the outstanding shares of our company entitled to vote at general meetings to requisition an extraordinary general meeting of our shareholders, in which case our board is obliged to convene an extraordinary general meeting and to put the resolutions so requisitioned to a vote at such meeting. Other than this right to requisition a shareholders’ meeting, our Articles do not provide our shareholders with any other right to put proposals before annual general meetings or extraordinary general meetings. As an exempted Cayman Islands company, we are not obliged by law to call shareholders’ annual general meetings.</w:t>
            </w:r>
          </w:p>
        </w:tc>
        <w:tc>
          <w:tcPr>
            <w:tcW w:w="3379" w:type="dxa"/>
            <w:gridSpan w:val="3"/>
            <w:tcBorders>
              <w:top w:val="single" w:sz="8" w:space="0" w:color="000000"/>
              <w:left w:val="single" w:sz="8" w:space="0" w:color="000000"/>
              <w:bottom w:val="single" w:sz="8" w:space="0" w:color="000000"/>
              <w:right w:val="single" w:sz="8" w:space="0" w:color="000000"/>
            </w:tcBorders>
            <w:shd w:fill="auto" w:val="clear"/>
            <w:tcMar>
              <w:top w:w="30" w:type="dxa"/>
              <w:bottom w:w="30" w:type="dxa"/>
            </w:tcMar>
            <w:vAlign w:val="center"/>
          </w:tcPr>
          <w:p>
            <w:pPr>
              <w:pStyle w:val="TableContents"/>
              <w:spacing w:lineRule="auto" w:line="288" w:before="0" w:after="120"/>
              <w:jc w:val="left"/>
              <w:rPr>
                <w:rFonts w:ascii="Times New Roman;sans-serif" w:hAnsi="Times New Roman;sans-serif"/>
                <w:b w:val="false"/>
                <w:color w:val="000000"/>
                <w:sz w:val="22"/>
              </w:rPr>
            </w:pPr>
            <w:r>
              <w:rPr>
                <w:rFonts w:ascii="Times New Roman;sans-serif" w:hAnsi="Times New Roman;sans-serif"/>
                <w:b w:val="false"/>
                <w:color w:val="000000"/>
                <w:sz w:val="22"/>
              </w:rPr>
              <w:t>Unless provided in the corporation’s certificate of incorporation or bylaws, Delaware law does not include a provision restricting the manner in which stockholders may bring business before a meeting.</w:t>
            </w:r>
          </w:p>
          <w:p>
            <w:pPr>
              <w:pStyle w:val="TableContents"/>
              <w:spacing w:lineRule="auto" w:line="288" w:before="0" w:after="120"/>
              <w:jc w:val="left"/>
              <w:rPr>
                <w:rFonts w:ascii="Times New Roman;sans-serif" w:hAnsi="Times New Roman;sans-serif"/>
                <w:b w:val="false"/>
                <w:color w:val="000000"/>
                <w:sz w:val="22"/>
              </w:rPr>
            </w:pPr>
            <w:r>
              <w:rPr>
                <w:rFonts w:ascii="Times New Roman;sans-serif" w:hAnsi="Times New Roman;sans-serif"/>
                <w:b w:val="false"/>
                <w:color w:val="000000"/>
                <w:sz w:val="22"/>
              </w:rPr>
              <w:t>Delaware law permits the board of directors or any person who is authorized under a corporation’s certificate of incorporation or bylaws to call a special meeting of stockholders.</w:t>
            </w:r>
          </w:p>
        </w:tc>
      </w:tr>
    </w:tbl>
    <w:p>
      <w:pPr>
        <w:pStyle w:val="TextBody"/>
        <w:spacing w:before="0" w:after="0"/>
        <w:rPr/>
      </w:pPr>
      <w:r>
        <w:br w:type="page"/>
      </w:r>
      <w:r>
        <w:rPr/>
      </w:r>
      <w:r>
        <mc:AlternateContent>
          <mc:Choice Requires="wps">
            <w:drawing>
              <wp:anchor behindDoc="0" distT="0" distB="0" distL="0" distR="0" simplePos="0" locked="0" layoutInCell="1" allowOverlap="1" relativeHeight="409">
                <wp:simplePos x="0" y="0"/>
                <wp:positionH relativeFrom="character">
                  <wp:align>left</wp:align>
                </wp:positionH>
                <wp:positionV relativeFrom="line">
                  <wp:posOffset>635</wp:posOffset>
                </wp:positionV>
                <wp:extent cx="6480175" cy="175260"/>
                <wp:effectExtent l="0" t="0" r="0" b="0"/>
                <wp:wrapNone/>
                <wp:docPr id="408" name="Frame40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tbl>
      <w:tblPr>
        <w:tblW w:w="10205" w:type="dxa"/>
        <w:jc w:val="left"/>
        <w:tblInd w:w="0" w:type="dxa"/>
        <w:tblCellMar>
          <w:top w:w="28" w:type="dxa"/>
          <w:left w:w="28" w:type="dxa"/>
          <w:bottom w:w="28" w:type="dxa"/>
          <w:right w:w="28" w:type="dxa"/>
        </w:tblCellMar>
      </w:tblPr>
      <w:tblGrid>
        <w:gridCol w:w="636"/>
        <w:gridCol w:w="423"/>
        <w:gridCol w:w="424"/>
        <w:gridCol w:w="1322"/>
        <w:gridCol w:w="1195"/>
        <w:gridCol w:w="1198"/>
        <w:gridCol w:w="1506"/>
        <w:gridCol w:w="1449"/>
        <w:gridCol w:w="2052"/>
      </w:tblGrid>
      <w:tr>
        <w:trPr/>
        <w:tc>
          <w:tcPr>
            <w:tcW w:w="636" w:type="dxa"/>
            <w:tcBorders/>
            <w:shd w:fill="auto" w:val="clear"/>
            <w:vAlign w:val="center"/>
          </w:tcPr>
          <w:p>
            <w:pPr>
              <w:pStyle w:val="TableContents"/>
              <w:spacing w:before="0" w:after="283"/>
              <w:rPr>
                <w:sz w:val="4"/>
                <w:szCs w:val="4"/>
              </w:rPr>
            </w:pPr>
            <w:r>
              <w:rPr>
                <w:sz w:val="4"/>
                <w:szCs w:val="4"/>
              </w:rPr>
            </w:r>
          </w:p>
        </w:tc>
        <w:tc>
          <w:tcPr>
            <w:tcW w:w="423" w:type="dxa"/>
            <w:tcBorders/>
            <w:shd w:fill="auto" w:val="clear"/>
            <w:vAlign w:val="center"/>
          </w:tcPr>
          <w:p>
            <w:pPr>
              <w:pStyle w:val="TableContents"/>
              <w:spacing w:before="0" w:after="283"/>
              <w:rPr>
                <w:sz w:val="4"/>
                <w:szCs w:val="4"/>
              </w:rPr>
            </w:pPr>
            <w:r>
              <w:rPr>
                <w:sz w:val="4"/>
                <w:szCs w:val="4"/>
              </w:rPr>
            </w:r>
          </w:p>
        </w:tc>
        <w:tc>
          <w:tcPr>
            <w:tcW w:w="424" w:type="dxa"/>
            <w:tcBorders/>
            <w:shd w:fill="auto" w:val="clear"/>
            <w:vAlign w:val="center"/>
          </w:tcPr>
          <w:p>
            <w:pPr>
              <w:pStyle w:val="TableContents"/>
              <w:spacing w:before="0" w:after="283"/>
              <w:rPr>
                <w:sz w:val="4"/>
                <w:szCs w:val="4"/>
              </w:rPr>
            </w:pPr>
            <w:r>
              <w:rPr>
                <w:sz w:val="4"/>
                <w:szCs w:val="4"/>
              </w:rPr>
            </w:r>
          </w:p>
        </w:tc>
        <w:tc>
          <w:tcPr>
            <w:tcW w:w="1322" w:type="dxa"/>
            <w:tcBorders/>
            <w:shd w:fill="auto" w:val="clear"/>
            <w:vAlign w:val="center"/>
          </w:tcPr>
          <w:p>
            <w:pPr>
              <w:pStyle w:val="TableContents"/>
              <w:spacing w:before="0" w:after="283"/>
              <w:rPr>
                <w:sz w:val="4"/>
                <w:szCs w:val="4"/>
              </w:rPr>
            </w:pPr>
            <w:r>
              <w:rPr>
                <w:sz w:val="4"/>
                <w:szCs w:val="4"/>
              </w:rPr>
            </w:r>
          </w:p>
        </w:tc>
        <w:tc>
          <w:tcPr>
            <w:tcW w:w="1195" w:type="dxa"/>
            <w:tcBorders/>
            <w:shd w:fill="auto" w:val="clear"/>
            <w:vAlign w:val="center"/>
          </w:tcPr>
          <w:p>
            <w:pPr>
              <w:pStyle w:val="TableContents"/>
              <w:spacing w:before="0" w:after="283"/>
              <w:rPr>
                <w:sz w:val="4"/>
                <w:szCs w:val="4"/>
              </w:rPr>
            </w:pPr>
            <w:r>
              <w:rPr>
                <w:sz w:val="4"/>
                <w:szCs w:val="4"/>
              </w:rPr>
            </w:r>
          </w:p>
        </w:tc>
        <w:tc>
          <w:tcPr>
            <w:tcW w:w="1198" w:type="dxa"/>
            <w:tcBorders/>
            <w:shd w:fill="auto" w:val="clear"/>
            <w:vAlign w:val="center"/>
          </w:tcPr>
          <w:p>
            <w:pPr>
              <w:pStyle w:val="TableContents"/>
              <w:spacing w:before="0" w:after="283"/>
              <w:rPr>
                <w:sz w:val="4"/>
                <w:szCs w:val="4"/>
              </w:rPr>
            </w:pPr>
            <w:r>
              <w:rPr>
                <w:sz w:val="4"/>
                <w:szCs w:val="4"/>
              </w:rPr>
            </w:r>
          </w:p>
        </w:tc>
        <w:tc>
          <w:tcPr>
            <w:tcW w:w="1506" w:type="dxa"/>
            <w:tcBorders/>
            <w:shd w:fill="auto" w:val="clear"/>
            <w:vAlign w:val="center"/>
          </w:tcPr>
          <w:p>
            <w:pPr>
              <w:pStyle w:val="TableContents"/>
              <w:spacing w:before="0" w:after="283"/>
              <w:rPr>
                <w:sz w:val="4"/>
                <w:szCs w:val="4"/>
              </w:rPr>
            </w:pPr>
            <w:r>
              <w:rPr>
                <w:sz w:val="4"/>
                <w:szCs w:val="4"/>
              </w:rPr>
            </w:r>
          </w:p>
        </w:tc>
        <w:tc>
          <w:tcPr>
            <w:tcW w:w="1449" w:type="dxa"/>
            <w:tcBorders/>
            <w:shd w:fill="auto" w:val="clear"/>
            <w:vAlign w:val="center"/>
          </w:tcPr>
          <w:p>
            <w:pPr>
              <w:pStyle w:val="TableContents"/>
              <w:spacing w:before="0" w:after="283"/>
              <w:rPr>
                <w:sz w:val="4"/>
                <w:szCs w:val="4"/>
              </w:rPr>
            </w:pPr>
            <w:r>
              <w:rPr>
                <w:sz w:val="4"/>
                <w:szCs w:val="4"/>
              </w:rPr>
            </w:r>
          </w:p>
        </w:tc>
        <w:tc>
          <w:tcPr>
            <w:tcW w:w="2052" w:type="dxa"/>
            <w:tcBorders/>
            <w:shd w:fill="auto" w:val="clear"/>
            <w:vAlign w:val="center"/>
          </w:tcPr>
          <w:p>
            <w:pPr>
              <w:pStyle w:val="TableContents"/>
              <w:spacing w:before="0" w:after="283"/>
              <w:rPr>
                <w:sz w:val="4"/>
                <w:szCs w:val="4"/>
              </w:rPr>
            </w:pPr>
            <w:r>
              <w:rPr>
                <w:sz w:val="4"/>
                <w:szCs w:val="4"/>
              </w:rPr>
            </w:r>
          </w:p>
        </w:tc>
      </w:tr>
      <w:tr>
        <w:trPr/>
        <w:tc>
          <w:tcPr>
            <w:tcW w:w="1483"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22"/>
              </w:rPr>
            </w:pPr>
            <w:r>
              <w:rPr>
                <w:rFonts w:ascii="Times New Roman;sans-serif" w:hAnsi="Times New Roman;sans-serif"/>
                <w:b/>
                <w:i/>
                <w:color w:val="000000"/>
                <w:sz w:val="22"/>
              </w:rPr>
              <w:t>Approval of Corporate Matters by Written Consent</w:t>
            </w:r>
          </w:p>
        </w:tc>
        <w:tc>
          <w:tcPr>
            <w:tcW w:w="3715"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The Companies Act provide that shareholders may approve corporate matters by way of unanimous written resolutions signed by or on behalf of each shareholder who would have been entitled to vote on such matter at a general meeting without a meeting being held (if authorized by the articles of association).</w:t>
            </w:r>
          </w:p>
        </w:tc>
        <w:tc>
          <w:tcPr>
            <w:tcW w:w="5007"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 law provides that, unless otherwise provided in the certificate of incorporation, stockholders may take action by written consent signed by the holders of outstanding shares having not less than the minimum number of votes that would be necessary to authorize or take such action at a meeting of stockholders.</w:t>
            </w:r>
          </w:p>
        </w:tc>
      </w:tr>
      <w:tr>
        <w:trPr/>
        <w:tc>
          <w:tcPr>
            <w:tcW w:w="1483"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88" w:before="0" w:after="283"/>
              <w:jc w:val="left"/>
              <w:rPr>
                <w:rFonts w:ascii="Times New Roman;sans-serif" w:hAnsi="Times New Roman;sans-serif"/>
                <w:b/>
                <w:i/>
                <w:color w:val="000000"/>
                <w:sz w:val="22"/>
              </w:rPr>
            </w:pPr>
            <w:r>
              <w:rPr>
                <w:rFonts w:ascii="Times New Roman;sans-serif" w:hAnsi="Times New Roman;sans-serif"/>
                <w:b/>
                <w:i/>
                <w:color w:val="000000"/>
                <w:sz w:val="22"/>
              </w:rPr>
              <w:t>Dissolution; Winding Up</w:t>
            </w:r>
          </w:p>
        </w:tc>
        <w:tc>
          <w:tcPr>
            <w:tcW w:w="3715"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Under Cayman Islands law, a company may be wound up by either an order of the courts of the Cayman Islands or by a special resolution of its members or, if the company is unable to pay its debts as they fall due, by an ordinary resolution of its members. The court has authority to order winding up in a number of specified circumstances including where it is, in the opinion of the court, just and equitable to do so.</w:t>
            </w:r>
          </w:p>
        </w:tc>
        <w:tc>
          <w:tcPr>
            <w:tcW w:w="5007" w:type="dxa"/>
            <w:gridSpan w:val="3"/>
            <w:tcBorders>
              <w:top w:val="single" w:sz="8" w:space="0" w:color="000000"/>
              <w:left w:val="single" w:sz="8" w:space="0" w:color="000000"/>
              <w:bottom w:val="single" w:sz="8" w:space="0" w:color="000000"/>
              <w:right w:val="single" w:sz="8" w:space="0" w:color="000000"/>
            </w:tcBorders>
            <w:shd w:fill="auto" w:val="clear"/>
            <w:tcMar>
              <w:top w:w="30" w:type="dxa"/>
              <w:bottom w:w="3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Under Delaware law, unless the board of directors approves the proposal to dissolve, dissolution must be approved by stockholders holding 100% of the total voting power of the corporation. Only if the dissolution is initiated by the board of directors may it be approved by a simple majority of the corporation’s outstanding shares. Delaware law allows a Delaware corporation to include in its certificate of incorporation a supermajority voting requirement in connection with dissolutions initiated by the board. A Delaware corporation may also be dissolved by decree or judgment of a Delaware court in certain circumstances.</w:t>
            </w:r>
          </w:p>
        </w:tc>
      </w:tr>
    </w:tbl>
    <w:p>
      <w:pPr>
        <w:pStyle w:val="TextBody"/>
        <w:spacing w:before="0" w:after="0"/>
        <w:rPr/>
      </w:pPr>
      <w:r>
        <w:br w:type="page"/>
      </w:r>
      <w:r>
        <w:rPr/>
      </w:r>
      <w:r>
        <mc:AlternateContent>
          <mc:Choice Requires="wps">
            <w:drawing>
              <wp:anchor behindDoc="0" distT="0" distB="0" distL="0" distR="0" simplePos="0" locked="0" layoutInCell="1" allowOverlap="1" relativeHeight="410">
                <wp:simplePos x="0" y="0"/>
                <wp:positionH relativeFrom="character">
                  <wp:align>left</wp:align>
                </wp:positionH>
                <wp:positionV relativeFrom="line">
                  <wp:posOffset>635</wp:posOffset>
                </wp:positionV>
                <wp:extent cx="6480175" cy="175260"/>
                <wp:effectExtent l="0" t="0" r="0" b="0"/>
                <wp:wrapNone/>
                <wp:docPr id="409" name="Frame40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tbl>
      <w:tblPr>
        <w:tblW w:w="10205" w:type="dxa"/>
        <w:jc w:val="left"/>
        <w:tblInd w:w="0" w:type="dxa"/>
        <w:tblCellMar>
          <w:top w:w="28" w:type="dxa"/>
          <w:left w:w="28" w:type="dxa"/>
          <w:bottom w:w="28" w:type="dxa"/>
          <w:right w:w="28" w:type="dxa"/>
        </w:tblCellMar>
      </w:tblPr>
      <w:tblGrid>
        <w:gridCol w:w="707"/>
        <w:gridCol w:w="355"/>
        <w:gridCol w:w="356"/>
        <w:gridCol w:w="824"/>
        <w:gridCol w:w="824"/>
        <w:gridCol w:w="826"/>
        <w:gridCol w:w="1887"/>
        <w:gridCol w:w="1830"/>
        <w:gridCol w:w="2596"/>
      </w:tblGrid>
      <w:tr>
        <w:trPr/>
        <w:tc>
          <w:tcPr>
            <w:tcW w:w="707" w:type="dxa"/>
            <w:tcBorders/>
            <w:shd w:fill="auto" w:val="clear"/>
            <w:vAlign w:val="center"/>
          </w:tcPr>
          <w:p>
            <w:pPr>
              <w:pStyle w:val="TableContents"/>
              <w:spacing w:before="0" w:after="283"/>
              <w:rPr>
                <w:sz w:val="4"/>
                <w:szCs w:val="4"/>
              </w:rPr>
            </w:pPr>
            <w:r>
              <w:rPr>
                <w:sz w:val="4"/>
                <w:szCs w:val="4"/>
              </w:rPr>
            </w:r>
          </w:p>
        </w:tc>
        <w:tc>
          <w:tcPr>
            <w:tcW w:w="355" w:type="dxa"/>
            <w:tcBorders/>
            <w:shd w:fill="auto" w:val="clear"/>
            <w:vAlign w:val="center"/>
          </w:tcPr>
          <w:p>
            <w:pPr>
              <w:pStyle w:val="TableContents"/>
              <w:spacing w:before="0" w:after="283"/>
              <w:rPr>
                <w:sz w:val="4"/>
                <w:szCs w:val="4"/>
              </w:rPr>
            </w:pPr>
            <w:r>
              <w:rPr>
                <w:sz w:val="4"/>
                <w:szCs w:val="4"/>
              </w:rPr>
            </w:r>
          </w:p>
        </w:tc>
        <w:tc>
          <w:tcPr>
            <w:tcW w:w="356" w:type="dxa"/>
            <w:tcBorders/>
            <w:shd w:fill="auto" w:val="clear"/>
            <w:vAlign w:val="center"/>
          </w:tcPr>
          <w:p>
            <w:pPr>
              <w:pStyle w:val="TableContents"/>
              <w:spacing w:before="0" w:after="283"/>
              <w:rPr>
                <w:sz w:val="4"/>
                <w:szCs w:val="4"/>
              </w:rPr>
            </w:pPr>
            <w:r>
              <w:rPr>
                <w:sz w:val="4"/>
                <w:szCs w:val="4"/>
              </w:rPr>
            </w:r>
          </w:p>
        </w:tc>
        <w:tc>
          <w:tcPr>
            <w:tcW w:w="824" w:type="dxa"/>
            <w:tcBorders/>
            <w:shd w:fill="auto" w:val="clear"/>
            <w:vAlign w:val="center"/>
          </w:tcPr>
          <w:p>
            <w:pPr>
              <w:pStyle w:val="TableContents"/>
              <w:spacing w:before="0" w:after="283"/>
              <w:rPr>
                <w:sz w:val="4"/>
                <w:szCs w:val="4"/>
              </w:rPr>
            </w:pPr>
            <w:r>
              <w:rPr>
                <w:sz w:val="4"/>
                <w:szCs w:val="4"/>
              </w:rPr>
            </w:r>
          </w:p>
        </w:tc>
        <w:tc>
          <w:tcPr>
            <w:tcW w:w="824"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887" w:type="dxa"/>
            <w:tcBorders/>
            <w:shd w:fill="auto" w:val="clear"/>
            <w:vAlign w:val="center"/>
          </w:tcPr>
          <w:p>
            <w:pPr>
              <w:pStyle w:val="TableContents"/>
              <w:spacing w:before="0" w:after="283"/>
              <w:rPr>
                <w:sz w:val="4"/>
                <w:szCs w:val="4"/>
              </w:rPr>
            </w:pPr>
            <w:r>
              <w:rPr>
                <w:sz w:val="4"/>
                <w:szCs w:val="4"/>
              </w:rPr>
            </w:r>
          </w:p>
        </w:tc>
        <w:tc>
          <w:tcPr>
            <w:tcW w:w="1830" w:type="dxa"/>
            <w:tcBorders/>
            <w:shd w:fill="auto" w:val="clear"/>
            <w:vAlign w:val="center"/>
          </w:tcPr>
          <w:p>
            <w:pPr>
              <w:pStyle w:val="TableContents"/>
              <w:spacing w:before="0" w:after="283"/>
              <w:rPr>
                <w:sz w:val="4"/>
                <w:szCs w:val="4"/>
              </w:rPr>
            </w:pPr>
            <w:r>
              <w:rPr>
                <w:sz w:val="4"/>
                <w:szCs w:val="4"/>
              </w:rPr>
            </w:r>
          </w:p>
        </w:tc>
        <w:tc>
          <w:tcPr>
            <w:tcW w:w="2596" w:type="dxa"/>
            <w:tcBorders/>
            <w:shd w:fill="auto" w:val="clear"/>
            <w:vAlign w:val="center"/>
          </w:tcPr>
          <w:p>
            <w:pPr>
              <w:pStyle w:val="TableContents"/>
              <w:spacing w:before="0" w:after="283"/>
              <w:rPr>
                <w:sz w:val="4"/>
                <w:szCs w:val="4"/>
              </w:rPr>
            </w:pPr>
            <w:r>
              <w:rPr>
                <w:sz w:val="4"/>
                <w:szCs w:val="4"/>
              </w:rPr>
            </w:r>
          </w:p>
        </w:tc>
      </w:tr>
      <w:tr>
        <w:trPr/>
        <w:tc>
          <w:tcPr>
            <w:tcW w:w="1418"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22"/>
              </w:rPr>
            </w:pPr>
            <w:r>
              <w:rPr>
                <w:rFonts w:ascii="Times New Roman;sans-serif" w:hAnsi="Times New Roman;sans-serif"/>
                <w:b/>
                <w:i/>
                <w:color w:val="000000"/>
                <w:sz w:val="22"/>
              </w:rPr>
              <w:t>Variation of Rights of Shares</w:t>
            </w:r>
          </w:p>
        </w:tc>
        <w:tc>
          <w:tcPr>
            <w:tcW w:w="2474"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Under Cayman Islands law and our Articles, if our share capital is divided into more than one class of shares, we may materially adversely vary the rights attached to any class with the written consent of the holders of 50% of the issued shares of that class or with the sanction of an ordinary resolution passed at a separate general meeting of the holders of the shares of that class.</w:t>
            </w:r>
          </w:p>
        </w:tc>
        <w:tc>
          <w:tcPr>
            <w:tcW w:w="6313"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Under Delaware law, a corporation may vary the rights of a class of shares with the approval of a majority of the outstanding shares of such class, unless the certificate of incorporation provides otherwise.</w:t>
            </w:r>
          </w:p>
        </w:tc>
      </w:tr>
      <w:tr>
        <w:trPr/>
        <w:tc>
          <w:tcPr>
            <w:tcW w:w="1418"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88" w:before="0" w:after="283"/>
              <w:jc w:val="left"/>
              <w:rPr>
                <w:rFonts w:ascii="Times New Roman;sans-serif" w:hAnsi="Times New Roman;sans-serif"/>
                <w:b/>
                <w:i/>
                <w:color w:val="000000"/>
                <w:sz w:val="22"/>
              </w:rPr>
            </w:pPr>
            <w:r>
              <w:rPr>
                <w:rFonts w:ascii="Times New Roman;sans-serif" w:hAnsi="Times New Roman;sans-serif"/>
                <w:b/>
                <w:i/>
                <w:color w:val="000000"/>
                <w:sz w:val="22"/>
              </w:rPr>
              <w:t>Dividends and Stock Repurchases</w:t>
            </w:r>
          </w:p>
        </w:tc>
        <w:tc>
          <w:tcPr>
            <w:tcW w:w="2474" w:type="dxa"/>
            <w:gridSpan w:val="3"/>
            <w:tcBorders>
              <w:top w:val="single" w:sz="8" w:space="0" w:color="000000"/>
              <w:left w:val="single" w:sz="8" w:space="0" w:color="000000"/>
              <w:bottom w:val="single" w:sz="8" w:space="0" w:color="000000"/>
            </w:tcBorders>
            <w:shd w:fill="auto" w:val="clear"/>
            <w:tcMar>
              <w:right w:w="0" w:type="dxa"/>
            </w:tcMar>
            <w:vAlign w:val="center"/>
          </w:tcPr>
          <w:p>
            <w:pPr>
              <w:pStyle w:val="TableContents"/>
              <w:spacing w:before="0" w:after="283"/>
              <w:rPr>
                <w:sz w:val="4"/>
                <w:szCs w:val="4"/>
              </w:rPr>
            </w:pPr>
            <w:r>
              <w:rPr>
                <w:sz w:val="4"/>
                <w:szCs w:val="4"/>
              </w:rPr>
            </w:r>
          </w:p>
        </w:tc>
        <w:tc>
          <w:tcPr>
            <w:tcW w:w="6313" w:type="dxa"/>
            <w:gridSpan w:val="3"/>
            <w:tcBorders>
              <w:top w:val="single" w:sz="8" w:space="0" w:color="000000"/>
              <w:left w:val="single" w:sz="8" w:space="0" w:color="000000"/>
              <w:bottom w:val="single" w:sz="8" w:space="0" w:color="000000"/>
              <w:right w:val="single" w:sz="8" w:space="0" w:color="000000"/>
            </w:tcBorders>
            <w:shd w:fill="auto" w:val="clear"/>
            <w:tcMar>
              <w:top w:w="30" w:type="dxa"/>
              <w:bottom w:w="30" w:type="dxa"/>
            </w:tcMar>
            <w:vAlign w:val="center"/>
          </w:tcPr>
          <w:p>
            <w:pPr>
              <w:pStyle w:val="TableContents"/>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The Delaware General Corporation Law provides that, subject to any restrictions in a corporation’s certificate of incorporation, dividends may be declared from the corporation’s surplus, or, if there is no surplus, from its net profits for the fiscal year in which the dividend is declared and for the preceding fiscal year, and Delaware common law also imposes a solvency requirement with respect to the payment of dividends. Dividends may not be declared out of net profits, however, if the corporation’s capital has been diminished to an amount less than the aggregate amount of all capital represented by the issued and outstanding stock of all classes having a preference upon the distribution of assets until the deficiency in the amount of capital represented by the issued and outstanding stock of all classes having a preference upon the distribution of assets is repaired. Furthermore, applicable Delaware statutory and common law generally provides that a corporation may redeem or repurchase its shares only if the redemption or repurchase would not impair the capital of the corporation and only if the corporation is solvent at the time of the redemption or repurchase, and the redemption or repurchase would not render the corporation insolvent.</w:t>
            </w:r>
          </w:p>
        </w:tc>
      </w:tr>
    </w:tbl>
    <w:p>
      <w:pPr>
        <w:pStyle w:val="TextBody"/>
        <w:spacing w:before="0" w:after="240"/>
        <w:rPr/>
      </w:pPr>
      <w:r>
        <w:rPr/>
      </w:r>
    </w:p>
    <w:p>
      <w:pPr>
        <w:pStyle w:val="TextBody"/>
        <w:spacing w:lineRule="auto" w:line="288" w:before="0" w:after="240"/>
        <w:rPr>
          <w:rFonts w:ascii="Times New Roman;sans-serif" w:hAnsi="Times New Roman;sans-serif"/>
          <w:b/>
          <w:i/>
          <w:color w:val="000000"/>
          <w:sz w:val="22"/>
        </w:rPr>
      </w:pPr>
      <w:r>
        <w:rPr>
          <w:rFonts w:ascii="Times New Roman;sans-serif" w:hAnsi="Times New Roman;sans-serif"/>
          <w:b/>
          <w:i/>
          <w:color w:val="000000"/>
          <w:sz w:val="22"/>
        </w:rPr>
        <w:t>Changes in Capital (Item 10.B.10 of Form 20-F)</w:t>
      </w:r>
      <w:r>
        <w:br w:type="page"/>
      </w:r>
    </w:p>
    <w:p>
      <w:pPr>
        <w:pStyle w:val="TextBody"/>
        <w:spacing w:before="0" w:after="0"/>
        <w:rPr/>
      </w:pPr>
      <w:r>
        <w:rPr/>
      </w:r>
      <w:r>
        <mc:AlternateContent>
          <mc:Choice Requires="wps">
            <w:drawing>
              <wp:anchor behindDoc="0" distT="0" distB="0" distL="0" distR="0" simplePos="0" locked="0" layoutInCell="1" allowOverlap="1" relativeHeight="411">
                <wp:simplePos x="0" y="0"/>
                <wp:positionH relativeFrom="character">
                  <wp:align>left</wp:align>
                </wp:positionH>
                <wp:positionV relativeFrom="line">
                  <wp:posOffset>635</wp:posOffset>
                </wp:positionV>
                <wp:extent cx="6480175" cy="175260"/>
                <wp:effectExtent l="0" t="0" r="0" b="0"/>
                <wp:wrapNone/>
                <wp:docPr id="410" name="Frame40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240"/>
        <w:ind w:left="0" w:right="0" w:firstLine="432"/>
        <w:rPr>
          <w:rFonts w:ascii="Times New Roman;sans-serif" w:hAnsi="Times New Roman;sans-serif"/>
          <w:b w:val="false"/>
          <w:color w:val="000000"/>
          <w:sz w:val="22"/>
        </w:rPr>
      </w:pPr>
      <w:r>
        <w:rPr>
          <w:rFonts w:ascii="Times New Roman;sans-serif" w:hAnsi="Times New Roman;sans-serif"/>
          <w:b w:val="false"/>
          <w:color w:val="000000"/>
          <w:sz w:val="22"/>
        </w:rPr>
        <w:t>Our shareholders may from time to time by ordinary resolution:</w:t>
      </w:r>
    </w:p>
    <w:p>
      <w:pPr>
        <w:pStyle w:val="TextBody"/>
        <w:spacing w:lineRule="auto" w:line="288" w:before="0" w:after="240"/>
        <w:ind w:left="0" w:right="0" w:hanging="630"/>
        <w:rPr/>
      </w:pPr>
      <w:r>
        <w:rPr>
          <w:color w:val="000000"/>
        </w:rPr>
        <w:t>•</w:t>
      </w:r>
      <w:r>
        <w:rPr>
          <w:rFonts w:ascii="Times New Roman;sans-serif" w:hAnsi="Times New Roman;sans-serif"/>
          <w:b w:val="false"/>
          <w:color w:val="000000"/>
          <w:sz w:val="22"/>
        </w:rPr>
        <w:t>increase our share capital by such sum, to be divided into shares of such classes and amount, as the resolution shall prescribe;</w:t>
      </w:r>
    </w:p>
    <w:p>
      <w:pPr>
        <w:pStyle w:val="TextBody"/>
        <w:spacing w:lineRule="auto" w:line="288" w:before="0" w:after="0"/>
        <w:ind w:left="0" w:right="0" w:hanging="630"/>
        <w:rPr/>
      </w:pPr>
      <w:r>
        <w:rPr>
          <w:color w:val="000000"/>
        </w:rPr>
        <w:t>•</w:t>
      </w:r>
      <w:r>
        <w:rPr>
          <w:rFonts w:ascii="Times New Roman;sans-serif" w:hAnsi="Times New Roman;sans-serif"/>
          <w:b w:val="false"/>
          <w:color w:val="000000"/>
          <w:sz w:val="22"/>
        </w:rPr>
        <w:t>consolidate and divide all or any of our share capital into shares of a larger amount than our existing shares;</w:t>
      </w:r>
    </w:p>
    <w:p>
      <w:pPr>
        <w:pStyle w:val="TextBody"/>
        <w:spacing w:before="0" w:after="0"/>
        <w:ind w:left="0" w:right="0" w:hanging="270"/>
        <w:rPr/>
      </w:pPr>
      <w:r>
        <w:rPr/>
      </w:r>
    </w:p>
    <w:p>
      <w:pPr>
        <w:pStyle w:val="TextBody"/>
        <w:spacing w:lineRule="auto" w:line="288" w:before="0" w:after="0"/>
        <w:ind w:left="0" w:right="0" w:hanging="630"/>
        <w:rPr/>
      </w:pPr>
      <w:r>
        <w:rPr>
          <w:color w:val="000000"/>
        </w:rPr>
        <w:t>•</w:t>
      </w:r>
      <w:r>
        <w:rPr>
          <w:rFonts w:ascii="Times New Roman;sans-serif" w:hAnsi="Times New Roman;sans-serif"/>
          <w:b w:val="false"/>
          <w:color w:val="000000"/>
          <w:sz w:val="22"/>
        </w:rPr>
        <w:t>sub-divide our existing shares, or any of them into shares of a smaller amount, provided that in the subdivision the proportion between the amount paid and the amount, if any, unpaid on each reduced share shall be the same as it was in case of the share from which the reduced share is derived; or</w:t>
      </w:r>
    </w:p>
    <w:p>
      <w:pPr>
        <w:pStyle w:val="TextBody"/>
        <w:spacing w:before="0" w:after="0"/>
        <w:ind w:left="0" w:right="0" w:hanging="270"/>
        <w:rPr/>
      </w:pPr>
      <w:r>
        <w:rPr/>
      </w:r>
    </w:p>
    <w:p>
      <w:pPr>
        <w:pStyle w:val="TextBody"/>
        <w:spacing w:lineRule="auto" w:line="288" w:before="0" w:after="0"/>
        <w:ind w:left="0" w:right="0" w:hanging="630"/>
        <w:rPr/>
      </w:pPr>
      <w:r>
        <w:rPr>
          <w:color w:val="000000"/>
        </w:rPr>
        <w:t>•</w:t>
      </w:r>
      <w:r>
        <w:rPr>
          <w:rFonts w:ascii="Times New Roman;sans-serif" w:hAnsi="Times New Roman;sans-serif"/>
          <w:b w:val="false"/>
          <w:color w:val="000000"/>
          <w:sz w:val="22"/>
        </w:rPr>
        <w:t>cancel any shares which, at the date of the passing of the resolution, have not been taken or agreed to be taken by any person and diminish the amount of our share capital by the amount of the shares so canceled.</w:t>
      </w:r>
    </w:p>
    <w:p>
      <w:pPr>
        <w:pStyle w:val="TextBody"/>
        <w:spacing w:before="0" w:after="0"/>
        <w:rPr/>
      </w:pPr>
      <w:r>
        <w:rPr/>
      </w:r>
    </w:p>
    <w:p>
      <w:pPr>
        <w:pStyle w:val="TextBody"/>
        <w:spacing w:lineRule="auto" w:line="288" w:before="0" w:after="0"/>
        <w:ind w:left="0" w:right="0" w:firstLine="450"/>
        <w:rPr>
          <w:rFonts w:ascii="Times New Roman;sans-serif" w:hAnsi="Times New Roman;sans-serif"/>
          <w:b w:val="false"/>
          <w:color w:val="000000"/>
          <w:sz w:val="22"/>
        </w:rPr>
      </w:pPr>
      <w:r>
        <w:rPr>
          <w:rFonts w:ascii="Times New Roman;sans-serif" w:hAnsi="Times New Roman;sans-serif"/>
          <w:b w:val="false"/>
          <w:color w:val="000000"/>
          <w:sz w:val="22"/>
        </w:rPr>
        <w:t>Our shareholders may by special resolution, subject to confirmation by the Grand Court of the Cayman Islands on an application by our company for an order confirming such reduction, reduce our share capital or any capital redemption reserve in any manner permitted by law.</w:t>
      </w:r>
    </w:p>
    <w:p>
      <w:pPr>
        <w:pStyle w:val="TextBody"/>
        <w:spacing w:before="0" w:after="0"/>
        <w:rPr/>
      </w:pPr>
      <w:r>
        <w:rPr/>
      </w:r>
    </w:p>
    <w:p>
      <w:pPr>
        <w:pStyle w:val="TextBody"/>
        <w:spacing w:lineRule="auto" w:line="288" w:before="0" w:after="240"/>
        <w:rPr>
          <w:rFonts w:ascii="Times New Roman;sans-serif" w:hAnsi="Times New Roman;sans-serif"/>
          <w:b/>
          <w:color w:val="000000"/>
          <w:sz w:val="22"/>
        </w:rPr>
      </w:pPr>
      <w:r>
        <w:rPr>
          <w:rFonts w:ascii="Times New Roman;sans-serif" w:hAnsi="Times New Roman;sans-serif"/>
          <w:b/>
          <w:color w:val="000000"/>
          <w:sz w:val="22"/>
        </w:rPr>
        <w:t>Debt Securities (Item 12.A of Form 20-F)</w:t>
      </w:r>
    </w:p>
    <w:p>
      <w:pPr>
        <w:pStyle w:val="TextBody"/>
        <w:spacing w:lineRule="auto" w:line="288" w:before="0" w:after="240"/>
        <w:ind w:left="0" w:right="0" w:firstLine="432"/>
        <w:rPr>
          <w:rFonts w:ascii="Times New Roman;sans-serif" w:hAnsi="Times New Roman;sans-serif"/>
          <w:b w:val="false"/>
          <w:color w:val="000000"/>
          <w:sz w:val="22"/>
        </w:rPr>
      </w:pPr>
      <w:r>
        <w:rPr>
          <w:rFonts w:ascii="Times New Roman;sans-serif" w:hAnsi="Times New Roman;sans-serif"/>
          <w:b w:val="false"/>
          <w:color w:val="000000"/>
          <w:sz w:val="22"/>
        </w:rPr>
        <w:t>Not applicable.</w:t>
      </w:r>
    </w:p>
    <w:p>
      <w:pPr>
        <w:pStyle w:val="TextBody"/>
        <w:spacing w:lineRule="auto" w:line="288" w:before="0" w:after="240"/>
        <w:rPr>
          <w:rFonts w:ascii="Times New Roman;sans-serif" w:hAnsi="Times New Roman;sans-serif"/>
          <w:b/>
          <w:color w:val="000000"/>
          <w:sz w:val="22"/>
        </w:rPr>
      </w:pPr>
      <w:r>
        <w:rPr>
          <w:rFonts w:ascii="Times New Roman;sans-serif" w:hAnsi="Times New Roman;sans-serif"/>
          <w:b/>
          <w:color w:val="000000"/>
          <w:sz w:val="22"/>
        </w:rPr>
        <w:t>Warrants and Rights (Item 12.B of Form 20-F)</w:t>
      </w:r>
    </w:p>
    <w:p>
      <w:pPr>
        <w:pStyle w:val="TextBody"/>
        <w:spacing w:lineRule="auto" w:line="288" w:before="0" w:after="240"/>
        <w:ind w:left="0" w:right="0" w:firstLine="432"/>
        <w:rPr>
          <w:rFonts w:ascii="Times New Roman;sans-serif" w:hAnsi="Times New Roman;sans-serif"/>
          <w:b w:val="false"/>
          <w:color w:val="000000"/>
          <w:sz w:val="22"/>
        </w:rPr>
      </w:pPr>
      <w:r>
        <w:rPr>
          <w:rFonts w:ascii="Times New Roman;sans-serif" w:hAnsi="Times New Roman;sans-serif"/>
          <w:b w:val="false"/>
          <w:color w:val="000000"/>
          <w:sz w:val="22"/>
        </w:rPr>
        <w:t>Not applicable.</w:t>
      </w:r>
    </w:p>
    <w:p>
      <w:pPr>
        <w:pStyle w:val="TextBody"/>
        <w:spacing w:lineRule="auto" w:line="288" w:before="0" w:after="240"/>
        <w:rPr>
          <w:rFonts w:ascii="Times New Roman;sans-serif" w:hAnsi="Times New Roman;sans-serif"/>
          <w:b/>
          <w:color w:val="000000"/>
          <w:sz w:val="22"/>
        </w:rPr>
      </w:pPr>
      <w:r>
        <w:rPr>
          <w:rFonts w:ascii="Times New Roman;sans-serif" w:hAnsi="Times New Roman;sans-serif"/>
          <w:b/>
          <w:color w:val="000000"/>
          <w:sz w:val="22"/>
        </w:rPr>
        <w:t>Other Securities (Item 12.C of Form 20-F)</w:t>
      </w:r>
    </w:p>
    <w:p>
      <w:pPr>
        <w:pStyle w:val="TextBody"/>
        <w:spacing w:lineRule="auto" w:line="288" w:before="0" w:after="240"/>
        <w:ind w:left="0" w:right="0" w:firstLine="432"/>
        <w:rPr>
          <w:rFonts w:ascii="Times New Roman;sans-serif" w:hAnsi="Times New Roman;sans-serif"/>
          <w:b w:val="false"/>
          <w:color w:val="000000"/>
          <w:sz w:val="22"/>
        </w:rPr>
      </w:pPr>
      <w:r>
        <w:rPr>
          <w:rFonts w:ascii="Times New Roman;sans-serif" w:hAnsi="Times New Roman;sans-serif"/>
          <w:b w:val="false"/>
          <w:color w:val="000000"/>
          <w:sz w:val="22"/>
        </w:rPr>
        <w:t xml:space="preserve">Not applicable. </w:t>
      </w:r>
    </w:p>
    <w:p>
      <w:pPr>
        <w:pStyle w:val="TextBody"/>
        <w:spacing w:lineRule="auto" w:line="288" w:before="0" w:after="240"/>
        <w:rPr>
          <w:rFonts w:ascii="Times New Roman;sans-serif" w:hAnsi="Times New Roman;sans-serif"/>
          <w:b/>
          <w:color w:val="000000"/>
          <w:sz w:val="22"/>
        </w:rPr>
      </w:pPr>
      <w:r>
        <w:rPr>
          <w:rFonts w:ascii="Times New Roman;sans-serif" w:hAnsi="Times New Roman;sans-serif"/>
          <w:b/>
          <w:color w:val="000000"/>
          <w:sz w:val="22"/>
        </w:rPr>
        <w:t xml:space="preserve">Description of American Depositary Shares (Item 12.D.1 and 12.D.2 of Form 20-F) </w:t>
      </w:r>
    </w:p>
    <w:p>
      <w:pPr>
        <w:pStyle w:val="TextBody"/>
        <w:spacing w:lineRule="auto" w:line="288" w:before="0" w:after="240"/>
        <w:ind w:left="0" w:right="0" w:firstLine="432"/>
        <w:rPr>
          <w:rFonts w:ascii="Times New Roman;sans-serif" w:hAnsi="Times New Roman;sans-serif"/>
          <w:b w:val="false"/>
          <w:color w:val="000000"/>
          <w:sz w:val="22"/>
        </w:rPr>
      </w:pPr>
      <w:r>
        <w:rPr>
          <w:rFonts w:ascii="Times New Roman;sans-serif" w:hAnsi="Times New Roman;sans-serif"/>
          <w:b w:val="false"/>
          <w:color w:val="000000"/>
          <w:sz w:val="22"/>
        </w:rPr>
        <w:t>The Bank of New York Mellon, as depositary, will register and deliver American Depositary Shares, also referred to as ADSs. Each ADS represents four Class A ordinary shares (or a right to receive four Class A ordinary shares) deposited with The Hongkong and Shanghai Banking Corporation Limited, as custodian for the depositary in Hong Kong. Each ADS will also represent any other securities, cash or other property which may be held by the depositary. The deposited shares together with any other securities, cash or other property held by the depositary are referred to as the deposited securities. The depositary’s office at which the ADSs will be administered and its principal executive office are located at 240 Greenwich Street, New York, New York 10286.</w:t>
      </w:r>
    </w:p>
    <w:p>
      <w:pPr>
        <w:pStyle w:val="TextBody"/>
        <w:spacing w:lineRule="auto" w:line="288" w:before="0" w:after="240"/>
        <w:ind w:left="0" w:right="0" w:firstLine="432"/>
        <w:rPr>
          <w:rFonts w:ascii="Times New Roman;sans-serif" w:hAnsi="Times New Roman;sans-serif"/>
          <w:b w:val="false"/>
          <w:color w:val="000000"/>
          <w:sz w:val="22"/>
        </w:rPr>
      </w:pPr>
      <w:r>
        <w:rPr>
          <w:rFonts w:ascii="Times New Roman;sans-serif" w:hAnsi="Times New Roman;sans-serif"/>
          <w:b w:val="false"/>
          <w:color w:val="000000"/>
          <w:sz w:val="22"/>
        </w:rPr>
        <w:t xml:space="preserve">You may hold ADSs either (1) directly (a) by having an American Depositary Receipt, also referred to as an ADR, which is a certificate evidencing a specific number of ADSs, registered in your name, or (b) by having uncertificated ADSs registered in your name, or (2) indirectly by holding a security entitlement in ADSs through your broker or other financial institution that is a direct or indirect participant in The Depository Trust Company, or DTC. If you hold ADSs directly, you are a registered ADS holder, or an ADS holder. This description assumes you are an ADS holder. If you hold the ADSs </w:t>
      </w:r>
      <w:r>
        <w:br w:type="page"/>
      </w:r>
    </w:p>
    <w:p>
      <w:pPr>
        <w:pStyle w:val="TextBody"/>
        <w:spacing w:before="0" w:after="0"/>
        <w:rPr/>
      </w:pPr>
      <w:r>
        <w:rPr/>
      </w:r>
      <w:r>
        <mc:AlternateContent>
          <mc:Choice Requires="wps">
            <w:drawing>
              <wp:anchor behindDoc="0" distT="0" distB="0" distL="0" distR="0" simplePos="0" locked="0" layoutInCell="1" allowOverlap="1" relativeHeight="412">
                <wp:simplePos x="0" y="0"/>
                <wp:positionH relativeFrom="character">
                  <wp:align>left</wp:align>
                </wp:positionH>
                <wp:positionV relativeFrom="line">
                  <wp:posOffset>635</wp:posOffset>
                </wp:positionV>
                <wp:extent cx="6480175" cy="175260"/>
                <wp:effectExtent l="0" t="0" r="0" b="0"/>
                <wp:wrapNone/>
                <wp:docPr id="411" name="Frame40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240"/>
        <w:rPr>
          <w:rFonts w:ascii="Times New Roman;sans-serif" w:hAnsi="Times New Roman;sans-serif"/>
          <w:b w:val="false"/>
          <w:color w:val="000000"/>
          <w:sz w:val="22"/>
        </w:rPr>
      </w:pPr>
      <w:r>
        <w:rPr>
          <w:rFonts w:ascii="Times New Roman;sans-serif" w:hAnsi="Times New Roman;sans-serif"/>
          <w:b w:val="false"/>
          <w:color w:val="000000"/>
          <w:sz w:val="22"/>
        </w:rPr>
        <w:t>indirectly, you must rely on the procedures of your broker or other financial institution to assert the rights of ADS holders described in this section. You should consult with your broker or financial institution to find out what those procedures are.</w:t>
      </w:r>
    </w:p>
    <w:p>
      <w:pPr>
        <w:pStyle w:val="TextBody"/>
        <w:spacing w:lineRule="auto" w:line="288" w:before="0" w:after="240"/>
        <w:ind w:left="0" w:right="0" w:firstLine="432"/>
        <w:rPr>
          <w:rFonts w:ascii="Times New Roman;sans-serif" w:hAnsi="Times New Roman;sans-serif"/>
          <w:b w:val="false"/>
          <w:color w:val="000000"/>
          <w:sz w:val="22"/>
        </w:rPr>
      </w:pPr>
      <w:r>
        <w:rPr>
          <w:rFonts w:ascii="Times New Roman;sans-serif" w:hAnsi="Times New Roman;sans-serif"/>
          <w:b w:val="false"/>
          <w:color w:val="000000"/>
          <w:sz w:val="22"/>
        </w:rPr>
        <w:t>Registered holders of uncertificated ADSs will receive statements from the depositary confirming their holdings.</w:t>
      </w:r>
    </w:p>
    <w:p>
      <w:pPr>
        <w:pStyle w:val="TextBody"/>
        <w:spacing w:lineRule="auto" w:line="288" w:before="0" w:after="240"/>
        <w:ind w:left="0" w:right="0" w:firstLine="432"/>
        <w:rPr>
          <w:rFonts w:ascii="Times New Roman;sans-serif" w:hAnsi="Times New Roman;sans-serif"/>
          <w:b w:val="false"/>
          <w:color w:val="000000"/>
          <w:sz w:val="22"/>
        </w:rPr>
      </w:pPr>
      <w:r>
        <w:rPr>
          <w:rFonts w:ascii="Times New Roman;sans-serif" w:hAnsi="Times New Roman;sans-serif"/>
          <w:b w:val="false"/>
          <w:color w:val="000000"/>
          <w:sz w:val="22"/>
        </w:rPr>
        <w:t>As an ADS holder, we will not treat you as one of our shareholders and you will not have shareholder rights. Cayman Islands law governs shareholder rights. The depositary will be the holder of the shares underlying your ADSs. As a registered holder of ADSs, you will have ADS holder rights. A deposit agreement among us, the depositary, ADS holders and all other persons indirectly or beneficially holding ADSs sets out ADS holder rights as well as the rights and obligations of the depositary. New York law governs the deposit agreement and the ADSs.</w:t>
      </w:r>
    </w:p>
    <w:p>
      <w:pPr>
        <w:pStyle w:val="TextBody"/>
        <w:spacing w:lineRule="auto" w:line="288" w:before="0" w:after="240"/>
        <w:ind w:left="0" w:right="0" w:firstLine="432"/>
        <w:rPr>
          <w:rFonts w:ascii="Times New Roman;sans-serif" w:hAnsi="Times New Roman;sans-serif"/>
          <w:b w:val="false"/>
          <w:color w:val="000000"/>
          <w:sz w:val="22"/>
        </w:rPr>
      </w:pPr>
      <w:r>
        <w:rPr>
          <w:rFonts w:ascii="Times New Roman;sans-serif" w:hAnsi="Times New Roman;sans-serif"/>
          <w:b w:val="false"/>
          <w:color w:val="000000"/>
          <w:sz w:val="22"/>
        </w:rPr>
        <w:t>The following is a summary of what we believe to be the material terms of the deposit agreement. Notwithstanding this, because it is a summary, it may not contain all the information that you may otherwise deem important. For more complete information, you should read the entire deposit agreement and the form of ADR which contains the terms of your ADSs, which are filed as exhibits to our registration statement on Form F-1 (File No. 333-238960), as amended, initially filed with the SEC on June 5, 2020.</w:t>
      </w:r>
    </w:p>
    <w:p>
      <w:pPr>
        <w:pStyle w:val="TextBody"/>
        <w:spacing w:lineRule="auto" w:line="288" w:before="0" w:after="240"/>
        <w:rPr>
          <w:rFonts w:ascii="Times New Roman;sans-serif" w:hAnsi="Times New Roman;sans-serif"/>
          <w:b/>
          <w:i/>
          <w:color w:val="000000"/>
          <w:sz w:val="22"/>
        </w:rPr>
      </w:pPr>
      <w:r>
        <w:rPr>
          <w:rFonts w:ascii="Times New Roman;sans-serif" w:hAnsi="Times New Roman;sans-serif"/>
          <w:b/>
          <w:i/>
          <w:color w:val="000000"/>
          <w:sz w:val="22"/>
        </w:rPr>
        <w:t>Dividends and Other Distributions</w:t>
      </w:r>
    </w:p>
    <w:p>
      <w:pPr>
        <w:pStyle w:val="TextBody"/>
        <w:spacing w:lineRule="auto" w:line="288" w:before="0" w:after="240"/>
        <w:rPr>
          <w:rFonts w:ascii="Times New Roman;sans-serif" w:hAnsi="Times New Roman;sans-serif"/>
          <w:b w:val="false"/>
          <w:i/>
          <w:color w:val="000000"/>
          <w:sz w:val="22"/>
        </w:rPr>
      </w:pPr>
      <w:r>
        <w:rPr>
          <w:rFonts w:ascii="Times New Roman;sans-serif" w:hAnsi="Times New Roman;sans-serif"/>
          <w:b w:val="false"/>
          <w:i/>
          <w:color w:val="000000"/>
          <w:sz w:val="22"/>
        </w:rPr>
        <w:t>How Will You Receive Dividends and Other Distributions on the Shares?</w:t>
      </w:r>
    </w:p>
    <w:p>
      <w:pPr>
        <w:pStyle w:val="TextBody"/>
        <w:spacing w:lineRule="auto" w:line="288" w:before="0" w:after="240"/>
        <w:ind w:left="0" w:right="0" w:firstLine="432"/>
        <w:rPr>
          <w:rFonts w:ascii="Times New Roman;sans-serif" w:hAnsi="Times New Roman;sans-serif"/>
          <w:b w:val="false"/>
          <w:color w:val="000000"/>
          <w:sz w:val="22"/>
        </w:rPr>
      </w:pPr>
      <w:r>
        <w:rPr>
          <w:rFonts w:ascii="Times New Roman;sans-serif" w:hAnsi="Times New Roman;sans-serif"/>
          <w:b w:val="false"/>
          <w:color w:val="000000"/>
          <w:sz w:val="22"/>
        </w:rPr>
        <w:t>The depositary has agreed to pay or distribute to ADS holders the cash dividends or other distributions it or the custodian receives on shares or other deposited securities, upon payment or deduction of its fees and expenses. You will receive these distributions in proportion to the number of shares your ADSs represent.</w:t>
      </w:r>
    </w:p>
    <w:p>
      <w:pPr>
        <w:pStyle w:val="TextBody"/>
        <w:spacing w:lineRule="auto" w:line="288" w:before="0" w:after="240"/>
        <w:ind w:left="0" w:right="0" w:hanging="432"/>
        <w:rPr/>
      </w:pPr>
      <w:r>
        <w:rPr>
          <w:color w:val="000000"/>
        </w:rPr>
        <w:t>•</w:t>
      </w:r>
      <w:r>
        <w:rPr>
          <w:rFonts w:ascii="Times New Roman;sans-serif" w:hAnsi="Times New Roman;sans-serif"/>
          <w:b w:val="false"/>
          <w:i/>
          <w:color w:val="000000"/>
          <w:sz w:val="22"/>
        </w:rPr>
        <w:t>Cash.</w:t>
      </w:r>
      <w:r>
        <w:rPr>
          <w:color w:val="000000"/>
        </w:rPr>
        <w:t xml:space="preserve"> </w:t>
      </w:r>
      <w:r>
        <w:rPr>
          <w:rFonts w:ascii="Times New Roman;sans-serif" w:hAnsi="Times New Roman;sans-serif"/>
          <w:b w:val="false"/>
          <w:color w:val="000000"/>
          <w:sz w:val="22"/>
        </w:rPr>
        <w:t>The depositary will convert any cash dividend or other cash distribution we pay on the shares into U.S. dollars, if it can do so on a reasonable basis and can transfer the U.S. dollars to the United States. If that is not possible or if any government approval is needed and cannot be obtained, the deposit agreement allows the depositary to distribute the foreign currency only to those ADS holders to whom it is possible to do so. It will hold the foreign currency it cannot convert for the account of the ADS holders who have not been paid. It will not invest the foreign currency and it will not be liable for any interest.</w:t>
      </w:r>
    </w:p>
    <w:p>
      <w:pPr>
        <w:pStyle w:val="TextBody"/>
        <w:spacing w:lineRule="auto" w:line="288" w:before="0" w:after="240"/>
        <w:rPr>
          <w:rFonts w:ascii="Times New Roman;sans-serif" w:hAnsi="Times New Roman;sans-serif"/>
          <w:b w:val="false"/>
          <w:color w:val="000000"/>
          <w:sz w:val="22"/>
        </w:rPr>
      </w:pPr>
      <w:r>
        <w:rPr>
          <w:rFonts w:ascii="Times New Roman;sans-serif" w:hAnsi="Times New Roman;sans-serif"/>
          <w:b w:val="false"/>
          <w:color w:val="000000"/>
          <w:sz w:val="22"/>
        </w:rPr>
        <w:t>Before making a distribution, any withholding taxes or other governmental charges that must be paid will be deducted. The depositary will distribute only whole U.S. dollars and cents and will round fractional cents to the nearest whole cent. If the exchange rates fluctuate during a time when the depositary cannot convert the foreign currency, you may lose some of the value of the distribution.</w:t>
      </w:r>
    </w:p>
    <w:p>
      <w:pPr>
        <w:pStyle w:val="TextBody"/>
        <w:spacing w:lineRule="auto" w:line="288" w:before="0" w:after="240"/>
        <w:ind w:left="0" w:right="0" w:hanging="432"/>
        <w:rPr/>
      </w:pPr>
      <w:r>
        <w:rPr>
          <w:color w:val="000000"/>
        </w:rPr>
        <w:t>•</w:t>
      </w:r>
      <w:r>
        <w:rPr>
          <w:rFonts w:ascii="Times New Roman;sans-serif" w:hAnsi="Times New Roman;sans-serif"/>
          <w:b w:val="false"/>
          <w:i/>
          <w:color w:val="000000"/>
          <w:sz w:val="22"/>
        </w:rPr>
        <w:t xml:space="preserve">Shares. </w:t>
      </w:r>
      <w:r>
        <w:rPr>
          <w:rFonts w:ascii="Times New Roman;sans-serif" w:hAnsi="Times New Roman;sans-serif"/>
          <w:b w:val="false"/>
          <w:color w:val="000000"/>
          <w:sz w:val="22"/>
        </w:rPr>
        <w:t xml:space="preserve">The depositary may distribute additional ADSs representing any shares we distribute as a dividend or free distribution. The depositary will only distribute whole ADSs. It will sell shares which would require it to deliver a fraction of an ADS (or ADSs representing those shares) and distribute the net proceeds in the same way as it does with cash. If the depositary does not distribute additional ADSs, the outstanding ADSs will also represent the new shares. </w:t>
      </w:r>
      <w:r>
        <w:br w:type="page"/>
      </w:r>
    </w:p>
    <w:p>
      <w:pPr>
        <w:pStyle w:val="TextBody"/>
        <w:spacing w:before="0" w:after="0"/>
        <w:rPr/>
      </w:pPr>
      <w:r>
        <w:rPr/>
      </w:r>
      <w:r>
        <mc:AlternateContent>
          <mc:Choice Requires="wps">
            <w:drawing>
              <wp:anchor behindDoc="0" distT="0" distB="0" distL="0" distR="0" simplePos="0" locked="0" layoutInCell="1" allowOverlap="1" relativeHeight="413">
                <wp:simplePos x="0" y="0"/>
                <wp:positionH relativeFrom="character">
                  <wp:align>left</wp:align>
                </wp:positionH>
                <wp:positionV relativeFrom="line">
                  <wp:posOffset>635</wp:posOffset>
                </wp:positionV>
                <wp:extent cx="6480175" cy="175260"/>
                <wp:effectExtent l="0" t="0" r="0" b="0"/>
                <wp:wrapNone/>
                <wp:docPr id="412" name="Frame40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240"/>
        <w:rPr>
          <w:rFonts w:ascii="Times New Roman;sans-serif" w:hAnsi="Times New Roman;sans-serif"/>
          <w:b w:val="false"/>
          <w:color w:val="000000"/>
          <w:sz w:val="22"/>
        </w:rPr>
      </w:pPr>
      <w:r>
        <w:rPr>
          <w:rFonts w:ascii="Times New Roman;sans-serif" w:hAnsi="Times New Roman;sans-serif"/>
          <w:b w:val="false"/>
          <w:color w:val="000000"/>
          <w:sz w:val="22"/>
        </w:rPr>
        <w:t>The depositary may sell a portion of the distributed shares (or ADSs representing those shares) sufficient to pay its fees and expenses in connection with that distribution.</w:t>
      </w:r>
    </w:p>
    <w:p>
      <w:pPr>
        <w:pStyle w:val="TextBody"/>
        <w:spacing w:lineRule="auto" w:line="288" w:before="0" w:after="240"/>
        <w:ind w:left="0" w:right="0" w:hanging="432"/>
        <w:rPr/>
      </w:pPr>
      <w:r>
        <w:rPr>
          <w:color w:val="000000"/>
        </w:rPr>
        <w:t>•</w:t>
      </w:r>
      <w:r>
        <w:rPr>
          <w:rFonts w:ascii="Times New Roman;sans-serif" w:hAnsi="Times New Roman;sans-serif"/>
          <w:b w:val="false"/>
          <w:i/>
          <w:color w:val="000000"/>
          <w:sz w:val="22"/>
        </w:rPr>
        <w:t>Rights to Purchase Additional Shares.</w:t>
      </w:r>
      <w:r>
        <w:rPr>
          <w:color w:val="000000"/>
        </w:rPr>
        <w:t xml:space="preserve"> </w:t>
      </w:r>
      <w:r>
        <w:rPr>
          <w:rFonts w:ascii="Times New Roman;sans-serif" w:hAnsi="Times New Roman;sans-serif"/>
          <w:b w:val="false"/>
          <w:color w:val="000000"/>
          <w:sz w:val="22"/>
        </w:rPr>
        <w:t>If we offer holders of our securities any rights to subscribe for additional shares or any other rights, the depositary may (1) exercise those rights on behalf of ADS holders, (2) distribute those rights to ADS holders or (3) sell those rights and distribute the net proceeds to ADS holders, in each case after deduction or upon payment of its fees and expenses. To the extent the depositary does not do any of those things, it will allow the rights to lapse. In that case, you will receive no value for them. The depositary will exercise or distribute rights only if we ask it to and provide satisfactory assurances to the depositary that it is legal to do so. If the depositary will exercise rights, it will purchase the securities to which the rights relate and distribute those securities or, in the case of shares, new ADSs representing the new shares, to subscribing ADS holders, but only if ADS holders have paid the exercise price to the depositary. U.S. securities laws may restrict the ability of the depositary to distribute rights or ADSs or other securities issued on exercise of rights to all or certain ADS holders, and the securities distributed may be subject to restrictions on transfer.</w:t>
      </w:r>
    </w:p>
    <w:p>
      <w:pPr>
        <w:pStyle w:val="TextBody"/>
        <w:spacing w:lineRule="auto" w:line="288" w:before="0" w:after="240"/>
        <w:ind w:left="0" w:right="0" w:hanging="432"/>
        <w:rPr/>
      </w:pPr>
      <w:r>
        <w:rPr>
          <w:color w:val="000000"/>
        </w:rPr>
        <w:t>•</w:t>
      </w:r>
      <w:r>
        <w:rPr>
          <w:rFonts w:ascii="Times New Roman;sans-serif" w:hAnsi="Times New Roman;sans-serif"/>
          <w:b w:val="false"/>
          <w:i/>
          <w:color w:val="000000"/>
          <w:sz w:val="22"/>
        </w:rPr>
        <w:t>Other Distributions.</w:t>
      </w:r>
      <w:r>
        <w:rPr>
          <w:color w:val="000000"/>
        </w:rPr>
        <w:t xml:space="preserve"> </w:t>
      </w:r>
      <w:r>
        <w:rPr>
          <w:rFonts w:ascii="Times New Roman;sans-serif" w:hAnsi="Times New Roman;sans-serif"/>
          <w:b w:val="false"/>
          <w:color w:val="000000"/>
          <w:sz w:val="22"/>
        </w:rPr>
        <w:t xml:space="preserve">The depositary will send to ADS holders anything else we distribute on deposited securities by any means it thinks is legal, fair and practical. If it cannot make the distribution in that way, the depositary has a choice. It may decide to sell what we distributed and distribute the net proceeds, in the same way as it does with cash. Or, it may decide to hold what we distributed, in which case ADSs will also represent the newly distributed property. However, the depositary is not required to distribute any securities (other than ADSs) to ADS holders unless it receives satisfactory evidence from us that it is legal to make that distribution. The depositary may sell a portion of the distributed securities or property sufficient to pay its fees and expenses in connection with that distribution. U.S. securities laws may restrict the ability of the depositary to distribute securities to all or certain ADS holders, and the securities distributed may be subject to restrictions on transfer. </w:t>
      </w:r>
    </w:p>
    <w:p>
      <w:pPr>
        <w:pStyle w:val="TextBody"/>
        <w:spacing w:lineRule="auto" w:line="288" w:before="0" w:after="240"/>
        <w:rPr/>
      </w:pPr>
      <w:r>
        <w:rPr>
          <w:rFonts w:ascii="Times New Roman;sans-serif" w:hAnsi="Times New Roman;sans-serif"/>
          <w:b w:val="false"/>
          <w:color w:val="000000"/>
          <w:sz w:val="22"/>
        </w:rPr>
        <w:t xml:space="preserve">The depositary is not responsible if it decides that it is unlawful or impractical to make a distribution available to any ADS holders. We have no obligation to register ADSs, shares, rights or other securities under the Securities Act. We also have no obligation to take any other action to permit the distribution of ADSs, shares, rights or anything else to ADS holders. </w:t>
      </w:r>
      <w:r>
        <w:rPr>
          <w:rFonts w:ascii="Times New Roman;sans-serif" w:hAnsi="Times New Roman;sans-serif"/>
          <w:b w:val="false"/>
          <w:i/>
          <w:color w:val="000000"/>
          <w:sz w:val="22"/>
        </w:rPr>
        <w:t>This means that you may not receive the distributions we make on our shares or any value for them if it is illegal or impractical for us to make them available to you.</w:t>
      </w:r>
    </w:p>
    <w:p>
      <w:pPr>
        <w:pStyle w:val="TextBody"/>
        <w:spacing w:lineRule="auto" w:line="288" w:before="0" w:after="240"/>
        <w:rPr>
          <w:rFonts w:ascii="Times New Roman;sans-serif" w:hAnsi="Times New Roman;sans-serif"/>
          <w:b/>
          <w:i/>
          <w:color w:val="000000"/>
          <w:sz w:val="22"/>
        </w:rPr>
      </w:pPr>
      <w:r>
        <w:rPr>
          <w:rFonts w:ascii="Times New Roman;sans-serif" w:hAnsi="Times New Roman;sans-serif"/>
          <w:b/>
          <w:i/>
          <w:color w:val="000000"/>
          <w:sz w:val="22"/>
        </w:rPr>
        <w:t xml:space="preserve">Deposit, Withdrawal and Cancellation </w:t>
      </w:r>
    </w:p>
    <w:p>
      <w:pPr>
        <w:pStyle w:val="TextBody"/>
        <w:spacing w:lineRule="auto" w:line="288" w:before="0" w:after="240"/>
        <w:rPr>
          <w:rFonts w:ascii="Times New Roman;sans-serif" w:hAnsi="Times New Roman;sans-serif"/>
          <w:b w:val="false"/>
          <w:i/>
          <w:color w:val="000000"/>
          <w:sz w:val="22"/>
        </w:rPr>
      </w:pPr>
      <w:r>
        <w:rPr>
          <w:rFonts w:ascii="Times New Roman;sans-serif" w:hAnsi="Times New Roman;sans-serif"/>
          <w:b w:val="false"/>
          <w:i/>
          <w:color w:val="000000"/>
          <w:sz w:val="22"/>
        </w:rPr>
        <w:t>How Are ADSs Issued?</w:t>
      </w:r>
    </w:p>
    <w:p>
      <w:pPr>
        <w:pStyle w:val="TextBody"/>
        <w:spacing w:lineRule="auto" w:line="288" w:before="0" w:after="240"/>
        <w:ind w:left="0" w:right="0" w:firstLine="432"/>
        <w:rPr>
          <w:rFonts w:ascii="Times New Roman;sans-serif" w:hAnsi="Times New Roman;sans-serif"/>
          <w:b w:val="false"/>
          <w:color w:val="000000"/>
          <w:sz w:val="22"/>
        </w:rPr>
      </w:pPr>
      <w:r>
        <w:rPr>
          <w:rFonts w:ascii="Times New Roman;sans-serif" w:hAnsi="Times New Roman;sans-serif"/>
          <w:b w:val="false"/>
          <w:color w:val="000000"/>
          <w:sz w:val="22"/>
        </w:rPr>
        <w:t>The depositary will deliver ADSs if you or your broker deposits shares or evidence of rights to receive shares with the custodian. Upon payment of its fees and expenses and of any taxes or charges, such as stamp taxes or stock transfer taxes or fees, the depositary will register the appropriate number of ADSs in the names you request and will deliver the ADSs to or upon the order of the person or persons that made the deposit.</w:t>
      </w:r>
    </w:p>
    <w:p>
      <w:pPr>
        <w:pStyle w:val="TextBody"/>
        <w:spacing w:lineRule="auto" w:line="288" w:before="0" w:after="240"/>
        <w:rPr>
          <w:rFonts w:ascii="Times New Roman;sans-serif" w:hAnsi="Times New Roman;sans-serif"/>
          <w:b w:val="false"/>
          <w:i/>
          <w:color w:val="000000"/>
          <w:sz w:val="22"/>
        </w:rPr>
      </w:pPr>
      <w:r>
        <w:rPr>
          <w:rFonts w:ascii="Times New Roman;sans-serif" w:hAnsi="Times New Roman;sans-serif"/>
          <w:b w:val="false"/>
          <w:i/>
          <w:color w:val="000000"/>
          <w:sz w:val="22"/>
        </w:rPr>
        <w:t>How Can ADS Holders Withdraw the Deposited Securities?</w:t>
      </w:r>
    </w:p>
    <w:p>
      <w:pPr>
        <w:pStyle w:val="TextBody"/>
        <w:spacing w:lineRule="auto" w:line="288" w:before="0" w:after="240"/>
        <w:ind w:left="0" w:right="0" w:firstLine="432"/>
        <w:rPr>
          <w:rFonts w:ascii="Times New Roman;sans-serif" w:hAnsi="Times New Roman;sans-serif"/>
          <w:b w:val="false"/>
          <w:color w:val="000000"/>
          <w:sz w:val="22"/>
        </w:rPr>
      </w:pPr>
      <w:r>
        <w:rPr>
          <w:rFonts w:ascii="Times New Roman;sans-serif" w:hAnsi="Times New Roman;sans-serif"/>
          <w:b w:val="false"/>
          <w:color w:val="000000"/>
          <w:sz w:val="22"/>
        </w:rPr>
        <w:t xml:space="preserve">You may surrender your ADSs to the depositary for the purpose of withdrawal. Upon payment of its fees and expenses and of any taxes or charges, such as stamp taxes or stock transfer taxes or fees, the </w:t>
      </w:r>
      <w:r>
        <w:br w:type="page"/>
      </w:r>
    </w:p>
    <w:p>
      <w:pPr>
        <w:pStyle w:val="TextBody"/>
        <w:spacing w:before="0" w:after="0"/>
        <w:rPr/>
      </w:pPr>
      <w:r>
        <w:rPr/>
      </w:r>
      <w:r>
        <mc:AlternateContent>
          <mc:Choice Requires="wps">
            <w:drawing>
              <wp:anchor behindDoc="0" distT="0" distB="0" distL="0" distR="0" simplePos="0" locked="0" layoutInCell="1" allowOverlap="1" relativeHeight="414">
                <wp:simplePos x="0" y="0"/>
                <wp:positionH relativeFrom="character">
                  <wp:align>left</wp:align>
                </wp:positionH>
                <wp:positionV relativeFrom="line">
                  <wp:posOffset>635</wp:posOffset>
                </wp:positionV>
                <wp:extent cx="6480175" cy="175260"/>
                <wp:effectExtent l="0" t="0" r="0" b="0"/>
                <wp:wrapNone/>
                <wp:docPr id="413" name="Frame410"/>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240"/>
        <w:rPr>
          <w:rFonts w:ascii="Times New Roman;sans-serif" w:hAnsi="Times New Roman;sans-serif"/>
          <w:b w:val="false"/>
          <w:color w:val="000000"/>
          <w:sz w:val="22"/>
        </w:rPr>
      </w:pPr>
      <w:r>
        <w:rPr>
          <w:rFonts w:ascii="Times New Roman;sans-serif" w:hAnsi="Times New Roman;sans-serif"/>
          <w:b w:val="false"/>
          <w:color w:val="000000"/>
          <w:sz w:val="22"/>
        </w:rPr>
        <w:t>depositary will deliver the shares and any other deposited securities underlying the ADSs to the ADS holder or a person the ADS holder designates at the office of the custodian. Or, at your request, risk and expense, the depositary will deliver the deposited securities at its office, if feasible. However, the depositary is not required to accept surrender of ADSs to the extent it would require delivery of a fraction of a deposited share or other security. The depositary may charge you a fee and its expenses for instructing the custodian regarding delivery of deposited securities.</w:t>
      </w:r>
    </w:p>
    <w:p>
      <w:pPr>
        <w:pStyle w:val="TextBody"/>
        <w:spacing w:lineRule="auto" w:line="288" w:before="0" w:after="240"/>
        <w:rPr>
          <w:rFonts w:ascii="Times New Roman;sans-serif" w:hAnsi="Times New Roman;sans-serif"/>
          <w:b w:val="false"/>
          <w:i/>
          <w:color w:val="000000"/>
          <w:sz w:val="22"/>
        </w:rPr>
      </w:pPr>
      <w:r>
        <w:rPr>
          <w:rFonts w:ascii="Times New Roman;sans-serif" w:hAnsi="Times New Roman;sans-serif"/>
          <w:b w:val="false"/>
          <w:i/>
          <w:color w:val="000000"/>
          <w:sz w:val="22"/>
        </w:rPr>
        <w:t>How Do ADS Holders Interchange Between Certificated ADSs and Uncertificated ADSs?</w:t>
      </w:r>
    </w:p>
    <w:p>
      <w:pPr>
        <w:pStyle w:val="TextBody"/>
        <w:spacing w:lineRule="auto" w:line="288" w:before="0" w:after="240"/>
        <w:ind w:left="0" w:right="0" w:firstLine="432"/>
        <w:rPr>
          <w:rFonts w:ascii="Times New Roman;sans-serif" w:hAnsi="Times New Roman;sans-serif"/>
          <w:b w:val="false"/>
          <w:color w:val="000000"/>
          <w:sz w:val="22"/>
        </w:rPr>
      </w:pPr>
      <w:r>
        <w:rPr>
          <w:rFonts w:ascii="Times New Roman;sans-serif" w:hAnsi="Times New Roman;sans-serif"/>
          <w:b w:val="false"/>
          <w:color w:val="000000"/>
          <w:sz w:val="22"/>
        </w:rPr>
        <w:t>You may surrender your ADR to the depositary for the purpose of exchanging your ADR for uncertificated ADSs. The depositary will cancel that ADR and will send to the ADS holder a statement confirming that the ADS holder is the registered holder of uncertificated ADSs. Upon receipt by the depositary of a proper instruction from a registered holder of uncertificated ADSs requesting the exchange of uncertificated ADSs for certificated ADSs, the depositary will execute and deliver to the ADS holder an ADR evidencing those ADSs.</w:t>
      </w:r>
    </w:p>
    <w:p>
      <w:pPr>
        <w:pStyle w:val="TextBody"/>
        <w:spacing w:lineRule="auto" w:line="288" w:before="0" w:after="240"/>
        <w:rPr>
          <w:rFonts w:ascii="Times New Roman;sans-serif" w:hAnsi="Times New Roman;sans-serif"/>
          <w:b/>
          <w:i/>
          <w:color w:val="000000"/>
          <w:sz w:val="22"/>
        </w:rPr>
      </w:pPr>
      <w:r>
        <w:rPr>
          <w:rFonts w:ascii="Times New Roman;sans-serif" w:hAnsi="Times New Roman;sans-serif"/>
          <w:b/>
          <w:i/>
          <w:color w:val="000000"/>
          <w:sz w:val="22"/>
        </w:rPr>
        <w:t>Voting Rights</w:t>
      </w:r>
    </w:p>
    <w:p>
      <w:pPr>
        <w:pStyle w:val="TextBody"/>
        <w:spacing w:lineRule="auto" w:line="288" w:before="0" w:after="240"/>
        <w:rPr>
          <w:rFonts w:ascii="Times New Roman;sans-serif" w:hAnsi="Times New Roman;sans-serif"/>
          <w:b w:val="false"/>
          <w:i/>
          <w:color w:val="000000"/>
          <w:sz w:val="22"/>
        </w:rPr>
      </w:pPr>
      <w:r>
        <w:rPr>
          <w:rFonts w:ascii="Times New Roman;sans-serif" w:hAnsi="Times New Roman;sans-serif"/>
          <w:b w:val="false"/>
          <w:i/>
          <w:color w:val="000000"/>
          <w:sz w:val="22"/>
        </w:rPr>
        <w:t>How Do You Vote?</w:t>
      </w:r>
    </w:p>
    <w:p>
      <w:pPr>
        <w:pStyle w:val="TextBody"/>
        <w:spacing w:lineRule="auto" w:line="288" w:before="0" w:after="240"/>
        <w:ind w:left="0" w:right="0" w:firstLine="432"/>
        <w:rPr>
          <w:rFonts w:ascii="Times New Roman;sans-serif" w:hAnsi="Times New Roman;sans-serif"/>
          <w:b w:val="false"/>
          <w:color w:val="000000"/>
          <w:sz w:val="22"/>
        </w:rPr>
      </w:pPr>
      <w:r>
        <w:rPr>
          <w:rFonts w:ascii="Times New Roman;sans-serif" w:hAnsi="Times New Roman;sans-serif"/>
          <w:b w:val="false"/>
          <w:color w:val="000000"/>
          <w:sz w:val="22"/>
        </w:rPr>
        <w:t>ADS holders may instruct the depositary how to vote the number of deposited shares their ADSs represent. If we request the depositary to solicit your voting instructions (and we are not required to do so), the depositary will notify you of a shareholders’ meeting and send or make voting materials available to you. Those materials will describe the matters to be voted on and explain how ADS holders may instruct the depositary how to vote. For instructions to be valid, they must reach the depositary by a date set by the depositary. The depositary will try, as far as practical, subject to the laws of the Cayman Islands and the provisions of our Articles or similar documents, to vote or to have its agents vote the shares or other deposited securities as instructed by ADS holders or as described in the following sentence. If we asked the depositary to solicit your instructions at least 45 days before the meeting date but the depositary does not receive voting instructions from you by the specified date and we confirm to the depositary that:</w:t>
      </w:r>
    </w:p>
    <w:p>
      <w:pPr>
        <w:pStyle w:val="TextBody"/>
        <w:spacing w:lineRule="auto" w:line="288" w:before="0" w:after="240"/>
        <w:ind w:left="0" w:right="0" w:hanging="432"/>
        <w:rPr/>
      </w:pPr>
      <w:r>
        <w:rPr>
          <w:color w:val="000000"/>
        </w:rPr>
        <w:t>•</w:t>
      </w:r>
      <w:r>
        <w:rPr>
          <w:rFonts w:ascii="Times New Roman;sans-serif" w:hAnsi="Times New Roman;sans-serif"/>
          <w:b w:val="false"/>
          <w:color w:val="000000"/>
          <w:sz w:val="22"/>
        </w:rPr>
        <w:t>we wish to receive a proxy to vote uninstructed shares;</w:t>
      </w:r>
    </w:p>
    <w:p>
      <w:pPr>
        <w:pStyle w:val="TextBody"/>
        <w:spacing w:lineRule="auto" w:line="288" w:before="0" w:after="240"/>
        <w:ind w:left="0" w:right="0" w:hanging="432"/>
        <w:rPr/>
      </w:pPr>
      <w:r>
        <w:rPr>
          <w:color w:val="000000"/>
        </w:rPr>
        <w:t>•</w:t>
      </w:r>
      <w:r>
        <w:rPr>
          <w:rFonts w:ascii="Times New Roman;sans-serif" w:hAnsi="Times New Roman;sans-serif"/>
          <w:b w:val="false"/>
          <w:color w:val="000000"/>
          <w:sz w:val="22"/>
        </w:rPr>
        <w:t>we reasonably do not know of any substantial shareholder opposition to the proxy item(s); and</w:t>
      </w:r>
    </w:p>
    <w:p>
      <w:pPr>
        <w:pStyle w:val="TextBody"/>
        <w:spacing w:lineRule="auto" w:line="288" w:before="0" w:after="240"/>
        <w:ind w:left="0" w:right="0" w:hanging="432"/>
        <w:rPr/>
      </w:pPr>
      <w:r>
        <w:rPr>
          <w:color w:val="000000"/>
        </w:rPr>
        <w:t>•</w:t>
      </w:r>
      <w:r>
        <w:rPr>
          <w:rFonts w:ascii="Times New Roman;sans-serif" w:hAnsi="Times New Roman;sans-serif"/>
          <w:b w:val="false"/>
          <w:color w:val="000000"/>
          <w:sz w:val="22"/>
        </w:rPr>
        <w:t>the proxy item(s) is not materially adverse to the interests of shareholders,</w:t>
      </w:r>
    </w:p>
    <w:p>
      <w:pPr>
        <w:pStyle w:val="TextBody"/>
        <w:spacing w:lineRule="auto" w:line="288" w:before="0" w:after="240"/>
        <w:rPr>
          <w:rFonts w:ascii="Times New Roman;sans-serif" w:hAnsi="Times New Roman;sans-serif"/>
          <w:b w:val="false"/>
          <w:color w:val="000000"/>
          <w:sz w:val="22"/>
        </w:rPr>
      </w:pPr>
      <w:r>
        <w:rPr>
          <w:rFonts w:ascii="Times New Roman;sans-serif" w:hAnsi="Times New Roman;sans-serif"/>
          <w:b w:val="false"/>
          <w:color w:val="000000"/>
          <w:sz w:val="22"/>
        </w:rPr>
        <w:t>then the depositary will consider you to have authorized and directed it to give a discretionary proxy to a person designated by us to vote the number of deposited securities represented by your ADSs as to the proxy item(s). If we do not request the depositary to solicit your voting instructions, you can still send voting instructions, and, in that case, the depositary may try to vote as you instruct, but it is not required to do so.</w:t>
      </w:r>
    </w:p>
    <w:p>
      <w:pPr>
        <w:pStyle w:val="TextBody"/>
        <w:spacing w:lineRule="auto" w:line="288" w:before="0" w:after="240"/>
        <w:ind w:left="0" w:right="0" w:firstLine="432"/>
        <w:rPr/>
      </w:pPr>
      <w:r>
        <w:rPr>
          <w:rFonts w:ascii="Times New Roman;sans-serif" w:hAnsi="Times New Roman;sans-serif"/>
          <w:b w:val="false"/>
          <w:i/>
          <w:color w:val="000000"/>
          <w:sz w:val="22"/>
        </w:rPr>
        <w:t>Except by instructing the depositary as described above, you will not be able to exercise voting rights unless you surrender your ADSs and withdraw the shares.</w:t>
      </w:r>
      <w:r>
        <w:rPr>
          <w:color w:val="000000"/>
        </w:rPr>
        <w:t xml:space="preserve"> </w:t>
      </w:r>
      <w:r>
        <w:rPr>
          <w:rFonts w:ascii="Times New Roman;sans-serif" w:hAnsi="Times New Roman;sans-serif"/>
          <w:b w:val="false"/>
          <w:color w:val="000000"/>
          <w:sz w:val="22"/>
        </w:rPr>
        <w:t>However, you may not know about the meeting enough in advance to withdraw the shares. In any event, the depositary will not exercise any discretion in voting deposited securities and it will only vote or attempt to vote as instructed.</w:t>
      </w:r>
    </w:p>
    <w:p>
      <w:pPr>
        <w:pStyle w:val="TextBody"/>
        <w:spacing w:lineRule="auto" w:line="288" w:before="0" w:after="240"/>
        <w:ind w:left="0" w:right="0" w:firstLine="432"/>
        <w:rPr>
          <w:rFonts w:ascii="Times New Roman;sans-serif" w:hAnsi="Times New Roman;sans-serif"/>
          <w:b w:val="false"/>
          <w:color w:val="000000"/>
          <w:sz w:val="22"/>
        </w:rPr>
      </w:pPr>
      <w:r>
        <w:rPr>
          <w:rFonts w:ascii="Times New Roman;sans-serif" w:hAnsi="Times New Roman;sans-serif"/>
          <w:b w:val="false"/>
          <w:color w:val="000000"/>
          <w:sz w:val="22"/>
        </w:rPr>
        <w:t xml:space="preserve">We cannot assure you that you will receive the voting materials in time to ensure that you can instruct the depositary to vote your shares. In addition, the depositary and its agents are not responsible </w:t>
      </w:r>
      <w:r>
        <w:br w:type="page"/>
      </w:r>
    </w:p>
    <w:p>
      <w:pPr>
        <w:pStyle w:val="TextBody"/>
        <w:spacing w:before="0" w:after="0"/>
        <w:rPr/>
      </w:pPr>
      <w:r>
        <w:rPr/>
      </w:r>
      <w:r>
        <mc:AlternateContent>
          <mc:Choice Requires="wps">
            <w:drawing>
              <wp:anchor behindDoc="0" distT="0" distB="0" distL="0" distR="0" simplePos="0" locked="0" layoutInCell="1" allowOverlap="1" relativeHeight="415">
                <wp:simplePos x="0" y="0"/>
                <wp:positionH relativeFrom="character">
                  <wp:align>left</wp:align>
                </wp:positionH>
                <wp:positionV relativeFrom="line">
                  <wp:posOffset>635</wp:posOffset>
                </wp:positionV>
                <wp:extent cx="6480175" cy="175260"/>
                <wp:effectExtent l="0" t="0" r="0" b="0"/>
                <wp:wrapNone/>
                <wp:docPr id="414" name="Frame41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240"/>
        <w:rPr/>
      </w:pPr>
      <w:r>
        <w:rPr>
          <w:rFonts w:ascii="Times New Roman;sans-serif" w:hAnsi="Times New Roman;sans-serif"/>
          <w:b w:val="false"/>
          <w:color w:val="000000"/>
          <w:sz w:val="22"/>
        </w:rPr>
        <w:t xml:space="preserve">for failing to carry out voting instructions or for the manner of carrying out voting instructions. </w:t>
      </w:r>
      <w:r>
        <w:rPr>
          <w:rFonts w:ascii="Times New Roman;sans-serif" w:hAnsi="Times New Roman;sans-serif"/>
          <w:b w:val="false"/>
          <w:i/>
          <w:color w:val="000000"/>
          <w:sz w:val="22"/>
        </w:rPr>
        <w:t>This means that you may not be able to exercise voting rights and there may be nothing you can do if your shares are not voted as you requested.</w:t>
      </w:r>
    </w:p>
    <w:p>
      <w:pPr>
        <w:pStyle w:val="TextBody"/>
        <w:spacing w:lineRule="auto" w:line="288" w:before="0" w:after="240"/>
        <w:ind w:left="0" w:right="0" w:firstLine="432"/>
        <w:rPr>
          <w:rFonts w:ascii="Times New Roman;sans-serif" w:hAnsi="Times New Roman;sans-serif"/>
          <w:b w:val="false"/>
          <w:color w:val="000000"/>
          <w:sz w:val="22"/>
        </w:rPr>
      </w:pPr>
      <w:r>
        <w:rPr>
          <w:rFonts w:ascii="Times New Roman;sans-serif" w:hAnsi="Times New Roman;sans-serif"/>
          <w:b w:val="false"/>
          <w:color w:val="000000"/>
          <w:sz w:val="22"/>
        </w:rPr>
        <w:t>In order to give you a reasonable opportunity to instruct the depositary as to the exercise of voting rights relating to deposited securities, if we request the depositary to act, we agree to give the depositary notice of any such meeting and details concerning the matters to be voted upon at least 45 days in advance of the meeting date.</w:t>
      </w:r>
    </w:p>
    <w:p>
      <w:pPr>
        <w:pStyle w:val="TextBody"/>
        <w:spacing w:lineRule="auto" w:line="288" w:before="0" w:after="240"/>
        <w:rPr>
          <w:rFonts w:ascii="Times New Roman;sans-serif" w:hAnsi="Times New Roman;sans-serif"/>
          <w:b/>
          <w:i/>
          <w:color w:val="000000"/>
          <w:sz w:val="22"/>
        </w:rPr>
      </w:pPr>
      <w:r>
        <w:rPr>
          <w:rFonts w:ascii="Times New Roman;sans-serif" w:hAnsi="Times New Roman;sans-serif"/>
          <w:b/>
          <w:i/>
          <w:color w:val="000000"/>
          <w:sz w:val="22"/>
        </w:rPr>
        <w:t>Fees and Expenses Our ADS Holders May Have to Pay</w:t>
      </w:r>
    </w:p>
    <w:p>
      <w:pPr>
        <w:pStyle w:val="TextBody"/>
        <w:spacing w:lineRule="auto" w:line="288" w:before="0" w:after="240"/>
        <w:ind w:left="0" w:right="0" w:firstLine="432"/>
        <w:rPr>
          <w:rFonts w:ascii="Times New Roman;sans-serif" w:hAnsi="Times New Roman;sans-serif"/>
          <w:b w:val="false"/>
          <w:color w:val="000000"/>
          <w:sz w:val="22"/>
        </w:rPr>
      </w:pPr>
      <w:r>
        <w:rPr>
          <w:rFonts w:ascii="Times New Roman;sans-serif" w:hAnsi="Times New Roman;sans-serif"/>
          <w:b w:val="false"/>
          <w:color w:val="000000"/>
          <w:sz w:val="22"/>
        </w:rPr>
        <w:t>As an ADS holder, you will be required to pay the following service fees to the depositary and certain taxes and governmental charges (in addition to any applicable fees, expenses, taxes, and other governmental charges payable on the deposited securities represented by any of your ADSs):</w:t>
      </w:r>
    </w:p>
    <w:p>
      <w:pPr>
        <w:pStyle w:val="TextBody"/>
        <w:spacing w:before="0" w:after="0"/>
        <w:rPr/>
      </w:pPr>
      <w:r>
        <w:rPr/>
      </w:r>
    </w:p>
    <w:p>
      <w:pPr>
        <w:pStyle w:val="TextBody"/>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416">
                <wp:simplePos x="0" y="0"/>
                <wp:positionH relativeFrom="character">
                  <wp:align>left</wp:align>
                </wp:positionH>
                <wp:positionV relativeFrom="line">
                  <wp:posOffset>635</wp:posOffset>
                </wp:positionV>
                <wp:extent cx="6480175" cy="175260"/>
                <wp:effectExtent l="0" t="0" r="0" b="0"/>
                <wp:wrapNone/>
                <wp:docPr id="415" name="Frame41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tbl>
      <w:tblPr>
        <w:tblW w:w="10205" w:type="dxa"/>
        <w:jc w:val="left"/>
        <w:tblInd w:w="0" w:type="dxa"/>
        <w:tblCellMar>
          <w:top w:w="28" w:type="dxa"/>
          <w:left w:w="28" w:type="dxa"/>
          <w:bottom w:w="28" w:type="dxa"/>
          <w:right w:w="28" w:type="dxa"/>
        </w:tblCellMar>
      </w:tblPr>
      <w:tblGrid>
        <w:gridCol w:w="2001"/>
        <w:gridCol w:w="1707"/>
        <w:gridCol w:w="1715"/>
        <w:gridCol w:w="109"/>
        <w:gridCol w:w="109"/>
        <w:gridCol w:w="109"/>
        <w:gridCol w:w="1345"/>
        <w:gridCol w:w="1278"/>
        <w:gridCol w:w="1832"/>
      </w:tblGrid>
      <w:tr>
        <w:trPr/>
        <w:tc>
          <w:tcPr>
            <w:tcW w:w="2001" w:type="dxa"/>
            <w:tcBorders/>
            <w:shd w:fill="auto" w:val="clear"/>
            <w:vAlign w:val="center"/>
          </w:tcPr>
          <w:p>
            <w:pPr>
              <w:pStyle w:val="TableContents"/>
              <w:spacing w:before="0" w:after="283"/>
              <w:rPr>
                <w:sz w:val="4"/>
                <w:szCs w:val="4"/>
              </w:rPr>
            </w:pPr>
            <w:r>
              <w:rPr>
                <w:sz w:val="4"/>
                <w:szCs w:val="4"/>
              </w:rPr>
            </w:r>
          </w:p>
        </w:tc>
        <w:tc>
          <w:tcPr>
            <w:tcW w:w="1707" w:type="dxa"/>
            <w:tcBorders/>
            <w:shd w:fill="auto" w:val="clear"/>
            <w:vAlign w:val="center"/>
          </w:tcPr>
          <w:p>
            <w:pPr>
              <w:pStyle w:val="TableContents"/>
              <w:spacing w:before="0" w:after="283"/>
              <w:rPr>
                <w:sz w:val="4"/>
                <w:szCs w:val="4"/>
              </w:rPr>
            </w:pPr>
            <w:r>
              <w:rPr>
                <w:sz w:val="4"/>
                <w:szCs w:val="4"/>
              </w:rPr>
            </w:r>
          </w:p>
        </w:tc>
        <w:tc>
          <w:tcPr>
            <w:tcW w:w="171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45" w:type="dxa"/>
            <w:tcBorders/>
            <w:shd w:fill="auto" w:val="clear"/>
            <w:vAlign w:val="center"/>
          </w:tcPr>
          <w:p>
            <w:pPr>
              <w:pStyle w:val="TableContents"/>
              <w:spacing w:before="0" w:after="283"/>
              <w:rPr>
                <w:sz w:val="4"/>
                <w:szCs w:val="4"/>
              </w:rPr>
            </w:pPr>
            <w:r>
              <w:rPr>
                <w:sz w:val="4"/>
                <w:szCs w:val="4"/>
              </w:rPr>
            </w:r>
          </w:p>
        </w:tc>
        <w:tc>
          <w:tcPr>
            <w:tcW w:w="1278" w:type="dxa"/>
            <w:tcBorders/>
            <w:shd w:fill="auto" w:val="clear"/>
            <w:vAlign w:val="center"/>
          </w:tcPr>
          <w:p>
            <w:pPr>
              <w:pStyle w:val="TableContents"/>
              <w:spacing w:before="0" w:after="283"/>
              <w:rPr>
                <w:sz w:val="4"/>
                <w:szCs w:val="4"/>
              </w:rPr>
            </w:pPr>
            <w:r>
              <w:rPr>
                <w:sz w:val="4"/>
                <w:szCs w:val="4"/>
              </w:rPr>
            </w:r>
          </w:p>
        </w:tc>
        <w:tc>
          <w:tcPr>
            <w:tcW w:w="1832" w:type="dxa"/>
            <w:tcBorders/>
            <w:shd w:fill="auto" w:val="clear"/>
            <w:vAlign w:val="center"/>
          </w:tcPr>
          <w:p>
            <w:pPr>
              <w:pStyle w:val="TableContents"/>
              <w:spacing w:before="0" w:after="283"/>
              <w:rPr>
                <w:sz w:val="4"/>
                <w:szCs w:val="4"/>
              </w:rPr>
            </w:pPr>
            <w:r>
              <w:rPr>
                <w:sz w:val="4"/>
                <w:szCs w:val="4"/>
              </w:rPr>
            </w:r>
          </w:p>
        </w:tc>
      </w:tr>
      <w:tr>
        <w:trPr/>
        <w:tc>
          <w:tcPr>
            <w:tcW w:w="5423"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i/>
                <w:color w:val="000000"/>
                <w:sz w:val="22"/>
              </w:rPr>
            </w:pPr>
            <w:r>
              <w:rPr>
                <w:rFonts w:ascii="Times New Roman;sans-serif" w:hAnsi="Times New Roman;sans-serif"/>
                <w:b/>
                <w:i/>
                <w:color w:val="000000"/>
                <w:sz w:val="22"/>
              </w:rPr>
              <w:t>Persons Depositing or Withdrawing Shares or ADS Holders Must Pay: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55"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i/>
                <w:color w:val="000000"/>
                <w:sz w:val="22"/>
              </w:rPr>
            </w:pPr>
            <w:r>
              <w:rPr>
                <w:rFonts w:ascii="Times New Roman;sans-serif" w:hAnsi="Times New Roman;sans-serif"/>
                <w:b/>
                <w:i/>
                <w:color w:val="000000"/>
                <w:sz w:val="22"/>
              </w:rPr>
              <w:t>For:</w:t>
            </w:r>
          </w:p>
        </w:tc>
      </w:tr>
      <w:tr>
        <w:trPr/>
        <w:tc>
          <w:tcPr>
            <w:tcW w:w="542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US$5.00 (or less) per 100 ADSs (or portion of 100 ADSs)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5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316"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Issuance of ADSs, including issuances resulting from a distribution of shares or rights or other property</w:t>
              <w:br/>
              <w:t>Cancellation of ADSs for the purpose of withdrawal, including if the deposit agreement terminates</w:t>
            </w:r>
          </w:p>
        </w:tc>
      </w:tr>
      <w:tr>
        <w:trPr/>
        <w:tc>
          <w:tcPr>
            <w:tcW w:w="54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23"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US$0.05 (or less) per ADS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55"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Any cash distribution to ADS holders</w:t>
            </w:r>
          </w:p>
        </w:tc>
      </w:tr>
      <w:tr>
        <w:trPr/>
        <w:tc>
          <w:tcPr>
            <w:tcW w:w="54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23"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 fee equivalent to the fee that would be payable if securities distributed to you had been shares and the shares had been deposited for issuance of ADSs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55"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Distribution of securities distributed to holders of deposited securities (including rights) that are distributed by the depositary to ADS holders</w:t>
            </w:r>
          </w:p>
        </w:tc>
      </w:tr>
      <w:tr>
        <w:trPr/>
        <w:tc>
          <w:tcPr>
            <w:tcW w:w="54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23"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US$0.05 (or less) per ADS per calendar year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55"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Depositary services</w:t>
            </w:r>
          </w:p>
        </w:tc>
      </w:tr>
      <w:tr>
        <w:trPr/>
        <w:tc>
          <w:tcPr>
            <w:tcW w:w="54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23"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Registration or transfer fees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55"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Transfer and registration of shares on our share register to or from the name of the depositary or its agent when you deposit or withdraw shares</w:t>
            </w:r>
          </w:p>
        </w:tc>
      </w:tr>
      <w:tr>
        <w:trPr/>
        <w:tc>
          <w:tcPr>
            <w:tcW w:w="54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23"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Expenses of the depositary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55" w:type="dxa"/>
            <w:gridSpan w:val="3"/>
            <w:tcBorders/>
            <w:shd w:fill="auto" w:val="clear"/>
            <w:tcMar>
              <w:top w:w="0" w:type="dxa"/>
              <w:left w:w="0" w:type="dxa"/>
              <w:bottom w:w="0" w:type="dxa"/>
              <w:right w:w="0" w:type="dxa"/>
            </w:tcMar>
            <w:vAlign w:val="center"/>
          </w:tcPr>
          <w:p>
            <w:pPr>
              <w:pStyle w:val="TableContents"/>
              <w:spacing w:lineRule="auto" w:line="316"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Cable (including SWIFT) and facsimile transmissions (when expressly provided in the deposit agreement)</w:t>
              <w:br/>
              <w:t>Converting foreign currency to U.S. dollars</w:t>
            </w:r>
          </w:p>
        </w:tc>
      </w:tr>
      <w:tr>
        <w:trPr/>
        <w:tc>
          <w:tcPr>
            <w:tcW w:w="54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23"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Taxes and other governmental charges the depositary or the custodian has to pay on any ADSs or shares underlying ADSs, such as stock transfer taxes, stamp duty or withholding taxes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55"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As necessary</w:t>
            </w:r>
          </w:p>
        </w:tc>
      </w:tr>
      <w:tr>
        <w:trPr/>
        <w:tc>
          <w:tcPr>
            <w:tcW w:w="54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23"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Any charges incurred by the depositary or its agents for servicing the deposited securities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55"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As necessary</w:t>
            </w:r>
          </w:p>
        </w:tc>
      </w:tr>
    </w:tbl>
    <w:p>
      <w:pPr>
        <w:pStyle w:val="TextBody"/>
        <w:spacing w:before="0" w:after="0"/>
        <w:ind w:left="0" w:right="0" w:firstLine="720"/>
        <w:jc w:val="both"/>
        <w:rPr/>
      </w:pPr>
      <w:r>
        <w:rPr/>
      </w:r>
    </w:p>
    <w:p>
      <w:pPr>
        <w:pStyle w:val="TextBody"/>
        <w:spacing w:lineRule="auto" w:line="288" w:before="0" w:after="240"/>
        <w:ind w:left="0" w:right="0" w:firstLine="432"/>
        <w:rPr>
          <w:rFonts w:ascii="Times New Roman;sans-serif" w:hAnsi="Times New Roman;sans-serif"/>
          <w:b w:val="false"/>
          <w:color w:val="000000"/>
          <w:sz w:val="22"/>
        </w:rPr>
      </w:pPr>
      <w:r>
        <w:rPr>
          <w:rFonts w:ascii="Times New Roman;sans-serif" w:hAnsi="Times New Roman;sans-serif"/>
          <w:b w:val="false"/>
          <w:color w:val="000000"/>
          <w:sz w:val="22"/>
        </w:rPr>
        <w:t xml:space="preserve">The depositary collects its fees for delivery and surrender of ADSs directly from investors depositing shares or surrendering ADSs for the purpose of withdrawal or from intermediaries acting for them. The depositary collects fees for making distributions to investors by deducting those fees from the amounts distributed or by selling a portion of distributable property to pay the fees. The depositary may collect its annual fee for depositary services by deduction from cash distributions or by directly billing investors or by charging the book-entry system accounts of participants acting for them. The depositary may collect any of its fees by deduction from any cash distribution payable (or by selling a portion of securities or other property distributable) to ADS holders that are obligated to pay those fees. The depositary may generally refuse to provide fee-attracting services until its fees for those services are paid. </w:t>
      </w:r>
      <w:r>
        <w:br w:type="page"/>
      </w:r>
    </w:p>
    <w:p>
      <w:pPr>
        <w:pStyle w:val="TextBody"/>
        <w:spacing w:before="0" w:after="0"/>
        <w:rPr/>
      </w:pPr>
      <w:r>
        <w:rPr/>
      </w:r>
      <w:r>
        <mc:AlternateContent>
          <mc:Choice Requires="wps">
            <w:drawing>
              <wp:anchor behindDoc="0" distT="0" distB="0" distL="0" distR="0" simplePos="0" locked="0" layoutInCell="1" allowOverlap="1" relativeHeight="417">
                <wp:simplePos x="0" y="0"/>
                <wp:positionH relativeFrom="character">
                  <wp:align>left</wp:align>
                </wp:positionH>
                <wp:positionV relativeFrom="line">
                  <wp:posOffset>635</wp:posOffset>
                </wp:positionV>
                <wp:extent cx="6480175" cy="175260"/>
                <wp:effectExtent l="0" t="0" r="0" b="0"/>
                <wp:wrapNone/>
                <wp:docPr id="416" name="Frame41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240"/>
        <w:ind w:left="0" w:right="0" w:firstLine="432"/>
        <w:rPr>
          <w:rFonts w:ascii="Times New Roman;sans-serif" w:hAnsi="Times New Roman;sans-serif"/>
          <w:b w:val="false"/>
          <w:color w:val="000000"/>
          <w:sz w:val="22"/>
        </w:rPr>
      </w:pPr>
      <w:r>
        <w:rPr>
          <w:rFonts w:ascii="Times New Roman;sans-serif" w:hAnsi="Times New Roman;sans-serif"/>
          <w:b w:val="false"/>
          <w:color w:val="000000"/>
          <w:sz w:val="22"/>
        </w:rPr>
        <w:t>In performing its duties under the deposit agreement, the depositary may use brokers, dealers, foreign currency dealers or other service providers that are owned by or affiliated with the depositary and that may earn or share fees, spreads or commissions.</w:t>
      </w:r>
    </w:p>
    <w:p>
      <w:pPr>
        <w:pStyle w:val="TextBody"/>
        <w:spacing w:lineRule="auto" w:line="288" w:before="0" w:after="240"/>
        <w:ind w:left="0" w:right="0" w:firstLine="432"/>
        <w:rPr>
          <w:rFonts w:ascii="Times New Roman;sans-serif" w:hAnsi="Times New Roman;sans-serif"/>
          <w:b w:val="false"/>
          <w:color w:val="000000"/>
          <w:sz w:val="22"/>
        </w:rPr>
      </w:pPr>
      <w:r>
        <w:rPr>
          <w:rFonts w:ascii="Times New Roman;sans-serif" w:hAnsi="Times New Roman;sans-serif"/>
          <w:b w:val="false"/>
          <w:color w:val="000000"/>
          <w:sz w:val="22"/>
        </w:rPr>
        <w:t>The depositary may convert currency itself or through any of its affiliates, or the custodian or we may convert currency and pay U.S. dollars to the depositary. Where the depositary converts currency itself or through any of its affiliates, the depositary acts as principal for its own account and not as agent, advisor, broker or fiduciary on behalf of any other person and earns revenue, including, without limitation, transaction spreads, that it will retain for its own account. The revenue is based on, among other things, the difference between the exchange rate assigned to the currency conversion made under the deposit agreement and the rate that the depositary or its affiliate receives when buying or selling foreign currency for its own account. The depositary makes no representation that the exchange rate used or obtained by it or its affiliate in any currency conversion under the deposit agreement will be the most favorable rate that could be obtained at the time or that the method by which that rate will be determined will be the most favorable to ADS holders, subject to the depositary’s obligation to act without negligence or bad faith. The methodology used to determine exchange rates used in currency conversions made by the depositary is available upon request. Where the custodian converts currency, the custodian has no obligation to obtain the most favorable rate that could be obtained at the time or to ensure that the method by which that rate will be determined will be the most favorable to ADS holders, and the depositary makes no representation that the rate is the most favorable rate and will not be liable for any direct or indirect losses associated with the rate. In certain instances, the depositary may receive dividends or other distributions from the us in U.S. dollars that represent the proceeds of a conversion of foreign currency or translation from foreign currency at a rate that was obtained or determined by us and, in such cases, the depositary will not engage in, or be responsible for, any foreign currency transactions and neither it nor we make any representation that the rate obtained or determined by us is the most favorable rate and neither it nor we will be liable for any direct or indirect losses associated with the rate.</w:t>
      </w:r>
    </w:p>
    <w:p>
      <w:pPr>
        <w:pStyle w:val="TextBody"/>
        <w:spacing w:lineRule="auto" w:line="288" w:before="0" w:after="0"/>
        <w:jc w:val="both"/>
        <w:rPr>
          <w:rFonts w:ascii="Times New Roman;sans-serif" w:hAnsi="Times New Roman;sans-serif"/>
          <w:b/>
          <w:i/>
          <w:color w:val="000000"/>
          <w:sz w:val="22"/>
        </w:rPr>
      </w:pPr>
      <w:r>
        <w:rPr>
          <w:rFonts w:ascii="Times New Roman;sans-serif" w:hAnsi="Times New Roman;sans-serif"/>
          <w:b/>
          <w:i/>
          <w:color w:val="000000"/>
          <w:sz w:val="22"/>
        </w:rPr>
        <w:t>Payment of Taxes</w:t>
      </w:r>
    </w:p>
    <w:p>
      <w:pPr>
        <w:pStyle w:val="TextBody"/>
        <w:spacing w:before="0" w:after="0"/>
        <w:jc w:val="both"/>
        <w:rPr/>
      </w:pPr>
      <w:r>
        <w:rPr/>
      </w:r>
    </w:p>
    <w:p>
      <w:pPr>
        <w:pStyle w:val="TextBody"/>
        <w:spacing w:lineRule="auto" w:line="288" w:before="0" w:after="240"/>
        <w:ind w:left="0" w:right="0" w:firstLine="432"/>
        <w:rPr>
          <w:rFonts w:ascii="Times New Roman;sans-serif" w:hAnsi="Times New Roman;sans-serif"/>
          <w:b w:val="false"/>
          <w:color w:val="000000"/>
          <w:sz w:val="22"/>
        </w:rPr>
      </w:pPr>
      <w:r>
        <w:rPr>
          <w:rFonts w:ascii="Times New Roman;sans-serif" w:hAnsi="Times New Roman;sans-serif"/>
          <w:b w:val="false"/>
          <w:color w:val="000000"/>
          <w:sz w:val="22"/>
        </w:rPr>
        <w:t>You will be responsible for any taxes or other governmental charges payable on your ADSs or on the deposited securities represented by any of your ADSs. The depositary may refuse to register any transfer of your ADSs or allow you to withdraw the deposited securities represented by your ADSs until those taxes or other charges are paid. It may apply payments owed to you or sell deposited securities represented by your ADSs to pay any taxes owed and you will remain liable for any deficiency. If the depositary sells deposited securities, it will, if appropriate, reduce the number of ADSs to reflect the sale and pay to ADS holders any proceeds, or send to ADS holders any property, remaining after it has paid the taxes.</w:t>
      </w:r>
    </w:p>
    <w:p>
      <w:pPr>
        <w:pStyle w:val="TextBody"/>
        <w:spacing w:lineRule="auto" w:line="288" w:before="0" w:after="240"/>
        <w:rPr>
          <w:rFonts w:ascii="Times New Roman;sans-serif" w:hAnsi="Times New Roman;sans-serif"/>
          <w:b/>
          <w:i/>
          <w:color w:val="000000"/>
          <w:sz w:val="22"/>
        </w:rPr>
      </w:pPr>
      <w:r>
        <w:rPr>
          <w:rFonts w:ascii="Times New Roman;sans-serif" w:hAnsi="Times New Roman;sans-serif"/>
          <w:b/>
          <w:i/>
          <w:color w:val="000000"/>
          <w:sz w:val="22"/>
        </w:rPr>
        <w:t>Tender and Exchange Offers; Redemption, Replacement or Cancellation of Deposited Securities</w:t>
      </w:r>
    </w:p>
    <w:p>
      <w:pPr>
        <w:pStyle w:val="TextBody"/>
        <w:spacing w:lineRule="auto" w:line="288" w:before="0" w:after="240"/>
        <w:ind w:left="0" w:right="0" w:firstLine="432"/>
        <w:rPr>
          <w:rFonts w:ascii="Times New Roman;sans-serif" w:hAnsi="Times New Roman;sans-serif"/>
          <w:b w:val="false"/>
          <w:color w:val="000000"/>
          <w:sz w:val="22"/>
        </w:rPr>
      </w:pPr>
      <w:r>
        <w:rPr>
          <w:rFonts w:ascii="Times New Roman;sans-serif" w:hAnsi="Times New Roman;sans-serif"/>
          <w:b w:val="false"/>
          <w:color w:val="000000"/>
          <w:sz w:val="22"/>
        </w:rPr>
        <w:t>The depositary will not tender deposited securities in any voluntary tender or exchange offer unless instructed to do so by an ADS holder surrendering ADSs and subject to any conditions or procedures the depositary may establish.</w:t>
      </w:r>
    </w:p>
    <w:p>
      <w:pPr>
        <w:pStyle w:val="TextBody"/>
        <w:spacing w:lineRule="auto" w:line="288" w:before="0" w:after="240"/>
        <w:ind w:left="0" w:right="0" w:firstLine="432"/>
        <w:rPr>
          <w:rFonts w:ascii="Times New Roman;sans-serif" w:hAnsi="Times New Roman;sans-serif"/>
          <w:b w:val="false"/>
          <w:color w:val="000000"/>
          <w:sz w:val="22"/>
        </w:rPr>
      </w:pPr>
      <w:r>
        <w:rPr>
          <w:rFonts w:ascii="Times New Roman;sans-serif" w:hAnsi="Times New Roman;sans-serif"/>
          <w:b w:val="false"/>
          <w:color w:val="000000"/>
          <w:sz w:val="22"/>
        </w:rPr>
        <w:t>If deposited securities are redeemed for cash in a transaction that is mandatory for the depositary as a holder of deposited securities, the depositary will call for surrender of a corresponding number of ADSs and distribute the net redemption money to the holders of called ADSs upon surrender of those ADSs.</w:t>
      </w:r>
      <w:r>
        <w:br w:type="page"/>
      </w:r>
    </w:p>
    <w:p>
      <w:pPr>
        <w:pStyle w:val="TextBody"/>
        <w:spacing w:before="0" w:after="0"/>
        <w:rPr/>
      </w:pPr>
      <w:r>
        <w:rPr/>
      </w:r>
      <w:r>
        <mc:AlternateContent>
          <mc:Choice Requires="wps">
            <w:drawing>
              <wp:anchor behindDoc="0" distT="0" distB="0" distL="0" distR="0" simplePos="0" locked="0" layoutInCell="1" allowOverlap="1" relativeHeight="418">
                <wp:simplePos x="0" y="0"/>
                <wp:positionH relativeFrom="character">
                  <wp:align>left</wp:align>
                </wp:positionH>
                <wp:positionV relativeFrom="line">
                  <wp:posOffset>635</wp:posOffset>
                </wp:positionV>
                <wp:extent cx="6480175" cy="175260"/>
                <wp:effectExtent l="0" t="0" r="0" b="0"/>
                <wp:wrapNone/>
                <wp:docPr id="417" name="Frame41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240"/>
        <w:ind w:left="0" w:right="0" w:firstLine="432"/>
        <w:rPr>
          <w:rFonts w:ascii="Times New Roman;sans-serif" w:hAnsi="Times New Roman;sans-serif"/>
          <w:b w:val="false"/>
          <w:color w:val="000000"/>
          <w:sz w:val="22"/>
        </w:rPr>
      </w:pPr>
      <w:r>
        <w:rPr>
          <w:rFonts w:ascii="Times New Roman;sans-serif" w:hAnsi="Times New Roman;sans-serif"/>
          <w:b w:val="false"/>
          <w:color w:val="000000"/>
          <w:sz w:val="22"/>
        </w:rPr>
        <w:t>If there is any change in the deposited securities such as a sub-division, combination or other reclassification, or any merger, consolidation, recapitalization or reorganization affecting the issuer of deposited securities in which the depositary receives new securities in exchange for or in lieu of the old deposited securities, the depositary will hold those replacement securities as deposited securities under the deposit agreement. However, if the depositary decides it would not be lawful and practical to hold the replacement securities because those securities could not be distributed to ADS holders or for any other reason, the depositary may instead sell the replacement securities and distribute the net proceeds upon surrender of the ADSs.</w:t>
      </w:r>
    </w:p>
    <w:p>
      <w:pPr>
        <w:pStyle w:val="TextBody"/>
        <w:spacing w:lineRule="auto" w:line="288" w:before="0" w:after="240"/>
        <w:ind w:left="0" w:right="0" w:firstLine="432"/>
        <w:rPr>
          <w:rFonts w:ascii="Times New Roman;sans-serif" w:hAnsi="Times New Roman;sans-serif"/>
          <w:b w:val="false"/>
          <w:color w:val="000000"/>
          <w:sz w:val="22"/>
        </w:rPr>
      </w:pPr>
      <w:r>
        <w:rPr>
          <w:rFonts w:ascii="Times New Roman;sans-serif" w:hAnsi="Times New Roman;sans-serif"/>
          <w:b w:val="false"/>
          <w:color w:val="000000"/>
          <w:sz w:val="22"/>
        </w:rPr>
        <w:t>If there is a replacement of the deposited securities and the depositary will continue to hold the replacement securities, the depositary may distribute new ADSs representing the new deposited securities or ask you to surrender your outstanding ADRs in exchange for new ADRs identifying the new deposited securities.</w:t>
      </w:r>
    </w:p>
    <w:p>
      <w:pPr>
        <w:pStyle w:val="TextBody"/>
        <w:spacing w:lineRule="auto" w:line="288" w:before="0" w:after="240"/>
        <w:ind w:left="0" w:right="0" w:firstLine="432"/>
        <w:rPr>
          <w:rFonts w:ascii="Times New Roman;sans-serif" w:hAnsi="Times New Roman;sans-serif"/>
          <w:b w:val="false"/>
          <w:color w:val="000000"/>
          <w:sz w:val="22"/>
        </w:rPr>
      </w:pPr>
      <w:r>
        <w:rPr>
          <w:rFonts w:ascii="Times New Roman;sans-serif" w:hAnsi="Times New Roman;sans-serif"/>
          <w:b w:val="false"/>
          <w:color w:val="000000"/>
          <w:sz w:val="22"/>
        </w:rPr>
        <w:t>If there are no deposited securities underlying ADSs, including if the deposited securities are cancelled, or if the deposited securities underlying ADSs have become apparently worthless, the depositary may call for surrender of those ADSs or cancel those ADSs upon notice to the ADS holders.</w:t>
      </w:r>
    </w:p>
    <w:p>
      <w:pPr>
        <w:pStyle w:val="TextBody"/>
        <w:spacing w:lineRule="auto" w:line="288" w:before="0" w:after="240"/>
        <w:rPr>
          <w:rFonts w:ascii="Times New Roman;sans-serif" w:hAnsi="Times New Roman;sans-serif"/>
          <w:b/>
          <w:i/>
          <w:color w:val="000000"/>
          <w:sz w:val="22"/>
        </w:rPr>
      </w:pPr>
      <w:r>
        <w:rPr>
          <w:rFonts w:ascii="Times New Roman;sans-serif" w:hAnsi="Times New Roman;sans-serif"/>
          <w:b/>
          <w:i/>
          <w:color w:val="000000"/>
          <w:sz w:val="22"/>
        </w:rPr>
        <w:t>Amendment and Termination</w:t>
      </w:r>
    </w:p>
    <w:p>
      <w:pPr>
        <w:pStyle w:val="TextBody"/>
        <w:spacing w:lineRule="auto" w:line="288" w:before="0" w:after="240"/>
        <w:rPr>
          <w:rFonts w:ascii="Times New Roman;sans-serif" w:hAnsi="Times New Roman;sans-serif"/>
          <w:b w:val="false"/>
          <w:i/>
          <w:color w:val="000000"/>
          <w:sz w:val="22"/>
        </w:rPr>
      </w:pPr>
      <w:r>
        <w:rPr>
          <w:rFonts w:ascii="Times New Roman;sans-serif" w:hAnsi="Times New Roman;sans-serif"/>
          <w:b w:val="false"/>
          <w:i/>
          <w:color w:val="000000"/>
          <w:sz w:val="22"/>
        </w:rPr>
        <w:t>How May the Deposit Agreement Be Amended?</w:t>
      </w:r>
    </w:p>
    <w:p>
      <w:pPr>
        <w:pStyle w:val="TextBody"/>
        <w:spacing w:lineRule="auto" w:line="288" w:before="0" w:after="240"/>
        <w:ind w:left="0" w:right="0" w:firstLine="432"/>
        <w:rPr>
          <w:rFonts w:ascii="Times New Roman;sans-serif" w:hAnsi="Times New Roman;sans-serif"/>
          <w:b w:val="false"/>
          <w:color w:val="000000"/>
          <w:sz w:val="22"/>
        </w:rPr>
      </w:pPr>
      <w:r>
        <w:rPr>
          <w:rFonts w:ascii="Times New Roman;sans-serif" w:hAnsi="Times New Roman;sans-serif"/>
          <w:b w:val="false"/>
          <w:color w:val="000000"/>
          <w:sz w:val="22"/>
        </w:rPr>
        <w:t>We may agree with the depositary to amend the deposit agreement and the ADRs without your consent for any reason. If an amendment adds or increases fees or charges, except for taxes and other governmental charges or expenses of the depositary for registration fees, facsimile costs, delivery charges or similar items, or prejudices a substantial right of ADS holders, it will not become effective for outstanding ADSs until 30 days after the depositary notifies ADS holders of the amendment. At the time an amendment becomes effective, you are considered, by continuing to hold your ADSs, to agree to the amendment and to be bound by the ADRs and the deposit agreement as amended.</w:t>
      </w:r>
    </w:p>
    <w:p>
      <w:pPr>
        <w:pStyle w:val="TextBody"/>
        <w:spacing w:lineRule="auto" w:line="288" w:before="0" w:after="240"/>
        <w:rPr>
          <w:rFonts w:ascii="Times New Roman;sans-serif" w:hAnsi="Times New Roman;sans-serif"/>
          <w:b w:val="false"/>
          <w:i/>
          <w:color w:val="000000"/>
          <w:sz w:val="22"/>
        </w:rPr>
      </w:pPr>
      <w:r>
        <w:rPr>
          <w:rFonts w:ascii="Times New Roman;sans-serif" w:hAnsi="Times New Roman;sans-serif"/>
          <w:b w:val="false"/>
          <w:i/>
          <w:color w:val="000000"/>
          <w:sz w:val="22"/>
        </w:rPr>
        <w:t>How May the Deposit Agreement Be Terminated?</w:t>
      </w:r>
    </w:p>
    <w:p>
      <w:pPr>
        <w:pStyle w:val="TextBody"/>
        <w:spacing w:lineRule="auto" w:line="288" w:before="0" w:after="240"/>
        <w:ind w:left="0" w:right="0" w:firstLine="432"/>
        <w:rPr>
          <w:rFonts w:ascii="Times New Roman;sans-serif" w:hAnsi="Times New Roman;sans-serif"/>
          <w:b w:val="false"/>
          <w:color w:val="000000"/>
          <w:sz w:val="22"/>
        </w:rPr>
      </w:pPr>
      <w:r>
        <w:rPr>
          <w:rFonts w:ascii="Times New Roman;sans-serif" w:hAnsi="Times New Roman;sans-serif"/>
          <w:b w:val="false"/>
          <w:color w:val="000000"/>
          <w:sz w:val="22"/>
        </w:rPr>
        <w:t>The depositary will initiate termination of the deposit agreement if we instruct it to do so. The depositary may initiate termination of the deposit agreement if:</w:t>
      </w:r>
    </w:p>
    <w:p>
      <w:pPr>
        <w:pStyle w:val="TextBody"/>
        <w:spacing w:lineRule="auto" w:line="288" w:before="0" w:after="240"/>
        <w:ind w:left="0" w:right="0" w:hanging="432"/>
        <w:rPr/>
      </w:pPr>
      <w:r>
        <w:rPr>
          <w:color w:val="000000"/>
        </w:rPr>
        <w:t>•</w:t>
      </w:r>
      <w:r>
        <w:rPr>
          <w:rFonts w:ascii="Times New Roman;sans-serif" w:hAnsi="Times New Roman;sans-serif"/>
          <w:b w:val="false"/>
          <w:color w:val="000000"/>
          <w:sz w:val="22"/>
        </w:rPr>
        <w:t>60 days have passed since the depositary told us it wants to resign but a successor depositary has not been appointed and accepted its appointment;</w:t>
      </w:r>
    </w:p>
    <w:p>
      <w:pPr>
        <w:pStyle w:val="TextBody"/>
        <w:spacing w:lineRule="auto" w:line="288" w:before="0" w:after="240"/>
        <w:ind w:left="0" w:right="0" w:hanging="432"/>
        <w:rPr/>
      </w:pPr>
      <w:r>
        <w:rPr>
          <w:color w:val="000000"/>
        </w:rPr>
        <w:t>•</w:t>
      </w:r>
      <w:r>
        <w:rPr>
          <w:rFonts w:ascii="Times New Roman;sans-serif" w:hAnsi="Times New Roman;sans-serif"/>
          <w:b w:val="false"/>
          <w:color w:val="000000"/>
          <w:sz w:val="22"/>
        </w:rPr>
        <w:t>we delist the ADSs from an exchange in the United States on which they were listed and do not list the ADSs on another exchange in the United States or make arrangements for trading of ADSs on the U.S. over-the-counter market;</w:t>
      </w:r>
    </w:p>
    <w:p>
      <w:pPr>
        <w:pStyle w:val="TextBody"/>
        <w:spacing w:lineRule="auto" w:line="288" w:before="0" w:after="240"/>
        <w:ind w:left="0" w:right="0" w:hanging="432"/>
        <w:rPr/>
      </w:pPr>
      <w:r>
        <w:rPr>
          <w:color w:val="000000"/>
        </w:rPr>
        <w:t>•</w:t>
      </w:r>
      <w:r>
        <w:rPr>
          <w:rFonts w:ascii="Times New Roman;sans-serif" w:hAnsi="Times New Roman;sans-serif"/>
          <w:b w:val="false"/>
          <w:color w:val="000000"/>
          <w:sz w:val="22"/>
        </w:rPr>
        <w:t>we delist our shares from an exchange outside the United States on which they were listed and do not list the shares on another exchange outside the United States;</w:t>
      </w:r>
    </w:p>
    <w:p>
      <w:pPr>
        <w:pStyle w:val="TextBody"/>
        <w:spacing w:lineRule="auto" w:line="288" w:before="0" w:after="0"/>
        <w:ind w:left="0" w:right="0" w:hanging="432"/>
        <w:rPr/>
      </w:pPr>
      <w:r>
        <w:rPr>
          <w:color w:val="000000"/>
        </w:rPr>
        <w:t>•</w:t>
      </w:r>
      <w:r>
        <w:rPr>
          <w:rFonts w:ascii="Times New Roman;sans-serif" w:hAnsi="Times New Roman;sans-serif"/>
          <w:b w:val="false"/>
          <w:color w:val="000000"/>
          <w:sz w:val="22"/>
        </w:rPr>
        <w:t>the depositary has reason to believe the ADSs have become, or will become, ineligible for registration on Form F-6 under the Securities Act;</w:t>
      </w:r>
    </w:p>
    <w:p>
      <w:pPr>
        <w:pStyle w:val="TextBody"/>
        <w:spacing w:before="0" w:after="0"/>
        <w:rPr/>
      </w:pPr>
      <w:r>
        <w:rPr/>
      </w:r>
    </w:p>
    <w:p>
      <w:pPr>
        <w:pStyle w:val="TextBody"/>
        <w:spacing w:lineRule="auto" w:line="288"/>
        <w:ind w:left="0" w:right="0" w:hanging="432"/>
        <w:rPr/>
      </w:pPr>
      <w:r>
        <w:rPr>
          <w:color w:val="000000"/>
        </w:rPr>
        <w:t>•</w:t>
      </w:r>
      <w:r>
        <w:rPr>
          <w:rFonts w:ascii="Times New Roman;sans-serif" w:hAnsi="Times New Roman;sans-serif"/>
          <w:b w:val="false"/>
          <w:color w:val="000000"/>
          <w:sz w:val="22"/>
        </w:rPr>
        <w:t>we appear to be insolvent or enter insolvency proceedings;</w:t>
      </w:r>
      <w:r>
        <w:br w:type="page"/>
      </w:r>
    </w:p>
    <w:p>
      <w:pPr>
        <w:pStyle w:val="TextBody"/>
        <w:spacing w:before="0" w:after="0"/>
        <w:rPr/>
      </w:pPr>
      <w:r>
        <w:rPr/>
      </w:r>
      <w:r>
        <mc:AlternateContent>
          <mc:Choice Requires="wps">
            <w:drawing>
              <wp:anchor behindDoc="0" distT="0" distB="0" distL="0" distR="0" simplePos="0" locked="0" layoutInCell="1" allowOverlap="1" relativeHeight="419">
                <wp:simplePos x="0" y="0"/>
                <wp:positionH relativeFrom="character">
                  <wp:align>left</wp:align>
                </wp:positionH>
                <wp:positionV relativeFrom="line">
                  <wp:posOffset>635</wp:posOffset>
                </wp:positionV>
                <wp:extent cx="6480175" cy="175260"/>
                <wp:effectExtent l="0" t="0" r="0" b="0"/>
                <wp:wrapNone/>
                <wp:docPr id="418" name="Frame41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240"/>
        <w:ind w:left="0" w:right="0" w:hanging="432"/>
        <w:rPr/>
      </w:pPr>
      <w:r>
        <w:rPr>
          <w:color w:val="000000"/>
        </w:rPr>
        <w:t>•</w:t>
      </w:r>
      <w:r>
        <w:rPr>
          <w:rFonts w:ascii="Times New Roman;sans-serif" w:hAnsi="Times New Roman;sans-serif"/>
          <w:b w:val="false"/>
          <w:color w:val="000000"/>
          <w:sz w:val="22"/>
        </w:rPr>
        <w:t>all or substantially all the value of the deposited securities has been distributed either in cash or in the form of securities;</w:t>
      </w:r>
    </w:p>
    <w:p>
      <w:pPr>
        <w:pStyle w:val="TextBody"/>
        <w:spacing w:lineRule="auto" w:line="288" w:before="0" w:after="240"/>
        <w:ind w:left="0" w:right="0" w:hanging="432"/>
        <w:rPr/>
      </w:pPr>
      <w:r>
        <w:rPr>
          <w:color w:val="000000"/>
        </w:rPr>
        <w:t>•</w:t>
      </w:r>
      <w:r>
        <w:rPr>
          <w:rFonts w:ascii="Times New Roman;sans-serif" w:hAnsi="Times New Roman;sans-serif"/>
          <w:b w:val="false"/>
          <w:color w:val="000000"/>
          <w:sz w:val="22"/>
        </w:rPr>
        <w:t>there are no deposited securities underlying the ADSs or the underlying deposited securities have become apparently worthless; or</w:t>
      </w:r>
    </w:p>
    <w:p>
      <w:pPr>
        <w:pStyle w:val="TextBody"/>
        <w:spacing w:lineRule="auto" w:line="288" w:before="0" w:after="240"/>
        <w:ind w:left="0" w:right="0" w:hanging="432"/>
        <w:rPr/>
      </w:pPr>
      <w:r>
        <w:rPr>
          <w:color w:val="000000"/>
        </w:rPr>
        <w:t>•</w:t>
      </w:r>
      <w:r>
        <w:rPr>
          <w:rFonts w:ascii="Times New Roman;sans-serif" w:hAnsi="Times New Roman;sans-serif"/>
          <w:b w:val="false"/>
          <w:color w:val="000000"/>
          <w:sz w:val="22"/>
        </w:rPr>
        <w:t>there has been a replacement of deposited securities.</w:t>
      </w:r>
    </w:p>
    <w:p>
      <w:pPr>
        <w:pStyle w:val="TextBody"/>
        <w:spacing w:lineRule="auto" w:line="288" w:before="0" w:after="240"/>
        <w:ind w:left="0" w:right="0" w:firstLine="432"/>
        <w:rPr>
          <w:rFonts w:ascii="Times New Roman;sans-serif" w:hAnsi="Times New Roman;sans-serif"/>
          <w:b w:val="false"/>
          <w:color w:val="000000"/>
          <w:sz w:val="22"/>
        </w:rPr>
      </w:pPr>
      <w:r>
        <w:rPr>
          <w:rFonts w:ascii="Times New Roman;sans-serif" w:hAnsi="Times New Roman;sans-serif"/>
          <w:b w:val="false"/>
          <w:color w:val="000000"/>
          <w:sz w:val="22"/>
        </w:rPr>
        <w:t>If the deposit agreement will terminate, the depositary will notify ADS holders at least 90 days before the termination date. At any time after the termination date, the depositary may sell the deposited securities. After that, the depositary will hold the money it received on the sale, as well as any other cash it is holding under the deposit agreement, unsegregated and without liability for interest, for the pro rata benefit of the ADS holders that have not surrendered their ADSs. Normally, the depositary will sell the deposited securities as soon as practicable after the termination date.</w:t>
      </w:r>
    </w:p>
    <w:p>
      <w:pPr>
        <w:pStyle w:val="TextBody"/>
        <w:spacing w:lineRule="auto" w:line="288" w:before="0" w:after="240"/>
        <w:ind w:left="0" w:right="0" w:firstLine="432"/>
        <w:rPr>
          <w:rFonts w:ascii="Times New Roman;sans-serif" w:hAnsi="Times New Roman;sans-serif"/>
          <w:b w:val="false"/>
          <w:color w:val="000000"/>
          <w:sz w:val="22"/>
        </w:rPr>
      </w:pPr>
      <w:r>
        <w:rPr>
          <w:rFonts w:ascii="Times New Roman;sans-serif" w:hAnsi="Times New Roman;sans-serif"/>
          <w:b w:val="false"/>
          <w:color w:val="000000"/>
          <w:sz w:val="22"/>
        </w:rPr>
        <w:t>After the termination date and before the depositary sells, ADS holders can still surrender their ADSs and receive delivery of deposited securities, except that the depositary may refuse to accept a surrender for the purpose of withdrawing deposited securities or reverse previously accepted surrenders of that kind that have not settled if it would materially interfere with the selling process. The depositary may refuse to accept a surrender for the purpose of withdrawing sale proceeds until all the deposited securities have been sold. The depositary will continue to collect distributions on deposited securities, but, after the termination date, the depositary is not required to register any transfer of ADSs or distribute any dividends or other distributions on deposited securities to the ADSs holder (until they surrender their ADSs) or give any notices or perform any other duties under the deposit agreement except as described in this paragraph.</w:t>
      </w:r>
    </w:p>
    <w:p>
      <w:pPr>
        <w:pStyle w:val="TextBody"/>
        <w:spacing w:lineRule="auto" w:line="288" w:before="0" w:after="240"/>
        <w:rPr>
          <w:rFonts w:ascii="Times New Roman;sans-serif" w:hAnsi="Times New Roman;sans-serif"/>
          <w:b/>
          <w:i/>
          <w:color w:val="000000"/>
          <w:sz w:val="22"/>
        </w:rPr>
      </w:pPr>
      <w:r>
        <w:rPr>
          <w:rFonts w:ascii="Times New Roman;sans-serif" w:hAnsi="Times New Roman;sans-serif"/>
          <w:b/>
          <w:i/>
          <w:color w:val="000000"/>
          <w:sz w:val="22"/>
        </w:rPr>
        <w:t>Limitations on Obligations and Liability</w:t>
      </w:r>
    </w:p>
    <w:p>
      <w:pPr>
        <w:pStyle w:val="TextBody"/>
        <w:spacing w:lineRule="auto" w:line="288" w:before="0" w:after="240"/>
        <w:rPr>
          <w:rFonts w:ascii="Times New Roman;sans-serif" w:hAnsi="Times New Roman;sans-serif"/>
          <w:b w:val="false"/>
          <w:i/>
          <w:color w:val="000000"/>
          <w:sz w:val="22"/>
        </w:rPr>
      </w:pPr>
      <w:r>
        <w:rPr>
          <w:rFonts w:ascii="Times New Roman;sans-serif" w:hAnsi="Times New Roman;sans-serif"/>
          <w:b w:val="false"/>
          <w:i/>
          <w:color w:val="000000"/>
          <w:sz w:val="22"/>
        </w:rPr>
        <w:t>Limits on Our Obligations and the Obligations of the Depositary; Limits on Liability to Holders of ADSs</w:t>
      </w:r>
    </w:p>
    <w:p>
      <w:pPr>
        <w:pStyle w:val="TextBody"/>
        <w:spacing w:lineRule="auto" w:line="288" w:before="0" w:after="240"/>
        <w:ind w:left="0" w:right="0" w:firstLine="432"/>
        <w:rPr>
          <w:rFonts w:ascii="Times New Roman;sans-serif" w:hAnsi="Times New Roman;sans-serif"/>
          <w:b w:val="false"/>
          <w:color w:val="000000"/>
          <w:sz w:val="22"/>
        </w:rPr>
      </w:pPr>
      <w:r>
        <w:rPr>
          <w:rFonts w:ascii="Times New Roman;sans-serif" w:hAnsi="Times New Roman;sans-serif"/>
          <w:b w:val="false"/>
          <w:color w:val="000000"/>
          <w:sz w:val="22"/>
        </w:rPr>
        <w:t>The deposit agreement expressly limits our obligations and the obligations of the depositary. It also limits our liability and the liability of the depositary. We and the depositary:</w:t>
      </w:r>
    </w:p>
    <w:p>
      <w:pPr>
        <w:pStyle w:val="TextBody"/>
        <w:spacing w:lineRule="auto" w:line="288" w:before="0" w:after="240"/>
        <w:ind w:left="0" w:right="0" w:hanging="432"/>
        <w:rPr/>
      </w:pPr>
      <w:r>
        <w:rPr>
          <w:color w:val="000000"/>
        </w:rPr>
        <w:t>•</w:t>
      </w:r>
      <w:r>
        <w:rPr>
          <w:rFonts w:ascii="Times New Roman;sans-serif" w:hAnsi="Times New Roman;sans-serif"/>
          <w:b w:val="false"/>
          <w:color w:val="000000"/>
          <w:sz w:val="22"/>
        </w:rPr>
        <w:t>are only obligated to take the actions specifically set forth in the deposit agreement without negligence or bad faith, and the depositary will not be a fiduciary or have any fiduciary duty to holders of ADSs;</w:t>
      </w:r>
    </w:p>
    <w:p>
      <w:pPr>
        <w:pStyle w:val="TextBody"/>
        <w:spacing w:lineRule="auto" w:line="288" w:before="0" w:after="240"/>
        <w:ind w:left="0" w:right="0" w:hanging="432"/>
        <w:rPr/>
      </w:pPr>
      <w:r>
        <w:rPr>
          <w:color w:val="000000"/>
        </w:rPr>
        <w:t>•</w:t>
      </w:r>
      <w:r>
        <w:rPr>
          <w:rFonts w:ascii="Times New Roman;sans-serif" w:hAnsi="Times New Roman;sans-serif"/>
          <w:b w:val="false"/>
          <w:color w:val="000000"/>
          <w:sz w:val="22"/>
        </w:rPr>
        <w:t>are not liable if we are or it is prevented or delayed by law or by events or circumstances beyond our or its ability to prevent or counteract with reasonable care or effort from performing our or its obligations under the deposit agreement;</w:t>
      </w:r>
    </w:p>
    <w:p>
      <w:pPr>
        <w:pStyle w:val="TextBody"/>
        <w:spacing w:lineRule="auto" w:line="288" w:before="0" w:after="240"/>
        <w:ind w:left="0" w:right="0" w:hanging="432"/>
        <w:rPr/>
      </w:pPr>
      <w:r>
        <w:rPr>
          <w:color w:val="000000"/>
        </w:rPr>
        <w:t>•</w:t>
      </w:r>
      <w:r>
        <w:rPr>
          <w:rFonts w:ascii="Times New Roman;sans-serif" w:hAnsi="Times New Roman;sans-serif"/>
          <w:b w:val="false"/>
          <w:color w:val="000000"/>
          <w:sz w:val="22"/>
        </w:rPr>
        <w:t>are not liable if we or it exercises discretion permitted under the deposit agreement;</w:t>
      </w:r>
    </w:p>
    <w:p>
      <w:pPr>
        <w:pStyle w:val="TextBody"/>
        <w:spacing w:lineRule="auto" w:line="288" w:before="0" w:after="240"/>
        <w:ind w:left="0" w:right="0" w:hanging="432"/>
        <w:rPr/>
      </w:pPr>
      <w:r>
        <w:rPr>
          <w:color w:val="000000"/>
        </w:rPr>
        <w:t>•</w:t>
      </w:r>
      <w:r>
        <w:rPr>
          <w:rFonts w:ascii="Times New Roman;sans-serif" w:hAnsi="Times New Roman;sans-serif"/>
          <w:b w:val="false"/>
          <w:color w:val="000000"/>
          <w:sz w:val="22"/>
        </w:rPr>
        <w:t>are not liable for the inability of any holder of ADSs to benefit from any distribution on deposited securities that is not made available to holders of ADSs under the terms of the deposit agreement, or for any special, consequential or punitive damages for any breach of the terms of the deposit agreement;</w:t>
      </w:r>
    </w:p>
    <w:p>
      <w:pPr>
        <w:pStyle w:val="TextBody"/>
        <w:spacing w:lineRule="auto" w:line="288" w:before="0" w:after="240"/>
        <w:ind w:left="0" w:right="0" w:hanging="432"/>
        <w:rPr/>
      </w:pPr>
      <w:r>
        <w:rPr>
          <w:color w:val="000000"/>
        </w:rPr>
        <w:t>•</w:t>
      </w:r>
      <w:r>
        <w:rPr>
          <w:rFonts w:ascii="Times New Roman;sans-serif" w:hAnsi="Times New Roman;sans-serif"/>
          <w:b w:val="false"/>
          <w:color w:val="000000"/>
          <w:sz w:val="22"/>
        </w:rPr>
        <w:t>have no obligation to become involved in a lawsuit or other proceeding related to the ADSs or the deposit agreement on your behalf or on behalf of any other person;</w:t>
      </w:r>
      <w:r>
        <w:br w:type="page"/>
      </w:r>
    </w:p>
    <w:p>
      <w:pPr>
        <w:pStyle w:val="TextBody"/>
        <w:spacing w:before="0" w:after="0"/>
        <w:rPr/>
      </w:pPr>
      <w:r>
        <w:rPr/>
      </w:r>
      <w:r>
        <mc:AlternateContent>
          <mc:Choice Requires="wps">
            <w:drawing>
              <wp:anchor behindDoc="0" distT="0" distB="0" distL="0" distR="0" simplePos="0" locked="0" layoutInCell="1" allowOverlap="1" relativeHeight="420">
                <wp:simplePos x="0" y="0"/>
                <wp:positionH relativeFrom="character">
                  <wp:align>left</wp:align>
                </wp:positionH>
                <wp:positionV relativeFrom="line">
                  <wp:posOffset>635</wp:posOffset>
                </wp:positionV>
                <wp:extent cx="6480175" cy="175260"/>
                <wp:effectExtent l="0" t="0" r="0" b="0"/>
                <wp:wrapNone/>
                <wp:docPr id="419" name="Frame41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240"/>
        <w:ind w:left="0" w:right="0" w:hanging="432"/>
        <w:rPr/>
      </w:pPr>
      <w:r>
        <w:rPr>
          <w:color w:val="000000"/>
        </w:rPr>
        <w:t>•</w:t>
      </w:r>
      <w:r>
        <w:rPr>
          <w:rFonts w:ascii="Times New Roman;sans-serif" w:hAnsi="Times New Roman;sans-serif"/>
          <w:b w:val="false"/>
          <w:color w:val="000000"/>
          <w:sz w:val="22"/>
        </w:rPr>
        <w:t>may rely upon any documents we believe or it believes in good faith to be genuine and to have been signed or presented by the proper person;</w:t>
      </w:r>
    </w:p>
    <w:p>
      <w:pPr>
        <w:pStyle w:val="TextBody"/>
        <w:spacing w:lineRule="auto" w:line="288" w:before="0" w:after="240"/>
        <w:ind w:left="0" w:right="0" w:hanging="432"/>
        <w:rPr/>
      </w:pPr>
      <w:r>
        <w:rPr>
          <w:color w:val="000000"/>
        </w:rPr>
        <w:t>•</w:t>
      </w:r>
      <w:r>
        <w:rPr>
          <w:rFonts w:ascii="Times New Roman;sans-serif" w:hAnsi="Times New Roman;sans-serif"/>
          <w:b w:val="false"/>
          <w:color w:val="000000"/>
          <w:sz w:val="22"/>
        </w:rPr>
        <w:t>are not liable for the acts or omissions of any securities depository, clearing agency or settlement system; and</w:t>
      </w:r>
    </w:p>
    <w:p>
      <w:pPr>
        <w:pStyle w:val="TextBody"/>
        <w:spacing w:lineRule="auto" w:line="288" w:before="0" w:after="240"/>
        <w:ind w:left="0" w:right="0" w:hanging="432"/>
        <w:rPr/>
      </w:pPr>
      <w:r>
        <w:rPr>
          <w:color w:val="000000"/>
        </w:rPr>
        <w:t>•</w:t>
      </w:r>
      <w:r>
        <w:rPr>
          <w:rFonts w:ascii="Times New Roman;sans-serif" w:hAnsi="Times New Roman;sans-serif"/>
          <w:b w:val="false"/>
          <w:color w:val="000000"/>
          <w:sz w:val="22"/>
        </w:rPr>
        <w:t>are not liable for any tax consequences that may be incurred by ADS holders as a result of owning or holding ADSs or for the inability or failure of an ADS holder to obtain the benefit of a foreign tax credit, reduced rate of withholding or refund of amounts withheld in respect of tax or any other tax benefit and the depositary has no duty to make any determination or provide any information as to our tax status.</w:t>
      </w:r>
    </w:p>
    <w:p>
      <w:pPr>
        <w:pStyle w:val="TextBody"/>
        <w:spacing w:lineRule="auto" w:line="288" w:before="0" w:after="240"/>
        <w:ind w:left="0" w:right="0" w:firstLine="432"/>
        <w:rPr>
          <w:rFonts w:ascii="Times New Roman;sans-serif" w:hAnsi="Times New Roman;sans-serif"/>
          <w:b w:val="false"/>
          <w:color w:val="000000"/>
          <w:sz w:val="22"/>
        </w:rPr>
      </w:pPr>
      <w:r>
        <w:rPr>
          <w:rFonts w:ascii="Times New Roman;sans-serif" w:hAnsi="Times New Roman;sans-serif"/>
          <w:b w:val="false"/>
          <w:color w:val="000000"/>
          <w:sz w:val="22"/>
        </w:rPr>
        <w:t>In the deposit agreement, we and the depositary agree to indemnify each other under certain circumstances.</w:t>
      </w:r>
    </w:p>
    <w:p>
      <w:pPr>
        <w:pStyle w:val="TextBody"/>
        <w:spacing w:lineRule="auto" w:line="288" w:before="0" w:after="240"/>
        <w:rPr>
          <w:rFonts w:ascii="Times New Roman;sans-serif" w:hAnsi="Times New Roman;sans-serif"/>
          <w:b/>
          <w:i/>
          <w:color w:val="000000"/>
          <w:sz w:val="22"/>
        </w:rPr>
      </w:pPr>
      <w:r>
        <w:rPr>
          <w:rFonts w:ascii="Times New Roman;sans-serif" w:hAnsi="Times New Roman;sans-serif"/>
          <w:b/>
          <w:i/>
          <w:color w:val="000000"/>
          <w:sz w:val="22"/>
        </w:rPr>
        <w:t>Requirements for Depositary Actions</w:t>
      </w:r>
    </w:p>
    <w:p>
      <w:pPr>
        <w:pStyle w:val="TextBody"/>
        <w:spacing w:lineRule="auto" w:line="288" w:before="0" w:after="240"/>
        <w:ind w:left="0" w:right="0" w:firstLine="432"/>
        <w:rPr>
          <w:rFonts w:ascii="Times New Roman;sans-serif" w:hAnsi="Times New Roman;sans-serif"/>
          <w:b w:val="false"/>
          <w:color w:val="000000"/>
          <w:sz w:val="22"/>
        </w:rPr>
      </w:pPr>
      <w:r>
        <w:rPr>
          <w:rFonts w:ascii="Times New Roman;sans-serif" w:hAnsi="Times New Roman;sans-serif"/>
          <w:b w:val="false"/>
          <w:color w:val="000000"/>
          <w:sz w:val="22"/>
        </w:rPr>
        <w:t>Before the depositary will deliver or register a transfer of ADSs, make a distribution on ADSs, or permit withdrawal of shares, the depositary may require:</w:t>
      </w:r>
    </w:p>
    <w:p>
      <w:pPr>
        <w:pStyle w:val="TextBody"/>
        <w:spacing w:lineRule="auto" w:line="288" w:before="0" w:after="240"/>
        <w:ind w:left="0" w:right="0" w:hanging="432"/>
        <w:rPr/>
      </w:pPr>
      <w:r>
        <w:rPr>
          <w:color w:val="000000"/>
        </w:rPr>
        <w:t>•</w:t>
      </w:r>
      <w:r>
        <w:rPr>
          <w:rFonts w:ascii="Times New Roman;sans-serif" w:hAnsi="Times New Roman;sans-serif"/>
          <w:b w:val="false"/>
          <w:color w:val="000000"/>
          <w:sz w:val="22"/>
        </w:rPr>
        <w:t>payment of stock transfer or other taxes or other governmental charges and transfer or registration fees charged by third parties for the transfer of any shares or other deposited securities;</w:t>
      </w:r>
    </w:p>
    <w:p>
      <w:pPr>
        <w:pStyle w:val="TextBody"/>
        <w:spacing w:lineRule="auto" w:line="288" w:before="0" w:after="240"/>
        <w:ind w:left="0" w:right="0" w:hanging="432"/>
        <w:rPr/>
      </w:pPr>
      <w:r>
        <w:rPr>
          <w:color w:val="000000"/>
        </w:rPr>
        <w:t>•</w:t>
      </w:r>
      <w:r>
        <w:rPr>
          <w:rFonts w:ascii="Times New Roman;sans-serif" w:hAnsi="Times New Roman;sans-serif"/>
          <w:b w:val="false"/>
          <w:color w:val="000000"/>
          <w:sz w:val="22"/>
        </w:rPr>
        <w:t>satisfactory proof of the identity and genuineness of any signature or other information it deems necessary; and</w:t>
      </w:r>
    </w:p>
    <w:p>
      <w:pPr>
        <w:pStyle w:val="TextBody"/>
        <w:spacing w:lineRule="auto" w:line="288" w:before="0" w:after="240"/>
        <w:ind w:left="0" w:right="0" w:hanging="432"/>
        <w:rPr/>
      </w:pPr>
      <w:r>
        <w:rPr>
          <w:color w:val="000000"/>
        </w:rPr>
        <w:t>•</w:t>
      </w:r>
      <w:r>
        <w:rPr>
          <w:rFonts w:ascii="Times New Roman;sans-serif" w:hAnsi="Times New Roman;sans-serif"/>
          <w:b w:val="false"/>
          <w:color w:val="000000"/>
          <w:sz w:val="22"/>
        </w:rPr>
        <w:t>compliance with regulations it may establish, from time to time, consistent with the deposit agreement, including presentation of transfer documents.</w:t>
      </w:r>
    </w:p>
    <w:p>
      <w:pPr>
        <w:pStyle w:val="TextBody"/>
        <w:spacing w:lineRule="auto" w:line="288" w:before="0" w:after="240"/>
        <w:ind w:left="0" w:right="0" w:firstLine="432"/>
        <w:rPr>
          <w:rFonts w:ascii="Times New Roman;sans-serif" w:hAnsi="Times New Roman;sans-serif"/>
          <w:b w:val="false"/>
          <w:color w:val="000000"/>
          <w:sz w:val="22"/>
        </w:rPr>
      </w:pPr>
      <w:r>
        <w:rPr>
          <w:rFonts w:ascii="Times New Roman;sans-serif" w:hAnsi="Times New Roman;sans-serif"/>
          <w:b w:val="false"/>
          <w:color w:val="000000"/>
          <w:sz w:val="22"/>
        </w:rPr>
        <w:t>The depositary may refuse to deliver ADSs or register transfers of ADSs when the transfer books of the depositary or our transfer books are closed or at any time if the depositary or we think it advisable to do so.</w:t>
      </w:r>
    </w:p>
    <w:p>
      <w:pPr>
        <w:pStyle w:val="TextBody"/>
        <w:spacing w:lineRule="auto" w:line="288" w:before="0" w:after="240"/>
        <w:rPr>
          <w:rFonts w:ascii="Times New Roman;sans-serif" w:hAnsi="Times New Roman;sans-serif"/>
          <w:b/>
          <w:i/>
          <w:color w:val="000000"/>
          <w:sz w:val="22"/>
        </w:rPr>
      </w:pPr>
      <w:r>
        <w:rPr>
          <w:rFonts w:ascii="Times New Roman;sans-serif" w:hAnsi="Times New Roman;sans-serif"/>
          <w:b/>
          <w:i/>
          <w:color w:val="000000"/>
          <w:sz w:val="22"/>
        </w:rPr>
        <w:t>Your Right to Receive the Shares Underlying your ADSs</w:t>
      </w:r>
    </w:p>
    <w:p>
      <w:pPr>
        <w:pStyle w:val="TextBody"/>
        <w:spacing w:lineRule="auto" w:line="288" w:before="0" w:after="240"/>
        <w:ind w:left="0" w:right="0" w:firstLine="432"/>
        <w:rPr>
          <w:rFonts w:ascii="Times New Roman;sans-serif" w:hAnsi="Times New Roman;sans-serif"/>
          <w:b w:val="false"/>
          <w:color w:val="000000"/>
          <w:sz w:val="22"/>
        </w:rPr>
      </w:pPr>
      <w:r>
        <w:rPr>
          <w:rFonts w:ascii="Times New Roman;sans-serif" w:hAnsi="Times New Roman;sans-serif"/>
          <w:b w:val="false"/>
          <w:color w:val="000000"/>
          <w:sz w:val="22"/>
        </w:rPr>
        <w:t>ADS holders have the right to cancel their ADSs and withdraw the underlying shares at any time except:</w:t>
      </w:r>
    </w:p>
    <w:p>
      <w:pPr>
        <w:pStyle w:val="TextBody"/>
        <w:spacing w:lineRule="auto" w:line="288" w:before="0" w:after="240"/>
        <w:ind w:left="0" w:right="0" w:hanging="432"/>
        <w:rPr/>
      </w:pPr>
      <w:r>
        <w:rPr>
          <w:color w:val="000000"/>
        </w:rPr>
        <w:t>•</w:t>
      </w:r>
      <w:r>
        <w:rPr>
          <w:rFonts w:ascii="Times New Roman;sans-serif" w:hAnsi="Times New Roman;sans-serif"/>
          <w:b w:val="false"/>
          <w:color w:val="000000"/>
          <w:sz w:val="22"/>
        </w:rPr>
        <w:t>when temporary delays arise because (1) the depositary has closed its transfer books or we have closed our transfer books, (2) the transfer of shares is blocked to permit voting at a shareholders’ meeting or (3) we are paying a dividend on our shares;</w:t>
      </w:r>
    </w:p>
    <w:p>
      <w:pPr>
        <w:pStyle w:val="TextBody"/>
        <w:spacing w:lineRule="auto" w:line="288" w:before="0" w:after="240"/>
        <w:ind w:left="0" w:right="0" w:hanging="432"/>
        <w:rPr/>
      </w:pPr>
      <w:r>
        <w:rPr>
          <w:color w:val="000000"/>
        </w:rPr>
        <w:t>•</w:t>
      </w:r>
      <w:r>
        <w:rPr>
          <w:rFonts w:ascii="Times New Roman;sans-serif" w:hAnsi="Times New Roman;sans-serif"/>
          <w:b w:val="false"/>
          <w:color w:val="000000"/>
          <w:sz w:val="22"/>
        </w:rPr>
        <w:t>when you owe money to pay fees, taxes and similar charges; or</w:t>
      </w:r>
    </w:p>
    <w:p>
      <w:pPr>
        <w:pStyle w:val="TextBody"/>
        <w:spacing w:lineRule="auto" w:line="288" w:before="0" w:after="240"/>
        <w:ind w:left="0" w:right="0" w:hanging="432"/>
        <w:rPr/>
      </w:pPr>
      <w:r>
        <w:rPr>
          <w:color w:val="000000"/>
        </w:rPr>
        <w:t>•</w:t>
      </w:r>
      <w:r>
        <w:rPr>
          <w:rFonts w:ascii="Times New Roman;sans-serif" w:hAnsi="Times New Roman;sans-serif"/>
          <w:b w:val="false"/>
          <w:color w:val="000000"/>
          <w:sz w:val="22"/>
        </w:rPr>
        <w:t>when it is necessary to prohibit withdrawals in order to comply with any laws or governmental regulations that apply to ADSs or to the withdrawal of shares or other deposited securities.</w:t>
      </w:r>
    </w:p>
    <w:p>
      <w:pPr>
        <w:pStyle w:val="TextBody"/>
        <w:spacing w:lineRule="auto" w:line="288" w:before="0" w:after="240"/>
        <w:ind w:left="0" w:right="0" w:firstLine="432"/>
        <w:rPr>
          <w:rFonts w:ascii="Times New Roman;sans-serif" w:hAnsi="Times New Roman;sans-serif"/>
          <w:b w:val="false"/>
          <w:color w:val="000000"/>
          <w:sz w:val="22"/>
        </w:rPr>
      </w:pPr>
      <w:r>
        <w:rPr>
          <w:rFonts w:ascii="Times New Roman;sans-serif" w:hAnsi="Times New Roman;sans-serif"/>
          <w:b w:val="false"/>
          <w:color w:val="000000"/>
          <w:sz w:val="22"/>
        </w:rPr>
        <w:t>This right of withdrawal may not be limited by any other provision of the deposit agreement.</w:t>
      </w:r>
      <w:r>
        <w:br w:type="page"/>
      </w:r>
    </w:p>
    <w:p>
      <w:pPr>
        <w:pStyle w:val="TextBody"/>
        <w:spacing w:before="0" w:after="0"/>
        <w:rPr/>
      </w:pPr>
      <w:r>
        <w:rPr/>
      </w:r>
      <w:r>
        <mc:AlternateContent>
          <mc:Choice Requires="wps">
            <w:drawing>
              <wp:anchor behindDoc="0" distT="0" distB="0" distL="0" distR="0" simplePos="0" locked="0" layoutInCell="1" allowOverlap="1" relativeHeight="421">
                <wp:simplePos x="0" y="0"/>
                <wp:positionH relativeFrom="character">
                  <wp:align>left</wp:align>
                </wp:positionH>
                <wp:positionV relativeFrom="line">
                  <wp:posOffset>635</wp:posOffset>
                </wp:positionV>
                <wp:extent cx="6480175" cy="175260"/>
                <wp:effectExtent l="0" t="0" r="0" b="0"/>
                <wp:wrapNone/>
                <wp:docPr id="420" name="Frame41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240"/>
        <w:rPr>
          <w:rFonts w:ascii="Times New Roman;sans-serif" w:hAnsi="Times New Roman;sans-serif"/>
          <w:b/>
          <w:i/>
          <w:color w:val="000000"/>
          <w:sz w:val="22"/>
        </w:rPr>
      </w:pPr>
      <w:r>
        <w:rPr>
          <w:rFonts w:ascii="Times New Roman;sans-serif" w:hAnsi="Times New Roman;sans-serif"/>
          <w:b/>
          <w:i/>
          <w:color w:val="000000"/>
          <w:sz w:val="22"/>
        </w:rPr>
        <w:t>Direct Registration System</w:t>
      </w:r>
    </w:p>
    <w:p>
      <w:pPr>
        <w:pStyle w:val="TextBody"/>
        <w:spacing w:lineRule="auto" w:line="288" w:before="0" w:after="240"/>
        <w:ind w:left="0" w:right="0" w:firstLine="432"/>
        <w:rPr>
          <w:rFonts w:ascii="Times New Roman;sans-serif" w:hAnsi="Times New Roman;sans-serif"/>
          <w:b w:val="false"/>
          <w:color w:val="000000"/>
          <w:sz w:val="22"/>
        </w:rPr>
      </w:pPr>
      <w:r>
        <w:rPr>
          <w:rFonts w:ascii="Times New Roman;sans-serif" w:hAnsi="Times New Roman;sans-serif"/>
          <w:b w:val="false"/>
          <w:color w:val="000000"/>
          <w:sz w:val="22"/>
        </w:rPr>
        <w:t>In the deposit agreement, all parties to the deposit agreement acknowledge that the Direct Registration System, or DRS, and Profile Modification System, or Profile, will apply to the ADSs. DRS is a system administered by DTC that facilitates interchange between registered holding of uncertificated ADSs and holding of security entitlements in ADSs through DTC and a DTC participant. Profile is a feature of DRS that allows a DTC participant, claiming to act on behalf of a registered holder of uncertificated ADSs, to direct the depositary to register a transfer of those ADSs to DTC or its nominee and to deliver those ADSs to the DTC account of that DTC participant without receipt by the depositary of prior authorization from the ADS holder to register that transfer.</w:t>
      </w:r>
    </w:p>
    <w:p>
      <w:pPr>
        <w:pStyle w:val="TextBody"/>
        <w:spacing w:lineRule="auto" w:line="288" w:before="0" w:after="240"/>
        <w:ind w:left="0" w:right="0" w:firstLine="432"/>
        <w:rPr>
          <w:rFonts w:ascii="Times New Roman;sans-serif" w:hAnsi="Times New Roman;sans-serif"/>
          <w:b w:val="false"/>
          <w:color w:val="000000"/>
          <w:sz w:val="22"/>
        </w:rPr>
      </w:pPr>
      <w:r>
        <w:rPr>
          <w:rFonts w:ascii="Times New Roman;sans-serif" w:hAnsi="Times New Roman;sans-serif"/>
          <w:b w:val="false"/>
          <w:color w:val="000000"/>
          <w:sz w:val="22"/>
        </w:rPr>
        <w:t>In connection with and in accordance with the arrangements and procedures relating to DRS and Profile, the parties to the deposit agreement understand that the depositary will not determine whether the DTC participant that is claiming to be acting on behalf of an ADS holder in requesting registration of transfer and delivery as described in the paragraph above has the actual authority to act on behalf of the ADS holder (notwithstanding any requirements under the Uniform Commercial Code). In the deposit agreement, the parties agree that the depositary’s reliance on and compliance with instructions received by the depositary through the DRS and Profile system and in accordance with the deposit agreement will not constitute negligence or bad faith on the part of the depositary.</w:t>
      </w:r>
    </w:p>
    <w:p>
      <w:pPr>
        <w:pStyle w:val="TextBody"/>
        <w:spacing w:lineRule="auto" w:line="288" w:before="0" w:after="240"/>
        <w:rPr>
          <w:rFonts w:ascii="Times New Roman;sans-serif" w:hAnsi="Times New Roman;sans-serif"/>
          <w:b/>
          <w:i/>
          <w:color w:val="000000"/>
          <w:sz w:val="22"/>
        </w:rPr>
      </w:pPr>
      <w:r>
        <w:rPr>
          <w:rFonts w:ascii="Times New Roman;sans-serif" w:hAnsi="Times New Roman;sans-serif"/>
          <w:b/>
          <w:i/>
          <w:color w:val="000000"/>
          <w:sz w:val="22"/>
        </w:rPr>
        <w:t>Shareholder Communications; Inspection of Register of Holders of ADSs</w:t>
      </w:r>
    </w:p>
    <w:p>
      <w:pPr>
        <w:pStyle w:val="TextBody"/>
        <w:spacing w:lineRule="auto" w:line="288" w:before="0" w:after="240"/>
        <w:ind w:left="0" w:right="0" w:firstLine="432"/>
        <w:rPr>
          <w:rFonts w:ascii="Times New Roman;sans-serif" w:hAnsi="Times New Roman;sans-serif"/>
          <w:b w:val="false"/>
          <w:color w:val="000000"/>
          <w:sz w:val="22"/>
        </w:rPr>
      </w:pPr>
      <w:r>
        <w:rPr>
          <w:rFonts w:ascii="Times New Roman;sans-serif" w:hAnsi="Times New Roman;sans-serif"/>
          <w:b w:val="false"/>
          <w:color w:val="000000"/>
          <w:sz w:val="22"/>
        </w:rPr>
        <w:t>The depositary will make available for your inspection at its office all communications that it receives from us as a holder of deposited securities that we make generally available to holders of deposited securities. The depositary will send you copies of those communications or otherwise make those communications available to you if we ask it to. You have a right to inspect the register of holders of ADSs, but not for the purpose of contacting those holders about a matter unrelated to our business or the ADSs.</w:t>
      </w:r>
    </w:p>
    <w:p>
      <w:pPr>
        <w:pStyle w:val="TextBody"/>
        <w:spacing w:lineRule="auto" w:line="288" w:before="0" w:after="240"/>
        <w:rPr>
          <w:rFonts w:ascii="Times New Roman;sans-serif" w:hAnsi="Times New Roman;sans-serif"/>
          <w:b/>
          <w:i/>
          <w:color w:val="000000"/>
          <w:sz w:val="22"/>
        </w:rPr>
      </w:pPr>
      <w:r>
        <w:rPr>
          <w:rFonts w:ascii="Times New Roman;sans-serif" w:hAnsi="Times New Roman;sans-serif"/>
          <w:b/>
          <w:i/>
          <w:color w:val="000000"/>
          <w:sz w:val="22"/>
        </w:rPr>
        <w:t>Jury Trial Waiver</w:t>
      </w:r>
    </w:p>
    <w:p>
      <w:pPr>
        <w:pStyle w:val="TextBody"/>
        <w:spacing w:lineRule="auto" w:line="288" w:before="0" w:after="240"/>
        <w:ind w:left="0" w:right="0" w:firstLine="432"/>
        <w:rPr>
          <w:rFonts w:ascii="Times New Roman;sans-serif" w:hAnsi="Times New Roman;sans-serif"/>
          <w:b w:val="false"/>
          <w:color w:val="000000"/>
          <w:sz w:val="22"/>
        </w:rPr>
      </w:pPr>
      <w:r>
        <w:rPr>
          <w:rFonts w:ascii="Times New Roman;sans-serif" w:hAnsi="Times New Roman;sans-serif"/>
          <w:b w:val="false"/>
          <w:color w:val="000000"/>
          <w:sz w:val="22"/>
        </w:rPr>
        <w:t>The deposit agreement provides that each party to the deposit agreement (including each holder, beneficial owner and holder of interests in the ADSs) irrevocably waives, to the fullest extent permitted by applicable law, any right it may have to a trial by jury in any lawsuit or proceeding against us or the depositary related to our shares, the ADSs or the deposit agreement. If we or the depositary were to oppose a jury trial demand based on the waiver, the court would determine whether the waiver is enforceable based on the facts and circumstances of that case in accordance with applicable law. You will not, by agreeing to the terms of the deposit agreement, be deemed to have waived our or the depositary’s compliance with U.S. federal securities laws or the rules and regulations promulgated thereunder.</w:t>
      </w:r>
    </w:p>
    <w:p>
      <w:pPr>
        <w:pStyle w:val="TextBody"/>
        <w:spacing w:lineRule="auto" w:line="288" w:before="0" w:after="240"/>
        <w:rPr>
          <w:rFonts w:ascii="Times New Roman;sans-serif" w:hAnsi="Times New Roman;sans-serif"/>
          <w:b/>
          <w:i/>
          <w:color w:val="000000"/>
          <w:sz w:val="22"/>
        </w:rPr>
      </w:pPr>
      <w:r>
        <w:rPr>
          <w:rFonts w:ascii="Times New Roman;sans-serif" w:hAnsi="Times New Roman;sans-serif"/>
          <w:b/>
          <w:i/>
          <w:color w:val="000000"/>
          <w:sz w:val="22"/>
        </w:rPr>
        <w:t>Arbitration Provision</w:t>
      </w:r>
    </w:p>
    <w:p>
      <w:pPr>
        <w:pStyle w:val="TextBody"/>
        <w:spacing w:lineRule="auto" w:line="288" w:before="0" w:after="240"/>
        <w:ind w:left="0" w:right="0" w:firstLine="432"/>
        <w:rPr>
          <w:rFonts w:ascii="Times New Roman;sans-serif" w:hAnsi="Times New Roman;sans-serif"/>
          <w:b w:val="false"/>
          <w:color w:val="000000"/>
          <w:sz w:val="22"/>
        </w:rPr>
      </w:pPr>
      <w:r>
        <w:rPr>
          <w:rFonts w:ascii="Times New Roman;sans-serif" w:hAnsi="Times New Roman;sans-serif"/>
          <w:b w:val="false"/>
          <w:color w:val="000000"/>
          <w:sz w:val="22"/>
        </w:rPr>
        <w:t>The deposit agreement gives the depositary or an ADS holder asserting a claim against us the right to require us to submit that claim to binding arbitration in New York under the International Arbitration Rules of the American Arbitration Association, including any U.S. federal securities law claim. However, a claimant could also elect not to submit its claim to arbitration and instead bring its claim in any court having jurisdiction of it. The deposit agreement does not give us the right to require anyone to submit any claim to arbitration.</w:t>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422">
                <wp:simplePos x="0" y="0"/>
                <wp:positionH relativeFrom="character">
                  <wp:align>left</wp:align>
                </wp:positionH>
                <wp:positionV relativeFrom="line">
                  <wp:posOffset>635</wp:posOffset>
                </wp:positionV>
                <wp:extent cx="6480175" cy="175260"/>
                <wp:effectExtent l="0" t="0" r="0" b="0"/>
                <wp:wrapNone/>
                <wp:docPr id="421" name="Frame41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300" w:before="0" w:after="160"/>
        <w:jc w:val="center"/>
        <w:rPr>
          <w:rFonts w:ascii="Times New Roman;sans-serif" w:hAnsi="Times New Roman;sans-serif"/>
          <w:b/>
          <w:color w:val="000000"/>
          <w:sz w:val="28"/>
        </w:rPr>
      </w:pPr>
      <w:r>
        <w:rPr>
          <w:rFonts w:ascii="Times New Roman;sans-serif" w:hAnsi="Times New Roman;sans-serif"/>
          <w:b/>
          <w:color w:val="000000"/>
          <w:sz w:val="28"/>
        </w:rPr>
        <w:t>Joinder Agreement to the Contractual Arrangements</w:t>
      </w:r>
    </w:p>
    <w:p>
      <w:pPr>
        <w:pStyle w:val="TextBody"/>
        <w:spacing w:before="0" w:after="160"/>
        <w:rPr/>
      </w:pPr>
      <w:r>
        <w:rPr/>
      </w:r>
    </w:p>
    <w:p>
      <w:pPr>
        <w:pStyle w:val="TextBody"/>
        <w:spacing w:lineRule="auto" w:line="300" w:before="0" w:after="160"/>
        <w:rPr/>
      </w:pPr>
      <w:r>
        <w:rPr>
          <w:rFonts w:ascii="Times New Roman;sans-serif" w:hAnsi="Times New Roman;sans-serif"/>
          <w:b w:val="false"/>
          <w:color w:val="000000"/>
          <w:sz w:val="22"/>
        </w:rPr>
        <w:t>This Joinder Agreement to the Contractual Arrangements (this “</w:t>
      </w:r>
      <w:r>
        <w:rPr>
          <w:rFonts w:ascii="Times New Roman;sans-serif" w:hAnsi="Times New Roman;sans-serif"/>
          <w:b/>
          <w:color w:val="000000"/>
          <w:sz w:val="22"/>
        </w:rPr>
        <w:t>Agreement</w:t>
      </w:r>
      <w:r>
        <w:rPr>
          <w:color w:val="000000"/>
        </w:rPr>
        <w:t>”</w:t>
      </w:r>
      <w:r>
        <w:rPr>
          <w:rFonts w:ascii="Times New Roman;sans-serif" w:hAnsi="Times New Roman;sans-serif"/>
          <w:b w:val="false"/>
          <w:color w:val="000000"/>
          <w:sz w:val="22"/>
        </w:rPr>
        <w:t>) was executed on January 19, 2021 by and among the following parties:</w:t>
      </w:r>
    </w:p>
    <w:p>
      <w:pPr>
        <w:pStyle w:val="TextBody"/>
        <w:spacing w:lineRule="auto" w:line="300" w:before="0" w:after="0"/>
        <w:ind w:left="0" w:right="0" w:hanging="360"/>
        <w:rPr/>
      </w:pPr>
      <w:r>
        <w:rPr>
          <w:rFonts w:ascii="Times New Roman;sans-serif" w:hAnsi="Times New Roman;sans-serif"/>
          <w:b w:val="false"/>
          <w:color w:val="000000"/>
          <w:sz w:val="22"/>
        </w:rPr>
        <w:t>(1)</w:t>
      </w:r>
      <w:r>
        <w:rPr>
          <w:rFonts w:ascii="Times New Roman;sans-serif" w:hAnsi="Times New Roman;sans-serif"/>
          <w:b/>
          <w:color w:val="000000"/>
          <w:sz w:val="22"/>
        </w:rPr>
        <w:t>Chen Yan</w:t>
      </w:r>
      <w:r>
        <w:rPr>
          <w:rFonts w:ascii="Times New Roman;sans-serif" w:hAnsi="Times New Roman;sans-serif"/>
          <w:b w:val="false"/>
          <w:color w:val="000000"/>
          <w:sz w:val="22"/>
        </w:rPr>
        <w:t>, a Chinese citizen, ID No.: [***] (the “</w:t>
      </w:r>
      <w:r>
        <w:rPr>
          <w:rFonts w:ascii="Times New Roman;sans-serif" w:hAnsi="Times New Roman;sans-serif"/>
          <w:b/>
          <w:color w:val="000000"/>
          <w:sz w:val="22"/>
        </w:rPr>
        <w:t>New Shareholder</w:t>
      </w:r>
      <w:r>
        <w:rPr>
          <w:color w:val="000000"/>
        </w:rPr>
        <w:t>”</w:t>
      </w:r>
      <w:r>
        <w:rPr>
          <w:rFonts w:ascii="Times New Roman;sans-serif" w:hAnsi="Times New Roman;sans-serif"/>
          <w:b w:val="false"/>
          <w:color w:val="000000"/>
          <w:sz w:val="22"/>
        </w:rPr>
        <w:t>);</w:t>
      </w:r>
    </w:p>
    <w:p>
      <w:pPr>
        <w:pStyle w:val="TextBody"/>
        <w:spacing w:lineRule="auto" w:line="300" w:before="0" w:after="0"/>
        <w:ind w:left="0" w:right="0" w:hanging="360"/>
        <w:rPr/>
      </w:pPr>
      <w:r>
        <w:rPr>
          <w:rFonts w:ascii="Times New Roman;sans-serif" w:hAnsi="Times New Roman;sans-serif"/>
          <w:b w:val="false"/>
          <w:color w:val="000000"/>
          <w:sz w:val="22"/>
        </w:rPr>
        <w:t>(2)</w:t>
      </w:r>
      <w:r>
        <w:rPr>
          <w:rFonts w:ascii="Times New Roman;sans-serif" w:hAnsi="Times New Roman;sans-serif"/>
          <w:b/>
          <w:color w:val="000000"/>
          <w:sz w:val="22"/>
        </w:rPr>
        <w:t>Shanghai Zhaoyan Network Technology Co., Ltd.</w:t>
      </w:r>
      <w:r>
        <w:rPr>
          <w:rFonts w:ascii="Times New Roman;sans-serif" w:hAnsi="Times New Roman;sans-serif"/>
          <w:b w:val="false"/>
          <w:color w:val="000000"/>
          <w:sz w:val="22"/>
        </w:rPr>
        <w:t>, a limited liability company duly registered and validly existing under PRC laws, with its unified social credit code of 91310110093802968T (the “</w:t>
      </w:r>
      <w:r>
        <w:rPr>
          <w:rFonts w:ascii="Times New Roman;sans-serif" w:hAnsi="Times New Roman;sans-serif"/>
          <w:b/>
          <w:color w:val="000000"/>
          <w:sz w:val="22"/>
        </w:rPr>
        <w:t>Company</w:t>
      </w:r>
      <w:r>
        <w:rPr>
          <w:color w:val="000000"/>
        </w:rPr>
        <w:t>”</w:t>
      </w:r>
      <w:r>
        <w:rPr>
          <w:rFonts w:ascii="Times New Roman;sans-serif" w:hAnsi="Times New Roman;sans-serif"/>
          <w:b w:val="false"/>
          <w:color w:val="000000"/>
          <w:sz w:val="22"/>
        </w:rPr>
        <w:t>);</w:t>
      </w:r>
    </w:p>
    <w:p>
      <w:pPr>
        <w:pStyle w:val="TextBody"/>
        <w:spacing w:lineRule="auto" w:line="300" w:before="0" w:after="160"/>
        <w:ind w:left="0" w:right="0" w:hanging="360"/>
        <w:rPr/>
      </w:pPr>
      <w:r>
        <w:rPr>
          <w:rFonts w:ascii="Times New Roman;sans-serif" w:hAnsi="Times New Roman;sans-serif"/>
          <w:b w:val="false"/>
          <w:color w:val="000000"/>
          <w:sz w:val="22"/>
        </w:rPr>
        <w:t>(3)</w:t>
      </w:r>
      <w:r>
        <w:rPr>
          <w:rFonts w:ascii="Times New Roman;sans-serif" w:hAnsi="Times New Roman;sans-serif"/>
          <w:b/>
          <w:color w:val="000000"/>
          <w:sz w:val="22"/>
        </w:rPr>
        <w:t>Dayin Network Technology (Shanghai) Co., Ltd.</w:t>
      </w:r>
      <w:r>
        <w:rPr>
          <w:rFonts w:ascii="Times New Roman;sans-serif" w:hAnsi="Times New Roman;sans-serif"/>
          <w:b w:val="false"/>
          <w:color w:val="000000"/>
          <w:sz w:val="22"/>
        </w:rPr>
        <w:t>, a limited liability company duly registered and validly existing under PRC laws, with its unified social credit code of 913101153326965852 (the “</w:t>
      </w:r>
      <w:r>
        <w:rPr>
          <w:rFonts w:ascii="Times New Roman;sans-serif" w:hAnsi="Times New Roman;sans-serif"/>
          <w:b/>
          <w:color w:val="000000"/>
          <w:sz w:val="22"/>
        </w:rPr>
        <w:t>WFOE</w:t>
      </w:r>
      <w:r>
        <w:rPr>
          <w:color w:val="000000"/>
        </w:rPr>
        <w:t>”</w:t>
      </w:r>
      <w:r>
        <w:rPr>
          <w:rFonts w:ascii="Times New Roman;sans-serif" w:hAnsi="Times New Roman;sans-serif"/>
          <w:b w:val="false"/>
          <w:color w:val="000000"/>
          <w:sz w:val="22"/>
        </w:rPr>
        <w:t>).</w:t>
      </w:r>
    </w:p>
    <w:p>
      <w:pPr>
        <w:pStyle w:val="TextBody"/>
        <w:spacing w:lineRule="auto" w:line="300" w:before="0" w:after="160"/>
        <w:rPr/>
      </w:pPr>
      <w:r>
        <w:rPr>
          <w:rFonts w:ascii="Times New Roman;sans-serif" w:hAnsi="Times New Roman;sans-serif"/>
          <w:b/>
          <w:color w:val="000000"/>
          <w:sz w:val="22"/>
        </w:rPr>
        <w:t>Whereas</w:t>
      </w:r>
      <w:r>
        <w:rPr>
          <w:rFonts w:ascii="Times New Roman;sans-serif" w:hAnsi="Times New Roman;sans-serif"/>
          <w:b w:val="false"/>
          <w:color w:val="000000"/>
          <w:sz w:val="22"/>
        </w:rPr>
        <w:t>:</w:t>
      </w:r>
    </w:p>
    <w:p>
      <w:pPr>
        <w:pStyle w:val="TextBody"/>
        <w:spacing w:lineRule="auto" w:line="300" w:before="0" w:after="0"/>
        <w:ind w:left="0" w:right="0" w:hanging="360"/>
        <w:rPr/>
      </w:pPr>
      <w:r>
        <w:rPr>
          <w:rFonts w:ascii="Times New Roman;sans-serif" w:hAnsi="Times New Roman;sans-serif"/>
          <w:b w:val="false"/>
          <w:color w:val="000000"/>
          <w:sz w:val="22"/>
        </w:rPr>
        <w:t>(1)The Company, all of its shareholders, and the WFOE, entered into a complete set of contractual arrangements on June 18, 2015, including exclusive technology consulting and services agreement, voting rights proxy agreement, share pledge agreement, and exclusive option agreement (collectively referred to as the “</w:t>
      </w:r>
      <w:r>
        <w:rPr>
          <w:rFonts w:ascii="Times New Roman;sans-serif" w:hAnsi="Times New Roman;sans-serif"/>
          <w:b/>
          <w:color w:val="000000"/>
          <w:sz w:val="22"/>
        </w:rPr>
        <w:t>Contractual Arrangements</w:t>
      </w:r>
      <w:r>
        <w:rPr>
          <w:color w:val="000000"/>
        </w:rPr>
        <w:t>”</w:t>
      </w:r>
      <w:r>
        <w:rPr>
          <w:rFonts w:ascii="Times New Roman;sans-serif" w:hAnsi="Times New Roman;sans-serif"/>
          <w:b w:val="false"/>
          <w:color w:val="000000"/>
          <w:sz w:val="22"/>
        </w:rPr>
        <w:t>).</w:t>
      </w:r>
    </w:p>
    <w:p>
      <w:pPr>
        <w:pStyle w:val="TextBody"/>
        <w:spacing w:before="0" w:after="0"/>
        <w:rPr/>
      </w:pPr>
      <w:r>
        <w:rPr/>
      </w:r>
    </w:p>
    <w:p>
      <w:pPr>
        <w:pStyle w:val="TextBody"/>
        <w:spacing w:lineRule="auto" w:line="300" w:before="0" w:after="160"/>
        <w:ind w:left="0" w:right="0" w:hanging="360"/>
        <w:rPr>
          <w:rFonts w:ascii="Times New Roman;sans-serif" w:hAnsi="Times New Roman;sans-serif"/>
          <w:b w:val="false"/>
          <w:color w:val="000000"/>
          <w:sz w:val="22"/>
        </w:rPr>
      </w:pPr>
      <w:r>
        <w:rPr>
          <w:rFonts w:ascii="Times New Roman;sans-serif" w:hAnsi="Times New Roman;sans-serif"/>
          <w:b w:val="false"/>
          <w:color w:val="000000"/>
          <w:sz w:val="22"/>
        </w:rPr>
        <w:t>(2)Wenjing Ma, the original shareholder, transferred all her shares of the Company to the New Shareholder on January 19, 2021, and completed corresponding transferal registration procedures on the execution date of this Agreement. After the equity transfer is completed, the New Shareholder will hold 10% of Company’s equity. In accordance with the requirements of Contractual Arrangements, the transferee and the successor of the Company’s shares shall agree to the restrictions, obligations and responsibilities of the original shareholder under the Contractual Arrangements.</w:t>
      </w:r>
    </w:p>
    <w:p>
      <w:pPr>
        <w:pStyle w:val="TextBody"/>
        <w:spacing w:lineRule="auto" w:line="300" w:before="0" w:after="160"/>
        <w:rPr>
          <w:rFonts w:ascii="Times New Roman;sans-serif" w:hAnsi="Times New Roman;sans-serif"/>
          <w:b w:val="false"/>
          <w:color w:val="000000"/>
          <w:sz w:val="22"/>
        </w:rPr>
      </w:pPr>
      <w:r>
        <w:rPr>
          <w:rFonts w:ascii="Times New Roman;sans-serif" w:hAnsi="Times New Roman;sans-serif"/>
          <w:b w:val="false"/>
          <w:color w:val="000000"/>
          <w:sz w:val="22"/>
        </w:rPr>
        <w:t>In view of this, the New Shareholder is willing to voluntarily join the Contractual Arrangements and replace the original shareholder, Wenjing Ma, as a party to the Contractual Arrangements, fulfill provisions of the Contractual Arrangements, and assume corresponding responsibilities.</w:t>
      </w:r>
    </w:p>
    <w:p>
      <w:pPr>
        <w:pStyle w:val="TextBody"/>
        <w:spacing w:lineRule="auto" w:line="300" w:before="0" w:after="0"/>
        <w:ind w:left="0" w:right="0" w:hanging="360"/>
        <w:rPr>
          <w:rFonts w:ascii="Times New Roman;sans-serif" w:hAnsi="Times New Roman;sans-serif"/>
          <w:b w:val="false"/>
          <w:color w:val="000000"/>
          <w:sz w:val="22"/>
        </w:rPr>
      </w:pPr>
      <w:r>
        <w:rPr>
          <w:rFonts w:ascii="Times New Roman;sans-serif" w:hAnsi="Times New Roman;sans-serif"/>
          <w:b w:val="false"/>
          <w:color w:val="000000"/>
          <w:sz w:val="22"/>
        </w:rPr>
        <w:t>1.The New Shareholder confirms to voluntarily and automatically join each agreement under the Contractual Arrangements and accepts legal covenants thereunder when the equity transfer from the original shareholder to the New Shareholder becomes effective.</w:t>
      </w:r>
    </w:p>
    <w:p>
      <w:pPr>
        <w:pStyle w:val="TextBody"/>
        <w:spacing w:before="0" w:after="0"/>
        <w:rPr/>
      </w:pPr>
      <w:r>
        <w:rPr/>
      </w:r>
    </w:p>
    <w:p>
      <w:pPr>
        <w:pStyle w:val="TextBody"/>
        <w:spacing w:lineRule="auto" w:line="300" w:before="0" w:after="0"/>
        <w:ind w:left="0" w:right="0" w:hanging="360"/>
        <w:rPr>
          <w:rFonts w:ascii="Times New Roman;sans-serif" w:hAnsi="Times New Roman;sans-serif"/>
          <w:b w:val="false"/>
          <w:color w:val="000000"/>
          <w:sz w:val="22"/>
        </w:rPr>
      </w:pPr>
      <w:r>
        <w:rPr>
          <w:rFonts w:ascii="Times New Roman;sans-serif" w:hAnsi="Times New Roman;sans-serif"/>
          <w:b w:val="false"/>
          <w:color w:val="000000"/>
          <w:sz w:val="22"/>
        </w:rPr>
        <w:t>2.The New Shareholder promises to fully perform each agreement under the Contractual Arrangements and assumes corresponding obligations and responsibilities.</w:t>
      </w:r>
    </w:p>
    <w:p>
      <w:pPr>
        <w:pStyle w:val="TextBody"/>
        <w:spacing w:before="0" w:after="0"/>
        <w:rPr/>
      </w:pPr>
      <w:r>
        <w:rPr/>
      </w:r>
    </w:p>
    <w:p>
      <w:pPr>
        <w:pStyle w:val="TextBody"/>
        <w:spacing w:lineRule="auto" w:line="300" w:before="0" w:after="0"/>
        <w:ind w:left="0" w:right="0" w:hanging="360"/>
        <w:rPr>
          <w:rFonts w:ascii="Times New Roman;sans-serif" w:hAnsi="Times New Roman;sans-serif"/>
          <w:b w:val="false"/>
          <w:color w:val="000000"/>
          <w:sz w:val="22"/>
        </w:rPr>
      </w:pPr>
      <w:r>
        <w:rPr>
          <w:rFonts w:ascii="Times New Roman;sans-serif" w:hAnsi="Times New Roman;sans-serif"/>
          <w:b w:val="false"/>
          <w:color w:val="000000"/>
          <w:sz w:val="22"/>
        </w:rPr>
        <w:t>3.The Company and the WFOE hereby agree that the New Shareholder joins the Contractual Arrangements, and all parties will perform their corresponding responsibilities strictly in accordance with each agreement under the Contractual Arrangements.</w:t>
      </w:r>
    </w:p>
    <w:p>
      <w:pPr>
        <w:pStyle w:val="TextBody"/>
        <w:spacing w:before="0" w:after="0"/>
        <w:rPr/>
      </w:pPr>
      <w:r>
        <w:rPr/>
      </w:r>
    </w:p>
    <w:p>
      <w:pPr>
        <w:pStyle w:val="TextBody"/>
        <w:spacing w:lineRule="auto" w:line="300"/>
        <w:ind w:left="0" w:right="0" w:hanging="360"/>
        <w:rPr>
          <w:rFonts w:ascii="Times New Roman;sans-serif" w:hAnsi="Times New Roman;sans-serif"/>
          <w:b w:val="false"/>
          <w:color w:val="000000"/>
          <w:sz w:val="22"/>
        </w:rPr>
      </w:pPr>
      <w:r>
        <w:rPr>
          <w:rFonts w:ascii="Times New Roman;sans-serif" w:hAnsi="Times New Roman;sans-serif"/>
          <w:b w:val="false"/>
          <w:color w:val="000000"/>
          <w:sz w:val="22"/>
        </w:rPr>
        <w:t>4.This Agreement shall be regarded as an amendment to the Contractual Arrangements. If there is any inconsistency between this Agreement and the Contractual Arrangements, the amended content in this Agreement shall prevail; and original content of the Contractual Arrangements shall prevail for matters not amended in this Agreement.</w:t>
      </w:r>
      <w:r>
        <w:br w:type="page"/>
      </w:r>
    </w:p>
    <w:p>
      <w:pPr>
        <w:pStyle w:val="TextBody"/>
        <w:spacing w:before="0" w:after="0"/>
        <w:rPr/>
      </w:pPr>
      <w:r>
        <w:rPr/>
      </w:r>
      <w:r>
        <mc:AlternateContent>
          <mc:Choice Requires="wps">
            <w:drawing>
              <wp:anchor behindDoc="0" distT="0" distB="0" distL="0" distR="0" simplePos="0" locked="0" layoutInCell="1" allowOverlap="1" relativeHeight="423">
                <wp:simplePos x="0" y="0"/>
                <wp:positionH relativeFrom="character">
                  <wp:align>left</wp:align>
                </wp:positionH>
                <wp:positionV relativeFrom="line">
                  <wp:posOffset>635</wp:posOffset>
                </wp:positionV>
                <wp:extent cx="6480175" cy="175260"/>
                <wp:effectExtent l="0" t="0" r="0" b="0"/>
                <wp:wrapNone/>
                <wp:docPr id="422" name="Frame41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rPr/>
      </w:pPr>
      <w:r>
        <w:rPr/>
      </w:r>
    </w:p>
    <w:p>
      <w:pPr>
        <w:pStyle w:val="TextBody"/>
        <w:spacing w:lineRule="auto" w:line="300" w:before="0" w:after="0"/>
        <w:ind w:left="0" w:right="0" w:hanging="360"/>
        <w:rPr>
          <w:rFonts w:ascii="Times New Roman;sans-serif" w:hAnsi="Times New Roman;sans-serif"/>
          <w:b w:val="false"/>
          <w:color w:val="000000"/>
          <w:sz w:val="22"/>
        </w:rPr>
      </w:pPr>
      <w:r>
        <w:rPr>
          <w:rFonts w:ascii="Times New Roman;sans-serif" w:hAnsi="Times New Roman;sans-serif"/>
          <w:b w:val="false"/>
          <w:color w:val="000000"/>
          <w:sz w:val="22"/>
        </w:rPr>
        <w:t>5.This Agreement is valid for all parties from the execution date. This Agreement is in one copy and kept by the WFOE.</w:t>
      </w:r>
    </w:p>
    <w:p>
      <w:pPr>
        <w:pStyle w:val="TextBody"/>
        <w:spacing w:before="0" w:after="0"/>
        <w:rPr/>
      </w:pPr>
      <w:r>
        <w:rPr/>
      </w:r>
    </w:p>
    <w:p>
      <w:pPr>
        <w:pStyle w:val="TextBody"/>
        <w:spacing w:lineRule="auto" w:line="300" w:before="0" w:after="160"/>
        <w:ind w:left="0" w:right="0" w:hanging="360"/>
        <w:rPr>
          <w:rFonts w:ascii="Times New Roman;sans-serif" w:hAnsi="Times New Roman;sans-serif"/>
          <w:b w:val="false"/>
          <w:color w:val="000000"/>
          <w:sz w:val="22"/>
        </w:rPr>
      </w:pPr>
      <w:r>
        <w:rPr>
          <w:rFonts w:ascii="Times New Roman;sans-serif" w:hAnsi="Times New Roman;sans-serif"/>
          <w:b w:val="false"/>
          <w:color w:val="000000"/>
          <w:sz w:val="22"/>
        </w:rPr>
        <w:t>6.This Agreement is governed by laws stipulated in the Contractual Arrangements and shall be interpreted thereby, and any disputes shall be settled in accordance as stipulated in the Contractual Arrangements.</w:t>
      </w:r>
    </w:p>
    <w:p>
      <w:pPr>
        <w:pStyle w:val="TextBody"/>
        <w:spacing w:before="0" w:after="160"/>
        <w:rPr/>
      </w:pPr>
      <w:r>
        <w:rPr/>
      </w:r>
    </w:p>
    <w:p>
      <w:pPr>
        <w:pStyle w:val="TextBody"/>
        <w:spacing w:before="0" w:after="160"/>
        <w:rPr/>
      </w:pPr>
      <w:r>
        <w:rPr/>
      </w:r>
    </w:p>
    <w:p>
      <w:pPr>
        <w:pStyle w:val="TextBody"/>
        <w:spacing w:lineRule="auto" w:line="300" w:before="0" w:after="160"/>
        <w:jc w:val="center"/>
        <w:rPr>
          <w:rFonts w:ascii="Times New Roman;sans-serif" w:hAnsi="Times New Roman;sans-serif"/>
          <w:b/>
          <w:color w:val="000000"/>
          <w:sz w:val="22"/>
        </w:rPr>
      </w:pPr>
      <w:r>
        <w:rPr>
          <w:rFonts w:ascii="Times New Roman;sans-serif" w:hAnsi="Times New Roman;sans-serif"/>
          <w:b/>
          <w:color w:val="000000"/>
          <w:sz w:val="22"/>
        </w:rPr>
        <w:t>[Signature page follows.]</w:t>
      </w:r>
    </w:p>
    <w:p>
      <w:pPr>
        <w:pStyle w:val="TextBody"/>
        <w:spacing w:before="0" w:after="160"/>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424">
                <wp:simplePos x="0" y="0"/>
                <wp:positionH relativeFrom="character">
                  <wp:align>left</wp:align>
                </wp:positionH>
                <wp:positionV relativeFrom="line">
                  <wp:posOffset>635</wp:posOffset>
                </wp:positionV>
                <wp:extent cx="6480175" cy="175260"/>
                <wp:effectExtent l="0" t="0" r="0" b="0"/>
                <wp:wrapNone/>
                <wp:docPr id="423" name="Frame420"/>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300" w:before="0" w:after="160"/>
        <w:jc w:val="center"/>
        <w:rPr>
          <w:rFonts w:ascii="Times New Roman;sans-serif" w:hAnsi="Times New Roman;sans-serif"/>
          <w:b/>
          <w:color w:val="000000"/>
          <w:sz w:val="22"/>
        </w:rPr>
      </w:pPr>
      <w:r>
        <w:rPr>
          <w:rFonts w:ascii="Times New Roman;sans-serif" w:hAnsi="Times New Roman;sans-serif"/>
          <w:b/>
          <w:color w:val="000000"/>
          <w:sz w:val="22"/>
        </w:rPr>
        <w:t>[Signature page contains no text.]</w:t>
      </w:r>
    </w:p>
    <w:p>
      <w:pPr>
        <w:pStyle w:val="TextBody"/>
        <w:spacing w:before="0" w:after="160"/>
        <w:rPr/>
      </w:pPr>
      <w:r>
        <w:rPr/>
      </w:r>
    </w:p>
    <w:p>
      <w:pPr>
        <w:pStyle w:val="TextBody"/>
        <w:spacing w:lineRule="auto" w:line="300" w:before="0" w:after="160"/>
        <w:rPr>
          <w:rFonts w:ascii="Times New Roman;sans-serif" w:hAnsi="Times New Roman;sans-serif"/>
          <w:b/>
          <w:color w:val="000000"/>
          <w:sz w:val="22"/>
        </w:rPr>
      </w:pPr>
      <w:r>
        <w:rPr>
          <w:rFonts w:ascii="Times New Roman;sans-serif" w:hAnsi="Times New Roman;sans-serif"/>
          <w:b/>
          <w:color w:val="000000"/>
          <w:sz w:val="22"/>
        </w:rPr>
        <w:t>Yan Chen</w:t>
      </w:r>
    </w:p>
    <w:p>
      <w:pPr>
        <w:pStyle w:val="TextBody"/>
        <w:spacing w:lineRule="auto" w:line="300" w:before="0" w:after="160"/>
        <w:rPr/>
      </w:pPr>
      <w:r>
        <w:rPr>
          <w:rFonts w:ascii="Times New Roman;sans-serif" w:hAnsi="Times New Roman;sans-serif"/>
          <w:b w:val="false"/>
          <w:color w:val="000000"/>
          <w:sz w:val="22"/>
        </w:rPr>
        <w:t xml:space="preserve">Signature: </w:t>
      </w:r>
      <w:r>
        <w:rPr>
          <w:rFonts w:ascii="Times New Roman;sans-serif" w:hAnsi="Times New Roman;sans-serif"/>
          <w:b w:val="false"/>
          <w:color w:val="000000"/>
          <w:sz w:val="22"/>
          <w:u w:val="single"/>
        </w:rPr>
        <w:t>/s/ Yan Chen</w:t>
      </w:r>
    </w:p>
    <w:p>
      <w:pPr>
        <w:pStyle w:val="TextBody"/>
        <w:spacing w:before="0" w:after="160"/>
        <w:rPr/>
      </w:pPr>
      <w:r>
        <w:rPr/>
      </w:r>
    </w:p>
    <w:p>
      <w:pPr>
        <w:pStyle w:val="TextBody"/>
        <w:spacing w:lineRule="auto" w:line="300" w:before="0" w:after="160"/>
        <w:rPr/>
      </w:pPr>
      <w:r>
        <w:rPr>
          <w:rFonts w:ascii="Times New Roman;sans-serif" w:hAnsi="Times New Roman;sans-serif"/>
          <w:b w:val="false"/>
          <w:color w:val="000000"/>
          <w:sz w:val="22"/>
        </w:rPr>
        <w:t xml:space="preserve">Company: </w:t>
      </w:r>
      <w:r>
        <w:rPr>
          <w:rFonts w:ascii="Times New Roman;sans-serif" w:hAnsi="Times New Roman;sans-serif"/>
          <w:b/>
          <w:color w:val="000000"/>
          <w:sz w:val="22"/>
        </w:rPr>
        <w:t>Shanghai Zhaoyan Network Technology Co., Ltd.</w:t>
      </w:r>
      <w:r>
        <w:rPr>
          <w:color w:val="000000"/>
        </w:rPr>
        <w:t xml:space="preserve"> </w:t>
      </w:r>
      <w:r>
        <w:rPr>
          <w:rFonts w:ascii="Times New Roman;sans-serif" w:hAnsi="Times New Roman;sans-serif"/>
          <w:b w:val="false"/>
          <w:color w:val="000000"/>
          <w:sz w:val="22"/>
        </w:rPr>
        <w:t>(Seal)</w:t>
      </w:r>
    </w:p>
    <w:p>
      <w:pPr>
        <w:pStyle w:val="TextBody"/>
        <w:spacing w:before="0" w:after="160"/>
        <w:rPr/>
      </w:pPr>
      <w:r>
        <w:rPr/>
      </w:r>
    </w:p>
    <w:p>
      <w:pPr>
        <w:pStyle w:val="TextBody"/>
        <w:spacing w:lineRule="auto" w:line="300" w:before="0" w:after="160"/>
        <w:rPr/>
      </w:pPr>
      <w:r>
        <w:rPr>
          <w:rFonts w:ascii="Times New Roman;sans-serif" w:hAnsi="Times New Roman;sans-serif"/>
          <w:b w:val="false"/>
          <w:color w:val="000000"/>
          <w:sz w:val="22"/>
        </w:rPr>
        <w:t xml:space="preserve">WFOE: </w:t>
      </w:r>
      <w:r>
        <w:rPr>
          <w:rFonts w:ascii="Times New Roman;sans-serif" w:hAnsi="Times New Roman;sans-serif"/>
          <w:b/>
          <w:color w:val="000000"/>
          <w:sz w:val="22"/>
        </w:rPr>
        <w:t>Dayin Network Technology (Shanghai) Co., Ltd.</w:t>
      </w:r>
      <w:r>
        <w:rPr>
          <w:color w:val="000000"/>
        </w:rPr>
        <w:t xml:space="preserve"> </w:t>
      </w:r>
      <w:r>
        <w:rPr>
          <w:rFonts w:ascii="Times New Roman;sans-serif" w:hAnsi="Times New Roman;sans-serif"/>
          <w:b w:val="false"/>
          <w:color w:val="000000"/>
          <w:sz w:val="22"/>
        </w:rPr>
        <w:t>(Seal)</w:t>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425">
                <wp:simplePos x="0" y="0"/>
                <wp:positionH relativeFrom="character">
                  <wp:align>left</wp:align>
                </wp:positionH>
                <wp:positionV relativeFrom="line">
                  <wp:posOffset>635</wp:posOffset>
                </wp:positionV>
                <wp:extent cx="6480175" cy="175260"/>
                <wp:effectExtent l="0" t="0" r="0" b="0"/>
                <wp:wrapNone/>
                <wp:docPr id="424" name="Frame42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jc w:val="right"/>
        <w:rPr/>
      </w:pPr>
      <w:r>
        <w:rPr/>
      </w:r>
    </w:p>
    <w:p>
      <w:pPr>
        <w:pStyle w:val="TextBody"/>
        <w:spacing w:lineRule="auto" w:line="271" w:before="255" w:after="283"/>
        <w:jc w:val="center"/>
        <w:rPr>
          <w:rFonts w:ascii="Times New Roman;sans-serif" w:hAnsi="Times New Roman;sans-serif"/>
          <w:b/>
          <w:color w:val="000000"/>
          <w:sz w:val="20"/>
        </w:rPr>
      </w:pPr>
      <w:r>
        <w:rPr>
          <w:rFonts w:ascii="Times New Roman;sans-serif" w:hAnsi="Times New Roman;sans-serif"/>
          <w:b/>
          <w:color w:val="000000"/>
          <w:sz w:val="20"/>
        </w:rPr>
        <w:t>List of Principal Subsidiaries and Variable Interest Entity</w:t>
      </w:r>
    </w:p>
    <w:p>
      <w:pPr>
        <w:pStyle w:val="TextBody"/>
        <w:spacing w:before="0" w:after="0"/>
        <w:jc w:val="center"/>
        <w:rPr/>
      </w:pPr>
      <w:r>
        <w:rPr/>
      </w:r>
    </w:p>
    <w:tbl>
      <w:tblPr>
        <w:tblW w:w="6074" w:type="dxa"/>
        <w:jc w:val="left"/>
        <w:tblInd w:w="0" w:type="dxa"/>
        <w:tblCellMar>
          <w:top w:w="28" w:type="dxa"/>
          <w:left w:w="28" w:type="dxa"/>
          <w:bottom w:w="28" w:type="dxa"/>
          <w:right w:w="28" w:type="dxa"/>
        </w:tblCellMar>
      </w:tblPr>
      <w:tblGrid>
        <w:gridCol w:w="1452"/>
        <w:gridCol w:w="1274"/>
        <w:gridCol w:w="1279"/>
        <w:gridCol w:w="605"/>
        <w:gridCol w:w="605"/>
        <w:gridCol w:w="859"/>
      </w:tblGrid>
      <w:tr>
        <w:trPr/>
        <w:tc>
          <w:tcPr>
            <w:tcW w:w="1452" w:type="dxa"/>
            <w:tcBorders/>
            <w:shd w:fill="auto" w:val="clear"/>
            <w:vAlign w:val="center"/>
          </w:tcPr>
          <w:p>
            <w:pPr>
              <w:pStyle w:val="TableContents"/>
              <w:spacing w:before="0" w:after="283"/>
              <w:rPr>
                <w:sz w:val="4"/>
                <w:szCs w:val="4"/>
              </w:rPr>
            </w:pPr>
            <w:r>
              <w:rPr>
                <w:sz w:val="4"/>
                <w:szCs w:val="4"/>
              </w:rPr>
            </w:r>
          </w:p>
        </w:tc>
        <w:tc>
          <w:tcPr>
            <w:tcW w:w="1274" w:type="dxa"/>
            <w:tcBorders/>
            <w:shd w:fill="auto" w:val="clear"/>
            <w:vAlign w:val="center"/>
          </w:tcPr>
          <w:p>
            <w:pPr>
              <w:pStyle w:val="TableContents"/>
              <w:spacing w:before="0" w:after="283"/>
              <w:rPr>
                <w:sz w:val="4"/>
                <w:szCs w:val="4"/>
              </w:rPr>
            </w:pPr>
            <w:r>
              <w:rPr>
                <w:sz w:val="4"/>
                <w:szCs w:val="4"/>
              </w:rPr>
            </w:r>
          </w:p>
        </w:tc>
        <w:tc>
          <w:tcPr>
            <w:tcW w:w="1279" w:type="dxa"/>
            <w:tcBorders/>
            <w:shd w:fill="auto" w:val="clear"/>
            <w:vAlign w:val="center"/>
          </w:tcPr>
          <w:p>
            <w:pPr>
              <w:pStyle w:val="TableContents"/>
              <w:spacing w:before="0" w:after="283"/>
              <w:rPr>
                <w:sz w:val="4"/>
                <w:szCs w:val="4"/>
              </w:rPr>
            </w:pPr>
            <w:r>
              <w:rPr>
                <w:sz w:val="4"/>
                <w:szCs w:val="4"/>
              </w:rPr>
            </w:r>
          </w:p>
        </w:tc>
        <w:tc>
          <w:tcPr>
            <w:tcW w:w="605" w:type="dxa"/>
            <w:tcBorders/>
            <w:shd w:fill="auto" w:val="clear"/>
            <w:vAlign w:val="center"/>
          </w:tcPr>
          <w:p>
            <w:pPr>
              <w:pStyle w:val="TableContents"/>
              <w:spacing w:before="0" w:after="283"/>
              <w:rPr>
                <w:sz w:val="4"/>
                <w:szCs w:val="4"/>
              </w:rPr>
            </w:pPr>
            <w:r>
              <w:rPr>
                <w:sz w:val="4"/>
                <w:szCs w:val="4"/>
              </w:rPr>
            </w:r>
          </w:p>
        </w:tc>
        <w:tc>
          <w:tcPr>
            <w:tcW w:w="605" w:type="dxa"/>
            <w:tcBorders/>
            <w:shd w:fill="auto" w:val="clear"/>
            <w:vAlign w:val="center"/>
          </w:tcPr>
          <w:p>
            <w:pPr>
              <w:pStyle w:val="TableContents"/>
              <w:spacing w:before="0" w:after="283"/>
              <w:rPr>
                <w:sz w:val="4"/>
                <w:szCs w:val="4"/>
              </w:rPr>
            </w:pPr>
            <w:r>
              <w:rPr>
                <w:sz w:val="4"/>
                <w:szCs w:val="4"/>
              </w:rPr>
            </w:r>
          </w:p>
        </w:tc>
        <w:tc>
          <w:tcPr>
            <w:tcW w:w="859" w:type="dxa"/>
            <w:tcBorders/>
            <w:shd w:fill="auto" w:val="clear"/>
            <w:vAlign w:val="center"/>
          </w:tcPr>
          <w:p>
            <w:pPr>
              <w:pStyle w:val="TableContents"/>
              <w:spacing w:before="0" w:after="283"/>
              <w:rPr>
                <w:sz w:val="4"/>
                <w:szCs w:val="4"/>
              </w:rPr>
            </w:pPr>
            <w:r>
              <w:rPr>
                <w:sz w:val="4"/>
                <w:szCs w:val="4"/>
              </w:rPr>
            </w:r>
          </w:p>
        </w:tc>
      </w:tr>
      <w:tr>
        <w:trPr/>
        <w:tc>
          <w:tcPr>
            <w:tcW w:w="4005" w:type="dxa"/>
            <w:gridSpan w:val="3"/>
            <w:tcBorders/>
            <w:shd w:fill="auto" w:val="clear"/>
            <w:tcMar>
              <w:top w:w="0" w:type="dxa"/>
              <w:left w:w="0" w:type="dxa"/>
              <w:bottom w:w="0" w:type="dxa"/>
              <w:right w:w="0" w:type="dxa"/>
            </w:tcMar>
            <w:vAlign w:val="center"/>
          </w:tcPr>
          <w:p>
            <w:pPr>
              <w:pStyle w:val="TableContents"/>
              <w:spacing w:lineRule="auto" w:line="271" w:before="255" w:after="283"/>
              <w:jc w:val="left"/>
              <w:rPr>
                <w:rFonts w:ascii="Times New Roman;sans-serif" w:hAnsi="Times New Roman;sans-serif"/>
                <w:b/>
                <w:color w:val="000000"/>
                <w:sz w:val="20"/>
              </w:rPr>
            </w:pPr>
            <w:r>
              <w:rPr>
                <w:rFonts w:ascii="Times New Roman;sans-serif" w:hAnsi="Times New Roman;sans-serif"/>
                <w:b/>
                <w:color w:val="000000"/>
                <w:sz w:val="20"/>
              </w:rPr>
              <w:t xml:space="preserve">Subsidiaries: </w:t>
            </w:r>
          </w:p>
        </w:tc>
        <w:tc>
          <w:tcPr>
            <w:tcW w:w="206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Place of Incorporation</w:t>
            </w:r>
          </w:p>
        </w:tc>
      </w:tr>
      <w:tr>
        <w:trPr/>
        <w:tc>
          <w:tcPr>
            <w:tcW w:w="400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Agora IO, Inc.</w:t>
            </w:r>
          </w:p>
        </w:tc>
        <w:tc>
          <w:tcPr>
            <w:tcW w:w="206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Cayman Islands</w:t>
            </w:r>
          </w:p>
        </w:tc>
      </w:tr>
      <w:tr>
        <w:trPr/>
        <w:tc>
          <w:tcPr>
            <w:tcW w:w="400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Network Bridge Inc.</w:t>
            </w:r>
          </w:p>
        </w:tc>
        <w:tc>
          <w:tcPr>
            <w:tcW w:w="206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Cayman Islands</w:t>
            </w:r>
          </w:p>
        </w:tc>
      </w:tr>
      <w:tr>
        <w:trPr/>
        <w:tc>
          <w:tcPr>
            <w:tcW w:w="400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Agora.IO Ltd.</w:t>
            </w:r>
          </w:p>
        </w:tc>
        <w:tc>
          <w:tcPr>
            <w:tcW w:w="206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Kingdom</w:t>
            </w:r>
          </w:p>
        </w:tc>
      </w:tr>
      <w:tr>
        <w:trPr/>
        <w:tc>
          <w:tcPr>
            <w:tcW w:w="400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Agora Lab, Inc.</w:t>
            </w:r>
          </w:p>
        </w:tc>
        <w:tc>
          <w:tcPr>
            <w:tcW w:w="206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r>
      <w:tr>
        <w:trPr/>
        <w:tc>
          <w:tcPr>
            <w:tcW w:w="400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Agora.IO Singapore PTE. Ltd.</w:t>
            </w:r>
          </w:p>
        </w:tc>
        <w:tc>
          <w:tcPr>
            <w:tcW w:w="206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Singapore</w:t>
            </w:r>
          </w:p>
        </w:tc>
      </w:tr>
      <w:tr>
        <w:trPr/>
        <w:tc>
          <w:tcPr>
            <w:tcW w:w="400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Agora IO Hongkong Limited</w:t>
            </w:r>
          </w:p>
        </w:tc>
        <w:tc>
          <w:tcPr>
            <w:tcW w:w="206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Hong Kong</w:t>
            </w:r>
          </w:p>
        </w:tc>
      </w:tr>
      <w:tr>
        <w:trPr/>
        <w:tc>
          <w:tcPr>
            <w:tcW w:w="400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AKKO NET Limited</w:t>
            </w:r>
          </w:p>
        </w:tc>
        <w:tc>
          <w:tcPr>
            <w:tcW w:w="206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Hong Kong</w:t>
            </w:r>
          </w:p>
        </w:tc>
      </w:tr>
      <w:tr>
        <w:trPr/>
        <w:tc>
          <w:tcPr>
            <w:tcW w:w="400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Shanghai Jiyin Network Technology Co., Ltd.</w:t>
            </w:r>
          </w:p>
        </w:tc>
        <w:tc>
          <w:tcPr>
            <w:tcW w:w="206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PRC</w:t>
            </w:r>
          </w:p>
        </w:tc>
      </w:tr>
      <w:tr>
        <w:trPr/>
        <w:tc>
          <w:tcPr>
            <w:tcW w:w="400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Dayin Network Technology Co., Ltd.</w:t>
            </w:r>
          </w:p>
        </w:tc>
        <w:tc>
          <w:tcPr>
            <w:tcW w:w="206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PRC</w:t>
            </w:r>
          </w:p>
        </w:tc>
      </w:tr>
      <w:tr>
        <w:trPr/>
        <w:tc>
          <w:tcPr>
            <w:tcW w:w="400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Beijing Yizhang Yunfeng Technology Co., Ltd.</w:t>
            </w:r>
          </w:p>
        </w:tc>
        <w:tc>
          <w:tcPr>
            <w:tcW w:w="206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PRC</w:t>
            </w:r>
          </w:p>
        </w:tc>
      </w:tr>
    </w:tbl>
    <w:p>
      <w:pPr>
        <w:pStyle w:val="TextBody"/>
        <w:spacing w:before="255" w:after="283"/>
        <w:rPr/>
      </w:pPr>
      <w:r>
        <w:rPr/>
      </w:r>
    </w:p>
    <w:p>
      <w:pPr>
        <w:pStyle w:val="TextBody"/>
        <w:spacing w:before="255" w:after="283"/>
        <w:rPr/>
      </w:pPr>
      <w:r>
        <w:rPr/>
      </w:r>
    </w:p>
    <w:p>
      <w:pPr>
        <w:pStyle w:val="TextBody"/>
        <w:spacing w:before="258" w:after="283"/>
        <w:rPr/>
      </w:pPr>
      <w:r>
        <w:rPr/>
      </w:r>
    </w:p>
    <w:tbl>
      <w:tblPr>
        <w:tblW w:w="6238" w:type="dxa"/>
        <w:jc w:val="left"/>
        <w:tblInd w:w="0" w:type="dxa"/>
        <w:tblCellMar>
          <w:top w:w="28" w:type="dxa"/>
          <w:left w:w="28" w:type="dxa"/>
          <w:bottom w:w="28" w:type="dxa"/>
          <w:right w:w="28" w:type="dxa"/>
        </w:tblCellMar>
      </w:tblPr>
      <w:tblGrid>
        <w:gridCol w:w="1507"/>
        <w:gridCol w:w="1326"/>
        <w:gridCol w:w="1336"/>
        <w:gridCol w:w="605"/>
        <w:gridCol w:w="605"/>
        <w:gridCol w:w="859"/>
      </w:tblGrid>
      <w:tr>
        <w:trPr/>
        <w:tc>
          <w:tcPr>
            <w:tcW w:w="1507" w:type="dxa"/>
            <w:tcBorders/>
            <w:shd w:fill="auto" w:val="clear"/>
            <w:vAlign w:val="center"/>
          </w:tcPr>
          <w:p>
            <w:pPr>
              <w:pStyle w:val="TableContents"/>
              <w:spacing w:before="0" w:after="283"/>
              <w:rPr>
                <w:sz w:val="4"/>
                <w:szCs w:val="4"/>
              </w:rPr>
            </w:pPr>
            <w:r>
              <w:rPr>
                <w:sz w:val="4"/>
                <w:szCs w:val="4"/>
              </w:rPr>
            </w:r>
          </w:p>
        </w:tc>
        <w:tc>
          <w:tcPr>
            <w:tcW w:w="1326" w:type="dxa"/>
            <w:tcBorders/>
            <w:shd w:fill="auto" w:val="clear"/>
            <w:vAlign w:val="center"/>
          </w:tcPr>
          <w:p>
            <w:pPr>
              <w:pStyle w:val="TableContents"/>
              <w:spacing w:before="0" w:after="283"/>
              <w:rPr>
                <w:sz w:val="4"/>
                <w:szCs w:val="4"/>
              </w:rPr>
            </w:pPr>
            <w:r>
              <w:rPr>
                <w:sz w:val="4"/>
                <w:szCs w:val="4"/>
              </w:rPr>
            </w:r>
          </w:p>
        </w:tc>
        <w:tc>
          <w:tcPr>
            <w:tcW w:w="1336" w:type="dxa"/>
            <w:tcBorders/>
            <w:shd w:fill="auto" w:val="clear"/>
            <w:vAlign w:val="center"/>
          </w:tcPr>
          <w:p>
            <w:pPr>
              <w:pStyle w:val="TableContents"/>
              <w:spacing w:before="0" w:after="283"/>
              <w:rPr>
                <w:sz w:val="4"/>
                <w:szCs w:val="4"/>
              </w:rPr>
            </w:pPr>
            <w:r>
              <w:rPr>
                <w:sz w:val="4"/>
                <w:szCs w:val="4"/>
              </w:rPr>
            </w:r>
          </w:p>
        </w:tc>
        <w:tc>
          <w:tcPr>
            <w:tcW w:w="605" w:type="dxa"/>
            <w:tcBorders/>
            <w:shd w:fill="auto" w:val="clear"/>
            <w:vAlign w:val="center"/>
          </w:tcPr>
          <w:p>
            <w:pPr>
              <w:pStyle w:val="TableContents"/>
              <w:spacing w:before="0" w:after="283"/>
              <w:rPr>
                <w:sz w:val="4"/>
                <w:szCs w:val="4"/>
              </w:rPr>
            </w:pPr>
            <w:r>
              <w:rPr>
                <w:sz w:val="4"/>
                <w:szCs w:val="4"/>
              </w:rPr>
            </w:r>
          </w:p>
        </w:tc>
        <w:tc>
          <w:tcPr>
            <w:tcW w:w="605" w:type="dxa"/>
            <w:tcBorders/>
            <w:shd w:fill="auto" w:val="clear"/>
            <w:vAlign w:val="center"/>
          </w:tcPr>
          <w:p>
            <w:pPr>
              <w:pStyle w:val="TableContents"/>
              <w:spacing w:before="0" w:after="283"/>
              <w:rPr>
                <w:sz w:val="4"/>
                <w:szCs w:val="4"/>
              </w:rPr>
            </w:pPr>
            <w:r>
              <w:rPr>
                <w:sz w:val="4"/>
                <w:szCs w:val="4"/>
              </w:rPr>
            </w:r>
          </w:p>
        </w:tc>
        <w:tc>
          <w:tcPr>
            <w:tcW w:w="859" w:type="dxa"/>
            <w:tcBorders/>
            <w:shd w:fill="auto" w:val="clear"/>
            <w:vAlign w:val="center"/>
          </w:tcPr>
          <w:p>
            <w:pPr>
              <w:pStyle w:val="TableContents"/>
              <w:spacing w:before="0" w:after="283"/>
              <w:rPr>
                <w:sz w:val="4"/>
                <w:szCs w:val="4"/>
              </w:rPr>
            </w:pPr>
            <w:r>
              <w:rPr>
                <w:sz w:val="4"/>
                <w:szCs w:val="4"/>
              </w:rPr>
            </w:r>
          </w:p>
        </w:tc>
      </w:tr>
      <w:tr>
        <w:trPr/>
        <w:tc>
          <w:tcPr>
            <w:tcW w:w="4169" w:type="dxa"/>
            <w:gridSpan w:val="3"/>
            <w:tcBorders/>
            <w:shd w:fill="auto" w:val="clear"/>
            <w:tcMar>
              <w:top w:w="0" w:type="dxa"/>
              <w:left w:w="0" w:type="dxa"/>
              <w:bottom w:w="0" w:type="dxa"/>
              <w:right w:w="0" w:type="dxa"/>
            </w:tcMar>
            <w:vAlign w:val="center"/>
          </w:tcPr>
          <w:p>
            <w:pPr>
              <w:pStyle w:val="TableContents"/>
              <w:spacing w:lineRule="auto" w:line="271" w:before="258" w:after="283"/>
              <w:jc w:val="left"/>
              <w:rPr>
                <w:rFonts w:ascii="Times New Roman;sans-serif" w:hAnsi="Times New Roman;sans-serif"/>
                <w:b/>
                <w:color w:val="000000"/>
                <w:sz w:val="20"/>
              </w:rPr>
            </w:pPr>
            <w:r>
              <w:rPr>
                <w:rFonts w:ascii="Times New Roman;sans-serif" w:hAnsi="Times New Roman;sans-serif"/>
                <w:b/>
                <w:color w:val="000000"/>
                <w:sz w:val="20"/>
              </w:rPr>
              <w:t xml:space="preserve">Variable Interest Entity: </w:t>
            </w:r>
          </w:p>
        </w:tc>
        <w:tc>
          <w:tcPr>
            <w:tcW w:w="206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Place of Incorporation</w:t>
            </w:r>
          </w:p>
        </w:tc>
      </w:tr>
      <w:tr>
        <w:trPr/>
        <w:tc>
          <w:tcPr>
            <w:tcW w:w="416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Shanghai Zhaoyan Network Technology Co., Ltd.</w:t>
            </w:r>
          </w:p>
        </w:tc>
        <w:tc>
          <w:tcPr>
            <w:tcW w:w="206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PRC</w:t>
            </w:r>
          </w:p>
        </w:tc>
      </w:tr>
    </w:tbl>
    <w:p>
      <w:pPr>
        <w:pStyle w:val="TextBody"/>
        <w:spacing w:before="258" w:after="283"/>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 w:after="283"/>
        <w:ind w:left="0" w:right="0" w:firstLine="7"/>
        <w:rPr/>
      </w:pPr>
      <w:r>
        <w:rPr/>
      </w:r>
      <w:r>
        <mc:AlternateContent>
          <mc:Choice Requires="wps">
            <w:drawing>
              <wp:anchor behindDoc="0" distT="0" distB="0" distL="0" distR="0" simplePos="0" locked="0" layoutInCell="1" allowOverlap="1" relativeHeight="426">
                <wp:simplePos x="0" y="0"/>
                <wp:positionH relativeFrom="character">
                  <wp:align>left</wp:align>
                </wp:positionH>
                <wp:positionV relativeFrom="line">
                  <wp:posOffset>635</wp:posOffset>
                </wp:positionV>
                <wp:extent cx="6480175" cy="175260"/>
                <wp:effectExtent l="0" t="0" r="0" b="0"/>
                <wp:wrapNone/>
                <wp:docPr id="425" name="Frame42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jc w:val="center"/>
        <w:rPr>
          <w:rFonts w:ascii="Times New Roman;sans-serif" w:hAnsi="Times New Roman;sans-serif"/>
          <w:b/>
          <w:color w:val="000000"/>
          <w:sz w:val="20"/>
          <w:u w:val="single"/>
        </w:rPr>
      </w:pPr>
      <w:r>
        <w:rPr>
          <w:rFonts w:ascii="Times New Roman;sans-serif" w:hAnsi="Times New Roman;sans-serif"/>
          <w:b/>
          <w:color w:val="000000"/>
          <w:sz w:val="20"/>
          <w:u w:val="single"/>
        </w:rPr>
        <w:t>Certification by the Principal Executive Officer</w:t>
      </w:r>
    </w:p>
    <w:p>
      <w:pPr>
        <w:pStyle w:val="TextBody"/>
        <w:spacing w:lineRule="auto" w:line="288" w:before="0" w:after="0"/>
        <w:jc w:val="center"/>
        <w:rPr>
          <w:rFonts w:ascii="Times New Roman;sans-serif" w:hAnsi="Times New Roman;sans-serif"/>
          <w:b/>
          <w:color w:val="000000"/>
          <w:sz w:val="20"/>
          <w:u w:val="single"/>
        </w:rPr>
      </w:pPr>
      <w:r>
        <w:rPr>
          <w:rFonts w:ascii="Times New Roman;sans-serif" w:hAnsi="Times New Roman;sans-serif"/>
          <w:b/>
          <w:color w:val="000000"/>
          <w:sz w:val="20"/>
          <w:u w:val="single"/>
        </w:rPr>
        <w:t>Pursuant to Section 302 of the Sarbanes-Oxley Act of 2002</w:t>
      </w:r>
    </w:p>
    <w:p>
      <w:pPr>
        <w:pStyle w:val="TextBody"/>
        <w:spacing w:lineRule="auto" w:line="288" w:before="0" w:after="0"/>
        <w:rPr>
          <w:color w:val="000000"/>
        </w:rPr>
      </w:pPr>
      <w:r>
        <w:rPr>
          <w:color w:val="000000"/>
        </w:rPr>
        <w:t> </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I, Bin (Tony) Zhao, certify that:</w:t>
      </w:r>
    </w:p>
    <w:p>
      <w:pPr>
        <w:pStyle w:val="TextBody"/>
        <w:spacing w:lineRule="auto" w:line="288" w:before="0" w:after="0"/>
        <w:rPr>
          <w:color w:val="000000"/>
        </w:rPr>
      </w:pPr>
      <w:r>
        <w:rPr>
          <w:color w:val="000000"/>
        </w:rPr>
        <w:t> </w:t>
      </w:r>
    </w:p>
    <w:tbl>
      <w:tblPr>
        <w:tblW w:w="7268" w:type="dxa"/>
        <w:jc w:val="left"/>
        <w:tblInd w:w="0" w:type="dxa"/>
        <w:tblCellMar>
          <w:top w:w="28" w:type="dxa"/>
          <w:left w:w="28" w:type="dxa"/>
          <w:bottom w:w="28" w:type="dxa"/>
          <w:right w:w="28" w:type="dxa"/>
        </w:tblCellMar>
      </w:tblPr>
      <w:tblGrid>
        <w:gridCol w:w="124"/>
        <w:gridCol w:w="109"/>
        <w:gridCol w:w="109"/>
        <w:gridCol w:w="109"/>
        <w:gridCol w:w="109"/>
        <w:gridCol w:w="109"/>
        <w:gridCol w:w="1927"/>
        <w:gridCol w:w="1927"/>
        <w:gridCol w:w="2745"/>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27" w:type="dxa"/>
            <w:tcBorders/>
            <w:shd w:fill="auto" w:val="clear"/>
            <w:vAlign w:val="center"/>
          </w:tcPr>
          <w:p>
            <w:pPr>
              <w:pStyle w:val="TableContents"/>
              <w:spacing w:before="0" w:after="283"/>
              <w:rPr>
                <w:sz w:val="4"/>
                <w:szCs w:val="4"/>
              </w:rPr>
            </w:pPr>
            <w:r>
              <w:rPr>
                <w:sz w:val="4"/>
                <w:szCs w:val="4"/>
              </w:rPr>
            </w:r>
          </w:p>
        </w:tc>
        <w:tc>
          <w:tcPr>
            <w:tcW w:w="1927" w:type="dxa"/>
            <w:tcBorders/>
            <w:shd w:fill="auto" w:val="clear"/>
            <w:vAlign w:val="center"/>
          </w:tcPr>
          <w:p>
            <w:pPr>
              <w:pStyle w:val="TableContents"/>
              <w:spacing w:before="0" w:after="283"/>
              <w:rPr>
                <w:sz w:val="4"/>
                <w:szCs w:val="4"/>
              </w:rPr>
            </w:pPr>
            <w:r>
              <w:rPr>
                <w:sz w:val="4"/>
                <w:szCs w:val="4"/>
              </w:rPr>
            </w:r>
          </w:p>
        </w:tc>
        <w:tc>
          <w:tcPr>
            <w:tcW w:w="2745"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659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have reviewed this annual report on Form 20-F of Agora, Inc. (the "company");</w:t>
            </w:r>
          </w:p>
        </w:tc>
      </w:tr>
    </w:tbl>
    <w:p>
      <w:pPr>
        <w:pStyle w:val="TextBody"/>
        <w:spacing w:lineRule="auto" w:line="288" w:before="0" w:after="0"/>
        <w:ind w:left="0" w:right="0" w:firstLine="7"/>
        <w:rPr>
          <w:color w:val="000000"/>
        </w:rPr>
      </w:pPr>
      <w:r>
        <w:rPr>
          <w:color w:val="000000"/>
        </w:rPr>
        <w:t> </w:t>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792"/>
        <w:gridCol w:w="2792"/>
        <w:gridCol w:w="3952"/>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92" w:type="dxa"/>
            <w:tcBorders/>
            <w:shd w:fill="auto" w:val="clear"/>
            <w:vAlign w:val="center"/>
          </w:tcPr>
          <w:p>
            <w:pPr>
              <w:pStyle w:val="TableContents"/>
              <w:spacing w:before="0" w:after="283"/>
              <w:rPr>
                <w:sz w:val="4"/>
                <w:szCs w:val="4"/>
              </w:rPr>
            </w:pPr>
            <w:r>
              <w:rPr>
                <w:sz w:val="4"/>
                <w:szCs w:val="4"/>
              </w:rPr>
            </w:r>
          </w:p>
        </w:tc>
        <w:tc>
          <w:tcPr>
            <w:tcW w:w="2792" w:type="dxa"/>
            <w:tcBorders/>
            <w:shd w:fill="auto" w:val="clear"/>
            <w:vAlign w:val="center"/>
          </w:tcPr>
          <w:p>
            <w:pPr>
              <w:pStyle w:val="TableContents"/>
              <w:spacing w:before="0" w:after="283"/>
              <w:rPr>
                <w:sz w:val="4"/>
                <w:szCs w:val="4"/>
              </w:rPr>
            </w:pPr>
            <w:r>
              <w:rPr>
                <w:sz w:val="4"/>
                <w:szCs w:val="4"/>
              </w:rPr>
            </w:r>
          </w:p>
        </w:tc>
        <w:tc>
          <w:tcPr>
            <w:tcW w:w="3952"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953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spacing w:lineRule="auto" w:line="288" w:before="0" w:after="0"/>
        <w:ind w:left="0" w:right="0" w:firstLine="720"/>
        <w:rPr>
          <w:color w:val="000000"/>
        </w:rPr>
      </w:pPr>
      <w:r>
        <w:rPr>
          <w:color w:val="000000"/>
        </w:rPr>
        <w:t> </w:t>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89" w:type="dxa"/>
            <w:tcBorders/>
            <w:shd w:fill="auto" w:val="clear"/>
            <w:vAlign w:val="center"/>
          </w:tcPr>
          <w:p>
            <w:pPr>
              <w:pStyle w:val="TableContents"/>
              <w:spacing w:before="0" w:after="283"/>
              <w:rPr>
                <w:sz w:val="4"/>
                <w:szCs w:val="4"/>
              </w:rPr>
            </w:pPr>
            <w:r>
              <w:rPr>
                <w:sz w:val="4"/>
                <w:szCs w:val="4"/>
              </w:rPr>
            </w:r>
          </w:p>
        </w:tc>
        <w:tc>
          <w:tcPr>
            <w:tcW w:w="2789" w:type="dxa"/>
            <w:tcBorders/>
            <w:shd w:fill="auto" w:val="clear"/>
            <w:vAlign w:val="center"/>
          </w:tcPr>
          <w:p>
            <w:pPr>
              <w:pStyle w:val="TableContents"/>
              <w:spacing w:before="0" w:after="283"/>
              <w:rPr>
                <w:sz w:val="4"/>
                <w:szCs w:val="4"/>
              </w:rPr>
            </w:pPr>
            <w:r>
              <w:rPr>
                <w:sz w:val="4"/>
                <w:szCs w:val="4"/>
              </w:rPr>
            </w:r>
          </w:p>
        </w:tc>
        <w:tc>
          <w:tcPr>
            <w:tcW w:w="3958"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953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tc>
      </w:tr>
    </w:tbl>
    <w:p>
      <w:pPr>
        <w:pStyle w:val="TextBody"/>
        <w:spacing w:lineRule="auto" w:line="288" w:before="0" w:after="0"/>
        <w:ind w:left="0" w:right="0" w:firstLine="720"/>
        <w:rPr>
          <w:color w:val="000000"/>
        </w:rPr>
      </w:pPr>
      <w:r>
        <w:rPr>
          <w:color w:val="000000"/>
        </w:rPr>
        <w:t> </w:t>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791"/>
        <w:gridCol w:w="2791"/>
        <w:gridCol w:w="39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91" w:type="dxa"/>
            <w:tcBorders/>
            <w:shd w:fill="auto" w:val="clear"/>
            <w:vAlign w:val="center"/>
          </w:tcPr>
          <w:p>
            <w:pPr>
              <w:pStyle w:val="TableContents"/>
              <w:spacing w:before="0" w:after="283"/>
              <w:rPr>
                <w:sz w:val="4"/>
                <w:szCs w:val="4"/>
              </w:rPr>
            </w:pPr>
            <w:r>
              <w:rPr>
                <w:sz w:val="4"/>
                <w:szCs w:val="4"/>
              </w:rPr>
            </w:r>
          </w:p>
        </w:tc>
        <w:tc>
          <w:tcPr>
            <w:tcW w:w="2791" w:type="dxa"/>
            <w:tcBorders/>
            <w:shd w:fill="auto" w:val="clear"/>
            <w:vAlign w:val="center"/>
          </w:tcPr>
          <w:p>
            <w:pPr>
              <w:pStyle w:val="TableContents"/>
              <w:spacing w:before="0" w:after="283"/>
              <w:rPr>
                <w:sz w:val="4"/>
                <w:szCs w:val="4"/>
              </w:rPr>
            </w:pPr>
            <w:r>
              <w:rPr>
                <w:sz w:val="4"/>
                <w:szCs w:val="4"/>
              </w:rPr>
            </w:r>
          </w:p>
        </w:tc>
        <w:tc>
          <w:tcPr>
            <w:tcW w:w="39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953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other certifying officer(s) and I are responsible for establishing and maintaining disclosure controls and procedures (as defined in Exchange Act Rules 13a-15(e) and 15d-15(e)) for the company and have:</w:t>
            </w:r>
          </w:p>
        </w:tc>
      </w:tr>
    </w:tbl>
    <w:p>
      <w:pPr>
        <w:pStyle w:val="TextBody"/>
        <w:spacing w:lineRule="auto" w:line="288" w:before="0" w:after="0"/>
        <w:ind w:left="0" w:right="0" w:firstLine="720"/>
        <w:rPr>
          <w:color w:val="000000"/>
        </w:rPr>
      </w:pPr>
      <w:r>
        <w:rPr>
          <w:color w:val="000000"/>
        </w:rPr>
        <w:t> </w:t>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786"/>
        <w:gridCol w:w="2786"/>
        <w:gridCol w:w="396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86" w:type="dxa"/>
            <w:tcBorders/>
            <w:shd w:fill="auto" w:val="clear"/>
            <w:vAlign w:val="center"/>
          </w:tcPr>
          <w:p>
            <w:pPr>
              <w:pStyle w:val="TableContents"/>
              <w:spacing w:before="0" w:after="283"/>
              <w:rPr>
                <w:sz w:val="4"/>
                <w:szCs w:val="4"/>
              </w:rPr>
            </w:pPr>
            <w:r>
              <w:rPr>
                <w:sz w:val="4"/>
                <w:szCs w:val="4"/>
              </w:rPr>
            </w:r>
          </w:p>
        </w:tc>
        <w:tc>
          <w:tcPr>
            <w:tcW w:w="2786" w:type="dxa"/>
            <w:tcBorders/>
            <w:shd w:fill="auto" w:val="clear"/>
            <w:vAlign w:val="center"/>
          </w:tcPr>
          <w:p>
            <w:pPr>
              <w:pStyle w:val="TableContents"/>
              <w:spacing w:before="0" w:after="283"/>
              <w:rPr>
                <w:sz w:val="4"/>
                <w:szCs w:val="4"/>
              </w:rPr>
            </w:pPr>
            <w:r>
              <w:rPr>
                <w:sz w:val="4"/>
                <w:szCs w:val="4"/>
              </w:rPr>
            </w:r>
          </w:p>
        </w:tc>
        <w:tc>
          <w:tcPr>
            <w:tcW w:w="396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953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tc>
      </w:tr>
    </w:tbl>
    <w:p>
      <w:pPr>
        <w:pStyle w:val="TextBody"/>
        <w:spacing w:lineRule="auto" w:line="288" w:before="0" w:after="0"/>
        <w:ind w:left="0" w:right="0" w:firstLine="720"/>
        <w:rPr>
          <w:color w:val="000000"/>
        </w:rPr>
      </w:pPr>
      <w:r>
        <w:rPr>
          <w:color w:val="000000"/>
        </w:rPr>
        <w:t> </w:t>
      </w:r>
    </w:p>
    <w:tbl>
      <w:tblPr>
        <w:tblW w:w="1752" w:type="dxa"/>
        <w:jc w:val="left"/>
        <w:tblInd w:w="0" w:type="dxa"/>
        <w:tblCellMar>
          <w:top w:w="28" w:type="dxa"/>
          <w:left w:w="28" w:type="dxa"/>
          <w:bottom w:w="28" w:type="dxa"/>
          <w:right w:w="28" w:type="dxa"/>
        </w:tblCellMar>
      </w:tblPr>
      <w:tblGrid>
        <w:gridCol w:w="124"/>
        <w:gridCol w:w="109"/>
        <w:gridCol w:w="109"/>
        <w:gridCol w:w="110"/>
        <w:gridCol w:w="110"/>
        <w:gridCol w:w="110"/>
        <w:gridCol w:w="316"/>
        <w:gridCol w:w="316"/>
        <w:gridCol w:w="448"/>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448"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 </w:t>
            </w:r>
          </w:p>
        </w:tc>
        <w:tc>
          <w:tcPr>
            <w:tcW w:w="33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10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[Reserved];</w:t>
            </w:r>
          </w:p>
        </w:tc>
      </w:tr>
    </w:tbl>
    <w:p>
      <w:pPr>
        <w:pStyle w:val="TextBody"/>
        <w:spacing w:lineRule="auto" w:line="288" w:before="0" w:after="0"/>
        <w:ind w:left="0" w:right="0" w:firstLine="720"/>
        <w:rPr>
          <w:color w:val="000000"/>
        </w:rPr>
      </w:pPr>
      <w:r>
        <w:rPr>
          <w:color w:val="000000"/>
        </w:rPr>
        <w:t> </w:t>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786"/>
        <w:gridCol w:w="2786"/>
        <w:gridCol w:w="396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86" w:type="dxa"/>
            <w:tcBorders/>
            <w:shd w:fill="auto" w:val="clear"/>
            <w:vAlign w:val="center"/>
          </w:tcPr>
          <w:p>
            <w:pPr>
              <w:pStyle w:val="TableContents"/>
              <w:spacing w:before="0" w:after="283"/>
              <w:rPr>
                <w:sz w:val="4"/>
                <w:szCs w:val="4"/>
              </w:rPr>
            </w:pPr>
            <w:r>
              <w:rPr>
                <w:sz w:val="4"/>
                <w:szCs w:val="4"/>
              </w:rPr>
            </w:r>
          </w:p>
        </w:tc>
        <w:tc>
          <w:tcPr>
            <w:tcW w:w="2786" w:type="dxa"/>
            <w:tcBorders/>
            <w:shd w:fill="auto" w:val="clear"/>
            <w:vAlign w:val="center"/>
          </w:tcPr>
          <w:p>
            <w:pPr>
              <w:pStyle w:val="TableContents"/>
              <w:spacing w:before="0" w:after="283"/>
              <w:rPr>
                <w:sz w:val="4"/>
                <w:szCs w:val="4"/>
              </w:rPr>
            </w:pPr>
            <w:r>
              <w:rPr>
                <w:sz w:val="4"/>
                <w:szCs w:val="4"/>
              </w:rPr>
            </w:r>
          </w:p>
        </w:tc>
        <w:tc>
          <w:tcPr>
            <w:tcW w:w="396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w:t>
            </w:r>
          </w:p>
        </w:tc>
        <w:tc>
          <w:tcPr>
            <w:tcW w:w="953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tc>
      </w:tr>
    </w:tbl>
    <w:p>
      <w:pPr>
        <w:pStyle w:val="TextBody"/>
        <w:spacing w:lineRule="auto" w:line="288" w:before="0" w:after="0"/>
        <w:ind w:left="0" w:right="0" w:firstLine="720"/>
        <w:rPr>
          <w:color w:val="000000"/>
        </w:rPr>
      </w:pPr>
      <w:r>
        <w:rPr>
          <w:color w:val="000000"/>
        </w:rPr>
        <w:t> </w:t>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788"/>
        <w:gridCol w:w="2788"/>
        <w:gridCol w:w="3960"/>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88" w:type="dxa"/>
            <w:tcBorders/>
            <w:shd w:fill="auto" w:val="clear"/>
            <w:vAlign w:val="center"/>
          </w:tcPr>
          <w:p>
            <w:pPr>
              <w:pStyle w:val="TableContents"/>
              <w:spacing w:before="0" w:after="283"/>
              <w:rPr>
                <w:sz w:val="4"/>
                <w:szCs w:val="4"/>
              </w:rPr>
            </w:pPr>
            <w:r>
              <w:rPr>
                <w:sz w:val="4"/>
                <w:szCs w:val="4"/>
              </w:rPr>
            </w:r>
          </w:p>
        </w:tc>
        <w:tc>
          <w:tcPr>
            <w:tcW w:w="2788" w:type="dxa"/>
            <w:tcBorders/>
            <w:shd w:fill="auto" w:val="clear"/>
            <w:vAlign w:val="center"/>
          </w:tcPr>
          <w:p>
            <w:pPr>
              <w:pStyle w:val="TableContents"/>
              <w:spacing w:before="0" w:after="283"/>
              <w:rPr>
                <w:sz w:val="4"/>
                <w:szCs w:val="4"/>
              </w:rPr>
            </w:pPr>
            <w:r>
              <w:rPr>
                <w:sz w:val="4"/>
                <w:szCs w:val="4"/>
              </w:rPr>
            </w:r>
          </w:p>
        </w:tc>
        <w:tc>
          <w:tcPr>
            <w:tcW w:w="3960"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w:t>
            </w:r>
          </w:p>
        </w:tc>
        <w:tc>
          <w:tcPr>
            <w:tcW w:w="953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tc>
      </w:tr>
    </w:tbl>
    <w:p>
      <w:pPr>
        <w:pStyle w:val="TextBody"/>
        <w:spacing w:lineRule="auto" w:line="288" w:before="0" w:after="0"/>
        <w:ind w:left="0" w:right="0" w:firstLine="720"/>
        <w:rPr>
          <w:color w:val="000000"/>
        </w:rPr>
      </w:pPr>
      <w:r>
        <w:rPr>
          <w:color w:val="000000"/>
        </w:rPr>
        <w:t> </w:t>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785"/>
        <w:gridCol w:w="2785"/>
        <w:gridCol w:w="3966"/>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85" w:type="dxa"/>
            <w:tcBorders/>
            <w:shd w:fill="auto" w:val="clear"/>
            <w:vAlign w:val="center"/>
          </w:tcPr>
          <w:p>
            <w:pPr>
              <w:pStyle w:val="TableContents"/>
              <w:spacing w:before="0" w:after="283"/>
              <w:rPr>
                <w:sz w:val="4"/>
                <w:szCs w:val="4"/>
              </w:rPr>
            </w:pPr>
            <w:r>
              <w:rPr>
                <w:sz w:val="4"/>
                <w:szCs w:val="4"/>
              </w:rPr>
            </w:r>
          </w:p>
        </w:tc>
        <w:tc>
          <w:tcPr>
            <w:tcW w:w="2785" w:type="dxa"/>
            <w:tcBorders/>
            <w:shd w:fill="auto" w:val="clear"/>
            <w:vAlign w:val="center"/>
          </w:tcPr>
          <w:p>
            <w:pPr>
              <w:pStyle w:val="TableContents"/>
              <w:spacing w:before="0" w:after="283"/>
              <w:rPr>
                <w:sz w:val="4"/>
                <w:szCs w:val="4"/>
              </w:rPr>
            </w:pPr>
            <w:r>
              <w:rPr>
                <w:sz w:val="4"/>
                <w:szCs w:val="4"/>
              </w:rPr>
            </w:r>
          </w:p>
        </w:tc>
        <w:tc>
          <w:tcPr>
            <w:tcW w:w="3966"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953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tc>
      </w:tr>
    </w:tbl>
    <w:p>
      <w:pPr>
        <w:pStyle w:val="TextBody"/>
        <w:spacing w:lineRule="auto" w:line="288" w:before="0" w:after="0"/>
        <w:ind w:left="0" w:right="0" w:firstLine="720"/>
        <w:rPr>
          <w:color w:val="000000"/>
        </w:rPr>
      </w:pPr>
      <w:r>
        <w:rPr>
          <w:color w:val="000000"/>
        </w:rPr>
        <w:t> </w:t>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793"/>
        <w:gridCol w:w="2793"/>
        <w:gridCol w:w="3950"/>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93" w:type="dxa"/>
            <w:tcBorders/>
            <w:shd w:fill="auto" w:val="clear"/>
            <w:vAlign w:val="center"/>
          </w:tcPr>
          <w:p>
            <w:pPr>
              <w:pStyle w:val="TableContents"/>
              <w:spacing w:before="0" w:after="283"/>
              <w:rPr>
                <w:sz w:val="4"/>
                <w:szCs w:val="4"/>
              </w:rPr>
            </w:pPr>
            <w:r>
              <w:rPr>
                <w:sz w:val="4"/>
                <w:szCs w:val="4"/>
              </w:rPr>
            </w:r>
          </w:p>
        </w:tc>
        <w:tc>
          <w:tcPr>
            <w:tcW w:w="2793" w:type="dxa"/>
            <w:tcBorders/>
            <w:shd w:fill="auto" w:val="clear"/>
            <w:vAlign w:val="center"/>
          </w:tcPr>
          <w:p>
            <w:pPr>
              <w:pStyle w:val="TableContents"/>
              <w:spacing w:before="0" w:after="283"/>
              <w:rPr>
                <w:sz w:val="4"/>
                <w:szCs w:val="4"/>
              </w:rPr>
            </w:pPr>
            <w:r>
              <w:rPr>
                <w:sz w:val="4"/>
                <w:szCs w:val="4"/>
              </w:rPr>
            </w:r>
          </w:p>
        </w:tc>
        <w:tc>
          <w:tcPr>
            <w:tcW w:w="3950"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953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 significant deficiencies and material weaknesses in the design or operation of internal control over financial reporting which are reasonably likely to adversely affect the company’s ability to record, process, summarize and report financial information; and</w:t>
            </w:r>
          </w:p>
        </w:tc>
      </w:tr>
    </w:tbl>
    <w:p>
      <w:pPr>
        <w:pStyle w:val="TextBody"/>
        <w:spacing w:lineRule="auto" w:line="288"/>
        <w:ind w:left="0" w:right="0" w:firstLine="720"/>
        <w:rPr>
          <w:color w:val="000000"/>
        </w:rPr>
      </w:pPr>
      <w:r>
        <w:rPr>
          <w:color w:val="000000"/>
        </w:rPr>
        <w:t> </w:t>
      </w:r>
      <w:r>
        <w:br w:type="page"/>
      </w:r>
    </w:p>
    <w:p>
      <w:pPr>
        <w:pStyle w:val="TextBody"/>
        <w:spacing w:before="2" w:after="283"/>
        <w:ind w:left="0" w:right="0" w:firstLine="7"/>
        <w:rPr/>
      </w:pPr>
      <w:r>
        <w:rPr/>
      </w:r>
      <w:r>
        <mc:AlternateContent>
          <mc:Choice Requires="wps">
            <w:drawing>
              <wp:anchor behindDoc="0" distT="0" distB="0" distL="0" distR="0" simplePos="0" locked="0" layoutInCell="1" allowOverlap="1" relativeHeight="427">
                <wp:simplePos x="0" y="0"/>
                <wp:positionH relativeFrom="character">
                  <wp:align>left</wp:align>
                </wp:positionH>
                <wp:positionV relativeFrom="line">
                  <wp:posOffset>635</wp:posOffset>
                </wp:positionV>
                <wp:extent cx="6480175" cy="176530"/>
                <wp:effectExtent l="0" t="0" r="0" b="0"/>
                <wp:wrapNone/>
                <wp:docPr id="426" name="Frame423"/>
                <a:graphic xmlns:a="http://schemas.openxmlformats.org/drawingml/2006/main">
                  <a:graphicData uri="http://schemas.microsoft.com/office/word/2010/wordprocessingShape">
                    <wps:wsp>
                      <wps:cNvSpPr txBox="1"/>
                      <wps:spPr>
                        <a:xfrm>
                          <a:off x="0" y="0"/>
                          <a:ext cx="6480175" cy="176530"/>
                        </a:xfrm>
                        <a:prstGeom prst="rect"/>
                      </wps:spPr>
                      <wps:txbx>
                        <w:txbxContent>
                          <w:p>
                            <w:pPr>
                              <w:pStyle w:val="TextBody"/>
                              <w:spacing w:before="2" w:after="283"/>
                              <w:ind w:left="0" w:right="0" w:firstLine="7"/>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2" w:after="283"/>
                        <w:ind w:left="0" w:right="0" w:firstLine="7"/>
                        <w:rPr/>
                      </w:pPr>
                      <w:r>
                        <w:rPr/>
                      </w:r>
                    </w:p>
                  </w:txbxContent>
                </v:textbox>
              </v:rect>
            </w:pict>
          </mc:Fallback>
        </mc:AlternateContent>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89" w:type="dxa"/>
            <w:tcBorders/>
            <w:shd w:fill="auto" w:val="clear"/>
            <w:vAlign w:val="center"/>
          </w:tcPr>
          <w:p>
            <w:pPr>
              <w:pStyle w:val="TableContents"/>
              <w:spacing w:before="0" w:after="283"/>
              <w:rPr>
                <w:sz w:val="4"/>
                <w:szCs w:val="4"/>
              </w:rPr>
            </w:pPr>
            <w:r>
              <w:rPr>
                <w:sz w:val="4"/>
                <w:szCs w:val="4"/>
              </w:rPr>
            </w:r>
          </w:p>
        </w:tc>
        <w:tc>
          <w:tcPr>
            <w:tcW w:w="2789" w:type="dxa"/>
            <w:tcBorders/>
            <w:shd w:fill="auto" w:val="clear"/>
            <w:vAlign w:val="center"/>
          </w:tcPr>
          <w:p>
            <w:pPr>
              <w:pStyle w:val="TableContents"/>
              <w:spacing w:before="0" w:after="283"/>
              <w:rPr>
                <w:sz w:val="4"/>
                <w:szCs w:val="4"/>
              </w:rPr>
            </w:pPr>
            <w:r>
              <w:rPr>
                <w:sz w:val="4"/>
                <w:szCs w:val="4"/>
              </w:rPr>
            </w:r>
          </w:p>
        </w:tc>
        <w:tc>
          <w:tcPr>
            <w:tcW w:w="3958"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953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Any fraud, whether or not material, that involves management or other employees who have a significant role in the company’s internal control over financial reporting.</w:t>
            </w:r>
          </w:p>
        </w:tc>
      </w:tr>
    </w:tbl>
    <w:p>
      <w:pPr>
        <w:pStyle w:val="TextBody"/>
        <w:spacing w:lineRule="auto" w:line="288" w:before="0" w:after="0"/>
        <w:ind w:left="0" w:right="0" w:firstLine="7"/>
        <w:rPr>
          <w:color w:val="000000"/>
        </w:rPr>
      </w:pPr>
      <w:r>
        <w:rPr>
          <w:color w:val="000000"/>
        </w:rPr>
        <w:t> </w:t>
      </w:r>
    </w:p>
    <w:tbl>
      <w:tblPr>
        <w:tblW w:w="4109" w:type="dxa"/>
        <w:jc w:val="left"/>
        <w:tblInd w:w="0" w:type="dxa"/>
        <w:tblCellMar>
          <w:top w:w="28" w:type="dxa"/>
          <w:left w:w="28" w:type="dxa"/>
          <w:bottom w:w="28" w:type="dxa"/>
          <w:right w:w="28" w:type="dxa"/>
        </w:tblCellMar>
      </w:tblPr>
      <w:tblGrid>
        <w:gridCol w:w="511"/>
        <w:gridCol w:w="447"/>
        <w:gridCol w:w="452"/>
        <w:gridCol w:w="208"/>
        <w:gridCol w:w="208"/>
        <w:gridCol w:w="213"/>
        <w:gridCol w:w="604"/>
        <w:gridCol w:w="604"/>
        <w:gridCol w:w="862"/>
      </w:tblGrid>
      <w:tr>
        <w:trPr/>
        <w:tc>
          <w:tcPr>
            <w:tcW w:w="511" w:type="dxa"/>
            <w:tcBorders/>
            <w:shd w:fill="auto" w:val="clear"/>
            <w:vAlign w:val="center"/>
          </w:tcPr>
          <w:p>
            <w:pPr>
              <w:pStyle w:val="TableContents"/>
              <w:spacing w:before="0" w:after="283"/>
              <w:rPr>
                <w:sz w:val="4"/>
                <w:szCs w:val="4"/>
              </w:rPr>
            </w:pPr>
            <w:r>
              <w:rPr>
                <w:sz w:val="4"/>
                <w:szCs w:val="4"/>
              </w:rPr>
            </w:r>
          </w:p>
        </w:tc>
        <w:tc>
          <w:tcPr>
            <w:tcW w:w="447" w:type="dxa"/>
            <w:tcBorders/>
            <w:shd w:fill="auto" w:val="clear"/>
            <w:vAlign w:val="center"/>
          </w:tcPr>
          <w:p>
            <w:pPr>
              <w:pStyle w:val="TableContents"/>
              <w:spacing w:before="0" w:after="283"/>
              <w:rPr>
                <w:sz w:val="4"/>
                <w:szCs w:val="4"/>
              </w:rPr>
            </w:pPr>
            <w:r>
              <w:rPr>
                <w:sz w:val="4"/>
                <w:szCs w:val="4"/>
              </w:rPr>
            </w:r>
          </w:p>
        </w:tc>
        <w:tc>
          <w:tcPr>
            <w:tcW w:w="452"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604" w:type="dxa"/>
            <w:tcBorders/>
            <w:shd w:fill="auto" w:val="clear"/>
            <w:vAlign w:val="center"/>
          </w:tcPr>
          <w:p>
            <w:pPr>
              <w:pStyle w:val="TableContents"/>
              <w:spacing w:before="0" w:after="283"/>
              <w:rPr>
                <w:sz w:val="4"/>
                <w:szCs w:val="4"/>
              </w:rPr>
            </w:pPr>
            <w:r>
              <w:rPr>
                <w:sz w:val="4"/>
                <w:szCs w:val="4"/>
              </w:rPr>
            </w:r>
          </w:p>
        </w:tc>
        <w:tc>
          <w:tcPr>
            <w:tcW w:w="604" w:type="dxa"/>
            <w:tcBorders/>
            <w:shd w:fill="auto" w:val="clear"/>
            <w:vAlign w:val="center"/>
          </w:tcPr>
          <w:p>
            <w:pPr>
              <w:pStyle w:val="TableContents"/>
              <w:spacing w:before="0" w:after="283"/>
              <w:rPr>
                <w:sz w:val="4"/>
                <w:szCs w:val="4"/>
              </w:rPr>
            </w:pPr>
            <w:r>
              <w:rPr>
                <w:sz w:val="4"/>
                <w:szCs w:val="4"/>
              </w:rPr>
            </w:r>
          </w:p>
        </w:tc>
        <w:tc>
          <w:tcPr>
            <w:tcW w:w="862" w:type="dxa"/>
            <w:tcBorders/>
            <w:shd w:fill="auto" w:val="clear"/>
            <w:vAlign w:val="center"/>
          </w:tcPr>
          <w:p>
            <w:pPr>
              <w:pStyle w:val="TableContents"/>
              <w:spacing w:before="0" w:after="283"/>
              <w:rPr>
                <w:sz w:val="4"/>
                <w:szCs w:val="4"/>
              </w:rPr>
            </w:pPr>
            <w:r>
              <w:rPr>
                <w:sz w:val="4"/>
                <w:szCs w:val="4"/>
              </w:rPr>
            </w:r>
          </w:p>
        </w:tc>
      </w:tr>
      <w:tr>
        <w:trPr/>
        <w:tc>
          <w:tcPr>
            <w:tcW w:w="141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26, 2021</w:t>
            </w:r>
          </w:p>
        </w:tc>
        <w:tc>
          <w:tcPr>
            <w:tcW w:w="2699" w:type="dxa"/>
            <w:gridSpan w:val="6"/>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 </w:t>
            </w:r>
          </w:p>
        </w:tc>
      </w:tr>
      <w:tr>
        <w:trPr/>
        <w:tc>
          <w:tcPr>
            <w:tcW w:w="141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 </w:t>
            </w:r>
          </w:p>
        </w:tc>
        <w:tc>
          <w:tcPr>
            <w:tcW w:w="62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 </w:t>
            </w:r>
          </w:p>
        </w:tc>
        <w:tc>
          <w:tcPr>
            <w:tcW w:w="207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 </w:t>
            </w:r>
          </w:p>
        </w:tc>
      </w:tr>
      <w:tr>
        <w:trPr/>
        <w:tc>
          <w:tcPr>
            <w:tcW w:w="1410" w:type="dxa"/>
            <w:gridSpan w:val="3"/>
            <w:tcBorders/>
            <w:shd w:fill="auto" w:val="clear"/>
            <w:tcMar>
              <w:top w:w="0" w:type="dxa"/>
              <w:left w:w="0" w:type="dxa"/>
              <w:bottom w:w="0" w:type="dxa"/>
              <w:right w:w="0" w:type="dxa"/>
            </w:tcMar>
            <w:vAlign w:val="center"/>
          </w:tcPr>
          <w:p>
            <w:pPr>
              <w:pStyle w:val="TableContents"/>
              <w:spacing w:lineRule="auto" w:line="288" w:before="240" w:after="283"/>
              <w:ind w:left="0" w:right="0" w:firstLine="720"/>
              <w:jc w:val="left"/>
              <w:rPr>
                <w:color w:val="000000"/>
              </w:rPr>
            </w:pPr>
            <w:r>
              <w:rPr>
                <w:color w:val="000000"/>
              </w:rPr>
              <w:t> </w:t>
            </w:r>
          </w:p>
        </w:tc>
        <w:tc>
          <w:tcPr>
            <w:tcW w:w="62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07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Bin (Tony) Zhao</w:t>
            </w:r>
          </w:p>
        </w:tc>
      </w:tr>
      <w:tr>
        <w:trPr/>
        <w:tc>
          <w:tcPr>
            <w:tcW w:w="141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 </w:t>
            </w:r>
          </w:p>
        </w:tc>
        <w:tc>
          <w:tcPr>
            <w:tcW w:w="62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207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Bin (Tony) Zhao</w:t>
            </w:r>
          </w:p>
        </w:tc>
      </w:tr>
      <w:tr>
        <w:trPr/>
        <w:tc>
          <w:tcPr>
            <w:tcW w:w="141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 </w:t>
            </w:r>
          </w:p>
        </w:tc>
        <w:tc>
          <w:tcPr>
            <w:tcW w:w="62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207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r>
        <w:trPr/>
        <w:tc>
          <w:tcPr>
            <w:tcW w:w="14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240" w:after="283"/>
        <w:ind w:left="0" w:right="0" w:firstLine="720"/>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428">
                <wp:simplePos x="0" y="0"/>
                <wp:positionH relativeFrom="character">
                  <wp:align>left</wp:align>
                </wp:positionH>
                <wp:positionV relativeFrom="line">
                  <wp:posOffset>635</wp:posOffset>
                </wp:positionV>
                <wp:extent cx="6480175" cy="176530"/>
                <wp:effectExtent l="0" t="0" r="0" b="0"/>
                <wp:wrapNone/>
                <wp:docPr id="427" name="Frame424"/>
                <a:graphic xmlns:a="http://schemas.openxmlformats.org/drawingml/2006/main">
                  <a:graphicData uri="http://schemas.microsoft.com/office/word/2010/wordprocessingShape">
                    <wps:wsp>
                      <wps:cNvSpPr txBox="1"/>
                      <wps:spPr>
                        <a:xfrm>
                          <a:off x="0" y="0"/>
                          <a:ext cx="6480175" cy="176530"/>
                        </a:xfrm>
                        <a:prstGeom prst="rect"/>
                      </wps:spPr>
                      <wps:txbx>
                        <w:txbxContent>
                          <w:p>
                            <w:pPr>
                              <w:pStyle w:val="TextBody"/>
                              <w:spacing w:before="2" w:after="283"/>
                              <w:ind w:left="0" w:right="0" w:firstLine="7"/>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2" w:after="283"/>
                        <w:ind w:left="0" w:right="0" w:firstLine="7"/>
                        <w:rPr/>
                      </w:pPr>
                      <w:r>
                        <w:rPr/>
                      </w:r>
                    </w:p>
                  </w:txbxContent>
                </v:textbox>
              </v:rect>
            </w:pict>
          </mc:Fallback>
        </mc:AlternateContent>
      </w:r>
    </w:p>
    <w:p>
      <w:pPr>
        <w:pStyle w:val="TextBody"/>
        <w:spacing w:lineRule="auto" w:line="288" w:before="0" w:after="0"/>
        <w:jc w:val="center"/>
        <w:rPr>
          <w:rFonts w:ascii="Times New Roman;sans-serif" w:hAnsi="Times New Roman;sans-serif"/>
          <w:b/>
          <w:color w:val="000000"/>
          <w:sz w:val="20"/>
          <w:u w:val="single"/>
        </w:rPr>
      </w:pPr>
      <w:r>
        <w:rPr>
          <w:rFonts w:ascii="Times New Roman;sans-serif" w:hAnsi="Times New Roman;sans-serif"/>
          <w:b/>
          <w:color w:val="000000"/>
          <w:sz w:val="20"/>
          <w:u w:val="single"/>
        </w:rPr>
        <w:t>Certification by the Principal Financial Officer</w:t>
      </w:r>
    </w:p>
    <w:p>
      <w:pPr>
        <w:pStyle w:val="TextBody"/>
        <w:spacing w:lineRule="auto" w:line="288" w:before="0" w:after="0"/>
        <w:jc w:val="center"/>
        <w:rPr>
          <w:rFonts w:ascii="Times New Roman;sans-serif" w:hAnsi="Times New Roman;sans-serif"/>
          <w:b/>
          <w:color w:val="000000"/>
          <w:sz w:val="20"/>
          <w:u w:val="single"/>
        </w:rPr>
      </w:pPr>
      <w:r>
        <w:rPr>
          <w:rFonts w:ascii="Times New Roman;sans-serif" w:hAnsi="Times New Roman;sans-serif"/>
          <w:b/>
          <w:color w:val="000000"/>
          <w:sz w:val="20"/>
          <w:u w:val="single"/>
        </w:rPr>
        <w:t>Pursuant to Section 302 of the Sarbanes-Oxley Act of 2002</w:t>
      </w:r>
    </w:p>
    <w:p>
      <w:pPr>
        <w:pStyle w:val="TextBody"/>
        <w:spacing w:lineRule="auto" w:line="288" w:before="0" w:after="0"/>
        <w:rPr>
          <w:color w:val="000000"/>
        </w:rPr>
      </w:pPr>
      <w:r>
        <w:rPr>
          <w:color w:val="000000"/>
        </w:rPr>
        <w:t> </w:t>
      </w:r>
    </w:p>
    <w:p>
      <w:pPr>
        <w:pStyle w:val="TextBody"/>
        <w:spacing w:lineRule="auto" w:line="276" w:before="0" w:after="0"/>
        <w:rPr>
          <w:rFonts w:ascii="Times New Roman;sans-serif" w:hAnsi="Times New Roman;sans-serif"/>
          <w:b w:val="false"/>
          <w:color w:val="000000"/>
          <w:sz w:val="20"/>
        </w:rPr>
      </w:pPr>
      <w:r>
        <w:rPr>
          <w:rFonts w:ascii="Times New Roman;sans-serif" w:hAnsi="Times New Roman;sans-serif"/>
          <w:b w:val="false"/>
          <w:color w:val="000000"/>
          <w:sz w:val="20"/>
        </w:rPr>
        <w:t>I, Jingbo Wang, certify that:</w:t>
      </w:r>
    </w:p>
    <w:p>
      <w:pPr>
        <w:pStyle w:val="TextBody"/>
        <w:spacing w:lineRule="auto" w:line="288" w:before="0" w:after="0"/>
        <w:rPr>
          <w:color w:val="000000"/>
        </w:rPr>
      </w:pPr>
      <w:r>
        <w:rPr>
          <w:color w:val="000000"/>
        </w:rPr>
        <w:t> </w:t>
      </w:r>
    </w:p>
    <w:tbl>
      <w:tblPr>
        <w:tblW w:w="7299" w:type="dxa"/>
        <w:jc w:val="left"/>
        <w:tblInd w:w="0" w:type="dxa"/>
        <w:tblCellMar>
          <w:top w:w="28" w:type="dxa"/>
          <w:left w:w="28" w:type="dxa"/>
          <w:bottom w:w="28" w:type="dxa"/>
          <w:right w:w="28" w:type="dxa"/>
        </w:tblCellMar>
      </w:tblPr>
      <w:tblGrid>
        <w:gridCol w:w="124"/>
        <w:gridCol w:w="109"/>
        <w:gridCol w:w="109"/>
        <w:gridCol w:w="109"/>
        <w:gridCol w:w="109"/>
        <w:gridCol w:w="109"/>
        <w:gridCol w:w="1940"/>
        <w:gridCol w:w="1940"/>
        <w:gridCol w:w="2750"/>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40" w:type="dxa"/>
            <w:tcBorders/>
            <w:shd w:fill="auto" w:val="clear"/>
            <w:vAlign w:val="center"/>
          </w:tcPr>
          <w:p>
            <w:pPr>
              <w:pStyle w:val="TableContents"/>
              <w:spacing w:before="0" w:after="283"/>
              <w:rPr>
                <w:sz w:val="4"/>
                <w:szCs w:val="4"/>
              </w:rPr>
            </w:pPr>
            <w:r>
              <w:rPr>
                <w:sz w:val="4"/>
                <w:szCs w:val="4"/>
              </w:rPr>
            </w:r>
          </w:p>
        </w:tc>
        <w:tc>
          <w:tcPr>
            <w:tcW w:w="1940" w:type="dxa"/>
            <w:tcBorders/>
            <w:shd w:fill="auto" w:val="clear"/>
            <w:vAlign w:val="center"/>
          </w:tcPr>
          <w:p>
            <w:pPr>
              <w:pStyle w:val="TableContents"/>
              <w:spacing w:before="0" w:after="283"/>
              <w:rPr>
                <w:sz w:val="4"/>
                <w:szCs w:val="4"/>
              </w:rPr>
            </w:pPr>
            <w:r>
              <w:rPr>
                <w:sz w:val="4"/>
                <w:szCs w:val="4"/>
              </w:rPr>
            </w:r>
          </w:p>
        </w:tc>
        <w:tc>
          <w:tcPr>
            <w:tcW w:w="2750"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66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have reviewed this annual report on Form 20-F of Agora, Inc. (the “company”);</w:t>
            </w:r>
          </w:p>
        </w:tc>
      </w:tr>
    </w:tbl>
    <w:p>
      <w:pPr>
        <w:pStyle w:val="TextBody"/>
        <w:spacing w:lineRule="auto" w:line="288" w:before="0" w:after="0"/>
        <w:rPr>
          <w:color w:val="000000"/>
        </w:rPr>
      </w:pPr>
      <w:r>
        <w:rPr>
          <w:color w:val="000000"/>
        </w:rPr>
        <w:t> </w:t>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792"/>
        <w:gridCol w:w="2792"/>
        <w:gridCol w:w="3952"/>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92" w:type="dxa"/>
            <w:tcBorders/>
            <w:shd w:fill="auto" w:val="clear"/>
            <w:vAlign w:val="center"/>
          </w:tcPr>
          <w:p>
            <w:pPr>
              <w:pStyle w:val="TableContents"/>
              <w:spacing w:before="0" w:after="283"/>
              <w:rPr>
                <w:sz w:val="4"/>
                <w:szCs w:val="4"/>
              </w:rPr>
            </w:pPr>
            <w:r>
              <w:rPr>
                <w:sz w:val="4"/>
                <w:szCs w:val="4"/>
              </w:rPr>
            </w:r>
          </w:p>
        </w:tc>
        <w:tc>
          <w:tcPr>
            <w:tcW w:w="2792" w:type="dxa"/>
            <w:tcBorders/>
            <w:shd w:fill="auto" w:val="clear"/>
            <w:vAlign w:val="center"/>
          </w:tcPr>
          <w:p>
            <w:pPr>
              <w:pStyle w:val="TableContents"/>
              <w:spacing w:before="0" w:after="283"/>
              <w:rPr>
                <w:sz w:val="4"/>
                <w:szCs w:val="4"/>
              </w:rPr>
            </w:pPr>
            <w:r>
              <w:rPr>
                <w:sz w:val="4"/>
                <w:szCs w:val="4"/>
              </w:rPr>
            </w:r>
          </w:p>
        </w:tc>
        <w:tc>
          <w:tcPr>
            <w:tcW w:w="3952"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spacing w:lineRule="auto" w:line="288" w:before="0" w:after="0"/>
        <w:ind w:left="0" w:right="0" w:firstLine="720"/>
        <w:rPr>
          <w:color w:val="000000"/>
        </w:rPr>
      </w:pPr>
      <w:r>
        <w:rPr>
          <w:color w:val="000000"/>
        </w:rPr>
        <w:t> </w:t>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89" w:type="dxa"/>
            <w:tcBorders/>
            <w:shd w:fill="auto" w:val="clear"/>
            <w:vAlign w:val="center"/>
          </w:tcPr>
          <w:p>
            <w:pPr>
              <w:pStyle w:val="TableContents"/>
              <w:spacing w:before="0" w:after="283"/>
              <w:rPr>
                <w:sz w:val="4"/>
                <w:szCs w:val="4"/>
              </w:rPr>
            </w:pPr>
            <w:r>
              <w:rPr>
                <w:sz w:val="4"/>
                <w:szCs w:val="4"/>
              </w:rPr>
            </w:r>
          </w:p>
        </w:tc>
        <w:tc>
          <w:tcPr>
            <w:tcW w:w="2789" w:type="dxa"/>
            <w:tcBorders/>
            <w:shd w:fill="auto" w:val="clear"/>
            <w:vAlign w:val="center"/>
          </w:tcPr>
          <w:p>
            <w:pPr>
              <w:pStyle w:val="TableContents"/>
              <w:spacing w:before="0" w:after="283"/>
              <w:rPr>
                <w:sz w:val="4"/>
                <w:szCs w:val="4"/>
              </w:rPr>
            </w:pPr>
            <w:r>
              <w:rPr>
                <w:sz w:val="4"/>
                <w:szCs w:val="4"/>
              </w:rPr>
            </w:r>
          </w:p>
        </w:tc>
        <w:tc>
          <w:tcPr>
            <w:tcW w:w="3958"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tc>
      </w:tr>
    </w:tbl>
    <w:p>
      <w:pPr>
        <w:pStyle w:val="TextBody"/>
        <w:spacing w:lineRule="auto" w:line="288" w:before="0" w:after="0"/>
        <w:ind w:left="0" w:right="0" w:firstLine="720"/>
        <w:rPr>
          <w:color w:val="000000"/>
        </w:rPr>
      </w:pPr>
      <w:r>
        <w:rPr>
          <w:color w:val="000000"/>
        </w:rPr>
        <w:t> </w:t>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791"/>
        <w:gridCol w:w="2791"/>
        <w:gridCol w:w="39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91" w:type="dxa"/>
            <w:tcBorders/>
            <w:shd w:fill="auto" w:val="clear"/>
            <w:vAlign w:val="center"/>
          </w:tcPr>
          <w:p>
            <w:pPr>
              <w:pStyle w:val="TableContents"/>
              <w:spacing w:before="0" w:after="283"/>
              <w:rPr>
                <w:sz w:val="4"/>
                <w:szCs w:val="4"/>
              </w:rPr>
            </w:pPr>
            <w:r>
              <w:rPr>
                <w:sz w:val="4"/>
                <w:szCs w:val="4"/>
              </w:rPr>
            </w:r>
          </w:p>
        </w:tc>
        <w:tc>
          <w:tcPr>
            <w:tcW w:w="2791" w:type="dxa"/>
            <w:tcBorders/>
            <w:shd w:fill="auto" w:val="clear"/>
            <w:vAlign w:val="center"/>
          </w:tcPr>
          <w:p>
            <w:pPr>
              <w:pStyle w:val="TableContents"/>
              <w:spacing w:before="0" w:after="283"/>
              <w:rPr>
                <w:sz w:val="4"/>
                <w:szCs w:val="4"/>
              </w:rPr>
            </w:pPr>
            <w:r>
              <w:rPr>
                <w:sz w:val="4"/>
                <w:szCs w:val="4"/>
              </w:rPr>
            </w:r>
          </w:p>
        </w:tc>
        <w:tc>
          <w:tcPr>
            <w:tcW w:w="39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other certifying officer(s) and I are responsible for establishing and maintaining disclosure controls and procedures (as defined in Exchange Act Rules 13a-15(e) and 15d-15(e)) for the company and have:</w:t>
            </w:r>
          </w:p>
        </w:tc>
      </w:tr>
    </w:tbl>
    <w:p>
      <w:pPr>
        <w:pStyle w:val="TextBody"/>
        <w:spacing w:lineRule="auto" w:line="288" w:before="0" w:after="0"/>
        <w:ind w:left="0" w:right="0" w:firstLine="720"/>
        <w:rPr>
          <w:color w:val="000000"/>
        </w:rPr>
      </w:pPr>
      <w:r>
        <w:rPr>
          <w:color w:val="000000"/>
        </w:rPr>
        <w:t> </w:t>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786"/>
        <w:gridCol w:w="2786"/>
        <w:gridCol w:w="396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86" w:type="dxa"/>
            <w:tcBorders/>
            <w:shd w:fill="auto" w:val="clear"/>
            <w:vAlign w:val="center"/>
          </w:tcPr>
          <w:p>
            <w:pPr>
              <w:pStyle w:val="TableContents"/>
              <w:spacing w:before="0" w:after="283"/>
              <w:rPr>
                <w:sz w:val="4"/>
                <w:szCs w:val="4"/>
              </w:rPr>
            </w:pPr>
            <w:r>
              <w:rPr>
                <w:sz w:val="4"/>
                <w:szCs w:val="4"/>
              </w:rPr>
            </w:r>
          </w:p>
        </w:tc>
        <w:tc>
          <w:tcPr>
            <w:tcW w:w="2786" w:type="dxa"/>
            <w:tcBorders/>
            <w:shd w:fill="auto" w:val="clear"/>
            <w:vAlign w:val="center"/>
          </w:tcPr>
          <w:p>
            <w:pPr>
              <w:pStyle w:val="TableContents"/>
              <w:spacing w:before="0" w:after="283"/>
              <w:rPr>
                <w:sz w:val="4"/>
                <w:szCs w:val="4"/>
              </w:rPr>
            </w:pPr>
            <w:r>
              <w:rPr>
                <w:sz w:val="4"/>
                <w:szCs w:val="4"/>
              </w:rPr>
            </w:r>
          </w:p>
        </w:tc>
        <w:tc>
          <w:tcPr>
            <w:tcW w:w="396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tc>
      </w:tr>
    </w:tbl>
    <w:p>
      <w:pPr>
        <w:pStyle w:val="TextBody"/>
        <w:spacing w:lineRule="auto" w:line="288" w:before="0" w:after="0"/>
        <w:ind w:left="0" w:right="0" w:firstLine="720"/>
        <w:rPr>
          <w:color w:val="000000"/>
        </w:rPr>
      </w:pPr>
      <w:r>
        <w:rPr>
          <w:color w:val="000000"/>
        </w:rPr>
        <w:t> </w:t>
      </w:r>
    </w:p>
    <w:tbl>
      <w:tblPr>
        <w:tblW w:w="1752" w:type="dxa"/>
        <w:jc w:val="left"/>
        <w:tblInd w:w="0" w:type="dxa"/>
        <w:tblCellMar>
          <w:top w:w="28" w:type="dxa"/>
          <w:left w:w="28" w:type="dxa"/>
          <w:bottom w:w="28" w:type="dxa"/>
          <w:right w:w="28" w:type="dxa"/>
        </w:tblCellMar>
      </w:tblPr>
      <w:tblGrid>
        <w:gridCol w:w="124"/>
        <w:gridCol w:w="109"/>
        <w:gridCol w:w="109"/>
        <w:gridCol w:w="110"/>
        <w:gridCol w:w="110"/>
        <w:gridCol w:w="110"/>
        <w:gridCol w:w="316"/>
        <w:gridCol w:w="316"/>
        <w:gridCol w:w="448"/>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448"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108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[Reserved];</w:t>
            </w:r>
          </w:p>
        </w:tc>
      </w:tr>
    </w:tbl>
    <w:p>
      <w:pPr>
        <w:pStyle w:val="TextBody"/>
        <w:spacing w:lineRule="auto" w:line="288" w:before="0" w:after="0"/>
        <w:ind w:left="0" w:right="0" w:firstLine="720"/>
        <w:rPr>
          <w:color w:val="000000"/>
        </w:rPr>
      </w:pPr>
      <w:r>
        <w:rPr>
          <w:color w:val="000000"/>
        </w:rPr>
        <w:t> </w:t>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786"/>
        <w:gridCol w:w="2786"/>
        <w:gridCol w:w="396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86" w:type="dxa"/>
            <w:tcBorders/>
            <w:shd w:fill="auto" w:val="clear"/>
            <w:vAlign w:val="center"/>
          </w:tcPr>
          <w:p>
            <w:pPr>
              <w:pStyle w:val="TableContents"/>
              <w:spacing w:before="0" w:after="283"/>
              <w:rPr>
                <w:sz w:val="4"/>
                <w:szCs w:val="4"/>
              </w:rPr>
            </w:pPr>
            <w:r>
              <w:rPr>
                <w:sz w:val="4"/>
                <w:szCs w:val="4"/>
              </w:rPr>
            </w:r>
          </w:p>
        </w:tc>
        <w:tc>
          <w:tcPr>
            <w:tcW w:w="2786" w:type="dxa"/>
            <w:tcBorders/>
            <w:shd w:fill="auto" w:val="clear"/>
            <w:vAlign w:val="center"/>
          </w:tcPr>
          <w:p>
            <w:pPr>
              <w:pStyle w:val="TableContents"/>
              <w:spacing w:before="0" w:after="283"/>
              <w:rPr>
                <w:sz w:val="4"/>
                <w:szCs w:val="4"/>
              </w:rPr>
            </w:pPr>
            <w:r>
              <w:rPr>
                <w:sz w:val="4"/>
                <w:szCs w:val="4"/>
              </w:rPr>
            </w:r>
          </w:p>
        </w:tc>
        <w:tc>
          <w:tcPr>
            <w:tcW w:w="396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w:t>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tc>
      </w:tr>
    </w:tbl>
    <w:p>
      <w:pPr>
        <w:pStyle w:val="TextBody"/>
        <w:spacing w:lineRule="auto" w:line="288" w:before="0" w:after="0"/>
        <w:ind w:left="0" w:right="0" w:firstLine="720"/>
        <w:rPr>
          <w:color w:val="000000"/>
        </w:rPr>
      </w:pPr>
      <w:r>
        <w:rPr>
          <w:color w:val="000000"/>
        </w:rPr>
        <w:t> </w:t>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788"/>
        <w:gridCol w:w="2788"/>
        <w:gridCol w:w="3960"/>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88" w:type="dxa"/>
            <w:tcBorders/>
            <w:shd w:fill="auto" w:val="clear"/>
            <w:vAlign w:val="center"/>
          </w:tcPr>
          <w:p>
            <w:pPr>
              <w:pStyle w:val="TableContents"/>
              <w:spacing w:before="0" w:after="283"/>
              <w:rPr>
                <w:sz w:val="4"/>
                <w:szCs w:val="4"/>
              </w:rPr>
            </w:pPr>
            <w:r>
              <w:rPr>
                <w:sz w:val="4"/>
                <w:szCs w:val="4"/>
              </w:rPr>
            </w:r>
          </w:p>
        </w:tc>
        <w:tc>
          <w:tcPr>
            <w:tcW w:w="2788" w:type="dxa"/>
            <w:tcBorders/>
            <w:shd w:fill="auto" w:val="clear"/>
            <w:vAlign w:val="center"/>
          </w:tcPr>
          <w:p>
            <w:pPr>
              <w:pStyle w:val="TableContents"/>
              <w:spacing w:before="0" w:after="283"/>
              <w:rPr>
                <w:sz w:val="4"/>
                <w:szCs w:val="4"/>
              </w:rPr>
            </w:pPr>
            <w:r>
              <w:rPr>
                <w:sz w:val="4"/>
                <w:szCs w:val="4"/>
              </w:rPr>
            </w:r>
          </w:p>
        </w:tc>
        <w:tc>
          <w:tcPr>
            <w:tcW w:w="3960"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w:t>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tc>
      </w:tr>
    </w:tbl>
    <w:p>
      <w:pPr>
        <w:pStyle w:val="TextBody"/>
        <w:spacing w:lineRule="auto" w:line="288" w:before="0" w:after="0"/>
        <w:ind w:left="0" w:right="0" w:firstLine="720"/>
        <w:rPr>
          <w:color w:val="000000"/>
        </w:rPr>
      </w:pPr>
      <w:r>
        <w:rPr>
          <w:color w:val="000000"/>
        </w:rPr>
        <w:t> </w:t>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785"/>
        <w:gridCol w:w="2785"/>
        <w:gridCol w:w="3966"/>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85" w:type="dxa"/>
            <w:tcBorders/>
            <w:shd w:fill="auto" w:val="clear"/>
            <w:vAlign w:val="center"/>
          </w:tcPr>
          <w:p>
            <w:pPr>
              <w:pStyle w:val="TableContents"/>
              <w:spacing w:before="0" w:after="283"/>
              <w:rPr>
                <w:sz w:val="4"/>
                <w:szCs w:val="4"/>
              </w:rPr>
            </w:pPr>
            <w:r>
              <w:rPr>
                <w:sz w:val="4"/>
                <w:szCs w:val="4"/>
              </w:rPr>
            </w:r>
          </w:p>
        </w:tc>
        <w:tc>
          <w:tcPr>
            <w:tcW w:w="2785" w:type="dxa"/>
            <w:tcBorders/>
            <w:shd w:fill="auto" w:val="clear"/>
            <w:vAlign w:val="center"/>
          </w:tcPr>
          <w:p>
            <w:pPr>
              <w:pStyle w:val="TableContents"/>
              <w:spacing w:before="0" w:after="283"/>
              <w:rPr>
                <w:sz w:val="4"/>
                <w:szCs w:val="4"/>
              </w:rPr>
            </w:pPr>
            <w:r>
              <w:rPr>
                <w:sz w:val="4"/>
                <w:szCs w:val="4"/>
              </w:rPr>
            </w:r>
          </w:p>
        </w:tc>
        <w:tc>
          <w:tcPr>
            <w:tcW w:w="3966"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tc>
      </w:tr>
    </w:tbl>
    <w:p>
      <w:pPr>
        <w:pStyle w:val="TextBody"/>
        <w:spacing w:lineRule="auto" w:line="288" w:before="0" w:after="0"/>
        <w:ind w:left="0" w:right="0" w:firstLine="720"/>
        <w:rPr>
          <w:color w:val="000000"/>
        </w:rPr>
      </w:pPr>
      <w:r>
        <w:rPr>
          <w:color w:val="000000"/>
        </w:rPr>
        <w:t> </w:t>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793"/>
        <w:gridCol w:w="2793"/>
        <w:gridCol w:w="3950"/>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93" w:type="dxa"/>
            <w:tcBorders/>
            <w:shd w:fill="auto" w:val="clear"/>
            <w:vAlign w:val="center"/>
          </w:tcPr>
          <w:p>
            <w:pPr>
              <w:pStyle w:val="TableContents"/>
              <w:spacing w:before="0" w:after="283"/>
              <w:rPr>
                <w:sz w:val="4"/>
                <w:szCs w:val="4"/>
              </w:rPr>
            </w:pPr>
            <w:r>
              <w:rPr>
                <w:sz w:val="4"/>
                <w:szCs w:val="4"/>
              </w:rPr>
            </w:r>
          </w:p>
        </w:tc>
        <w:tc>
          <w:tcPr>
            <w:tcW w:w="2793" w:type="dxa"/>
            <w:tcBorders/>
            <w:shd w:fill="auto" w:val="clear"/>
            <w:vAlign w:val="center"/>
          </w:tcPr>
          <w:p>
            <w:pPr>
              <w:pStyle w:val="TableContents"/>
              <w:spacing w:before="0" w:after="283"/>
              <w:rPr>
                <w:sz w:val="4"/>
                <w:szCs w:val="4"/>
              </w:rPr>
            </w:pPr>
            <w:r>
              <w:rPr>
                <w:sz w:val="4"/>
                <w:szCs w:val="4"/>
              </w:rPr>
            </w:r>
          </w:p>
        </w:tc>
        <w:tc>
          <w:tcPr>
            <w:tcW w:w="3950"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 significant deficiencies and material weaknesses in the design or operation of internal control over financial reporting which are reasonably likely to adversely affect the company’s ability to record, process, summarize and report financial information; and</w:t>
            </w:r>
          </w:p>
        </w:tc>
      </w:tr>
    </w:tbl>
    <w:p>
      <w:pPr>
        <w:pStyle w:val="TextBody"/>
        <w:spacing w:lineRule="auto" w:line="288" w:before="0" w:after="0"/>
        <w:ind w:left="0" w:right="0" w:firstLine="720"/>
        <w:rPr>
          <w:color w:val="000000"/>
        </w:rPr>
      </w:pPr>
      <w:r>
        <w:rPr>
          <w:color w:val="000000"/>
        </w:rPr>
        <w:t> </w:t>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89" w:type="dxa"/>
            <w:tcBorders/>
            <w:shd w:fill="auto" w:val="clear"/>
            <w:vAlign w:val="center"/>
          </w:tcPr>
          <w:p>
            <w:pPr>
              <w:pStyle w:val="TableContents"/>
              <w:spacing w:before="0" w:after="283"/>
              <w:rPr>
                <w:sz w:val="4"/>
                <w:szCs w:val="4"/>
              </w:rPr>
            </w:pPr>
            <w:r>
              <w:rPr>
                <w:sz w:val="4"/>
                <w:szCs w:val="4"/>
              </w:rPr>
            </w:r>
          </w:p>
        </w:tc>
        <w:tc>
          <w:tcPr>
            <w:tcW w:w="2789" w:type="dxa"/>
            <w:tcBorders/>
            <w:shd w:fill="auto" w:val="clear"/>
            <w:vAlign w:val="center"/>
          </w:tcPr>
          <w:p>
            <w:pPr>
              <w:pStyle w:val="TableContents"/>
              <w:spacing w:before="0" w:after="283"/>
              <w:rPr>
                <w:sz w:val="4"/>
                <w:szCs w:val="4"/>
              </w:rPr>
            </w:pPr>
            <w:r>
              <w:rPr>
                <w:sz w:val="4"/>
                <w:szCs w:val="4"/>
              </w:rPr>
            </w:r>
          </w:p>
        </w:tc>
        <w:tc>
          <w:tcPr>
            <w:tcW w:w="3958"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Any fraud, whether or not material, that involves management or other employees who have a significant role in the company’s internal control over financial reporting.</w:t>
            </w:r>
          </w:p>
        </w:tc>
      </w:tr>
    </w:tbl>
    <w:p>
      <w:pPr>
        <w:pStyle w:val="TextBody"/>
        <w:spacing w:lineRule="auto" w:line="288"/>
        <w:rPr>
          <w:color w:val="000000"/>
        </w:rPr>
      </w:pPr>
      <w:r>
        <w:rPr>
          <w:color w:val="000000"/>
        </w:rPr>
        <w:t> </w:t>
      </w:r>
      <w:r>
        <w:br w:type="page"/>
      </w:r>
    </w:p>
    <w:p>
      <w:pPr>
        <w:pStyle w:val="TextBody"/>
        <w:spacing w:before="0" w:after="0"/>
        <w:rPr/>
      </w:pPr>
      <w:r>
        <w:rPr/>
      </w:r>
      <w:r>
        <mc:AlternateContent>
          <mc:Choice Requires="wps">
            <w:drawing>
              <wp:anchor behindDoc="0" distT="0" distB="0" distL="0" distR="0" simplePos="0" locked="0" layoutInCell="1" allowOverlap="1" relativeHeight="429">
                <wp:simplePos x="0" y="0"/>
                <wp:positionH relativeFrom="character">
                  <wp:align>left</wp:align>
                </wp:positionH>
                <wp:positionV relativeFrom="line">
                  <wp:posOffset>635</wp:posOffset>
                </wp:positionV>
                <wp:extent cx="6480175" cy="175260"/>
                <wp:effectExtent l="0" t="0" r="0" b="0"/>
                <wp:wrapNone/>
                <wp:docPr id="428" name="Frame42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tbl>
      <w:tblPr>
        <w:tblW w:w="4048" w:type="dxa"/>
        <w:jc w:val="left"/>
        <w:tblInd w:w="0" w:type="dxa"/>
        <w:tblCellMar>
          <w:top w:w="28" w:type="dxa"/>
          <w:left w:w="28" w:type="dxa"/>
          <w:bottom w:w="28" w:type="dxa"/>
          <w:right w:w="28" w:type="dxa"/>
        </w:tblCellMar>
      </w:tblPr>
      <w:tblGrid>
        <w:gridCol w:w="511"/>
        <w:gridCol w:w="447"/>
        <w:gridCol w:w="452"/>
        <w:gridCol w:w="208"/>
        <w:gridCol w:w="208"/>
        <w:gridCol w:w="213"/>
        <w:gridCol w:w="585"/>
        <w:gridCol w:w="585"/>
        <w:gridCol w:w="839"/>
      </w:tblGrid>
      <w:tr>
        <w:trPr/>
        <w:tc>
          <w:tcPr>
            <w:tcW w:w="511" w:type="dxa"/>
            <w:tcBorders/>
            <w:shd w:fill="auto" w:val="clear"/>
            <w:vAlign w:val="center"/>
          </w:tcPr>
          <w:p>
            <w:pPr>
              <w:pStyle w:val="TableContents"/>
              <w:spacing w:before="0" w:after="283"/>
              <w:rPr>
                <w:sz w:val="4"/>
                <w:szCs w:val="4"/>
              </w:rPr>
            </w:pPr>
            <w:r>
              <w:rPr>
                <w:sz w:val="4"/>
                <w:szCs w:val="4"/>
              </w:rPr>
            </w:r>
          </w:p>
        </w:tc>
        <w:tc>
          <w:tcPr>
            <w:tcW w:w="447" w:type="dxa"/>
            <w:tcBorders/>
            <w:shd w:fill="auto" w:val="clear"/>
            <w:vAlign w:val="center"/>
          </w:tcPr>
          <w:p>
            <w:pPr>
              <w:pStyle w:val="TableContents"/>
              <w:spacing w:before="0" w:after="283"/>
              <w:rPr>
                <w:sz w:val="4"/>
                <w:szCs w:val="4"/>
              </w:rPr>
            </w:pPr>
            <w:r>
              <w:rPr>
                <w:sz w:val="4"/>
                <w:szCs w:val="4"/>
              </w:rPr>
            </w:r>
          </w:p>
        </w:tc>
        <w:tc>
          <w:tcPr>
            <w:tcW w:w="452"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585" w:type="dxa"/>
            <w:tcBorders/>
            <w:shd w:fill="auto" w:val="clear"/>
            <w:vAlign w:val="center"/>
          </w:tcPr>
          <w:p>
            <w:pPr>
              <w:pStyle w:val="TableContents"/>
              <w:spacing w:before="0" w:after="283"/>
              <w:rPr>
                <w:sz w:val="4"/>
                <w:szCs w:val="4"/>
              </w:rPr>
            </w:pPr>
            <w:r>
              <w:rPr>
                <w:sz w:val="4"/>
                <w:szCs w:val="4"/>
              </w:rPr>
            </w:r>
          </w:p>
        </w:tc>
        <w:tc>
          <w:tcPr>
            <w:tcW w:w="585" w:type="dxa"/>
            <w:tcBorders/>
            <w:shd w:fill="auto" w:val="clear"/>
            <w:vAlign w:val="center"/>
          </w:tcPr>
          <w:p>
            <w:pPr>
              <w:pStyle w:val="TableContents"/>
              <w:spacing w:before="0" w:after="283"/>
              <w:rPr>
                <w:sz w:val="4"/>
                <w:szCs w:val="4"/>
              </w:rPr>
            </w:pPr>
            <w:r>
              <w:rPr>
                <w:sz w:val="4"/>
                <w:szCs w:val="4"/>
              </w:rPr>
            </w:r>
          </w:p>
        </w:tc>
        <w:tc>
          <w:tcPr>
            <w:tcW w:w="839" w:type="dxa"/>
            <w:tcBorders/>
            <w:shd w:fill="auto" w:val="clear"/>
            <w:vAlign w:val="center"/>
          </w:tcPr>
          <w:p>
            <w:pPr>
              <w:pStyle w:val="TableContents"/>
              <w:spacing w:before="0" w:after="283"/>
              <w:rPr>
                <w:sz w:val="4"/>
                <w:szCs w:val="4"/>
              </w:rPr>
            </w:pPr>
            <w:r>
              <w:rPr>
                <w:sz w:val="4"/>
                <w:szCs w:val="4"/>
              </w:rPr>
            </w:r>
          </w:p>
        </w:tc>
      </w:tr>
      <w:tr>
        <w:trPr/>
        <w:tc>
          <w:tcPr>
            <w:tcW w:w="14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26, 2021</w:t>
            </w:r>
          </w:p>
        </w:tc>
        <w:tc>
          <w:tcPr>
            <w:tcW w:w="2638"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14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6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0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1410" w:type="dxa"/>
            <w:gridSpan w:val="3"/>
            <w:tcBorders/>
            <w:shd w:fill="auto" w:val="clear"/>
            <w:tcMar>
              <w:top w:w="0" w:type="dxa"/>
              <w:left w:w="0" w:type="dxa"/>
              <w:bottom w:w="0" w:type="dxa"/>
              <w:right w:w="0" w:type="dxa"/>
            </w:tcMar>
            <w:vAlign w:val="center"/>
          </w:tcPr>
          <w:p>
            <w:pPr>
              <w:pStyle w:val="TableContents"/>
              <w:spacing w:lineRule="auto" w:line="288" w:before="240" w:after="283"/>
              <w:ind w:left="0" w:right="0" w:firstLine="720"/>
              <w:jc w:val="left"/>
              <w:rPr>
                <w:color w:val="000000"/>
              </w:rPr>
            </w:pPr>
            <w:r>
              <w:rPr>
                <w:color w:val="000000"/>
              </w:rPr>
              <w:t> </w:t>
            </w:r>
          </w:p>
        </w:tc>
        <w:tc>
          <w:tcPr>
            <w:tcW w:w="6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0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Jingbo Wang</w:t>
            </w:r>
          </w:p>
        </w:tc>
      </w:tr>
      <w:tr>
        <w:trPr/>
        <w:tc>
          <w:tcPr>
            <w:tcW w:w="14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6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200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Jingbo Wang</w:t>
            </w:r>
          </w:p>
        </w:tc>
      </w:tr>
      <w:tr>
        <w:trPr/>
        <w:tc>
          <w:tcPr>
            <w:tcW w:w="14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6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20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14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240" w:after="283"/>
        <w:ind w:left="0" w:right="0" w:firstLine="720"/>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2"/>
        <w:rPr/>
      </w:pPr>
      <w:r>
        <w:rPr/>
      </w:r>
      <w:r>
        <mc:AlternateContent>
          <mc:Choice Requires="wps">
            <w:drawing>
              <wp:anchor behindDoc="0" distT="0" distB="0" distL="0" distR="0" simplePos="0" locked="0" layoutInCell="1" allowOverlap="1" relativeHeight="430">
                <wp:simplePos x="0" y="0"/>
                <wp:positionH relativeFrom="character">
                  <wp:align>left</wp:align>
                </wp:positionH>
                <wp:positionV relativeFrom="line">
                  <wp:posOffset>635</wp:posOffset>
                </wp:positionV>
                <wp:extent cx="6480175" cy="175260"/>
                <wp:effectExtent l="0" t="0" r="0" b="0"/>
                <wp:wrapNone/>
                <wp:docPr id="429" name="Frame42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jc w:val="center"/>
        <w:rPr>
          <w:rFonts w:ascii="Times New Roman;sans-serif" w:hAnsi="Times New Roman;sans-serif"/>
          <w:b/>
          <w:color w:val="000000"/>
          <w:sz w:val="20"/>
          <w:u w:val="single"/>
        </w:rPr>
      </w:pPr>
      <w:r>
        <w:rPr>
          <w:rFonts w:ascii="Times New Roman;sans-serif" w:hAnsi="Times New Roman;sans-serif"/>
          <w:b/>
          <w:color w:val="000000"/>
          <w:sz w:val="20"/>
          <w:u w:val="single"/>
        </w:rPr>
        <w:t>Certification by the Principal Executive Officer</w:t>
      </w:r>
    </w:p>
    <w:p>
      <w:pPr>
        <w:pStyle w:val="TextBody"/>
        <w:spacing w:lineRule="auto" w:line="288" w:before="0" w:after="0"/>
        <w:jc w:val="center"/>
        <w:rPr>
          <w:rFonts w:ascii="Times New Roman;sans-serif" w:hAnsi="Times New Roman;sans-serif"/>
          <w:b/>
          <w:color w:val="000000"/>
          <w:sz w:val="20"/>
          <w:u w:val="single"/>
        </w:rPr>
      </w:pPr>
      <w:r>
        <w:rPr>
          <w:rFonts w:ascii="Times New Roman;sans-serif" w:hAnsi="Times New Roman;sans-serif"/>
          <w:b/>
          <w:color w:val="000000"/>
          <w:sz w:val="20"/>
          <w:u w:val="single"/>
        </w:rPr>
        <w:t>Pursuant to Section 906 of the Sarbanes-Oxley Act of 2002</w:t>
      </w:r>
    </w:p>
    <w:p>
      <w:pPr>
        <w:pStyle w:val="TextBody"/>
        <w:spacing w:lineRule="auto" w:line="288" w:before="0" w:after="0"/>
        <w:rPr>
          <w:color w:val="000000"/>
        </w:rPr>
      </w:pPr>
      <w:r>
        <w:rPr>
          <w:color w:val="000000"/>
        </w:rPr>
        <w:t> </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In connection with the Annual Report of Agora, Inc. (the “Company”) on Form 20-F for the year ended December 31, 2020 as filed with the Securities and Exchange Commission on the date hereof (the “Report”), I, Bin (Tony) Zhao, Chief Executive Officer of the Company, certify, pursuant to 18 U.S.C. Section 1350, as adopted pursuant to Section 906 of the Sarbanes-Oxley Act of 2002, that to my knowledge:</w:t>
      </w:r>
    </w:p>
    <w:p>
      <w:pPr>
        <w:pStyle w:val="TextBody"/>
        <w:spacing w:lineRule="auto" w:line="288" w:before="0" w:after="0"/>
        <w:rPr>
          <w:color w:val="000000"/>
        </w:rPr>
      </w:pPr>
      <w:r>
        <w:rPr>
          <w:color w:val="000000"/>
        </w:rPr>
        <w:t> </w:t>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786"/>
        <w:gridCol w:w="2786"/>
        <w:gridCol w:w="396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86" w:type="dxa"/>
            <w:tcBorders/>
            <w:shd w:fill="auto" w:val="clear"/>
            <w:vAlign w:val="center"/>
          </w:tcPr>
          <w:p>
            <w:pPr>
              <w:pStyle w:val="TableContents"/>
              <w:spacing w:before="0" w:after="283"/>
              <w:rPr>
                <w:sz w:val="4"/>
                <w:szCs w:val="4"/>
              </w:rPr>
            </w:pPr>
            <w:r>
              <w:rPr>
                <w:sz w:val="4"/>
                <w:szCs w:val="4"/>
              </w:rPr>
            </w:r>
          </w:p>
        </w:tc>
        <w:tc>
          <w:tcPr>
            <w:tcW w:w="2786" w:type="dxa"/>
            <w:tcBorders/>
            <w:shd w:fill="auto" w:val="clear"/>
            <w:vAlign w:val="center"/>
          </w:tcPr>
          <w:p>
            <w:pPr>
              <w:pStyle w:val="TableContents"/>
              <w:spacing w:before="0" w:after="283"/>
              <w:rPr>
                <w:sz w:val="4"/>
                <w:szCs w:val="4"/>
              </w:rPr>
            </w:pPr>
            <w:r>
              <w:rPr>
                <w:sz w:val="4"/>
                <w:szCs w:val="4"/>
              </w:rPr>
            </w:r>
          </w:p>
        </w:tc>
        <w:tc>
          <w:tcPr>
            <w:tcW w:w="396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9536"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Report fully complies with the requirements of Section 13(a) or 15(d) of the Securities Exchange Act of 1934; and</w:t>
            </w:r>
          </w:p>
        </w:tc>
      </w:tr>
    </w:tbl>
    <w:p>
      <w:pPr>
        <w:pStyle w:val="TextBody"/>
        <w:spacing w:lineRule="auto" w:line="288" w:before="0" w:after="0"/>
        <w:rPr>
          <w:color w:val="000000"/>
        </w:rPr>
      </w:pPr>
      <w:r>
        <w:rPr>
          <w:color w:val="000000"/>
        </w:rPr>
        <w:t> </w:t>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788"/>
        <w:gridCol w:w="2788"/>
        <w:gridCol w:w="3960"/>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88" w:type="dxa"/>
            <w:tcBorders/>
            <w:shd w:fill="auto" w:val="clear"/>
            <w:vAlign w:val="center"/>
          </w:tcPr>
          <w:p>
            <w:pPr>
              <w:pStyle w:val="TableContents"/>
              <w:spacing w:before="0" w:after="283"/>
              <w:rPr>
                <w:sz w:val="4"/>
                <w:szCs w:val="4"/>
              </w:rPr>
            </w:pPr>
            <w:r>
              <w:rPr>
                <w:sz w:val="4"/>
                <w:szCs w:val="4"/>
              </w:rPr>
            </w:r>
          </w:p>
        </w:tc>
        <w:tc>
          <w:tcPr>
            <w:tcW w:w="2788" w:type="dxa"/>
            <w:tcBorders/>
            <w:shd w:fill="auto" w:val="clear"/>
            <w:vAlign w:val="center"/>
          </w:tcPr>
          <w:p>
            <w:pPr>
              <w:pStyle w:val="TableContents"/>
              <w:spacing w:before="0" w:after="283"/>
              <w:rPr>
                <w:sz w:val="4"/>
                <w:szCs w:val="4"/>
              </w:rPr>
            </w:pPr>
            <w:r>
              <w:rPr>
                <w:sz w:val="4"/>
                <w:szCs w:val="4"/>
              </w:rPr>
            </w:r>
          </w:p>
        </w:tc>
        <w:tc>
          <w:tcPr>
            <w:tcW w:w="3960"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9536"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contained in the Report fairly presents, in all material respects, the financial condition and results of operations of the Company.</w:t>
            </w:r>
          </w:p>
        </w:tc>
      </w:tr>
    </w:tbl>
    <w:p>
      <w:pPr>
        <w:pStyle w:val="TextBody"/>
        <w:spacing w:lineRule="auto" w:line="288" w:before="0" w:after="0"/>
        <w:ind w:left="0" w:right="0" w:firstLine="720"/>
        <w:rPr>
          <w:color w:val="000000"/>
        </w:rPr>
      </w:pPr>
      <w:r>
        <w:rPr>
          <w:color w:val="000000"/>
        </w:rPr>
        <w:t> </w:t>
      </w:r>
    </w:p>
    <w:tbl>
      <w:tblPr>
        <w:tblW w:w="4109" w:type="dxa"/>
        <w:jc w:val="left"/>
        <w:tblInd w:w="0" w:type="dxa"/>
        <w:tblCellMar>
          <w:top w:w="28" w:type="dxa"/>
          <w:left w:w="28" w:type="dxa"/>
          <w:bottom w:w="28" w:type="dxa"/>
          <w:right w:w="28" w:type="dxa"/>
        </w:tblCellMar>
      </w:tblPr>
      <w:tblGrid>
        <w:gridCol w:w="511"/>
        <w:gridCol w:w="447"/>
        <w:gridCol w:w="452"/>
        <w:gridCol w:w="208"/>
        <w:gridCol w:w="208"/>
        <w:gridCol w:w="213"/>
        <w:gridCol w:w="604"/>
        <w:gridCol w:w="604"/>
        <w:gridCol w:w="862"/>
      </w:tblGrid>
      <w:tr>
        <w:trPr/>
        <w:tc>
          <w:tcPr>
            <w:tcW w:w="511" w:type="dxa"/>
            <w:tcBorders/>
            <w:shd w:fill="auto" w:val="clear"/>
            <w:vAlign w:val="center"/>
          </w:tcPr>
          <w:p>
            <w:pPr>
              <w:pStyle w:val="TableContents"/>
              <w:spacing w:before="0" w:after="283"/>
              <w:rPr>
                <w:sz w:val="4"/>
                <w:szCs w:val="4"/>
              </w:rPr>
            </w:pPr>
            <w:r>
              <w:rPr>
                <w:sz w:val="4"/>
                <w:szCs w:val="4"/>
              </w:rPr>
            </w:r>
          </w:p>
        </w:tc>
        <w:tc>
          <w:tcPr>
            <w:tcW w:w="447" w:type="dxa"/>
            <w:tcBorders/>
            <w:shd w:fill="auto" w:val="clear"/>
            <w:vAlign w:val="center"/>
          </w:tcPr>
          <w:p>
            <w:pPr>
              <w:pStyle w:val="TableContents"/>
              <w:spacing w:before="0" w:after="283"/>
              <w:rPr>
                <w:sz w:val="4"/>
                <w:szCs w:val="4"/>
              </w:rPr>
            </w:pPr>
            <w:r>
              <w:rPr>
                <w:sz w:val="4"/>
                <w:szCs w:val="4"/>
              </w:rPr>
            </w:r>
          </w:p>
        </w:tc>
        <w:tc>
          <w:tcPr>
            <w:tcW w:w="452"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604" w:type="dxa"/>
            <w:tcBorders/>
            <w:shd w:fill="auto" w:val="clear"/>
            <w:vAlign w:val="center"/>
          </w:tcPr>
          <w:p>
            <w:pPr>
              <w:pStyle w:val="TableContents"/>
              <w:spacing w:before="0" w:after="283"/>
              <w:rPr>
                <w:sz w:val="4"/>
                <w:szCs w:val="4"/>
              </w:rPr>
            </w:pPr>
            <w:r>
              <w:rPr>
                <w:sz w:val="4"/>
                <w:szCs w:val="4"/>
              </w:rPr>
            </w:r>
          </w:p>
        </w:tc>
        <w:tc>
          <w:tcPr>
            <w:tcW w:w="604" w:type="dxa"/>
            <w:tcBorders/>
            <w:shd w:fill="auto" w:val="clear"/>
            <w:vAlign w:val="center"/>
          </w:tcPr>
          <w:p>
            <w:pPr>
              <w:pStyle w:val="TableContents"/>
              <w:spacing w:before="0" w:after="283"/>
              <w:rPr>
                <w:sz w:val="4"/>
                <w:szCs w:val="4"/>
              </w:rPr>
            </w:pPr>
            <w:r>
              <w:rPr>
                <w:sz w:val="4"/>
                <w:szCs w:val="4"/>
              </w:rPr>
            </w:r>
          </w:p>
        </w:tc>
        <w:tc>
          <w:tcPr>
            <w:tcW w:w="862" w:type="dxa"/>
            <w:tcBorders/>
            <w:shd w:fill="auto" w:val="clear"/>
            <w:vAlign w:val="center"/>
          </w:tcPr>
          <w:p>
            <w:pPr>
              <w:pStyle w:val="TableContents"/>
              <w:spacing w:before="0" w:after="283"/>
              <w:rPr>
                <w:sz w:val="4"/>
                <w:szCs w:val="4"/>
              </w:rPr>
            </w:pPr>
            <w:r>
              <w:rPr>
                <w:sz w:val="4"/>
                <w:szCs w:val="4"/>
              </w:rPr>
            </w:r>
          </w:p>
        </w:tc>
      </w:tr>
      <w:tr>
        <w:trPr/>
        <w:tc>
          <w:tcPr>
            <w:tcW w:w="1410"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26, 2021</w:t>
            </w:r>
          </w:p>
        </w:tc>
        <w:tc>
          <w:tcPr>
            <w:tcW w:w="2699" w:type="dxa"/>
            <w:gridSpan w:val="6"/>
            <w:tcBorders/>
            <w:shd w:fill="auto" w:val="clear"/>
            <w:tcMar>
              <w:top w:w="0" w:type="dxa"/>
              <w:left w:w="0" w:type="dxa"/>
              <w:bottom w:w="0" w:type="dxa"/>
              <w:right w:w="0" w:type="dxa"/>
            </w:tcMar>
            <w:vAlign w:val="center"/>
          </w:tcPr>
          <w:p>
            <w:pPr>
              <w:pStyle w:val="TableContents"/>
              <w:spacing w:lineRule="auto" w:line="300" w:before="0" w:after="283"/>
              <w:jc w:val="left"/>
              <w:rPr>
                <w:color w:val="000000"/>
              </w:rPr>
            </w:pPr>
            <w:r>
              <w:rPr>
                <w:color w:val="000000"/>
              </w:rPr>
              <w:t> </w:t>
            </w:r>
          </w:p>
        </w:tc>
      </w:tr>
      <w:tr>
        <w:trPr/>
        <w:tc>
          <w:tcPr>
            <w:tcW w:w="1410"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color w:val="000000"/>
              </w:rPr>
            </w:pPr>
            <w:r>
              <w:rPr>
                <w:color w:val="000000"/>
              </w:rPr>
              <w:t> </w:t>
            </w:r>
          </w:p>
        </w:tc>
        <w:tc>
          <w:tcPr>
            <w:tcW w:w="629"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color w:val="000000"/>
              </w:rPr>
            </w:pPr>
            <w:r>
              <w:rPr>
                <w:color w:val="000000"/>
              </w:rPr>
              <w:t> </w:t>
            </w:r>
          </w:p>
        </w:tc>
        <w:tc>
          <w:tcPr>
            <w:tcW w:w="2070"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color w:val="000000"/>
              </w:rPr>
            </w:pPr>
            <w:r>
              <w:rPr>
                <w:color w:val="000000"/>
              </w:rPr>
              <w:t> </w:t>
            </w:r>
          </w:p>
        </w:tc>
      </w:tr>
      <w:tr>
        <w:trPr/>
        <w:tc>
          <w:tcPr>
            <w:tcW w:w="1410"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color w:val="000000"/>
              </w:rPr>
            </w:pPr>
            <w:r>
              <w:rPr>
                <w:color w:val="000000"/>
              </w:rPr>
              <w:t> </w:t>
            </w:r>
          </w:p>
        </w:tc>
        <w:tc>
          <w:tcPr>
            <w:tcW w:w="629"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070"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Bin (Tony) Zhao</w:t>
            </w:r>
          </w:p>
        </w:tc>
      </w:tr>
      <w:tr>
        <w:trPr/>
        <w:tc>
          <w:tcPr>
            <w:tcW w:w="1410"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color w:val="000000"/>
              </w:rPr>
            </w:pPr>
            <w:r>
              <w:rPr>
                <w:color w:val="000000"/>
              </w:rPr>
              <w:t> </w:t>
            </w:r>
          </w:p>
        </w:tc>
        <w:tc>
          <w:tcPr>
            <w:tcW w:w="629"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207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Bin (Tony) Zhao</w:t>
            </w:r>
          </w:p>
        </w:tc>
      </w:tr>
      <w:tr>
        <w:trPr/>
        <w:tc>
          <w:tcPr>
            <w:tcW w:w="1410"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color w:val="000000"/>
              </w:rPr>
            </w:pPr>
            <w:r>
              <w:rPr>
                <w:color w:val="000000"/>
              </w:rPr>
              <w:t> </w:t>
            </w:r>
          </w:p>
        </w:tc>
        <w:tc>
          <w:tcPr>
            <w:tcW w:w="629"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2070"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bl>
    <w:p>
      <w:pPr>
        <w:pStyle w:val="TextBody"/>
        <w:spacing w:before="0" w:after="160"/>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40" w:after="283"/>
        <w:ind w:left="0" w:right="0" w:firstLine="720"/>
        <w:rPr/>
      </w:pPr>
      <w:r>
        <w:rPr/>
      </w:r>
      <w:r>
        <mc:AlternateContent>
          <mc:Choice Requires="wps">
            <w:drawing>
              <wp:anchor behindDoc="0" distT="0" distB="0" distL="0" distR="0" simplePos="0" locked="0" layoutInCell="1" allowOverlap="1" relativeHeight="431">
                <wp:simplePos x="0" y="0"/>
                <wp:positionH relativeFrom="character">
                  <wp:align>left</wp:align>
                </wp:positionH>
                <wp:positionV relativeFrom="line">
                  <wp:posOffset>635</wp:posOffset>
                </wp:positionV>
                <wp:extent cx="6480175" cy="175260"/>
                <wp:effectExtent l="0" t="0" r="0" b="0"/>
                <wp:wrapNone/>
                <wp:docPr id="430" name="Frame42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2"/>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spacing w:before="0" w:after="2"/>
                        <w:rPr/>
                      </w:pPr>
                      <w:r>
                        <w:rPr/>
                      </w:r>
                    </w:p>
                  </w:txbxContent>
                </v:textbox>
              </v:rect>
            </w:pict>
          </mc:Fallback>
        </mc:AlternateContent>
      </w:r>
    </w:p>
    <w:p>
      <w:pPr>
        <w:pStyle w:val="TextBody"/>
        <w:spacing w:lineRule="auto" w:line="288" w:before="0" w:after="0"/>
        <w:jc w:val="center"/>
        <w:rPr>
          <w:rFonts w:ascii="Times New Roman;sans-serif" w:hAnsi="Times New Roman;sans-serif"/>
          <w:b/>
          <w:color w:val="000000"/>
          <w:sz w:val="20"/>
          <w:u w:val="single"/>
        </w:rPr>
      </w:pPr>
      <w:r>
        <w:rPr>
          <w:rFonts w:ascii="Times New Roman;sans-serif" w:hAnsi="Times New Roman;sans-serif"/>
          <w:b/>
          <w:color w:val="000000"/>
          <w:sz w:val="20"/>
          <w:u w:val="single"/>
        </w:rPr>
        <w:t>Certification by the Principal Financial Officer</w:t>
      </w:r>
    </w:p>
    <w:p>
      <w:pPr>
        <w:pStyle w:val="TextBody"/>
        <w:spacing w:lineRule="auto" w:line="288" w:before="0" w:after="0"/>
        <w:jc w:val="center"/>
        <w:rPr>
          <w:rFonts w:ascii="Times New Roman;sans-serif" w:hAnsi="Times New Roman;sans-serif"/>
          <w:b/>
          <w:color w:val="000000"/>
          <w:sz w:val="20"/>
          <w:u w:val="single"/>
        </w:rPr>
      </w:pPr>
      <w:r>
        <w:rPr>
          <w:rFonts w:ascii="Times New Roman;sans-serif" w:hAnsi="Times New Roman;sans-serif"/>
          <w:b/>
          <w:color w:val="000000"/>
          <w:sz w:val="20"/>
          <w:u w:val="single"/>
        </w:rPr>
        <w:t>Pursuant to Section 906 of the Sarbanes-Oxley Act of 2002</w:t>
      </w:r>
    </w:p>
    <w:p>
      <w:pPr>
        <w:pStyle w:val="TextBody"/>
        <w:spacing w:lineRule="auto" w:line="288" w:before="0" w:after="0"/>
        <w:rPr>
          <w:color w:val="000000"/>
        </w:rPr>
      </w:pPr>
      <w:r>
        <w:rPr>
          <w:color w:val="000000"/>
        </w:rPr>
        <w:t> </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In connection with the Annual Report of Agora, Inc. (the “Company”) on Form 20-F for the year ended December 31, 2020 as filed with the Securities and Exchange Commission on the date hereof (the “Report”), I, Jingbo Wang, Chief Financial Officer of the Company, certify, pursuant to 18 U.S.C. Section 1350, as adopted pursuant to Section 906 of the Sarbanes-Oxley Act of 2002, that to my knowledge:</w:t>
      </w:r>
    </w:p>
    <w:p>
      <w:pPr>
        <w:pStyle w:val="TextBody"/>
        <w:spacing w:lineRule="auto" w:line="288" w:before="0" w:after="0"/>
        <w:rPr>
          <w:color w:val="000000"/>
        </w:rPr>
      </w:pPr>
      <w:r>
        <w:rPr>
          <w:color w:val="000000"/>
        </w:rPr>
        <w:t> </w:t>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786"/>
        <w:gridCol w:w="2786"/>
        <w:gridCol w:w="396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86" w:type="dxa"/>
            <w:tcBorders/>
            <w:shd w:fill="auto" w:val="clear"/>
            <w:vAlign w:val="center"/>
          </w:tcPr>
          <w:p>
            <w:pPr>
              <w:pStyle w:val="TableContents"/>
              <w:spacing w:before="0" w:after="283"/>
              <w:rPr>
                <w:sz w:val="4"/>
                <w:szCs w:val="4"/>
              </w:rPr>
            </w:pPr>
            <w:r>
              <w:rPr>
                <w:sz w:val="4"/>
                <w:szCs w:val="4"/>
              </w:rPr>
            </w:r>
          </w:p>
        </w:tc>
        <w:tc>
          <w:tcPr>
            <w:tcW w:w="2786" w:type="dxa"/>
            <w:tcBorders/>
            <w:shd w:fill="auto" w:val="clear"/>
            <w:vAlign w:val="center"/>
          </w:tcPr>
          <w:p>
            <w:pPr>
              <w:pStyle w:val="TableContents"/>
              <w:spacing w:before="0" w:after="283"/>
              <w:rPr>
                <w:sz w:val="4"/>
                <w:szCs w:val="4"/>
              </w:rPr>
            </w:pPr>
            <w:r>
              <w:rPr>
                <w:sz w:val="4"/>
                <w:szCs w:val="4"/>
              </w:rPr>
            </w:r>
          </w:p>
        </w:tc>
        <w:tc>
          <w:tcPr>
            <w:tcW w:w="396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953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Report fully complies with the requirements of Section 13(a) or 15(d) of the Securities Exchange Act of 1934; and</w:t>
            </w:r>
          </w:p>
        </w:tc>
      </w:tr>
    </w:tbl>
    <w:p>
      <w:pPr>
        <w:pStyle w:val="TextBody"/>
        <w:spacing w:lineRule="auto" w:line="288" w:before="0" w:after="0"/>
        <w:ind w:left="0" w:right="0" w:firstLine="7"/>
        <w:rPr>
          <w:color w:val="000000"/>
        </w:rPr>
      </w:pPr>
      <w:r>
        <w:rPr>
          <w:color w:val="000000"/>
        </w:rPr>
        <w:t> </w:t>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788"/>
        <w:gridCol w:w="2788"/>
        <w:gridCol w:w="3960"/>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88" w:type="dxa"/>
            <w:tcBorders/>
            <w:shd w:fill="auto" w:val="clear"/>
            <w:vAlign w:val="center"/>
          </w:tcPr>
          <w:p>
            <w:pPr>
              <w:pStyle w:val="TableContents"/>
              <w:spacing w:before="0" w:after="283"/>
              <w:rPr>
                <w:sz w:val="4"/>
                <w:szCs w:val="4"/>
              </w:rPr>
            </w:pPr>
            <w:r>
              <w:rPr>
                <w:sz w:val="4"/>
                <w:szCs w:val="4"/>
              </w:rPr>
            </w:r>
          </w:p>
        </w:tc>
        <w:tc>
          <w:tcPr>
            <w:tcW w:w="2788" w:type="dxa"/>
            <w:tcBorders/>
            <w:shd w:fill="auto" w:val="clear"/>
            <w:vAlign w:val="center"/>
          </w:tcPr>
          <w:p>
            <w:pPr>
              <w:pStyle w:val="TableContents"/>
              <w:spacing w:before="0" w:after="283"/>
              <w:rPr>
                <w:sz w:val="4"/>
                <w:szCs w:val="4"/>
              </w:rPr>
            </w:pPr>
            <w:r>
              <w:rPr>
                <w:sz w:val="4"/>
                <w:szCs w:val="4"/>
              </w:rPr>
            </w:r>
          </w:p>
        </w:tc>
        <w:tc>
          <w:tcPr>
            <w:tcW w:w="3960"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953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contained in the Report fairly presents, in all material respects, the financial condition and results of operations of the Company.</w:t>
            </w:r>
          </w:p>
        </w:tc>
      </w:tr>
    </w:tbl>
    <w:p>
      <w:pPr>
        <w:pStyle w:val="TextBody"/>
        <w:spacing w:lineRule="auto" w:line="288" w:before="0" w:after="0"/>
        <w:ind w:left="0" w:right="0" w:firstLine="720"/>
        <w:rPr>
          <w:color w:val="000000"/>
        </w:rPr>
      </w:pPr>
      <w:r>
        <w:rPr>
          <w:color w:val="000000"/>
        </w:rPr>
        <w:t> </w:t>
      </w:r>
    </w:p>
    <w:tbl>
      <w:tblPr>
        <w:tblW w:w="4048" w:type="dxa"/>
        <w:jc w:val="left"/>
        <w:tblInd w:w="0" w:type="dxa"/>
        <w:tblCellMar>
          <w:top w:w="28" w:type="dxa"/>
          <w:left w:w="28" w:type="dxa"/>
          <w:bottom w:w="28" w:type="dxa"/>
          <w:right w:w="28" w:type="dxa"/>
        </w:tblCellMar>
      </w:tblPr>
      <w:tblGrid>
        <w:gridCol w:w="511"/>
        <w:gridCol w:w="447"/>
        <w:gridCol w:w="452"/>
        <w:gridCol w:w="208"/>
        <w:gridCol w:w="208"/>
        <w:gridCol w:w="213"/>
        <w:gridCol w:w="585"/>
        <w:gridCol w:w="585"/>
        <w:gridCol w:w="839"/>
      </w:tblGrid>
      <w:tr>
        <w:trPr/>
        <w:tc>
          <w:tcPr>
            <w:tcW w:w="511" w:type="dxa"/>
            <w:tcBorders/>
            <w:shd w:fill="auto" w:val="clear"/>
            <w:vAlign w:val="center"/>
          </w:tcPr>
          <w:p>
            <w:pPr>
              <w:pStyle w:val="TableContents"/>
              <w:spacing w:before="0" w:after="283"/>
              <w:rPr>
                <w:sz w:val="4"/>
                <w:szCs w:val="4"/>
              </w:rPr>
            </w:pPr>
            <w:r>
              <w:rPr>
                <w:sz w:val="4"/>
                <w:szCs w:val="4"/>
              </w:rPr>
            </w:r>
          </w:p>
        </w:tc>
        <w:tc>
          <w:tcPr>
            <w:tcW w:w="447" w:type="dxa"/>
            <w:tcBorders/>
            <w:shd w:fill="auto" w:val="clear"/>
            <w:vAlign w:val="center"/>
          </w:tcPr>
          <w:p>
            <w:pPr>
              <w:pStyle w:val="TableContents"/>
              <w:spacing w:before="0" w:after="283"/>
              <w:rPr>
                <w:sz w:val="4"/>
                <w:szCs w:val="4"/>
              </w:rPr>
            </w:pPr>
            <w:r>
              <w:rPr>
                <w:sz w:val="4"/>
                <w:szCs w:val="4"/>
              </w:rPr>
            </w:r>
          </w:p>
        </w:tc>
        <w:tc>
          <w:tcPr>
            <w:tcW w:w="452"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585" w:type="dxa"/>
            <w:tcBorders/>
            <w:shd w:fill="auto" w:val="clear"/>
            <w:vAlign w:val="center"/>
          </w:tcPr>
          <w:p>
            <w:pPr>
              <w:pStyle w:val="TableContents"/>
              <w:spacing w:before="0" w:after="283"/>
              <w:rPr>
                <w:sz w:val="4"/>
                <w:szCs w:val="4"/>
              </w:rPr>
            </w:pPr>
            <w:r>
              <w:rPr>
                <w:sz w:val="4"/>
                <w:szCs w:val="4"/>
              </w:rPr>
            </w:r>
          </w:p>
        </w:tc>
        <w:tc>
          <w:tcPr>
            <w:tcW w:w="585" w:type="dxa"/>
            <w:tcBorders/>
            <w:shd w:fill="auto" w:val="clear"/>
            <w:vAlign w:val="center"/>
          </w:tcPr>
          <w:p>
            <w:pPr>
              <w:pStyle w:val="TableContents"/>
              <w:spacing w:before="0" w:after="283"/>
              <w:rPr>
                <w:sz w:val="4"/>
                <w:szCs w:val="4"/>
              </w:rPr>
            </w:pPr>
            <w:r>
              <w:rPr>
                <w:sz w:val="4"/>
                <w:szCs w:val="4"/>
              </w:rPr>
            </w:r>
          </w:p>
        </w:tc>
        <w:tc>
          <w:tcPr>
            <w:tcW w:w="839" w:type="dxa"/>
            <w:tcBorders/>
            <w:shd w:fill="auto" w:val="clear"/>
            <w:vAlign w:val="center"/>
          </w:tcPr>
          <w:p>
            <w:pPr>
              <w:pStyle w:val="TableContents"/>
              <w:spacing w:before="0" w:after="283"/>
              <w:rPr>
                <w:sz w:val="4"/>
                <w:szCs w:val="4"/>
              </w:rPr>
            </w:pPr>
            <w:r>
              <w:rPr>
                <w:sz w:val="4"/>
                <w:szCs w:val="4"/>
              </w:rPr>
            </w:r>
          </w:p>
        </w:tc>
      </w:tr>
      <w:tr>
        <w:trPr/>
        <w:tc>
          <w:tcPr>
            <w:tcW w:w="141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26, 2021</w:t>
            </w:r>
          </w:p>
        </w:tc>
        <w:tc>
          <w:tcPr>
            <w:tcW w:w="2638" w:type="dxa"/>
            <w:gridSpan w:val="6"/>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 </w:t>
            </w:r>
          </w:p>
        </w:tc>
      </w:tr>
      <w:tr>
        <w:trPr/>
        <w:tc>
          <w:tcPr>
            <w:tcW w:w="141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 </w:t>
            </w:r>
          </w:p>
        </w:tc>
        <w:tc>
          <w:tcPr>
            <w:tcW w:w="62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 </w:t>
            </w:r>
          </w:p>
        </w:tc>
        <w:tc>
          <w:tcPr>
            <w:tcW w:w="200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 </w:t>
            </w:r>
          </w:p>
        </w:tc>
      </w:tr>
      <w:tr>
        <w:trPr/>
        <w:tc>
          <w:tcPr>
            <w:tcW w:w="141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 </w:t>
            </w:r>
          </w:p>
        </w:tc>
        <w:tc>
          <w:tcPr>
            <w:tcW w:w="62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00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Jingbo Wang</w:t>
            </w:r>
          </w:p>
        </w:tc>
      </w:tr>
      <w:tr>
        <w:trPr/>
        <w:tc>
          <w:tcPr>
            <w:tcW w:w="141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 </w:t>
            </w:r>
          </w:p>
        </w:tc>
        <w:tc>
          <w:tcPr>
            <w:tcW w:w="62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200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Jingbo Wang</w:t>
            </w:r>
          </w:p>
        </w:tc>
      </w:tr>
      <w:tr>
        <w:trPr/>
        <w:tc>
          <w:tcPr>
            <w:tcW w:w="141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 </w:t>
            </w:r>
          </w:p>
        </w:tc>
        <w:tc>
          <w:tcPr>
            <w:tcW w:w="62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200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bl>
    <w:p>
      <w:pPr>
        <w:pStyle w:val="TextBody"/>
        <w:spacing w:before="240" w:after="283"/>
        <w:ind w:left="0" w:right="0" w:firstLine="720"/>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Normal"/>
        <w:spacing w:before="0" w:after="0"/>
        <w:rPr>
          <w:sz w:val="4"/>
          <w:szCs w:val="4"/>
        </w:rPr>
      </w:pPr>
      <w:r>
        <w:rPr>
          <w:sz w:val="4"/>
          <w:szCs w:val="4"/>
        </w:rPr>
      </w:r>
      <w:r>
        <mc:AlternateContent>
          <mc:Choice Requires="wps">
            <w:drawing>
              <wp:anchor behindDoc="0" distT="0" distB="0" distL="0" distR="0" simplePos="0" locked="0" layoutInCell="1" allowOverlap="1" relativeHeight="432">
                <wp:simplePos x="0" y="0"/>
                <wp:positionH relativeFrom="character">
                  <wp:align>left</wp:align>
                </wp:positionH>
                <wp:positionV relativeFrom="line">
                  <wp:posOffset>635</wp:posOffset>
                </wp:positionV>
                <wp:extent cx="6480175" cy="175260"/>
                <wp:effectExtent l="0" t="0" r="0" b="0"/>
                <wp:wrapNone/>
                <wp:docPr id="431" name="Frame42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tbl>
      <w:tblPr>
        <w:tblW w:w="714" w:type="dxa"/>
        <w:jc w:val="left"/>
        <w:tblInd w:w="0" w:type="dxa"/>
        <w:tblCellMar>
          <w:top w:w="28" w:type="dxa"/>
          <w:left w:w="28" w:type="dxa"/>
          <w:bottom w:w="28" w:type="dxa"/>
          <w:right w:w="28" w:type="dxa"/>
        </w:tblCellMar>
      </w:tblPr>
      <w:tblGrid>
        <w:gridCol w:w="124"/>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before="0" w:after="0"/>
        <w:jc w:val="both"/>
        <w:rPr/>
      </w:pPr>
      <w:r>
        <w:rPr/>
      </w:r>
    </w:p>
    <w:p>
      <w:pPr>
        <w:pStyle w:val="TextBody"/>
        <w:spacing w:before="0" w:after="0"/>
        <w:jc w:val="both"/>
        <w:rPr/>
      </w:pPr>
      <w:r>
        <w:rPr/>
      </w:r>
    </w:p>
    <w:p>
      <w:pPr>
        <w:pStyle w:val="TextBody"/>
        <w:spacing w:lineRule="auto" w:line="288" w:before="0" w:after="0"/>
        <w:jc w:val="right"/>
        <w:rPr>
          <w:rFonts w:ascii="Arial;sans-serif" w:hAnsi="Arial;sans-serif"/>
          <w:b w:val="false"/>
          <w:color w:val="000000"/>
          <w:sz w:val="20"/>
        </w:rPr>
      </w:pPr>
      <w:r>
        <w:rPr>
          <w:rFonts w:ascii="Arial;sans-serif" w:hAnsi="Arial;sans-serif"/>
          <w:b w:val="false"/>
          <w:color w:val="000000"/>
          <w:sz w:val="20"/>
        </w:rPr>
        <w:t>March 26, 2021</w:t>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lineRule="auto" w:line="288" w:before="0" w:after="0"/>
        <w:jc w:val="both"/>
        <w:rPr>
          <w:rFonts w:ascii="Arial;sans-serif" w:hAnsi="Arial;sans-serif"/>
          <w:b/>
          <w:color w:val="000000"/>
          <w:sz w:val="20"/>
        </w:rPr>
      </w:pPr>
      <w:r>
        <w:rPr>
          <w:rFonts w:ascii="Arial;sans-serif" w:hAnsi="Arial;sans-serif"/>
          <w:b/>
          <w:color w:val="000000"/>
          <w:sz w:val="20"/>
        </w:rPr>
        <w:t>To: AGORA, INC.</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Floor 8, Building 12, Phase III of KIC (ChuangZhiTianDi)</w:t>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Songhu Road 333</w:t>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Yangpu District, Shanghai </w:t>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People’s Republic of China</w:t>
      </w:r>
    </w:p>
    <w:p>
      <w:pPr>
        <w:pStyle w:val="TextBody"/>
        <w:spacing w:before="0" w:after="0"/>
        <w:jc w:val="both"/>
        <w:rPr/>
      </w:pPr>
      <w:r>
        <w:rPr/>
      </w:r>
    </w:p>
    <w:p>
      <w:pPr>
        <w:pStyle w:val="TextBody"/>
        <w:spacing w:lineRule="auto" w:line="384" w:before="0" w:after="0"/>
        <w:jc w:val="both"/>
        <w:rPr>
          <w:rFonts w:ascii="Arial;sans-serif" w:hAnsi="Arial;sans-serif"/>
          <w:b/>
          <w:color w:val="000000"/>
          <w:sz w:val="20"/>
        </w:rPr>
      </w:pPr>
      <w:r>
        <w:rPr>
          <w:rFonts w:ascii="Arial;sans-serif" w:hAnsi="Arial;sans-serif"/>
          <w:b/>
          <w:color w:val="000000"/>
          <w:sz w:val="20"/>
        </w:rPr>
        <w:t>Re: Annual Report on Form 20-F of AGORA, INC.</w:t>
      </w:r>
    </w:p>
    <w:p>
      <w:pPr>
        <w:pStyle w:val="TextBody"/>
        <w:spacing w:before="0" w:after="0"/>
        <w:jc w:val="both"/>
        <w:rPr/>
      </w:pPr>
      <w:r>
        <w:rPr/>
      </w:r>
    </w:p>
    <w:p>
      <w:pPr>
        <w:pStyle w:val="TextBody"/>
        <w:spacing w:lineRule="auto" w:line="288" w:before="0" w:after="280"/>
        <w:jc w:val="both"/>
        <w:rPr>
          <w:rFonts w:ascii="Arial;sans-serif" w:hAnsi="Arial;sans-serif"/>
          <w:b w:val="false"/>
          <w:color w:val="000000"/>
          <w:sz w:val="20"/>
        </w:rPr>
      </w:pPr>
      <w:r>
        <w:rPr>
          <w:rFonts w:ascii="Arial;sans-serif" w:hAnsi="Arial;sans-serif"/>
          <w:b w:val="false"/>
          <w:color w:val="000000"/>
          <w:sz w:val="20"/>
        </w:rPr>
        <w:t>Dear Sirs:</w:t>
      </w:r>
    </w:p>
    <w:p>
      <w:pPr>
        <w:pStyle w:val="TextBody"/>
        <w:spacing w:lineRule="auto" w:line="288" w:before="0" w:after="280"/>
        <w:jc w:val="both"/>
        <w:rPr/>
      </w:pPr>
      <w:r>
        <w:rPr>
          <w:rFonts w:ascii="Arial;sans-serif" w:hAnsi="Arial;sans-serif"/>
          <w:b w:val="false"/>
          <w:color w:val="000000"/>
          <w:sz w:val="20"/>
        </w:rPr>
        <w:t>We are qualified lawyers of the People’s Republic of China (the “</w:t>
      </w:r>
      <w:r>
        <w:rPr>
          <w:rFonts w:ascii="Arial;sans-serif" w:hAnsi="Arial;sans-serif"/>
          <w:b/>
          <w:color w:val="000000"/>
          <w:sz w:val="20"/>
        </w:rPr>
        <w:t>PRC</w:t>
      </w:r>
      <w:r>
        <w:rPr>
          <w:color w:val="000000"/>
        </w:rPr>
        <w:t>”</w:t>
      </w:r>
      <w:r>
        <w:rPr>
          <w:rFonts w:ascii="Arial;sans-serif" w:hAnsi="Arial;sans-serif"/>
          <w:b w:val="false"/>
          <w:color w:val="000000"/>
          <w:sz w:val="20"/>
        </w:rPr>
        <w:t>, for purposes of this consent, excluding the Hong Kong Special Administrative Region, the Macau Special Administrative Region and Taiwan) and as such, are qualified to advise on the laws and regulations of the PRC effective as at the date hereof.</w:t>
      </w:r>
    </w:p>
    <w:p>
      <w:pPr>
        <w:pStyle w:val="TextBody"/>
        <w:spacing w:lineRule="auto" w:line="288" w:before="0" w:after="280"/>
        <w:jc w:val="both"/>
        <w:rPr/>
      </w:pPr>
      <w:r>
        <w:rPr>
          <w:rFonts w:ascii="Arial;sans-serif" w:hAnsi="Arial;sans-serif"/>
          <w:b w:val="false"/>
          <w:color w:val="000000"/>
          <w:sz w:val="20"/>
        </w:rPr>
        <w:t>We are acting as the PRC counsel to AGORA, INC. (the “</w:t>
      </w:r>
      <w:r>
        <w:rPr>
          <w:rFonts w:ascii="Arial;sans-serif" w:hAnsi="Arial;sans-serif"/>
          <w:b/>
          <w:color w:val="000000"/>
          <w:sz w:val="20"/>
        </w:rPr>
        <w:t>Company</w:t>
      </w:r>
      <w:r>
        <w:rPr>
          <w:color w:val="000000"/>
        </w:rPr>
        <w:t>”</w:t>
      </w:r>
      <w:r>
        <w:rPr>
          <w:rFonts w:ascii="Arial;sans-serif" w:hAnsi="Arial;sans-serif"/>
          <w:b w:val="false"/>
          <w:color w:val="000000"/>
          <w:sz w:val="20"/>
        </w:rPr>
        <w:t>), an exempted company incorporated under the laws of the Cayman Islands, in connection with the Company’s Annual Report on Form 20-F for the fiscal year ended December 31, 2020 (the “</w:t>
      </w:r>
      <w:r>
        <w:rPr>
          <w:rFonts w:ascii="Arial;sans-serif" w:hAnsi="Arial;sans-serif"/>
          <w:b/>
          <w:color w:val="000000"/>
          <w:sz w:val="20"/>
        </w:rPr>
        <w:t>2020 Annual Report</w:t>
      </w:r>
      <w:r>
        <w:rPr>
          <w:color w:val="000000"/>
        </w:rPr>
        <w:t>”</w:t>
      </w:r>
      <w:r>
        <w:rPr>
          <w:rFonts w:ascii="Arial;sans-serif" w:hAnsi="Arial;sans-serif"/>
          <w:b w:val="false"/>
          <w:color w:val="000000"/>
          <w:sz w:val="20"/>
        </w:rPr>
        <w:t>).</w:t>
      </w:r>
    </w:p>
    <w:p>
      <w:pPr>
        <w:pStyle w:val="TextBody"/>
        <w:spacing w:lineRule="auto" w:line="276" w:before="0" w:after="0"/>
        <w:rPr/>
      </w:pPr>
      <w:r>
        <w:rPr>
          <w:rFonts w:ascii="Arial;sans-serif" w:hAnsi="Arial;sans-serif"/>
          <w:b w:val="false"/>
          <w:color w:val="000000"/>
          <w:sz w:val="20"/>
        </w:rPr>
        <w:t>We consent to the reference to our firm under the headings “Item 3. Key Information—D. Risk Factors” and “Item 4. Information on the Company—C. Organizational Structure” in the Company’s 2020 Annual Report, which will be filed with the Securities and Exchange Commission (the “</w:t>
      </w:r>
      <w:r>
        <w:rPr>
          <w:rFonts w:ascii="Arial;sans-serif" w:hAnsi="Arial;sans-serif"/>
          <w:b/>
          <w:color w:val="000000"/>
          <w:sz w:val="20"/>
        </w:rPr>
        <w:t>SEC</w:t>
      </w:r>
      <w:r>
        <w:rPr>
          <w:color w:val="000000"/>
        </w:rPr>
        <w:t>”</w:t>
      </w:r>
      <w:r>
        <w:rPr>
          <w:rFonts w:ascii="Arial;sans-serif" w:hAnsi="Arial;sans-serif"/>
          <w:b w:val="false"/>
          <w:color w:val="000000"/>
          <w:sz w:val="20"/>
        </w:rPr>
        <w:t>). We also consent to the filing with the SEC of this consent letter as an exhibit to the 2020 Annual Report.</w:t>
      </w:r>
    </w:p>
    <w:p>
      <w:pPr>
        <w:pStyle w:val="TextBody"/>
        <w:spacing w:before="0" w:after="0"/>
        <w:rPr/>
      </w:pPr>
      <w:r>
        <w:rPr/>
      </w:r>
    </w:p>
    <w:p>
      <w:pPr>
        <w:pStyle w:val="TextBody"/>
        <w:spacing w:lineRule="auto" w:line="288" w:before="0" w:after="280"/>
        <w:jc w:val="both"/>
        <w:rPr>
          <w:rFonts w:ascii="Arial;sans-serif" w:hAnsi="Arial;sans-serif"/>
          <w:b w:val="false"/>
          <w:color w:val="000000"/>
          <w:sz w:val="20"/>
        </w:rPr>
      </w:pPr>
      <w:r>
        <w:rPr>
          <w:rFonts w:ascii="Arial;sans-serif" w:hAnsi="Arial;sans-serif"/>
          <w:b w:val="false"/>
          <w:color w:val="000000"/>
          <w:sz w:val="20"/>
        </w:rPr>
        <w:t>In giving such consent, we do not thereby admit that we come within the category of persons whose consent is required under Section 7 of the Securities Act of 1933, or under the Securities Exchange Act of 1934, in each case, as amended, or the regulations promulgated thereunder.</w:t>
      </w:r>
    </w:p>
    <w:p>
      <w:pPr>
        <w:pStyle w:val="TextBody"/>
        <w:spacing w:before="0" w:after="28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Yours faithfully,</w:t>
      </w:r>
    </w:p>
    <w:p>
      <w:pPr>
        <w:pStyle w:val="TextBody"/>
        <w:spacing w:before="0" w:after="0"/>
        <w:jc w:val="both"/>
        <w:rPr/>
      </w:pPr>
      <w:r>
        <w:rPr/>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u w:val="single"/>
        </w:rPr>
        <w:t>/s/</w:t>
      </w:r>
      <w:r>
        <w:rPr>
          <w:rFonts w:ascii="Arial;sans-serif" w:hAnsi="Arial;sans-serif"/>
          <w:b w:val="false"/>
          <w:color w:val="000000"/>
          <w:sz w:val="20"/>
          <w:u w:val="single"/>
        </w:rPr>
        <w:t>King &amp; Wood Mallesons</w:t>
      </w:r>
    </w:p>
    <w:p>
      <w:pPr>
        <w:pStyle w:val="TextBody"/>
        <w:spacing w:lineRule="auto" w:line="288" w:before="0" w:after="280"/>
        <w:jc w:val="both"/>
        <w:rPr>
          <w:rFonts w:ascii="Arial;sans-serif" w:hAnsi="Arial;sans-serif"/>
          <w:b w:val="false"/>
          <w:color w:val="000000"/>
          <w:sz w:val="20"/>
        </w:rPr>
      </w:pPr>
      <w:r>
        <w:rPr>
          <w:rFonts w:ascii="Arial;sans-serif" w:hAnsi="Arial;sans-serif"/>
          <w:b w:val="false"/>
          <w:color w:val="000000"/>
          <w:sz w:val="20"/>
        </w:rPr>
        <w:t>King &amp; Wood Mallesons</w:t>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433">
                <wp:simplePos x="0" y="0"/>
                <wp:positionH relativeFrom="character">
                  <wp:align>left</wp:align>
                </wp:positionH>
                <wp:positionV relativeFrom="line">
                  <wp:posOffset>635</wp:posOffset>
                </wp:positionV>
                <wp:extent cx="6480175" cy="175260"/>
                <wp:effectExtent l="0" t="0" r="0" b="0"/>
                <wp:wrapNone/>
                <wp:docPr id="432" name="Frame42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both"/>
                        <w:rPr/>
                      </w:pPr>
                      <w:r>
                        <w:rPr/>
                      </w:r>
                    </w:p>
                  </w:txbxContent>
                </v:textbox>
              </v:rect>
            </w:pict>
          </mc:Fallback>
        </mc:AlternateContent>
      </w:r>
    </w:p>
    <w:p>
      <w:pPr>
        <w:pStyle w:val="TextBody"/>
        <w:spacing w:before="0" w:after="0"/>
        <w:rPr/>
      </w:pPr>
      <w:r>
        <w:rPr/>
      </w:r>
    </w:p>
    <w:p>
      <w:pPr>
        <w:pStyle w:val="TextBody"/>
        <w:spacing w:lineRule="auto" w:line="264" w:before="0" w:after="0"/>
        <w:jc w:val="center"/>
        <w:rPr>
          <w:rFonts w:ascii="Times New Roman;sans-serif" w:hAnsi="Times New Roman;sans-serif"/>
          <w:b/>
          <w:color w:val="000000"/>
          <w:sz w:val="22"/>
          <w:u w:val="single"/>
        </w:rPr>
      </w:pPr>
      <w:r>
        <w:rPr>
          <w:rFonts w:ascii="Times New Roman;sans-serif" w:hAnsi="Times New Roman;sans-serif"/>
          <w:b/>
          <w:color w:val="000000"/>
          <w:sz w:val="22"/>
          <w:u w:val="single"/>
        </w:rPr>
        <w:t>CONSENT OF INDEPENDENT REGISTERED PUBLIC ACCOUNTING FIRM</w:t>
      </w:r>
    </w:p>
    <w:p>
      <w:pPr>
        <w:pStyle w:val="TextBody"/>
        <w:spacing w:before="0" w:after="0"/>
        <w:jc w:val="center"/>
        <w:rPr/>
      </w:pPr>
      <w:r>
        <w:rPr/>
      </w:r>
    </w:p>
    <w:p>
      <w:pPr>
        <w:pStyle w:val="TextBody"/>
        <w:spacing w:before="0" w:after="0"/>
        <w:jc w:val="both"/>
        <w:rPr/>
      </w:pPr>
      <w:r>
        <w:rPr/>
      </w:r>
    </w:p>
    <w:p>
      <w:pPr>
        <w:pStyle w:val="TextBody"/>
        <w:spacing w:before="0" w:after="0"/>
        <w:rPr/>
      </w:pPr>
      <w:r>
        <w:rPr/>
      </w:r>
    </w:p>
    <w:p>
      <w:pPr>
        <w:pStyle w:val="TextBody"/>
        <w:spacing w:lineRule="auto" w:line="22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We hereby consent to the incorporation by reference in the Registration Statement on Form S-8 (No. 333-239483) of Agora Inc. of our report dated March 26, 2021 relating to the financial statements, which appears in this Form 20-F. </w: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264" w:before="0" w:after="0"/>
        <w:rPr>
          <w:rFonts w:ascii="Times New Roman;sans-serif" w:hAnsi="Times New Roman;sans-serif"/>
          <w:b w:val="false"/>
          <w:color w:val="000000"/>
          <w:sz w:val="22"/>
        </w:rPr>
      </w:pPr>
      <w:r>
        <w:rPr>
          <w:rFonts w:ascii="Times New Roman;sans-serif" w:hAnsi="Times New Roman;sans-serif"/>
          <w:b w:val="false"/>
          <w:color w:val="000000"/>
          <w:sz w:val="22"/>
        </w:rPr>
        <w:t>/s/ PricewaterhouseCoopers Zhong Tian LLP</w:t>
      </w:r>
    </w:p>
    <w:p>
      <w:pPr>
        <w:pStyle w:val="TextBody"/>
        <w:spacing w:before="0" w:after="0"/>
        <w:rPr/>
      </w:pPr>
      <w:r>
        <w:rPr/>
      </w:r>
    </w:p>
    <w:p>
      <w:pPr>
        <w:pStyle w:val="TextBody"/>
        <w:spacing w:lineRule="auto" w:line="264" w:before="0" w:after="0"/>
        <w:rPr>
          <w:rFonts w:ascii="Times New Roman;sans-serif" w:hAnsi="Times New Roman;sans-serif"/>
          <w:b w:val="false"/>
          <w:color w:val="000000"/>
          <w:sz w:val="22"/>
        </w:rPr>
      </w:pPr>
      <w:r>
        <w:rPr>
          <w:rFonts w:ascii="Times New Roman;sans-serif" w:hAnsi="Times New Roman;sans-serif"/>
          <w:b w:val="false"/>
          <w:color w:val="000000"/>
          <w:sz w:val="22"/>
        </w:rPr>
        <w:t>Shanghai, People’s Republic of China</w:t>
      </w:r>
    </w:p>
    <w:p>
      <w:pPr>
        <w:pStyle w:val="TextBody"/>
        <w:spacing w:lineRule="auto" w:line="264"/>
        <w:rPr>
          <w:rFonts w:ascii="Times New Roman;sans-serif" w:hAnsi="Times New Roman;sans-serif"/>
          <w:b w:val="false"/>
          <w:color w:val="000000"/>
          <w:sz w:val="22"/>
          <w:highlight w:val="white"/>
        </w:rPr>
      </w:pPr>
      <w:r>
        <w:rPr>
          <w:rFonts w:ascii="Times New Roman;sans-serif" w:hAnsi="Times New Roman;sans-serif"/>
          <w:b w:val="false"/>
          <w:color w:val="000000"/>
          <w:sz w:val="22"/>
          <w:highlight w:val="white"/>
        </w:rPr>
        <w:t>March 26, 2021</w:t>
      </w:r>
      <w:r>
        <w:br w:type="page"/>
      </w:r>
    </w:p>
    <w:p>
      <w:pPr>
        <w:pStyle w:val="TextBody"/>
        <w:spacing w:before="0" w:after="283"/>
        <w:rPr/>
      </w:pPr>
      <w:r>
        <w:rPr/>
      </w:r>
      <w:r>
        <mc:AlternateContent>
          <mc:Choice Requires="wps">
            <w:drawing>
              <wp:anchor behindDoc="0" distT="0" distB="0" distL="0" distR="0" simplePos="0" locked="0" layoutInCell="1" allowOverlap="1" relativeHeight="434">
                <wp:simplePos x="0" y="0"/>
                <wp:positionH relativeFrom="character">
                  <wp:align>left</wp:align>
                </wp:positionH>
                <wp:positionV relativeFrom="line">
                  <wp:posOffset>635</wp:posOffset>
                </wp:positionV>
                <wp:extent cx="6480175" cy="175260"/>
                <wp:effectExtent l="0" t="0" r="0" b="0"/>
                <wp:wrapNone/>
                <wp:docPr id="433" name="Frame430"/>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ans-serif"/>
    <w:charset w:val="00"/>
    <w:family w:val="auto"/>
    <w:pitch w:val="default"/>
  </w:font>
  <w:font w:name="Wingdings">
    <w:altName w:val="sans-serif"/>
    <w:charset w:val="00"/>
    <w:family w:val="auto"/>
    <w:pitch w:val="default"/>
  </w:font>
  <w:font w:name="Arial">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802883/000162828020009382/exhibit42f-1a1xregistrants.htm" TargetMode="External"/><Relationship Id="rId4" Type="http://schemas.openxmlformats.org/officeDocument/2006/relationships/hyperlink" Target="https://www.sec.gov/Archives/edgar/data/1802883/000162828020009382/exhibit42f-1a1xregistrants.htm" TargetMode="External"/><Relationship Id="rId5" Type="http://schemas.openxmlformats.org/officeDocument/2006/relationships/hyperlink" Target="https://www.sec.gov/Archives/edgar/data/1802883/000162828020009382/exhibit42f-1a1xregistrants.htm" TargetMode="External"/><Relationship Id="rId6" Type="http://schemas.openxmlformats.org/officeDocument/2006/relationships/hyperlink" Target="https://www.sec.gov/Archives/edgar/data/0001802883/000162828020009067/exhibit44f-1xamendedandres.htm" TargetMode="External"/><Relationship Id="rId7" Type="http://schemas.openxmlformats.org/officeDocument/2006/relationships/hyperlink" Target="https://www.sec.gov/Archives/edgar/data/0001802883/000162828020009067/exhibit44f-1xamendedandres.htm" TargetMode="External"/><Relationship Id="rId8" Type="http://schemas.openxmlformats.org/officeDocument/2006/relationships/hyperlink" Target="https://www.sec.gov/Archives/edgar/data/1802883/000162828020009067/exhibit101f-1xenglishtrans.htm" TargetMode="External"/><Relationship Id="rId9" Type="http://schemas.openxmlformats.org/officeDocument/2006/relationships/hyperlink" Target="https://www.sec.gov/Archives/edgar/data/1802883/000162828020009067/exhibit101f-1xenglishtrans.htm" TargetMode="External"/><Relationship Id="rId10" Type="http://schemas.openxmlformats.org/officeDocument/2006/relationships/hyperlink" Target="https://www.sec.gov/Archives/edgar/data/1802883/000162828020009067/exhibit101f-1xenglishtrans.htm" TargetMode="External"/><Relationship Id="rId11" Type="http://schemas.openxmlformats.org/officeDocument/2006/relationships/hyperlink" Target="https://www.sec.gov/Archives/edgar/data/1802883/000162828020009067/exhibit102f-1xenglishtrans.htm" TargetMode="External"/><Relationship Id="rId12" Type="http://schemas.openxmlformats.org/officeDocument/2006/relationships/hyperlink" Target="https://www.sec.gov/Archives/edgar/data/1802883/000162828020009067/exhibit102f-1xenglishtrans.htm" TargetMode="External"/><Relationship Id="rId13" Type="http://schemas.openxmlformats.org/officeDocument/2006/relationships/hyperlink" Target="https://www.sec.gov/Archives/edgar/data/1802883/000162828020009067/exhibit102f-1xenglishtrans.htm" TargetMode="External"/><Relationship Id="rId14" Type="http://schemas.openxmlformats.org/officeDocument/2006/relationships/hyperlink" Target="https://www.sec.gov/Archives/edgar/data/1802883/000162828020009067/exhibit103f-1xenglishtrans.htm" TargetMode="External"/><Relationship Id="rId15" Type="http://schemas.openxmlformats.org/officeDocument/2006/relationships/hyperlink" Target="https://www.sec.gov/Archives/edgar/data/1802883/000162828020009067/exhibit104f-1xenglishtrans.htm" TargetMode="External"/><Relationship Id="rId16" Type="http://schemas.openxmlformats.org/officeDocument/2006/relationships/hyperlink" Target="https://www.sec.gov/Archives/edgar/data/1802883/000162828020009067/exhibit105f-1xenglishtrans.htm" TargetMode="External"/><Relationship Id="rId17" Type="http://schemas.openxmlformats.org/officeDocument/2006/relationships/hyperlink" Target="https://www.sec.gov/Archives/edgar/data/1802883/000162828020009067/exhibit106f-1xenglishtrans.htm" TargetMode="External"/><Relationship Id="rId18" Type="http://schemas.openxmlformats.org/officeDocument/2006/relationships/hyperlink" Target="https://www.sec.gov/Archives/edgar/data/1802883/000162828020009067/exhibit106f-1xenglishtrans.htm" TargetMode="External"/><Relationship Id="rId19" Type="http://schemas.openxmlformats.org/officeDocument/2006/relationships/hyperlink" Target="https://www.sec.gov/Archives/edgar/data/1802883/000162828020009067/exhibit106f-1xenglishtrans.htm" TargetMode="External"/><Relationship Id="rId20" Type="http://schemas.openxmlformats.org/officeDocument/2006/relationships/hyperlink" Target="https://www.sec.gov/Archives/edgar/data/1802883/000162828020009067/exhibit107f-1x2014equityin.htm" TargetMode="External"/><Relationship Id="rId21" Type="http://schemas.openxmlformats.org/officeDocument/2006/relationships/hyperlink" Target="https://www.sec.gov/Archives/edgar/data/1802883/000162828020009067/exhibit108f-1x2018equityin.htm" TargetMode="External"/><Relationship Id="rId22" Type="http://schemas.openxmlformats.org/officeDocument/2006/relationships/hyperlink" Target="https://www.sec.gov/Archives/edgar/data/1802883/000162828020009382/exhibit109f-1a1xglobalequi.htm" TargetMode="External"/><Relationship Id="rId23" Type="http://schemas.openxmlformats.org/officeDocument/2006/relationships/hyperlink" Target="https://www.sec.gov/Archives/edgar/data/1802883/000162828020009382/exhibit1010f-1a1xemployees.htm" TargetMode="External"/><Relationship Id="rId24" Type="http://schemas.openxmlformats.org/officeDocument/2006/relationships/hyperlink" Target="https://www.sec.gov/Archives/edgar/data/1802883/000162828020009382/exhibit1011f-1a1xexecutive.htm" TargetMode="External"/><Relationship Id="rId25" Type="http://schemas.openxmlformats.org/officeDocument/2006/relationships/hyperlink" Target="https://www.sec.gov/Archives/edgar/data/1802883/000162828020009382/exhibit1012f-1a1xindemnifi.htm" TargetMode="External"/><Relationship Id="rId26" Type="http://schemas.openxmlformats.org/officeDocument/2006/relationships/hyperlink" Target="https://www.sec.gov/Archives/edgar/data/1802883/000162828020009382/exhibit1012f-1a1xindemnifi.htm" TargetMode="External"/><Relationship Id="rId27" Type="http://schemas.openxmlformats.org/officeDocument/2006/relationships/hyperlink" Target="https://www.sec.gov/Archives/edgar/data/1802883/000162828020009382/exhibit1012f-1a1xindemnifi.htm" TargetMode="External"/><Relationship Id="rId28" Type="http://schemas.openxmlformats.org/officeDocument/2006/relationships/hyperlink" Target="https://www.sec.gov/Archives/edgar/data/1802883/000162828020009382/exhibit1012f-1a1xindemnifi.htm" TargetMode="External"/><Relationship Id="rId29" Type="http://schemas.openxmlformats.org/officeDocument/2006/relationships/hyperlink" Target="https://www.sec.gov/Archives/edgar/data/1802883/000162828020009382/exhibit1012f-1a1xindemnifi.htm" TargetMode="External"/><Relationship Id="rId30" Type="http://schemas.openxmlformats.org/officeDocument/2006/relationships/hyperlink" Target="https://www.sec.gov/Archives/edgar/data/1802883/000162828020009382/exhibit1012f-1a1xindemnifi.htm" TargetMode="External"/><Relationship Id="rId31" Type="http://schemas.openxmlformats.org/officeDocument/2006/relationships/hyperlink" Target="https://www.sec.gov/Archives/edgar/data/1802883/000162828020009382/exhibit1012f-1a1xindemnifi.htm" TargetMode="External"/><Relationship Id="rId32" Type="http://schemas.openxmlformats.org/officeDocument/2006/relationships/hyperlink" Target="https://www.sec.gov/Archives/edgar/data/0001802883/000162828020009726/exhibit1013f-1a2xcoatuecla.htm" TargetMode="External"/><Relationship Id="rId33" Type="http://schemas.openxmlformats.org/officeDocument/2006/relationships/hyperlink" Target="https://www.sec.gov/Archives/edgar/data/0001802883/000162828020009726/exhibit1013f-1a2xcoatuecla.htm" TargetMode="External"/><Relationship Id="rId34" Type="http://schemas.openxmlformats.org/officeDocument/2006/relationships/hyperlink" Target="https://www.sec.gov/Archives/edgar/data/0001802883/000162828020009726/exhibit1013f-1a2xcoatuecla.htm" TargetMode="External"/><Relationship Id="rId35" Type="http://schemas.openxmlformats.org/officeDocument/2006/relationships/hyperlink" Target="https://www.sec.gov/Archives/edgar/data/0001802883/000162828020009726/exhibit1013f-1a2xcoatuecla.htm" TargetMode="External"/><Relationship Id="rId36" Type="http://schemas.openxmlformats.org/officeDocument/2006/relationships/hyperlink" Target="https://www.sec.gov/Archives/edgar/data/0001802883/000162828020009726/exhibit1013f-1a2xcoatuecla.htm" TargetMode="External"/><Relationship Id="rId37" Type="http://schemas.openxmlformats.org/officeDocument/2006/relationships/hyperlink" Target="https://www.sec.gov/Archives/edgar/data/0001802883/000162828020009726/exhibit1013f-1a2xcoatuecla.htm" TargetMode="External"/><Relationship Id="rId38" Type="http://schemas.openxmlformats.org/officeDocument/2006/relationships/hyperlink" Target="https://www.sec.gov/Archives/edgar/data/0001802883/000162828020009726/exhibit1013f-1a2xcoatuecla.htm" TargetMode="External"/><Relationship Id="rId39" Type="http://schemas.openxmlformats.org/officeDocument/2006/relationships/hyperlink" Target="https://www.sec.gov/Archives/edgar/data/0001802883/000162828020009726/exhibit1013f-1a2xcoatuecla.htm" TargetMode="External"/><Relationship Id="rId40" Type="http://schemas.openxmlformats.org/officeDocument/2006/relationships/hyperlink" Target="https://www.sec.gov/Archives/edgar/data/0001802883/000162828020009726/exhibit1013f-1a2xcoatuecla.htm" TargetMode="External"/><Relationship Id="rId41" Type="http://schemas.openxmlformats.org/officeDocument/2006/relationships/hyperlink" Target="https://www.sec.gov/Archives/edgar/data/0001802883/000162828020009726/exhibit1013f-1a2xcoatuecla.htm" TargetMode="External"/><Relationship Id="rId42" Type="http://schemas.openxmlformats.org/officeDocument/2006/relationships/hyperlink" Target="https://www.sec.gov/Archives/edgar/data/0001802883/000162828020009726/exhibit1013f-1a2xcoatuecla.htm" TargetMode="External"/><Relationship Id="rId43" Type="http://schemas.openxmlformats.org/officeDocument/2006/relationships/hyperlink" Target="https://www.sec.gov/Archives/edgar/data/0001802883/000162828020009726/exhibit1014f-1a2neumanncap.htm" TargetMode="External"/><Relationship Id="rId44" Type="http://schemas.openxmlformats.org/officeDocument/2006/relationships/hyperlink" Target="https://www.sec.gov/Archives/edgar/data/0001802883/000162828020009726/exhibit1014f-1a2neumanncap.htm" TargetMode="External"/><Relationship Id="rId45" Type="http://schemas.openxmlformats.org/officeDocument/2006/relationships/hyperlink" Target="https://www.sec.gov/Archives/edgar/data/0001802883/000162828020009726/exhibit1014f-1a2neumanncap.htm" TargetMode="External"/><Relationship Id="rId46" Type="http://schemas.openxmlformats.org/officeDocument/2006/relationships/hyperlink" Target="https://www.sec.gov/Archives/edgar/data/0001802883/000162828020009726/exhibit1014f-1a2neumanncap.htm" TargetMode="External"/><Relationship Id="rId47" Type="http://schemas.openxmlformats.org/officeDocument/2006/relationships/hyperlink" Target="https://www.sec.gov/Archives/edgar/data/0001802883/000162828020009726/exhibit1014f-1a2neumanncap.htm" TargetMode="External"/><Relationship Id="rId48" Type="http://schemas.openxmlformats.org/officeDocument/2006/relationships/hyperlink" Target="https://www.sec.gov/Archives/edgar/data/0001802883/000162828020009726/exhibit1014f-1a2neumanncap.htm" TargetMode="External"/><Relationship Id="rId49" Type="http://schemas.openxmlformats.org/officeDocument/2006/relationships/hyperlink" Target="https://www.sec.gov/Archives/edgar/data/0001802883/000162828020009726/exhibit1014f-1a2neumanncap.htm" TargetMode="External"/><Relationship Id="rId50" Type="http://schemas.openxmlformats.org/officeDocument/2006/relationships/hyperlink" Target="https://www.sec.gov/Archives/edgar/data/0001802883/000162828020009726/exhibit1014f-1a2neumanncap.htm" TargetMode="External"/><Relationship Id="rId51" Type="http://schemas.openxmlformats.org/officeDocument/2006/relationships/hyperlink" Target="https://www.sec.gov/Archives/edgar/data/0001802883/000162828020009726/exhibit1014f-1a2neumanncap.htm" TargetMode="External"/><Relationship Id="rId52" Type="http://schemas.openxmlformats.org/officeDocument/2006/relationships/hyperlink" Target="https://www.sec.gov/Archives/edgar/data/0001802883/000162828020009726/exhibit1014f-1a2neumanncap.htm" TargetMode="External"/><Relationship Id="rId53" Type="http://schemas.openxmlformats.org/officeDocument/2006/relationships/hyperlink" Target="https://www.sec.gov/Archives/edgar/data/0001802883/000162828020009726/exhibit1014f-1a2neumanncap.htm" TargetMode="External"/><Relationship Id="rId54" Type="http://schemas.openxmlformats.org/officeDocument/2006/relationships/hyperlink" Target="https://www.sec.gov/Archives/edgar/data/0001802883/000162828020009726/exhibit1015f-1a2vipiiinomi.htm" TargetMode="External"/><Relationship Id="rId55" Type="http://schemas.openxmlformats.org/officeDocument/2006/relationships/hyperlink" Target="https://www.sec.gov/Archives/edgar/data/0001802883/000162828020009726/exhibit1015f-1a2vipiiinomi.htm" TargetMode="External"/><Relationship Id="rId56" Type="http://schemas.openxmlformats.org/officeDocument/2006/relationships/hyperlink" Target="https://www.sec.gov/Archives/edgar/data/0001802883/000162828020009726/exhibit1015f-1a2vipiiinomi.htm" TargetMode="External"/><Relationship Id="rId57" Type="http://schemas.openxmlformats.org/officeDocument/2006/relationships/hyperlink" Target="https://www.sec.gov/Archives/edgar/data/0001802883/000162828020009726/exhibit1015f-1a2vipiiinomi.htm" TargetMode="External"/><Relationship Id="rId58" Type="http://schemas.openxmlformats.org/officeDocument/2006/relationships/hyperlink" Target="https://www.sec.gov/Archives/edgar/data/0001802883/000162828020009726/exhibit1015f-1a2vipiiinomi.htm" TargetMode="External"/><Relationship Id="rId59" Type="http://schemas.openxmlformats.org/officeDocument/2006/relationships/hyperlink" Target="https://www.sec.gov/Archives/edgar/data/0001802883/000162828020009726/exhibit1015f-1a2vipiiinomi.htm" TargetMode="External"/><Relationship Id="rId60" Type="http://schemas.openxmlformats.org/officeDocument/2006/relationships/hyperlink" Target="https://www.sec.gov/Archives/edgar/data/0001802883/000162828020009726/exhibit1015f-1a2vipiiinomi.htm" TargetMode="External"/><Relationship Id="rId61" Type="http://schemas.openxmlformats.org/officeDocument/2006/relationships/hyperlink" Target="https://www.sec.gov/Archives/edgar/data/0001802883/000162828020009726/exhibit1015f-1a2vipiiinomi.htm" TargetMode="External"/><Relationship Id="rId62" Type="http://schemas.openxmlformats.org/officeDocument/2006/relationships/hyperlink" Target="https://www.sec.gov/Archives/edgar/data/0001802883/000162828020009726/exhibit1015f-1a2vipiiinomi.htm" TargetMode="External"/><Relationship Id="rId63" Type="http://schemas.openxmlformats.org/officeDocument/2006/relationships/hyperlink" Target="https://www.sec.gov/Archives/edgar/data/1802883/000162828020009382/exhibit991f-1a1xcodeofbusi.htm" TargetMode="External"/><Relationship Id="rId64" Type="http://schemas.openxmlformats.org/officeDocument/2006/relationships/image" Target="media/image2.png"/><Relationship Id="rId65" Type="http://schemas.openxmlformats.org/officeDocument/2006/relationships/image" Target="media/image3.png"/><Relationship Id="rId66" Type="http://schemas.openxmlformats.org/officeDocument/2006/relationships/fontTable" Target="fontTable.xml"/><Relationship Id="rId6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234</Pages>
  <Words>206195</Words>
  <CharactersWithSpaces>1306143</CharactersWithSpaces>
  <Paragraphs>7831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