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196215</wp:posOffset>
            </wp:positionH>
            <wp:positionV relativeFrom="page">
              <wp:posOffset>259080</wp:posOffset>
            </wp:positionV>
            <wp:extent cx="71558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815" cy="6985"/>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315595</wp:posOffset>
            </wp:positionV>
            <wp:extent cx="71558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815" cy="698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1949450</wp:posOffset>
            </wp:positionH>
            <wp:positionV relativeFrom="paragraph">
              <wp:posOffset>189230</wp:posOffset>
            </wp:positionV>
            <wp:extent cx="3269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1949450</wp:posOffset>
            </wp:positionH>
            <wp:positionV relativeFrom="paragraph">
              <wp:posOffset>211455</wp:posOffset>
            </wp:positionV>
            <wp:extent cx="3269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month of May, 2022</w:t>
      </w:r>
    </w:p>
    <w:p>
      <w:pPr>
        <w:spacing w:after="0" w:line="18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Commission File Number: 001-39340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1949450</wp:posOffset>
            </wp:positionH>
            <wp:positionV relativeFrom="paragraph">
              <wp:posOffset>200025</wp:posOffset>
            </wp:positionV>
            <wp:extent cx="3269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6"/>
          <w:szCs w:val="36"/>
          <w:b w:val="1"/>
          <w:bCs w:val="1"/>
          <w:color w:val="auto"/>
        </w:rPr>
        <w:t>AGORA, INC.</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58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Floor 8, Building 12</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Phase III of ChuangZhiTianDi</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333 Songhu Road</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Yangpu District, Shanghai</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1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715581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Form 20-F or Form 40-F.</w:t>
      </w:r>
    </w:p>
    <w:p>
      <w:pPr>
        <w:spacing w:after="0" w:line="20" w:lineRule="exact"/>
        <w:rPr>
          <w:sz w:val="24"/>
          <w:szCs w:val="24"/>
          <w:color w:val="auto"/>
        </w:rPr>
      </w:pPr>
    </w:p>
    <w:p>
      <w:pPr>
        <w:ind w:left="4780"/>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14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 (b) (1): </w:t>
      </w:r>
      <w:r>
        <w:rPr>
          <w:rFonts w:ascii="MS PGothic" w:cs="MS PGothic" w:eastAsia="MS PGothic" w:hAnsi="MS PGothic"/>
          <w:sz w:val="15"/>
          <w:szCs w:val="15"/>
          <w:color w:val="auto"/>
        </w:rPr>
        <w:t>☐</w:t>
      </w:r>
    </w:p>
    <w:p>
      <w:pPr>
        <w:spacing w:after="0" w:line="18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 (b) (7):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71558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81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191135</wp:posOffset>
            </wp:positionV>
            <wp:extent cx="71558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8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654050</wp:posOffset>
            </wp:positionV>
            <wp:extent cx="719582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0159"/>
          </w:cols>
          <w:pgMar w:left="300" w:top="613" w:right="1440" w:bottom="1440" w:gutter="0" w:footer="0" w:header="0"/>
        </w:sectPr>
      </w:pPr>
    </w:p>
    <w:bookmarkStart w:id="1" w:name="page2"/>
    <w:bookmarkEnd w:id="1"/>
    <w:p>
      <w:pPr>
        <w:jc w:val="right"/>
        <w:ind w:right="3939"/>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15875</wp:posOffset>
            </wp:positionV>
            <wp:extent cx="71558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80"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5"/>
          <w:szCs w:val="15"/>
          <w:u w:val="single" w:color="auto"/>
          <w:color w:val="0000EE"/>
        </w:rPr>
        <w:t>99.1</w:t>
      </w:r>
      <w:r>
        <w:rPr>
          <w:sz w:val="20"/>
          <w:szCs w:val="20"/>
          <w:color w:val="auto"/>
        </w:rPr>
        <w:tab/>
      </w:r>
      <w:r>
        <w:rPr>
          <w:rFonts w:ascii="Times New Roman" w:cs="Times New Roman" w:eastAsia="Times New Roman" w:hAnsi="Times New Roman"/>
          <w:sz w:val="14"/>
          <w:szCs w:val="14"/>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397510</wp:posOffset>
            </wp:positionV>
            <wp:extent cx="719582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9939"/>
          </w:cols>
          <w:pgMar w:left="520" w:top="102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thereto duly authorized.</w:t>
      </w:r>
    </w:p>
    <w:p>
      <w:pPr>
        <w:spacing w:after="0" w:line="181" w:lineRule="exact"/>
        <w:rPr>
          <w:sz w:val="20"/>
          <w:szCs w:val="20"/>
          <w:color w:val="auto"/>
        </w:rPr>
      </w:pPr>
    </w:p>
    <w:tbl>
      <w:tblPr>
        <w:tblLayout w:type="fixed"/>
        <w:tblInd w:w="678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AGORA, INC.</w:t>
            </w:r>
          </w:p>
        </w:tc>
        <w:tc>
          <w:tcPr>
            <w:tcW w:w="3500" w:type="dxa"/>
            <w:vAlign w:val="bottom"/>
          </w:tcPr>
          <w:p>
            <w:pPr>
              <w:spacing w:after="0"/>
              <w:rPr>
                <w:sz w:val="17"/>
                <w:szCs w:val="17"/>
                <w:color w:val="auto"/>
              </w:rPr>
            </w:pPr>
          </w:p>
        </w:tc>
      </w:tr>
      <w:tr>
        <w:trPr>
          <w:trHeight w:val="35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Jingbo Wang</w:t>
            </w: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Name:</w:t>
            </w:r>
          </w:p>
        </w:tc>
        <w:tc>
          <w:tcPr>
            <w:tcW w:w="35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Jingbo Wang</w:t>
            </w:r>
          </w:p>
        </w:tc>
      </w:tr>
      <w:tr>
        <w:trPr>
          <w:trHeight w:val="19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May 24, 2022</w:t>
      </w:r>
    </w:p>
    <w:p>
      <w:pPr>
        <w:sectPr>
          <w:pgSz w:w="11900" w:h="16838" w:orient="portrait"/>
          <w:cols w:equalWidth="0" w:num="1">
            <w:col w:w="11280"/>
          </w:cols>
          <w:pgMar w:left="300" w:top="47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Agora, Inc. Reports First Quarter 2022 Financial Results</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SANTA CLARA, Calif., May 23, 2022 (Globe Newswire) – Agora, Inc. (NASDAQ: API) (“Agora”), a pioneer and leading platform for real-time engagement APIs, today announced its financial results for the first quarter ended March 31, 2022.</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delivered robust results in the first quarter as we navigated through a complex and fast-evolving market environment. Strong revenue growth momentum continued in markets such as Middle East, Southeast Asia and Europe as developers increasingly choose our platform to create immersive real-time engagement experiences.” said Tony Zhao, founder, chairman and CEO of Agora. “We are particularly excited to see a long-lasting shift of people’s mindset and behavior as they continued to accelerate online migration and spend more time in virtual engagement sessions, even in regions where lives have predominantly returned to pre-pandemic norms.”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Quarter 2022 Highlights</w:t>
      </w:r>
    </w:p>
    <w:p>
      <w:pPr>
        <w:spacing w:after="0" w:line="196" w:lineRule="exact"/>
        <w:rPr>
          <w:sz w:val="20"/>
          <w:szCs w:val="20"/>
          <w:color w:val="auto"/>
        </w:rPr>
      </w:pPr>
    </w:p>
    <w:p>
      <w:pPr>
        <w:ind w:left="960" w:hanging="470"/>
        <w:spacing w:after="0"/>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Total revenues </w:t>
      </w:r>
      <w:r>
        <w:rPr>
          <w:rFonts w:ascii="Arial" w:cs="Arial" w:eastAsia="Arial" w:hAnsi="Arial"/>
          <w:sz w:val="16"/>
          <w:szCs w:val="16"/>
          <w:color w:val="auto"/>
        </w:rPr>
        <w:t>for the quarter were $38.6 million, a decrease of 4.1% from $40.2 million in the first quarter of 2021.</w:t>
      </w:r>
    </w:p>
    <w:p>
      <w:pPr>
        <w:spacing w:after="0" w:line="10" w:lineRule="exact"/>
        <w:rPr>
          <w:rFonts w:ascii="Times New Roman" w:cs="Times New Roman" w:eastAsia="Times New Roman" w:hAnsi="Times New Roman"/>
          <w:sz w:val="15"/>
          <w:szCs w:val="15"/>
          <w:color w:val="auto"/>
        </w:rPr>
      </w:pPr>
    </w:p>
    <w:p>
      <w:pPr>
        <w:ind w:left="960" w:hanging="470"/>
        <w:spacing w:after="0" w:line="233" w:lineRule="auto"/>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Active Customers </w:t>
      </w:r>
      <w:r>
        <w:rPr>
          <w:rFonts w:ascii="Arial" w:cs="Arial" w:eastAsia="Arial" w:hAnsi="Arial"/>
          <w:sz w:val="16"/>
          <w:szCs w:val="16"/>
          <w:color w:val="auto"/>
        </w:rPr>
        <w:t>as of March 31, 2022 were 2,706, excluding those for Easemob, an increase of 16.4% from 2,324 as of March 31, 2021.</w:t>
      </w:r>
    </w:p>
    <w:p>
      <w:pPr>
        <w:ind w:left="960" w:hanging="470"/>
        <w:spacing w:after="0" w:line="233" w:lineRule="auto"/>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Constant Currency Dollar-Based Net Expansion Rate</w:t>
      </w:r>
      <w:r>
        <w:rPr>
          <w:rFonts w:ascii="Arial" w:cs="Arial" w:eastAsia="Arial" w:hAnsi="Arial"/>
          <w:sz w:val="16"/>
          <w:szCs w:val="16"/>
          <w:color w:val="auto"/>
        </w:rPr>
        <w:t>, excluding Easemob, was 95% for the trailing 12-month period ended March 31, 2022.</w:t>
      </w:r>
    </w:p>
    <w:p>
      <w:pPr>
        <w:jc w:val="both"/>
        <w:ind w:left="960" w:hanging="470"/>
        <w:spacing w:after="0" w:line="233" w:lineRule="auto"/>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for the quarter was $26.9 million, compared to net loss of $14.7 million in the first quarter of 2021. After excluding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compensation expenses, acquisition related expenses, amortization expenses of acquired intangible assets and income tax related to acquired intangible assets, non-GAAP net loss for the quarter was $16.9 million, compared to the non-GAAP net loss of $4.3 million in the first quarter of 2021. </w:t>
      </w:r>
      <w:r>
        <w:rPr>
          <w:rFonts w:ascii="Arial" w:cs="Arial" w:eastAsia="Arial" w:hAnsi="Arial"/>
          <w:sz w:val="16"/>
          <w:szCs w:val="16"/>
          <w:b w:val="1"/>
          <w:bCs w:val="1"/>
          <w:color w:val="auto"/>
        </w:rPr>
        <w:t>Adjusted EBITDA</w:t>
      </w:r>
      <w:r>
        <w:rPr>
          <w:rFonts w:ascii="Arial" w:cs="Arial" w:eastAsia="Arial" w:hAnsi="Arial"/>
          <w:sz w:val="16"/>
          <w:szCs w:val="16"/>
          <w:color w:val="auto"/>
        </w:rPr>
        <w:t xml:space="preserve"> for the quarter was negative $16.4 million, compared to negative $3.7 million in the first quarter of 2021.</w:t>
      </w:r>
    </w:p>
    <w:p>
      <w:pPr>
        <w:ind w:left="960" w:hanging="470"/>
        <w:spacing w:after="0" w:line="233" w:lineRule="auto"/>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Total cash, cash equivalents and short-term investments </w:t>
      </w:r>
      <w:r>
        <w:rPr>
          <w:rFonts w:ascii="Arial" w:cs="Arial" w:eastAsia="Arial" w:hAnsi="Arial"/>
          <w:sz w:val="16"/>
          <w:szCs w:val="16"/>
          <w:color w:val="auto"/>
        </w:rPr>
        <w:t>as of March 31, 2022 was $717.5 million.</w:t>
      </w:r>
    </w:p>
    <w:p>
      <w:pPr>
        <w:ind w:left="960" w:right="20" w:hanging="470"/>
        <w:spacing w:after="0" w:line="242" w:lineRule="auto"/>
        <w:tabs>
          <w:tab w:leader="none" w:pos="96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Net cash used in operating activities </w:t>
      </w:r>
      <w:r>
        <w:rPr>
          <w:rFonts w:ascii="Arial" w:cs="Arial" w:eastAsia="Arial" w:hAnsi="Arial"/>
          <w:sz w:val="16"/>
          <w:szCs w:val="16"/>
          <w:color w:val="auto"/>
        </w:rPr>
        <w:t>for the quarter was $15.9 million, compared to $2.7 million in the first quarter of 2021.</w:t>
      </w:r>
      <w:r>
        <w:rPr>
          <w:rFonts w:ascii="Arial" w:cs="Arial" w:eastAsia="Arial" w:hAnsi="Arial"/>
          <w:sz w:val="16"/>
          <w:szCs w:val="16"/>
          <w:b w:val="1"/>
          <w:bCs w:val="1"/>
          <w:color w:val="auto"/>
        </w:rPr>
        <w:t xml:space="preserve"> Free cash flow </w:t>
      </w:r>
      <w:r>
        <w:rPr>
          <w:rFonts w:ascii="Arial" w:cs="Arial" w:eastAsia="Arial" w:hAnsi="Arial"/>
          <w:sz w:val="16"/>
          <w:szCs w:val="16"/>
          <w:color w:val="auto"/>
        </w:rPr>
        <w:t>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was negative $17.0 million, compared to negative $8.0 million in the first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Quarter 2022 Financial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Total revenues were $38.6 million in the first quarter of 2022, a decrease of 4.1% from $40.2 million in the same period last year, primarily due to the decreased usage in the K-12 academic tutoring sector in China as a result of the implementation of the new online education regulation, which was offset in part by our global business expansion and usage growth in other sectors and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261620</wp:posOffset>
            </wp:positionV>
            <wp:extent cx="719582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529"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Cost of Revenues</w:t>
      </w:r>
    </w:p>
    <w:p>
      <w:pPr>
        <w:spacing w:after="0" w:line="1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Cost of revenues was $14.5 million in the first quarter of 2022, a decrease of 13.9% from $16.9 million in the same period last year, primarily due to the decrease in bandwidth and co-location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 and Gross Margin</w:t>
      </w:r>
    </w:p>
    <w:p>
      <w:pPr>
        <w:spacing w:after="0" w:line="11"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Gross profit was $24.1 million in the first quarter of 2022, an increase of 3.0% from $23.4 million in the same period last year. Gross margin was 62.4% in the first quarter of 2022, an increase of 4.3% from 58.1% in the same period last year, primarily due to the implementation of technical and infrastructural optimizations.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were $54.1 million in the first quarter of 2022, an increase of 36.4% from $39.7 million in the same period last year.</w:t>
      </w:r>
    </w:p>
    <w:p>
      <w:pPr>
        <w:spacing w:after="0" w:line="180" w:lineRule="exact"/>
        <w:rPr>
          <w:sz w:val="20"/>
          <w:szCs w:val="20"/>
          <w:color w:val="auto"/>
        </w:rPr>
      </w:pPr>
    </w:p>
    <w:p>
      <w:pPr>
        <w:jc w:val="both"/>
        <w:ind w:left="960" w:hanging="470"/>
        <w:spacing w:after="0"/>
        <w:tabs>
          <w:tab w:leader="none" w:pos="96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expenses were $31.0 million in the first quarter of 2022, an increase of 23.1% from $25.2 million in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last year, primarily due to increased personnel costs as we continue to build our research and development team, including an increase in share-based compensation from $3.8 million in the first quarter of 2021 to $5.4 million in the first quarter of 2022.</w:t>
      </w:r>
    </w:p>
    <w:p>
      <w:pPr>
        <w:jc w:val="both"/>
        <w:ind w:left="960" w:hanging="470"/>
        <w:spacing w:after="0" w:line="233" w:lineRule="auto"/>
        <w:tabs>
          <w:tab w:leader="none" w:pos="96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Sales and marketing </w:t>
      </w:r>
      <w:r>
        <w:rPr>
          <w:rFonts w:ascii="Arial" w:cs="Arial" w:eastAsia="Arial" w:hAnsi="Arial"/>
          <w:sz w:val="16"/>
          <w:szCs w:val="16"/>
          <w:color w:val="auto"/>
        </w:rPr>
        <w:t>expenses were $13.9 million in the first quarter of 2022, an increase of 58.6% from $8.7 million in the same period last year,</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increased personnel costs as we continue to build our sales and marketing team, including an increase in share-based compensation from $1.0 million in the first quarter of 2021 to $1.9 million in the first quarter of 2022.</w:t>
      </w:r>
    </w:p>
    <w:p>
      <w:pPr>
        <w:jc w:val="both"/>
        <w:ind w:left="960" w:hanging="470"/>
        <w:spacing w:after="0" w:line="237" w:lineRule="auto"/>
        <w:tabs>
          <w:tab w:leader="none" w:pos="96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General and administrative </w:t>
      </w:r>
      <w:r>
        <w:rPr>
          <w:rFonts w:ascii="Arial" w:cs="Arial" w:eastAsia="Arial" w:hAnsi="Arial"/>
          <w:sz w:val="16"/>
          <w:szCs w:val="16"/>
          <w:color w:val="auto"/>
        </w:rPr>
        <w:t>expenses were $9.2 million in the first quarter of 2022, an increase of 61.3% from $5.7 million in the same period last</w:t>
      </w:r>
      <w:r>
        <w:rPr>
          <w:rFonts w:ascii="Arial" w:cs="Arial" w:eastAsia="Arial" w:hAnsi="Arial"/>
          <w:sz w:val="16"/>
          <w:szCs w:val="16"/>
          <w:b w:val="1"/>
          <w:bCs w:val="1"/>
          <w:color w:val="auto"/>
        </w:rPr>
        <w:t xml:space="preserve"> </w:t>
      </w:r>
      <w:r>
        <w:rPr>
          <w:rFonts w:ascii="Arial" w:cs="Arial" w:eastAsia="Arial" w:hAnsi="Arial"/>
          <w:sz w:val="16"/>
          <w:szCs w:val="16"/>
          <w:color w:val="auto"/>
        </w:rPr>
        <w:t>year, primarily due to increased personnel costs as we continue to build our team, including an increase in share-based compensation from $1.2 million in the first quarter of 2021 to $1.8 million in the first quarter of 2022, as well as higher expected credit loss compared to the same period last year.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Income</w:t>
      </w:r>
    </w:p>
    <w:p>
      <w:pPr>
        <w:spacing w:after="0" w:line="1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Other operating income was $1.0 million in the first quarter of 2022, compared to $0.3 million in the same period last year, primarily due to refund of individual income tax.</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from Operations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 was $29.0 million in the first quarter of 2022, compared to $16.0 million in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income</w:t>
      </w:r>
    </w:p>
    <w:p>
      <w:pPr>
        <w:spacing w:after="0" w:line="1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Interest income was $1.8 million in the first quarter of 2022, compared to $2.0 million in the same period last year, primarily due to a decrease in the average balance of cash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259715</wp:posOffset>
            </wp:positionV>
            <wp:extent cx="719582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cash equivalents and short-term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Net loss was $26.9 million in the first quarter of 2022, compared to $14.7 million in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American Depositary Share attributable to ordinary shareholders</w:t>
      </w:r>
    </w:p>
    <w:p>
      <w:pPr>
        <w:spacing w:after="0" w:line="1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loss per American Depositary Share (“ADS”)</w:t>
      </w:r>
      <w:r>
        <w:rPr>
          <w:rFonts w:ascii="Arial" w:cs="Arial" w:eastAsia="Arial" w:hAnsi="Arial"/>
          <w:sz w:val="13"/>
          <w:szCs w:val="13"/>
          <w:color w:val="auto"/>
        </w:rPr>
        <w:t>1</w:t>
      </w:r>
      <w:r>
        <w:rPr>
          <w:rFonts w:ascii="Arial" w:cs="Arial" w:eastAsia="Arial" w:hAnsi="Arial"/>
          <w:sz w:val="16"/>
          <w:szCs w:val="16"/>
          <w:color w:val="auto"/>
        </w:rPr>
        <w:t xml:space="preserve"> attributable to ordinary shareholders was $0.24 in the first quarter of 2022, compared to $0.14 in the same period last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 Repurchase Program</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During the quarter ended March 31, 2022, we repurchased approximately 3.5 million of our class A ordinary shares (equivalent to approximately 0.9 million ADSs) for approximately US$8.0 million under our share repurchase program, representing 4% of our US$200 million share repurchase program. As of March 31, 2022, we had approximately 463.5 million ordinary shares (equivalent to approximately 115.9 million ADSs) issued and outstanding. Our current share repurchase program will expire by the end of February 2023.</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Leadership Update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Agora today announced that Roger Hale, the former chief security officer at BigID, a data-centric personal data privacy and protection company, will join Agora as its chief security officer. Hale will work with executive management to navigate compliance and security, and determine risk management and security best practices for the organization. He will also serve as the process owner of all assurance activities related to the availability, integrity and confidentiality of customer, business partner, employee and business information in compliance with Agora's information security and business compliance policies. Hale will report directly to Agora CEO Tony Zhao.</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“Security and compliance have never been more critical than it is today,” said Tony Zhao, founder, chairman and CEO of Agora. “In his position at Agora, Roger will further develop and maintain a company-wide information security management program. With an impressive track record and so many years of experience and expertise, we’re excited to welcome him to the team.”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Outlook</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Based on currently available information, Agora maintains the previous guidance that total revenues for the fiscal year ending December 31, 2022 are estimated to be between $176 million and $178 million. This outlook reflects Agora’s current and preliminary views on the market and operational conditions, and the outlook ranges for the year ending December 31, 2022 reflect various assumptions that are subject to change based on uncertainties, including but not limited to the impact of the COVID-19 pandemic.</w:t>
      </w:r>
    </w:p>
    <w:p>
      <w:pPr>
        <w:spacing w:after="0" w:line="102" w:lineRule="exact"/>
        <w:rPr>
          <w:sz w:val="20"/>
          <w:szCs w:val="20"/>
          <w:color w:val="auto"/>
        </w:rPr>
      </w:pPr>
    </w:p>
    <w:p>
      <w:pPr>
        <w:ind w:left="120" w:hanging="111"/>
        <w:spacing w:after="0"/>
        <w:tabs>
          <w:tab w:leader="none" w:pos="12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5"/>
          <w:szCs w:val="15"/>
          <w:color w:val="auto"/>
        </w:rPr>
        <w:t>One ADS represents four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14255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55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284480</wp:posOffset>
            </wp:positionV>
            <wp:extent cx="719582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Earnings Call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Agora will host a conference call to discuss the financial results at 6 p.m. Pacific Time / 9:00 p.m. Eastern Time on May 23, 2022. Details for the conference call are as follows:</w:t>
      </w:r>
    </w:p>
    <w:p>
      <w:pPr>
        <w:spacing w:after="0" w:line="233" w:lineRule="auto"/>
        <w:rPr>
          <w:sz w:val="20"/>
          <w:szCs w:val="20"/>
          <w:color w:val="auto"/>
        </w:rPr>
      </w:pPr>
      <w:r>
        <w:rPr>
          <w:rFonts w:ascii="Arial" w:cs="Arial" w:eastAsia="Arial" w:hAnsi="Arial"/>
          <w:sz w:val="16"/>
          <w:szCs w:val="16"/>
          <w:color w:val="auto"/>
        </w:rPr>
        <w:t>Event title: Agora, Inc. 1Q 2022 Financial Results</w:t>
      </w:r>
    </w:p>
    <w:p>
      <w:pPr>
        <w:spacing w:after="0" w:line="233" w:lineRule="auto"/>
        <w:rPr>
          <w:sz w:val="20"/>
          <w:szCs w:val="20"/>
          <w:color w:val="auto"/>
        </w:rPr>
      </w:pPr>
      <w:r>
        <w:rPr>
          <w:rFonts w:ascii="Arial" w:cs="Arial" w:eastAsia="Arial" w:hAnsi="Arial"/>
          <w:sz w:val="16"/>
          <w:szCs w:val="16"/>
          <w:color w:val="auto"/>
        </w:rPr>
        <w:t>Conference ID: 3177973</w:t>
      </w:r>
    </w:p>
    <w:p>
      <w:pPr>
        <w:spacing w:after="0" w:line="233" w:lineRule="auto"/>
        <w:rPr>
          <w:sz w:val="20"/>
          <w:szCs w:val="20"/>
          <w:color w:val="auto"/>
        </w:rPr>
      </w:pPr>
      <w:r>
        <w:rPr>
          <w:rFonts w:ascii="Arial" w:cs="Arial" w:eastAsia="Arial" w:hAnsi="Arial"/>
          <w:sz w:val="16"/>
          <w:szCs w:val="16"/>
          <w:color w:val="auto"/>
        </w:rPr>
        <w:t xml:space="preserve">Direct Event online registration: </w:t>
      </w:r>
      <w:r>
        <w:rPr>
          <w:rFonts w:ascii="Arial" w:cs="Arial" w:eastAsia="Arial" w:hAnsi="Arial"/>
          <w:sz w:val="16"/>
          <w:szCs w:val="16"/>
          <w:u w:val="single" w:color="auto"/>
          <w:color w:val="auto"/>
        </w:rPr>
        <w:t>http://apac.directeventreg.com/registration/event/3177973</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Please register in advance of the conference using the link provided above. Upon registering, you will be provided with participant dial-in numbers, Direct Event passcode and unique registrant ID.</w:t>
      </w:r>
    </w:p>
    <w:p>
      <w:pPr>
        <w:jc w:val="both"/>
        <w:spacing w:after="0" w:line="233" w:lineRule="auto"/>
        <w:rPr>
          <w:sz w:val="20"/>
          <w:szCs w:val="20"/>
          <w:color w:val="auto"/>
        </w:rPr>
      </w:pPr>
      <w:r>
        <w:rPr>
          <w:rFonts w:ascii="Arial" w:cs="Arial" w:eastAsia="Arial" w:hAnsi="Arial"/>
          <w:sz w:val="16"/>
          <w:szCs w:val="16"/>
          <w:color w:val="auto"/>
        </w:rPr>
        <w:t>A digital recording of the conference call will be available for replay two hours after the call’s completion (dial-in number: US 18554525696, International +61 2 81990299; same conference ID as shown above).</w:t>
      </w:r>
    </w:p>
    <w:p>
      <w:pPr>
        <w:jc w:val="both"/>
        <w:ind w:right="20"/>
        <w:spacing w:after="0" w:line="242" w:lineRule="auto"/>
        <w:rPr>
          <w:sz w:val="20"/>
          <w:szCs w:val="20"/>
          <w:color w:val="auto"/>
        </w:rPr>
      </w:pPr>
      <w:r>
        <w:rPr>
          <w:rFonts w:ascii="Arial" w:cs="Arial" w:eastAsia="Arial" w:hAnsi="Arial"/>
          <w:sz w:val="16"/>
          <w:szCs w:val="16"/>
          <w:color w:val="auto"/>
        </w:rPr>
        <w:t xml:space="preserve">Please visit Agora’s investor relations website at </w:t>
      </w:r>
      <w:r>
        <w:rPr>
          <w:rFonts w:ascii="Arial" w:cs="Arial" w:eastAsia="Arial" w:hAnsi="Arial"/>
          <w:sz w:val="16"/>
          <w:szCs w:val="16"/>
          <w:u w:val="single" w:color="auto"/>
          <w:color w:val="auto"/>
        </w:rPr>
        <w:t>https://investor.agora.io/investor-relations</w:t>
      </w:r>
      <w:r>
        <w:rPr>
          <w:rFonts w:ascii="Arial" w:cs="Arial" w:eastAsia="Arial" w:hAnsi="Arial"/>
          <w:sz w:val="16"/>
          <w:szCs w:val="16"/>
          <w:color w:val="auto"/>
        </w:rPr>
        <w:t xml:space="preserve"> on May 23, 2022 to view the earnings release and accompanying slides prior to the conference call.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Use of Non-GAAP Financial Measures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Agora has provided in this press release financial information that has not been prepared in accordance with generally accepted accounting principles in the United States (“GAAP”). Agora uses these non-GAAP financial measures internally in analyzing its financial results and believes that the use of these non-GAAP financial measures is useful to investors as an additional tool to evaluate ongoing operating results and trends and in comparing Agora’s financial results with other companies in its industry, many of which present similar non-GAAP financial measures. Besides free cash flow (as defined below), each of these non-GAAP financial measures represents the corresponding GAAP financial measure before share-based compensation expenses, acquisition related expenses, amortization expenses of acquired intangible assets and income tax related to acquired intangible assets. Agora believes that such non-GAAP financial measures help identify underlying trends in its business that could otherwise be distorted by the effects of such share-based compensation expenses, acquisition related expenses, </w:t>
      </w:r>
      <w:r>
        <w:rPr>
          <w:rFonts w:ascii="Arial" w:cs="Arial" w:eastAsia="Arial" w:hAnsi="Arial"/>
          <w:sz w:val="16"/>
          <w:szCs w:val="16"/>
          <w:color w:val="222222"/>
        </w:rPr>
        <w:t xml:space="preserve">amortization expenses of acquired intangible assets and income tax related to acquired intangible assets </w:t>
      </w:r>
      <w:r>
        <w:rPr>
          <w:rFonts w:ascii="Arial" w:cs="Arial" w:eastAsia="Arial" w:hAnsi="Arial"/>
          <w:sz w:val="16"/>
          <w:szCs w:val="16"/>
          <w:color w:val="000000"/>
        </w:rPr>
        <w:t>that it includes in its cost of revenues, total operating</w:t>
      </w:r>
      <w:r>
        <w:rPr>
          <w:rFonts w:ascii="Arial" w:cs="Arial" w:eastAsia="Arial" w:hAnsi="Arial"/>
          <w:sz w:val="16"/>
          <w:szCs w:val="16"/>
          <w:color w:val="222222"/>
        </w:rPr>
        <w:t xml:space="preserve"> </w:t>
      </w:r>
      <w:r>
        <w:rPr>
          <w:rFonts w:ascii="Arial" w:cs="Arial" w:eastAsia="Arial" w:hAnsi="Arial"/>
          <w:sz w:val="16"/>
          <w:szCs w:val="16"/>
          <w:color w:val="000000"/>
        </w:rPr>
        <w:t>expenses and net income (loss). Agora believes that all such non-GAAP financial measures also provide useful information about its operating results, enhance the overall understanding of its past performance and future prospects and allow for greater visibility with respect to key metrics used by its management in its financial and operational decision-making.</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Non-GAAP financial measures are not meant to be considered in isolation or as a substitute for comparable GAAP financial measures and should be read only in conjunction with Agora’s consolidated financial statements prepared in accordance with GAAP. A reconciliation of Agora’s historical non-GAAP financial measures to the most directly comparable GAAP measures has been provided in the tables captioned “Reconciliation of GAAP to Non-GAAP Measures” included at the end of this press release,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260350</wp:posOffset>
            </wp:positionV>
            <wp:extent cx="719582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909"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are encouraged to review the reconciliation.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Definitions of Agora’s non-GAAP financial measures included in this press release are presented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Net Income (Loss)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Agora defines non-GAAP net income (loss) as net income (loss) adjusted to exclude share-based compensation expenses, acquisition related expenses, amortization expenses of acquired intangible assets and income tax related to acquired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Agora defines Adjusted EBITDA as net income (loss) before exchange gain (loss), interest income, investment income (loss), other income, equity in income of affiliates, income taxes, depreciation of property and equipment, and adjusted to exclude the effects of share-based compensation expenses, acquisition related expenses and amortization expenses of acquired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Agora defines free cash flow as net cash provided by operating activities less purchases of property and equipment. Agora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Operating Metrics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Agora also uses other operating metrics included in this press release and defined below to assess the performance of its business.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Active Customers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Agora defines an active customer at the end of any particular period as an organization or individual developer from which Agora generated more than $100 of revenue during the preceding 12 months. Agora counts customers based on unique customer account identifiers. Generally, one software application uses the same customer account identifier throughout its life cycle while one account may be used for multiple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Constant Currency Dollar-Based Net Expansion Rate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Agora calculates Dollar-Based Net Expansion Rate for a trailing 12-month period by first identifying all customers in the prior 12-month period, and then calculating the quotient from dividing the revenue generated from such customers in the trailing 12-month period by the revenue generated from the same group of customers in the prior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257175</wp:posOffset>
            </wp:positionV>
            <wp:extent cx="719582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8" w:name="page9"/>
    <w:bookmarkEnd w:id="8"/>
    <w:p>
      <w:pPr>
        <w:jc w:val="both"/>
        <w:spacing w:after="0" w:line="242" w:lineRule="auto"/>
        <w:rPr>
          <w:sz w:val="20"/>
          <w:szCs w:val="20"/>
          <w:color w:val="auto"/>
        </w:rPr>
      </w:pPr>
      <w:r>
        <w:rPr>
          <w:rFonts w:ascii="Arial" w:cs="Arial" w:eastAsia="Arial" w:hAnsi="Arial"/>
          <w:sz w:val="16"/>
          <w:szCs w:val="16"/>
          <w:color w:val="auto"/>
        </w:rPr>
        <w:t>Constant Currency Dollar-Based Net Expansion Rate is calculated the same way as Dollar-Based Net Expansion Rate but using fixed exchange rates based on the daily average exchange rates prevailing during the prior 12-month period to remove the impact of foreign currency translations. Agora believes Constant Currency Dollar-Based Net Expansion Rate facilitates operating performance comparisons on a period-to-period basis as Agora does not consider the impact of foreign currency fluctuations to be indicative of its core operating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Safe Harbor Statements</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Agora’s financial outlook, beliefs and expectations. Forward-looking statements include statements containing words such as “expect,” “anticipate,” “believe,” “project,” “will” and similar expressions intended to identify forward-looking statements. Among other things, the Financial Outlook in this announcement contain forward-looking statements. These forward-looking statements are based on Agora’s current expectations and involve risks and uncertainties. Agora’s actual results and the timing of events could differ materially from those anticipated in such forward-looking statements as a result of these risks and uncertainties, which include, without limitation, risks related to the growth of the RTE-PaaS market; Agora’s ability to manage its growth and expand its operations; the continued impact of the COVID-19 pandemic on global markets and Agora’s business, operations and customers; Agora’s ability to attract new developers and convert them into customers; Agora’s ability to retain existing customers and expand their usage of Agora’s platform and products; Agora’s ability to drive popularity of existing use cases and enable new use cases, including through quality enhancements and introduction of new products, features and functionalities; Agora’s fluctuating operating results; competition; the effect of broader technological and market trends on Agora’s business and prospects; general economic conditions and their impact on customer and end-user demand; and other risks and uncertainties included elsewhere in our filings with the Securities and Exchange Commission, including, without limitation, the final prospectus related to the IPO filed with the SEC on June 26, 2020. You are cautioned not to place undue reliance on these forward-looking statements, which speak only as of the date of this press release. All forward-looking statements are qualified in their entirety by this cautionary statement, and Agora undertakes no obligation to revise or update any forward-looking statements to reflect events or circumstances after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Agora</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0A0A0A"/>
        </w:rPr>
        <w:t>Agora’s mission is to make real-time engagement ubiquitous, allowing everyone to interact with anyone, in any app, anytime and anywhere. Agora’s cloud platform provides developers simple, flexible and powerful application programming interfaces, or APIs, to embed real-time video, voice and chat experiences into their applications. Agora maintains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257175</wp:posOffset>
            </wp:positionV>
            <wp:extent cx="719582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0A0A0A"/>
        </w:rPr>
        <w:t>dual headquarters in Shanghai, China and Santa Clara,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please visit: </w:t>
      </w:r>
      <w:r>
        <w:rPr>
          <w:rFonts w:ascii="Arial" w:cs="Arial" w:eastAsia="Arial" w:hAnsi="Arial"/>
          <w:sz w:val="16"/>
          <w:szCs w:val="16"/>
          <w:i w:val="1"/>
          <w:iCs w:val="1"/>
          <w:color w:val="auto"/>
        </w:rPr>
        <w:t>www.agora.io</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Contact</w:t>
      </w:r>
      <w:r>
        <w:rPr>
          <w:rFonts w:ascii="Arial" w:cs="Arial" w:eastAsia="Arial" w:hAnsi="Arial"/>
          <w:sz w:val="16"/>
          <w:szCs w:val="16"/>
          <w:u w:val="single" w:color="auto"/>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Fionna Chen</w:t>
      </w:r>
    </w:p>
    <w:p>
      <w:pPr>
        <w:spacing w:after="0"/>
        <w:rPr>
          <w:sz w:val="20"/>
          <w:szCs w:val="20"/>
          <w:color w:val="auto"/>
        </w:rPr>
      </w:pPr>
      <w:r>
        <w:rPr>
          <w:rFonts w:ascii="Arial" w:cs="Arial" w:eastAsia="Arial" w:hAnsi="Arial"/>
          <w:sz w:val="16"/>
          <w:szCs w:val="16"/>
          <w:u w:val="single" w:color="auto"/>
          <w:color w:val="auto"/>
        </w:rPr>
        <w:t>investor@agora.io</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Media Contact</w:t>
      </w:r>
      <w:r>
        <w:rPr>
          <w:rFonts w:ascii="Arial" w:cs="Arial" w:eastAsia="Arial" w:hAnsi="Arial"/>
          <w:sz w:val="16"/>
          <w:szCs w:val="16"/>
          <w:u w:val="single" w:color="auto"/>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Suzanne Nguyen</w:t>
      </w:r>
    </w:p>
    <w:p>
      <w:pPr>
        <w:spacing w:after="0"/>
        <w:rPr>
          <w:sz w:val="20"/>
          <w:szCs w:val="20"/>
          <w:color w:val="auto"/>
        </w:rPr>
      </w:pPr>
      <w:r>
        <w:rPr>
          <w:rFonts w:ascii="Arial" w:cs="Arial" w:eastAsia="Arial" w:hAnsi="Arial"/>
          <w:sz w:val="16"/>
          <w:szCs w:val="16"/>
          <w:u w:val="single" w:color="auto"/>
          <w:color w:val="auto"/>
        </w:rPr>
        <w:t>press@agora.io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506730</wp:posOffset>
            </wp:positionV>
            <wp:extent cx="719582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0159"/>
          </w:cols>
          <w:pgMar w:left="300" w:top="531" w:right="1440"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Agora,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6"/>
          <w:szCs w:val="16"/>
          <w:b w:val="1"/>
          <w:bCs w:val="1"/>
          <w:color w:val="auto"/>
        </w:rPr>
        <w:t>(Unaudited, in US$ thousands)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137795</wp:posOffset>
            </wp:positionV>
            <wp:extent cx="6546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Prepayments and other current 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current 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685" cy="6985"/>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17145</wp:posOffset>
            </wp:positionV>
            <wp:extent cx="6546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Liabilities and shareholders' equity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Advances from customers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Taxes payable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Current operating lease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current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Long-term payable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Long-term operating lease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3175</wp:posOffset>
            </wp:positionV>
            <wp:extent cx="65468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Class B ordinary shares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paid-in-capital</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Treasury shares, at cost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3175</wp:posOffset>
            </wp:positionV>
            <wp:extent cx="5194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9430"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3175</wp:posOffset>
            </wp:positionV>
            <wp:extent cx="5194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430"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3175</wp:posOffset>
            </wp:positionV>
            <wp:extent cx="5194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9430" cy="698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17145</wp:posOffset>
            </wp:positionV>
            <wp:extent cx="5194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94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295275</wp:posOffset>
            </wp:positionV>
            <wp:extent cx="719582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1">
            <w:col w:w="11360"/>
          </w:cols>
          <w:pgMar w:left="300" w:top="70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Agora,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rPr>
          <w:sz w:val="20"/>
          <w:szCs w:val="20"/>
          <w:color w:val="auto"/>
        </w:rPr>
      </w:pPr>
      <w:r>
        <w:rPr>
          <w:rFonts w:ascii="Arial" w:cs="Arial" w:eastAsia="Arial" w:hAnsi="Arial"/>
          <w:sz w:val="16"/>
          <w:szCs w:val="16"/>
          <w:b w:val="1"/>
          <w:bCs w:val="1"/>
          <w:color w:val="auto"/>
        </w:rPr>
        <w:t>(Unaudited, in US$ thousands, except share and per ADS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98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w w:val="97"/>
              </w:rPr>
              <w:t>Three Month Ended March 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80" w:type="dxa"/>
            <w:vAlign w:val="bottom"/>
          </w:tcPr>
          <w:p>
            <w:pPr>
              <w:spacing w:after="0"/>
              <w:rPr>
                <w:sz w:val="17"/>
                <w:szCs w:val="17"/>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2022</w:t>
            </w: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980" w:type="dxa"/>
            <w:vAlign w:val="bottom"/>
          </w:tcPr>
          <w:p>
            <w:pPr>
              <w:spacing w:after="0" w:line="182" w:lineRule="exact"/>
              <w:rPr>
                <w:sz w:val="20"/>
                <w:szCs w:val="20"/>
                <w:color w:val="auto"/>
              </w:rPr>
            </w:pPr>
            <w:r>
              <w:rPr>
                <w:rFonts w:ascii="Arial" w:cs="Arial" w:eastAsia="Arial" w:hAnsi="Arial"/>
                <w:sz w:val="16"/>
                <w:szCs w:val="16"/>
                <w:color w:val="auto"/>
              </w:rPr>
              <w:t>Real-time engagement service revenues</w:t>
            </w:r>
          </w:p>
        </w:tc>
        <w:tc>
          <w:tcPr>
            <w:tcW w:w="1160" w:type="dxa"/>
            <w:vAlign w:val="bottom"/>
          </w:tcPr>
          <w:p>
            <w:pPr>
              <w:jc w:val="right"/>
              <w:ind w:right="2"/>
              <w:spacing w:after="0" w:line="182" w:lineRule="exact"/>
              <w:rPr>
                <w:sz w:val="20"/>
                <w:szCs w:val="20"/>
                <w:color w:val="auto"/>
              </w:rPr>
            </w:pPr>
            <w:r>
              <w:rPr>
                <w:rFonts w:ascii="Arial" w:cs="Arial" w:eastAsia="Arial" w:hAnsi="Arial"/>
                <w:sz w:val="16"/>
                <w:szCs w:val="16"/>
                <w:color w:val="auto"/>
              </w:rPr>
              <w:t>37,057</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39,487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980" w:type="dxa"/>
            <w:vAlign w:val="bottom"/>
          </w:tcPr>
          <w:p>
            <w:pPr>
              <w:spacing w:after="0"/>
              <w:rPr>
                <w:sz w:val="20"/>
                <w:szCs w:val="20"/>
                <w:color w:val="auto"/>
              </w:rPr>
            </w:pPr>
            <w:r>
              <w:rPr>
                <w:rFonts w:ascii="Arial" w:cs="Arial" w:eastAsia="Arial" w:hAnsi="Arial"/>
                <w:sz w:val="16"/>
                <w:szCs w:val="16"/>
                <w:color w:val="auto"/>
              </w:rPr>
              <w:t>Other revenues</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980" w:type="dxa"/>
            <w:vAlign w:val="bottom"/>
          </w:tcPr>
          <w:p>
            <w:pPr>
              <w:spacing w:after="0" w:line="182" w:lineRule="exact"/>
              <w:rPr>
                <w:sz w:val="20"/>
                <w:szCs w:val="20"/>
                <w:color w:val="auto"/>
              </w:rPr>
            </w:pPr>
            <w:r>
              <w:rPr>
                <w:rFonts w:ascii="Arial" w:cs="Arial" w:eastAsia="Arial" w:hAnsi="Arial"/>
                <w:sz w:val="16"/>
                <w:szCs w:val="16"/>
                <w:color w:val="auto"/>
              </w:rPr>
              <w:t>Total revenues</w:t>
            </w:r>
          </w:p>
        </w:tc>
        <w:tc>
          <w:tcPr>
            <w:tcW w:w="1160" w:type="dxa"/>
            <w:vAlign w:val="bottom"/>
          </w:tcPr>
          <w:p>
            <w:pPr>
              <w:jc w:val="right"/>
              <w:ind w:right="2"/>
              <w:spacing w:after="0" w:line="182" w:lineRule="exact"/>
              <w:rPr>
                <w:sz w:val="20"/>
                <w:szCs w:val="20"/>
                <w:color w:val="auto"/>
              </w:rPr>
            </w:pPr>
            <w:r>
              <w:rPr>
                <w:rFonts w:ascii="Arial" w:cs="Arial" w:eastAsia="Arial" w:hAnsi="Arial"/>
                <w:sz w:val="16"/>
                <w:szCs w:val="16"/>
                <w:color w:val="auto"/>
              </w:rPr>
              <w:t>38,585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40,225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6"/>
                <w:szCs w:val="16"/>
                <w:color w:val="auto"/>
              </w:rPr>
              <w:t>Cost of revenues</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14,511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980" w:type="dxa"/>
            <w:vAlign w:val="bottom"/>
          </w:tcPr>
          <w:p>
            <w:pPr>
              <w:spacing w:after="0"/>
              <w:rPr>
                <w:sz w:val="20"/>
                <w:szCs w:val="20"/>
                <w:color w:val="auto"/>
              </w:rPr>
            </w:pPr>
            <w:r>
              <w:rPr>
                <w:rFonts w:ascii="Arial" w:cs="Arial" w:eastAsia="Arial" w:hAnsi="Arial"/>
                <w:sz w:val="16"/>
                <w:szCs w:val="16"/>
                <w:color w:val="auto"/>
              </w:rPr>
              <w:t>Gross profit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6"/>
                <w:szCs w:val="16"/>
                <w:color w:val="auto"/>
              </w:rPr>
              <w:t>Operating expenses:</w:t>
            </w: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31,034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9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1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25,216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980" w:type="dxa"/>
            <w:vAlign w:val="bottom"/>
          </w:tcPr>
          <w:p>
            <w:pPr>
              <w:ind w:left="10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13,856</w:t>
            </w:r>
          </w:p>
        </w:tc>
        <w:tc>
          <w:tcPr>
            <w:tcW w:w="980" w:type="dxa"/>
            <w:vAlign w:val="bottom"/>
          </w:tcPr>
          <w:p>
            <w:pPr>
              <w:jc w:val="right"/>
              <w:spacing w:after="0"/>
              <w:rPr>
                <w:sz w:val="20"/>
                <w:szCs w:val="20"/>
                <w:color w:val="auto"/>
              </w:rPr>
            </w:pPr>
            <w:r>
              <w:rPr>
                <w:rFonts w:ascii="Arial" w:cs="Arial" w:eastAsia="Arial" w:hAnsi="Arial"/>
                <w:sz w:val="16"/>
                <w:szCs w:val="16"/>
                <w:color w:val="auto"/>
              </w:rPr>
              <w:t>8,735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100"/>
              <w:spacing w:after="0"/>
              <w:rPr>
                <w:sz w:val="20"/>
                <w:szCs w:val="20"/>
                <w:color w:val="auto"/>
              </w:rPr>
            </w:pPr>
            <w:r>
              <w:rPr>
                <w:rFonts w:ascii="Arial" w:cs="Arial" w:eastAsia="Arial" w:hAnsi="Arial"/>
                <w:sz w:val="16"/>
                <w:szCs w:val="16"/>
                <w:color w:val="auto"/>
              </w:rPr>
              <w:t>General and administrative</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980" w:type="dxa"/>
            <w:vAlign w:val="bottom"/>
          </w:tcPr>
          <w:p>
            <w:pPr>
              <w:spacing w:after="0" w:line="182" w:lineRule="exact"/>
              <w:rPr>
                <w:sz w:val="20"/>
                <w:szCs w:val="20"/>
                <w:color w:val="auto"/>
              </w:rPr>
            </w:pPr>
            <w:r>
              <w:rPr>
                <w:rFonts w:ascii="Arial" w:cs="Arial" w:eastAsia="Arial" w:hAnsi="Arial"/>
                <w:sz w:val="16"/>
                <w:szCs w:val="16"/>
                <w:color w:val="auto"/>
              </w:rPr>
              <w:t>Total operating expenses</w:t>
            </w:r>
          </w:p>
        </w:tc>
        <w:tc>
          <w:tcPr>
            <w:tcW w:w="1160" w:type="dxa"/>
            <w:vAlign w:val="bottom"/>
          </w:tcPr>
          <w:p>
            <w:pPr>
              <w:jc w:val="right"/>
              <w:ind w:right="2"/>
              <w:spacing w:after="0" w:line="182" w:lineRule="exact"/>
              <w:rPr>
                <w:sz w:val="20"/>
                <w:szCs w:val="20"/>
                <w:color w:val="auto"/>
              </w:rPr>
            </w:pPr>
            <w:r>
              <w:rPr>
                <w:rFonts w:ascii="Arial" w:cs="Arial" w:eastAsia="Arial" w:hAnsi="Arial"/>
                <w:sz w:val="16"/>
                <w:szCs w:val="16"/>
                <w:color w:val="auto"/>
              </w:rPr>
              <w:t>54,120</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39,672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6"/>
                <w:szCs w:val="16"/>
                <w:color w:val="auto"/>
              </w:rPr>
              <w:t>Other operating income</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980" w:type="dxa"/>
            <w:vAlign w:val="bottom"/>
          </w:tcPr>
          <w:p>
            <w:pPr>
              <w:spacing w:after="0" w:line="182" w:lineRule="exact"/>
              <w:rPr>
                <w:sz w:val="20"/>
                <w:szCs w:val="20"/>
                <w:color w:val="auto"/>
              </w:rPr>
            </w:pPr>
            <w:r>
              <w:rPr>
                <w:rFonts w:ascii="Arial" w:cs="Arial" w:eastAsia="Arial" w:hAnsi="Arial"/>
                <w:sz w:val="16"/>
                <w:szCs w:val="16"/>
                <w:color w:val="auto"/>
              </w:rPr>
              <w:t>Loss from operations</w:t>
            </w:r>
          </w:p>
        </w:tc>
        <w:tc>
          <w:tcPr>
            <w:tcW w:w="1160" w:type="dxa"/>
            <w:vAlign w:val="bottom"/>
          </w:tcPr>
          <w:p>
            <w:pPr>
              <w:jc w:val="right"/>
              <w:ind w:right="2"/>
              <w:spacing w:after="0" w:line="182" w:lineRule="exact"/>
              <w:rPr>
                <w:sz w:val="20"/>
                <w:szCs w:val="20"/>
                <w:color w:val="auto"/>
              </w:rPr>
            </w:pPr>
            <w:r>
              <w:rPr>
                <w:rFonts w:ascii="Arial" w:cs="Arial" w:eastAsia="Arial" w:hAnsi="Arial"/>
                <w:sz w:val="16"/>
                <w:szCs w:val="16"/>
                <w:color w:val="auto"/>
              </w:rPr>
              <w:t>(29,008)</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(16,012)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980" w:type="dxa"/>
            <w:vAlign w:val="bottom"/>
          </w:tcPr>
          <w:p>
            <w:pPr>
              <w:spacing w:after="0"/>
              <w:rPr>
                <w:sz w:val="20"/>
                <w:szCs w:val="20"/>
                <w:color w:val="auto"/>
              </w:rPr>
            </w:pPr>
            <w:r>
              <w:rPr>
                <w:rFonts w:ascii="Arial" w:cs="Arial" w:eastAsia="Arial" w:hAnsi="Arial"/>
                <w:sz w:val="16"/>
                <w:szCs w:val="16"/>
                <w:color w:val="auto"/>
              </w:rPr>
              <w:t>Exchange gain (loss)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266</w:t>
            </w:r>
          </w:p>
        </w:tc>
        <w:tc>
          <w:tcPr>
            <w:tcW w:w="980" w:type="dxa"/>
            <w:vAlign w:val="bottom"/>
          </w:tcPr>
          <w:p>
            <w:pPr>
              <w:jc w:val="right"/>
              <w:spacing w:after="0"/>
              <w:rPr>
                <w:sz w:val="20"/>
                <w:szCs w:val="20"/>
                <w:color w:val="auto"/>
              </w:rPr>
            </w:pPr>
            <w:r>
              <w:rPr>
                <w:rFonts w:ascii="Arial" w:cs="Arial" w:eastAsia="Arial" w:hAnsi="Arial"/>
                <w:sz w:val="16"/>
                <w:szCs w:val="16"/>
                <w:color w:val="auto"/>
              </w:rPr>
              <w:t>(695)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80" w:type="dxa"/>
            <w:vAlign w:val="bottom"/>
          </w:tcPr>
          <w:p>
            <w:pPr>
              <w:spacing w:after="0"/>
              <w:rPr>
                <w:sz w:val="20"/>
                <w:szCs w:val="20"/>
                <w:color w:val="auto"/>
              </w:rPr>
            </w:pPr>
            <w:r>
              <w:rPr>
                <w:rFonts w:ascii="Arial" w:cs="Arial" w:eastAsia="Arial" w:hAnsi="Arial"/>
                <w:sz w:val="16"/>
                <w:szCs w:val="16"/>
                <w:color w:val="auto"/>
              </w:rPr>
              <w:t>Interest income</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1,836</w:t>
            </w:r>
          </w:p>
        </w:tc>
        <w:tc>
          <w:tcPr>
            <w:tcW w:w="980" w:type="dxa"/>
            <w:vAlign w:val="bottom"/>
          </w:tcPr>
          <w:p>
            <w:pPr>
              <w:jc w:val="right"/>
              <w:spacing w:after="0"/>
              <w:rPr>
                <w:sz w:val="20"/>
                <w:szCs w:val="20"/>
                <w:color w:val="auto"/>
              </w:rPr>
            </w:pPr>
            <w:r>
              <w:rPr>
                <w:rFonts w:ascii="Arial" w:cs="Arial" w:eastAsia="Arial" w:hAnsi="Arial"/>
                <w:sz w:val="16"/>
                <w:szCs w:val="16"/>
                <w:color w:val="auto"/>
              </w:rPr>
              <w:t>2,036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6"/>
                <w:szCs w:val="16"/>
                <w:color w:val="auto"/>
              </w:rPr>
              <w:t>Investment income</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980" w:type="dxa"/>
            <w:vAlign w:val="bottom"/>
          </w:tcPr>
          <w:p>
            <w:pPr>
              <w:spacing w:after="0" w:line="182" w:lineRule="exact"/>
              <w:rPr>
                <w:sz w:val="20"/>
                <w:szCs w:val="20"/>
                <w:color w:val="auto"/>
              </w:rPr>
            </w:pPr>
            <w:r>
              <w:rPr>
                <w:rFonts w:ascii="Arial" w:cs="Arial" w:eastAsia="Arial" w:hAnsi="Arial"/>
                <w:sz w:val="16"/>
                <w:szCs w:val="16"/>
                <w:color w:val="auto"/>
              </w:rPr>
              <w:t>Loss before income taxes</w:t>
            </w:r>
          </w:p>
        </w:tc>
        <w:tc>
          <w:tcPr>
            <w:tcW w:w="1160" w:type="dxa"/>
            <w:vAlign w:val="bottom"/>
          </w:tcPr>
          <w:p>
            <w:pPr>
              <w:jc w:val="right"/>
              <w:ind w:right="102"/>
              <w:spacing w:after="0" w:line="182" w:lineRule="exact"/>
              <w:rPr>
                <w:sz w:val="20"/>
                <w:szCs w:val="20"/>
                <w:color w:val="auto"/>
              </w:rPr>
            </w:pPr>
            <w:r>
              <w:rPr>
                <w:rFonts w:ascii="Arial" w:cs="Arial" w:eastAsia="Arial" w:hAnsi="Arial"/>
                <w:sz w:val="16"/>
                <w:szCs w:val="16"/>
                <w:color w:val="auto"/>
              </w:rPr>
              <w:t>(26,906)</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(14,670)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980" w:type="dxa"/>
            <w:vAlign w:val="bottom"/>
          </w:tcPr>
          <w:p>
            <w:pPr>
              <w:spacing w:after="0"/>
              <w:rPr>
                <w:sz w:val="20"/>
                <w:szCs w:val="20"/>
                <w:color w:val="auto"/>
              </w:rPr>
            </w:pPr>
            <w:r>
              <w:rPr>
                <w:rFonts w:ascii="Arial" w:cs="Arial" w:eastAsia="Arial" w:hAnsi="Arial"/>
                <w:sz w:val="16"/>
                <w:szCs w:val="16"/>
                <w:color w:val="auto"/>
              </w:rPr>
              <w:t>Income taxes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6"/>
                <w:szCs w:val="16"/>
                <w:color w:val="auto"/>
              </w:rPr>
              <w:t>Equity in loss of affiliates</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9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(26,944)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980" w:type="dxa"/>
            <w:vAlign w:val="bottom"/>
          </w:tcPr>
          <w:p>
            <w:pPr>
              <w:spacing w:after="0" w:line="181" w:lineRule="exact"/>
              <w:rPr>
                <w:sz w:val="20"/>
                <w:szCs w:val="20"/>
                <w:color w:val="auto"/>
              </w:rPr>
            </w:pPr>
            <w:r>
              <w:rPr>
                <w:rFonts w:ascii="Arial" w:cs="Arial" w:eastAsia="Arial" w:hAnsi="Arial"/>
                <w:sz w:val="16"/>
                <w:szCs w:val="16"/>
                <w:color w:val="auto"/>
              </w:rPr>
              <w:t>Net loss attributable to ordinary shareholders</w:t>
            </w:r>
          </w:p>
        </w:tc>
        <w:tc>
          <w:tcPr>
            <w:tcW w:w="11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(26,944)</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(14,691)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980" w:type="dxa"/>
            <w:vAlign w:val="bottom"/>
            <w:vMerge w:val="continue"/>
          </w:tcPr>
          <w:p>
            <w:pPr>
              <w:spacing w:after="0"/>
              <w:rPr>
                <w:sz w:val="16"/>
                <w:szCs w:val="16"/>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98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11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100"/>
              <w:spacing w:after="0"/>
              <w:rPr>
                <w:sz w:val="20"/>
                <w:szCs w:val="20"/>
                <w:color w:val="auto"/>
              </w:rPr>
            </w:pPr>
            <w:r>
              <w:rPr>
                <w:rFonts w:ascii="Arial" w:cs="Arial" w:eastAsia="Arial" w:hAnsi="Arial"/>
                <w:sz w:val="16"/>
                <w:szCs w:val="16"/>
                <w:color w:val="auto"/>
              </w:rPr>
              <w:t>Unrealized loss on available-for-sale debt securities</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8980" w:type="dxa"/>
            <w:vAlign w:val="bottom"/>
          </w:tcPr>
          <w:p>
            <w:pPr>
              <w:spacing w:after="0" w:line="170" w:lineRule="exact"/>
              <w:rPr>
                <w:sz w:val="20"/>
                <w:szCs w:val="20"/>
                <w:color w:val="auto"/>
              </w:rPr>
            </w:pPr>
            <w:r>
              <w:rPr>
                <w:rFonts w:ascii="Arial" w:cs="Arial" w:eastAsia="Arial" w:hAnsi="Arial"/>
                <w:sz w:val="16"/>
                <w:szCs w:val="16"/>
                <w:color w:val="auto"/>
              </w:rPr>
              <w:t>Total comprehensive loss attributable to ordinary shareholders</w:t>
            </w:r>
          </w:p>
        </w:tc>
        <w:tc>
          <w:tcPr>
            <w:tcW w:w="1160" w:type="dxa"/>
            <w:vAlign w:val="bottom"/>
            <w:tcBorders>
              <w:bottom w:val="single" w:sz="8" w:color="auto"/>
            </w:tcBorders>
          </w:tcPr>
          <w:p>
            <w:pPr>
              <w:jc w:val="right"/>
              <w:ind w:right="2"/>
              <w:spacing w:after="0" w:line="170" w:lineRule="exact"/>
              <w:rPr>
                <w:sz w:val="20"/>
                <w:szCs w:val="20"/>
                <w:color w:val="auto"/>
              </w:rPr>
            </w:pPr>
            <w:r>
              <w:rPr>
                <w:rFonts w:ascii="Arial" w:cs="Arial" w:eastAsia="Arial" w:hAnsi="Arial"/>
                <w:sz w:val="16"/>
                <w:szCs w:val="16"/>
                <w:color w:val="auto"/>
              </w:rPr>
              <w:t>(27,039)</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(14,815)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8980" w:type="dxa"/>
            <w:vAlign w:val="bottom"/>
          </w:tcPr>
          <w:p>
            <w:pPr>
              <w:spacing w:after="0"/>
              <w:rPr>
                <w:sz w:val="20"/>
                <w:szCs w:val="20"/>
                <w:color w:val="auto"/>
              </w:rPr>
            </w:pPr>
            <w:r>
              <w:rPr>
                <w:rFonts w:ascii="Arial" w:cs="Arial" w:eastAsia="Arial" w:hAnsi="Arial"/>
                <w:sz w:val="16"/>
                <w:szCs w:val="16"/>
                <w:color w:val="auto"/>
              </w:rPr>
              <w:t>Net loss per ADS attributable to ordinary shareholders, basic and diluted</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(0.24)</w:t>
            </w:r>
          </w:p>
        </w:tc>
        <w:tc>
          <w:tcPr>
            <w:tcW w:w="980" w:type="dxa"/>
            <w:vAlign w:val="bottom"/>
          </w:tcPr>
          <w:p>
            <w:pPr>
              <w:jc w:val="right"/>
              <w:spacing w:after="0"/>
              <w:rPr>
                <w:sz w:val="20"/>
                <w:szCs w:val="20"/>
                <w:color w:val="auto"/>
              </w:rPr>
            </w:pPr>
            <w:r>
              <w:rPr>
                <w:rFonts w:ascii="Arial" w:cs="Arial" w:eastAsia="Arial" w:hAnsi="Arial"/>
                <w:sz w:val="16"/>
                <w:szCs w:val="16"/>
                <w:color w:val="auto"/>
              </w:rPr>
              <w:t>(0.14)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980" w:type="dxa"/>
            <w:vAlign w:val="bottom"/>
          </w:tcPr>
          <w:p>
            <w:pPr>
              <w:spacing w:after="0"/>
              <w:rPr>
                <w:sz w:val="20"/>
                <w:szCs w:val="20"/>
                <w:color w:val="auto"/>
              </w:rPr>
            </w:pPr>
            <w:r>
              <w:rPr>
                <w:rFonts w:ascii="Arial" w:cs="Arial" w:eastAsia="Arial" w:hAnsi="Arial"/>
                <w:sz w:val="16"/>
                <w:szCs w:val="16"/>
                <w:color w:val="auto"/>
                <w:w w:val="97"/>
              </w:rPr>
              <w:t>Weighted-average shares outstanding used in computing net loss per ADS attributable to ordinary shareholders, basic and diluted</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451,058,043</w:t>
            </w:r>
          </w:p>
        </w:tc>
        <w:tc>
          <w:tcPr>
            <w:tcW w:w="980" w:type="dxa"/>
            <w:vAlign w:val="bottom"/>
          </w:tcPr>
          <w:p>
            <w:pPr>
              <w:jc w:val="right"/>
              <w:spacing w:after="0"/>
              <w:rPr>
                <w:sz w:val="20"/>
                <w:szCs w:val="20"/>
                <w:color w:val="auto"/>
              </w:rPr>
            </w:pPr>
            <w:r>
              <w:rPr>
                <w:rFonts w:ascii="Arial" w:cs="Arial" w:eastAsia="Arial" w:hAnsi="Arial"/>
                <w:sz w:val="16"/>
                <w:szCs w:val="16"/>
                <w:color w:val="auto"/>
              </w:rPr>
              <w:t>431,636,717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980" w:type="dxa"/>
            <w:vAlign w:val="bottom"/>
          </w:tcPr>
          <w:p>
            <w:pPr>
              <w:spacing w:after="0"/>
              <w:rPr>
                <w:sz w:val="20"/>
                <w:szCs w:val="20"/>
                <w:color w:val="auto"/>
              </w:rPr>
            </w:pPr>
            <w:r>
              <w:rPr>
                <w:rFonts w:ascii="Arial" w:cs="Arial" w:eastAsia="Arial" w:hAnsi="Arial"/>
                <w:sz w:val="16"/>
                <w:szCs w:val="16"/>
                <w:color w:val="auto"/>
              </w:rPr>
              <w:t>Share-based compensation expenses included in:</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980" w:type="dxa"/>
            <w:vAlign w:val="bottom"/>
          </w:tcPr>
          <w:p>
            <w:pPr>
              <w:ind w:left="100"/>
              <w:spacing w:after="0"/>
              <w:rPr>
                <w:sz w:val="20"/>
                <w:szCs w:val="20"/>
                <w:color w:val="auto"/>
              </w:rPr>
            </w:pPr>
            <w:r>
              <w:rPr>
                <w:rFonts w:ascii="Arial" w:cs="Arial" w:eastAsia="Arial" w:hAnsi="Arial"/>
                <w:sz w:val="16"/>
                <w:szCs w:val="16"/>
                <w:color w:val="auto"/>
              </w:rPr>
              <w:t>Cost of revenues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246</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80" w:type="dxa"/>
            <w:vAlign w:val="bottom"/>
          </w:tcPr>
          <w:p>
            <w:pPr>
              <w:ind w:left="100"/>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5,353</w:t>
            </w:r>
          </w:p>
        </w:tc>
        <w:tc>
          <w:tcPr>
            <w:tcW w:w="980" w:type="dxa"/>
            <w:vAlign w:val="bottom"/>
          </w:tcPr>
          <w:p>
            <w:pPr>
              <w:jc w:val="right"/>
              <w:spacing w:after="0"/>
              <w:rPr>
                <w:sz w:val="20"/>
                <w:szCs w:val="20"/>
                <w:color w:val="auto"/>
              </w:rPr>
            </w:pPr>
            <w:r>
              <w:rPr>
                <w:rFonts w:ascii="Arial" w:cs="Arial" w:eastAsia="Arial" w:hAnsi="Arial"/>
                <w:sz w:val="16"/>
                <w:szCs w:val="16"/>
                <w:color w:val="auto"/>
              </w:rPr>
              <w:t>3,760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80" w:type="dxa"/>
            <w:vAlign w:val="bottom"/>
          </w:tcPr>
          <w:p>
            <w:pPr>
              <w:ind w:left="100"/>
              <w:spacing w:after="0"/>
              <w:rPr>
                <w:sz w:val="20"/>
                <w:szCs w:val="20"/>
                <w:color w:val="auto"/>
              </w:rPr>
            </w:pPr>
            <w:r>
              <w:rPr>
                <w:rFonts w:ascii="Arial" w:cs="Arial" w:eastAsia="Arial" w:hAnsi="Arial"/>
                <w:sz w:val="16"/>
                <w:szCs w:val="16"/>
                <w:color w:val="auto"/>
              </w:rPr>
              <w:t>Sales and marketing expenses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1,947</w:t>
            </w:r>
          </w:p>
        </w:tc>
        <w:tc>
          <w:tcPr>
            <w:tcW w:w="980" w:type="dxa"/>
            <w:vAlign w:val="bottom"/>
          </w:tcPr>
          <w:p>
            <w:pPr>
              <w:jc w:val="right"/>
              <w:spacing w:after="0"/>
              <w:rPr>
                <w:sz w:val="20"/>
                <w:szCs w:val="20"/>
                <w:color w:val="auto"/>
              </w:rPr>
            </w:pPr>
            <w:r>
              <w:rPr>
                <w:rFonts w:ascii="Arial" w:cs="Arial" w:eastAsia="Arial" w:hAnsi="Arial"/>
                <w:sz w:val="16"/>
                <w:szCs w:val="16"/>
                <w:color w:val="auto"/>
              </w:rPr>
              <w:t>956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80" w:type="dxa"/>
            <w:vAlign w:val="bottom"/>
          </w:tcPr>
          <w:p>
            <w:pPr>
              <w:ind w:left="100"/>
              <w:spacing w:after="0"/>
              <w:rPr>
                <w:sz w:val="20"/>
                <w:szCs w:val="20"/>
                <w:color w:val="auto"/>
              </w:rPr>
            </w:pPr>
            <w:r>
              <w:rPr>
                <w:rFonts w:ascii="Arial" w:cs="Arial" w:eastAsia="Arial" w:hAnsi="Arial"/>
                <w:sz w:val="16"/>
                <w:szCs w:val="16"/>
                <w:color w:val="auto"/>
              </w:rPr>
              <w:t>General and administrative expenses</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1,835</w:t>
            </w:r>
          </w:p>
        </w:tc>
        <w:tc>
          <w:tcPr>
            <w:tcW w:w="980" w:type="dxa"/>
            <w:vAlign w:val="bottom"/>
          </w:tcPr>
          <w:p>
            <w:pPr>
              <w:jc w:val="right"/>
              <w:spacing w:after="0"/>
              <w:rPr>
                <w:sz w:val="20"/>
                <w:szCs w:val="20"/>
                <w:color w:val="auto"/>
              </w:rPr>
            </w:pPr>
            <w:r>
              <w:rPr>
                <w:rFonts w:ascii="Arial" w:cs="Arial" w:eastAsia="Arial" w:hAnsi="Arial"/>
                <w:sz w:val="16"/>
                <w:szCs w:val="16"/>
                <w:color w:val="auto"/>
              </w:rPr>
              <w:t>1,226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2"/>
        </w:trPr>
        <w:tc>
          <w:tcPr>
            <w:tcW w:w="8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Agora,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rPr>
          <w:sz w:val="20"/>
          <w:szCs w:val="20"/>
          <w:color w:val="auto"/>
        </w:rPr>
      </w:pPr>
      <w:r>
        <w:rPr>
          <w:rFonts w:ascii="Arial" w:cs="Arial" w:eastAsia="Arial" w:hAnsi="Arial"/>
          <w:sz w:val="16"/>
          <w:szCs w:val="16"/>
          <w:b w:val="1"/>
          <w:bCs w:val="1"/>
          <w:color w:val="auto"/>
        </w:rPr>
        <w:t>(Unaudited, in US$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80" w:type="dxa"/>
            <w:vAlign w:val="bottom"/>
          </w:tcPr>
          <w:p>
            <w:pPr>
              <w:spacing w:after="0"/>
              <w:rPr>
                <w:sz w:val="17"/>
                <w:szCs w:val="17"/>
                <w:color w:val="auto"/>
              </w:rPr>
            </w:pPr>
          </w:p>
        </w:tc>
        <w:tc>
          <w:tcPr>
            <w:tcW w:w="2820" w:type="dxa"/>
            <w:vAlign w:val="bottom"/>
            <w:gridSpan w:val="2"/>
          </w:tcPr>
          <w:p>
            <w:pPr>
              <w:jc w:val="right"/>
              <w:ind w:right="282"/>
              <w:spacing w:after="0"/>
              <w:rPr>
                <w:sz w:val="20"/>
                <w:szCs w:val="20"/>
                <w:color w:val="auto"/>
              </w:rPr>
            </w:pPr>
            <w:r>
              <w:rPr>
                <w:rFonts w:ascii="Arial" w:cs="Arial" w:eastAsia="Arial" w:hAnsi="Arial"/>
                <w:sz w:val="16"/>
                <w:szCs w:val="16"/>
                <w:color w:val="auto"/>
              </w:rPr>
              <w:t>Three Month Ended March 31,</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6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2022</w:t>
            </w: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2021</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Net loss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(26,944)</w:t>
            </w:r>
          </w:p>
        </w:tc>
        <w:tc>
          <w:tcPr>
            <w:tcW w:w="1140" w:type="dxa"/>
            <w:vAlign w:val="bottom"/>
          </w:tcPr>
          <w:p>
            <w:pPr>
              <w:jc w:val="right"/>
              <w:spacing w:after="0"/>
              <w:rPr>
                <w:sz w:val="20"/>
                <w:szCs w:val="20"/>
                <w:color w:val="auto"/>
              </w:rPr>
            </w:pPr>
            <w:r>
              <w:rPr>
                <w:rFonts w:ascii="Arial" w:cs="Arial" w:eastAsia="Arial" w:hAnsi="Arial"/>
                <w:sz w:val="16"/>
                <w:szCs w:val="16"/>
                <w:color w:val="auto"/>
              </w:rPr>
              <w:t>(14,691)</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w:t>
            </w: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activities:</w:t>
            </w: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9,381</w:t>
            </w:r>
          </w:p>
        </w:tc>
        <w:tc>
          <w:tcPr>
            <w:tcW w:w="1140" w:type="dxa"/>
            <w:vAlign w:val="bottom"/>
          </w:tcPr>
          <w:p>
            <w:pPr>
              <w:jc w:val="right"/>
              <w:spacing w:after="0"/>
              <w:rPr>
                <w:sz w:val="20"/>
                <w:szCs w:val="20"/>
                <w:color w:val="auto"/>
              </w:rPr>
            </w:pPr>
            <w:r>
              <w:rPr>
                <w:rFonts w:ascii="Arial" w:cs="Arial" w:eastAsia="Arial" w:hAnsi="Arial"/>
                <w:sz w:val="16"/>
                <w:szCs w:val="16"/>
                <w:color w:val="auto"/>
              </w:rPr>
              <w:t>6,075</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980" w:type="dxa"/>
            <w:vAlign w:val="bottom"/>
          </w:tcPr>
          <w:p>
            <w:pPr>
              <w:spacing w:after="0" w:line="179" w:lineRule="exact"/>
              <w:rPr>
                <w:sz w:val="20"/>
                <w:szCs w:val="20"/>
                <w:color w:val="auto"/>
              </w:rPr>
            </w:pPr>
            <w:r>
              <w:rPr>
                <w:rFonts w:ascii="Arial" w:cs="Arial" w:eastAsia="Arial" w:hAnsi="Arial"/>
                <w:sz w:val="16"/>
                <w:szCs w:val="16"/>
                <w:color w:val="auto"/>
              </w:rPr>
              <w:t>Allowance for current expected credit losses</w:t>
            </w:r>
          </w:p>
        </w:tc>
        <w:tc>
          <w:tcPr>
            <w:tcW w:w="1680" w:type="dxa"/>
            <w:vAlign w:val="bottom"/>
          </w:tcPr>
          <w:p>
            <w:pPr>
              <w:jc w:val="right"/>
              <w:ind w:right="202"/>
              <w:spacing w:after="0" w:line="179" w:lineRule="exact"/>
              <w:rPr>
                <w:sz w:val="20"/>
                <w:szCs w:val="20"/>
                <w:color w:val="auto"/>
              </w:rPr>
            </w:pPr>
            <w:r>
              <w:rPr>
                <w:rFonts w:ascii="Arial" w:cs="Arial" w:eastAsia="Arial" w:hAnsi="Arial"/>
                <w:sz w:val="16"/>
                <w:szCs w:val="16"/>
                <w:color w:val="auto"/>
              </w:rPr>
              <w:t>1,272</w:t>
            </w:r>
          </w:p>
        </w:tc>
        <w:tc>
          <w:tcPr>
            <w:tcW w:w="1140" w:type="dxa"/>
            <w:vAlign w:val="bottom"/>
          </w:tcPr>
          <w:p>
            <w:pPr>
              <w:jc w:val="right"/>
              <w:spacing w:after="0" w:line="179" w:lineRule="exact"/>
              <w:rPr>
                <w:sz w:val="20"/>
                <w:szCs w:val="20"/>
                <w:color w:val="auto"/>
              </w:rPr>
            </w:pPr>
            <w:r>
              <w:rPr>
                <w:rFonts w:ascii="Arial" w:cs="Arial" w:eastAsia="Arial" w:hAnsi="Arial"/>
                <w:sz w:val="16"/>
                <w:szCs w:val="16"/>
                <w:color w:val="auto"/>
              </w:rPr>
              <w:t>523</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Depreciation of property and equipment</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2,473</w:t>
            </w:r>
          </w:p>
        </w:tc>
        <w:tc>
          <w:tcPr>
            <w:tcW w:w="1140" w:type="dxa"/>
            <w:vAlign w:val="bottom"/>
          </w:tcPr>
          <w:p>
            <w:pPr>
              <w:jc w:val="right"/>
              <w:spacing w:after="0"/>
              <w:rPr>
                <w:sz w:val="20"/>
                <w:szCs w:val="20"/>
                <w:color w:val="auto"/>
              </w:rPr>
            </w:pPr>
            <w:r>
              <w:rPr>
                <w:rFonts w:ascii="Arial" w:cs="Arial" w:eastAsia="Arial" w:hAnsi="Arial"/>
                <w:sz w:val="16"/>
                <w:szCs w:val="16"/>
                <w:color w:val="auto"/>
              </w:rPr>
              <w:t>1,899</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579</w:t>
            </w:r>
          </w:p>
        </w:tc>
        <w:tc>
          <w:tcPr>
            <w:tcW w:w="1140" w:type="dxa"/>
            <w:vAlign w:val="bottom"/>
          </w:tcPr>
          <w:p>
            <w:pPr>
              <w:jc w:val="right"/>
              <w:spacing w:after="0"/>
              <w:rPr>
                <w:sz w:val="20"/>
                <w:szCs w:val="20"/>
                <w:color w:val="auto"/>
              </w:rPr>
            </w:pPr>
            <w:r>
              <w:rPr>
                <w:rFonts w:ascii="Arial" w:cs="Arial" w:eastAsia="Arial" w:hAnsi="Arial"/>
                <w:sz w:val="16"/>
                <w:szCs w:val="16"/>
                <w:color w:val="auto"/>
              </w:rPr>
              <w:t>207</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980" w:type="dxa"/>
            <w:vAlign w:val="bottom"/>
          </w:tcPr>
          <w:p>
            <w:pPr>
              <w:spacing w:after="0" w:line="179" w:lineRule="exact"/>
              <w:rPr>
                <w:sz w:val="20"/>
                <w:szCs w:val="20"/>
                <w:color w:val="auto"/>
              </w:rPr>
            </w:pPr>
            <w:r>
              <w:rPr>
                <w:rFonts w:ascii="Arial" w:cs="Arial" w:eastAsia="Arial" w:hAnsi="Arial"/>
                <w:sz w:val="16"/>
                <w:szCs w:val="16"/>
                <w:color w:val="auto"/>
              </w:rPr>
              <w:t>Deferred tax expense</w:t>
            </w:r>
          </w:p>
        </w:tc>
        <w:tc>
          <w:tcPr>
            <w:tcW w:w="1680" w:type="dxa"/>
            <w:vAlign w:val="bottom"/>
          </w:tcPr>
          <w:p>
            <w:pPr>
              <w:jc w:val="right"/>
              <w:ind w:right="202"/>
              <w:spacing w:after="0" w:line="179" w:lineRule="exact"/>
              <w:rPr>
                <w:sz w:val="20"/>
                <w:szCs w:val="20"/>
                <w:color w:val="auto"/>
              </w:rPr>
            </w:pPr>
            <w:r>
              <w:rPr>
                <w:rFonts w:ascii="Arial" w:cs="Arial" w:eastAsia="Arial" w:hAnsi="Arial"/>
                <w:sz w:val="16"/>
                <w:szCs w:val="16"/>
                <w:color w:val="auto"/>
              </w:rPr>
              <w:t>(84)</w:t>
            </w:r>
          </w:p>
        </w:tc>
        <w:tc>
          <w:tcPr>
            <w:tcW w:w="1140" w:type="dxa"/>
            <w:vAlign w:val="bottom"/>
          </w:tcPr>
          <w:p>
            <w:pPr>
              <w:jc w:val="right"/>
              <w:spacing w:after="0" w:line="179" w:lineRule="exact"/>
              <w:rPr>
                <w:sz w:val="20"/>
                <w:szCs w:val="20"/>
                <w:color w:val="auto"/>
              </w:rPr>
            </w:pPr>
            <w:r>
              <w:rPr>
                <w:rFonts w:ascii="Arial" w:cs="Arial" w:eastAsia="Arial" w:hAnsi="Arial"/>
                <w:sz w:val="16"/>
                <w:szCs w:val="16"/>
                <w:color w:val="auto"/>
              </w:rPr>
              <w:t>(30)</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Amortization of right-of-use asset and interest on lease liabilities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1,077</w:t>
            </w:r>
          </w:p>
        </w:tc>
        <w:tc>
          <w:tcPr>
            <w:tcW w:w="1140" w:type="dxa"/>
            <w:vAlign w:val="bottom"/>
          </w:tcPr>
          <w:p>
            <w:pPr>
              <w:jc w:val="right"/>
              <w:spacing w:after="0"/>
              <w:rPr>
                <w:sz w:val="20"/>
                <w:szCs w:val="20"/>
                <w:color w:val="auto"/>
              </w:rPr>
            </w:pPr>
            <w:r>
              <w:rPr>
                <w:rFonts w:ascii="Arial" w:cs="Arial" w:eastAsia="Arial" w:hAnsi="Arial"/>
                <w:sz w:val="16"/>
                <w:szCs w:val="16"/>
                <w:color w:val="auto"/>
              </w:rPr>
              <w:t>795</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Change in the fair value of investments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(35)</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Interest income on debt securities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(99)</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6"/>
                <w:szCs w:val="16"/>
                <w:color w:val="auto"/>
              </w:rPr>
              <w:t>Equity in loss of affiliates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Changes in assets and liabilities, net of effect of acquisition:</w:t>
            </w:r>
          </w:p>
        </w:tc>
        <w:tc>
          <w:tcPr>
            <w:tcW w:w="1680" w:type="dxa"/>
            <w:vAlign w:val="bottom"/>
            <w:vMerge w:val="restart"/>
          </w:tcPr>
          <w:p>
            <w:pPr>
              <w:jc w:val="right"/>
              <w:ind w:right="202"/>
              <w:spacing w:after="0"/>
              <w:rPr>
                <w:sz w:val="20"/>
                <w:szCs w:val="20"/>
                <w:color w:val="auto"/>
              </w:rPr>
            </w:pPr>
            <w:r>
              <w:rPr>
                <w:rFonts w:ascii="Arial" w:cs="Arial" w:eastAsia="Arial" w:hAnsi="Arial"/>
                <w:sz w:val="16"/>
                <w:szCs w:val="16"/>
                <w:color w:val="auto"/>
              </w:rPr>
              <w:t>1,547</w:t>
            </w:r>
          </w:p>
        </w:tc>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980" w:type="dxa"/>
            <w:vAlign w:val="bottom"/>
          </w:tcPr>
          <w:p>
            <w:pPr>
              <w:ind w:left="80"/>
              <w:spacing w:after="0" w:line="179" w:lineRule="exact"/>
              <w:rPr>
                <w:sz w:val="20"/>
                <w:szCs w:val="20"/>
                <w:color w:val="auto"/>
              </w:rPr>
            </w:pPr>
            <w:r>
              <w:rPr>
                <w:rFonts w:ascii="Arial" w:cs="Arial" w:eastAsia="Arial" w:hAnsi="Arial"/>
                <w:sz w:val="16"/>
                <w:szCs w:val="16"/>
                <w:color w:val="auto"/>
              </w:rPr>
              <w:t>Accounts receivable</w:t>
            </w:r>
          </w:p>
        </w:tc>
        <w:tc>
          <w:tcPr>
            <w:tcW w:w="1680" w:type="dxa"/>
            <w:vAlign w:val="bottom"/>
            <w:vMerge w:val="continue"/>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Arial" w:cs="Arial" w:eastAsia="Arial" w:hAnsi="Arial"/>
                <w:sz w:val="16"/>
                <w:szCs w:val="16"/>
                <w:color w:val="auto"/>
              </w:rPr>
              <w:t>(6,956)</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Contract assets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(360)</w:t>
            </w: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rPr>
                <w:sz w:val="20"/>
                <w:szCs w:val="20"/>
                <w:color w:val="auto"/>
              </w:rPr>
            </w:pPr>
            <w:r>
              <w:rPr>
                <w:rFonts w:ascii="Arial" w:cs="Arial" w:eastAsia="Arial" w:hAnsi="Arial"/>
                <w:sz w:val="16"/>
                <w:szCs w:val="16"/>
                <w:color w:val="auto"/>
              </w:rPr>
              <w:t>Prepayments and other current assets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885</w:t>
            </w:r>
          </w:p>
        </w:tc>
        <w:tc>
          <w:tcPr>
            <w:tcW w:w="1140" w:type="dxa"/>
            <w:vAlign w:val="bottom"/>
          </w:tcPr>
          <w:p>
            <w:pPr>
              <w:jc w:val="right"/>
              <w:spacing w:after="0"/>
              <w:rPr>
                <w:sz w:val="20"/>
                <w:szCs w:val="20"/>
                <w:color w:val="auto"/>
              </w:rPr>
            </w:pPr>
            <w:r>
              <w:rPr>
                <w:rFonts w:ascii="Arial" w:cs="Arial" w:eastAsia="Arial" w:hAnsi="Arial"/>
                <w:sz w:val="16"/>
                <w:szCs w:val="16"/>
                <w:color w:val="auto"/>
              </w:rPr>
              <w:t>(802)</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rPr>
                <w:sz w:val="20"/>
                <w:szCs w:val="20"/>
                <w:color w:val="auto"/>
              </w:rPr>
            </w:pPr>
            <w:r>
              <w:rPr>
                <w:rFonts w:ascii="Arial" w:cs="Arial" w:eastAsia="Arial" w:hAnsi="Arial"/>
                <w:sz w:val="16"/>
                <w:szCs w:val="16"/>
                <w:color w:val="auto"/>
              </w:rPr>
              <w:t>Other non-current assets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(772)</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1,182</w:t>
            </w:r>
          </w:p>
        </w:tc>
        <w:tc>
          <w:tcPr>
            <w:tcW w:w="1140" w:type="dxa"/>
            <w:vAlign w:val="bottom"/>
          </w:tcPr>
          <w:p>
            <w:pPr>
              <w:jc w:val="right"/>
              <w:spacing w:after="0"/>
              <w:rPr>
                <w:sz w:val="20"/>
                <w:szCs w:val="20"/>
                <w:color w:val="auto"/>
              </w:rPr>
            </w:pPr>
            <w:r>
              <w:rPr>
                <w:rFonts w:ascii="Arial" w:cs="Arial" w:eastAsia="Arial" w:hAnsi="Arial"/>
                <w:sz w:val="16"/>
                <w:szCs w:val="16"/>
                <w:color w:val="auto"/>
              </w:rPr>
              <w:t>4,463</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80"/>
              <w:spacing w:after="0"/>
              <w:rPr>
                <w:sz w:val="20"/>
                <w:szCs w:val="20"/>
                <w:color w:val="auto"/>
              </w:rPr>
            </w:pPr>
            <w:r>
              <w:rPr>
                <w:rFonts w:ascii="Arial" w:cs="Arial" w:eastAsia="Arial" w:hAnsi="Arial"/>
                <w:sz w:val="16"/>
                <w:szCs w:val="16"/>
                <w:color w:val="auto"/>
              </w:rPr>
              <w:t>Advances from customers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96</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rPr>
                <w:sz w:val="20"/>
                <w:szCs w:val="20"/>
                <w:color w:val="auto"/>
              </w:rPr>
            </w:pPr>
            <w:r>
              <w:rPr>
                <w:rFonts w:ascii="Arial" w:cs="Arial" w:eastAsia="Arial" w:hAnsi="Arial"/>
                <w:sz w:val="16"/>
                <w:szCs w:val="16"/>
                <w:color w:val="auto"/>
              </w:rPr>
              <w:t>Taxes payable</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(1,232)</w:t>
            </w:r>
          </w:p>
        </w:tc>
        <w:tc>
          <w:tcPr>
            <w:tcW w:w="1140" w:type="dxa"/>
            <w:vAlign w:val="bottom"/>
          </w:tcPr>
          <w:p>
            <w:pPr>
              <w:jc w:val="right"/>
              <w:spacing w:after="0"/>
              <w:rPr>
                <w:sz w:val="20"/>
                <w:szCs w:val="20"/>
                <w:color w:val="auto"/>
              </w:rPr>
            </w:pPr>
            <w:r>
              <w:rPr>
                <w:rFonts w:ascii="Arial" w:cs="Arial" w:eastAsia="Arial" w:hAnsi="Arial"/>
                <w:sz w:val="16"/>
                <w:szCs w:val="16"/>
                <w:color w:val="auto"/>
              </w:rPr>
              <w:t>(440)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(1,370)</w:t>
            </w:r>
          </w:p>
        </w:tc>
        <w:tc>
          <w:tcPr>
            <w:tcW w:w="1140" w:type="dxa"/>
            <w:vAlign w:val="bottom"/>
          </w:tcPr>
          <w:p>
            <w:pPr>
              <w:jc w:val="right"/>
              <w:spacing w:after="0"/>
              <w:rPr>
                <w:sz w:val="20"/>
                <w:szCs w:val="20"/>
                <w:color w:val="auto"/>
              </w:rPr>
            </w:pPr>
            <w:r>
              <w:rPr>
                <w:rFonts w:ascii="Arial" w:cs="Arial" w:eastAsia="Arial" w:hAnsi="Arial"/>
                <w:sz w:val="16"/>
                <w:szCs w:val="16"/>
                <w:color w:val="auto"/>
              </w:rPr>
              <w:t>(1,027)</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80"/>
              <w:spacing w:after="0"/>
              <w:rPr>
                <w:sz w:val="20"/>
                <w:szCs w:val="20"/>
                <w:color w:val="auto"/>
              </w:rPr>
            </w:pPr>
            <w:r>
              <w:rPr>
                <w:rFonts w:ascii="Arial" w:cs="Arial" w:eastAsia="Arial" w:hAnsi="Arial"/>
                <w:sz w:val="16"/>
                <w:szCs w:val="16"/>
                <w:color w:val="auto"/>
              </w:rPr>
              <w:t>Accrued expenses and other liabilities</w:t>
            </w:r>
          </w:p>
        </w:tc>
        <w:tc>
          <w:tcPr>
            <w:tcW w:w="1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(3,498)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7,246</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6"/>
                <w:szCs w:val="16"/>
                <w:color w:val="auto"/>
              </w:rPr>
              <w:t>Net cash used in operating activities</w:t>
            </w:r>
          </w:p>
        </w:tc>
        <w:tc>
          <w:tcPr>
            <w:tcW w:w="168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color w:val="auto"/>
              </w:rPr>
              <w:t>(15,861)</w:t>
            </w: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(2,742)</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680" w:type="dxa"/>
            <w:vAlign w:val="bottom"/>
            <w:vMerge w:val="restart"/>
          </w:tcPr>
          <w:p>
            <w:pPr>
              <w:jc w:val="right"/>
              <w:ind w:right="202"/>
              <w:spacing w:after="0"/>
              <w:rPr>
                <w:sz w:val="20"/>
                <w:szCs w:val="20"/>
                <w:color w:val="auto"/>
              </w:rPr>
            </w:pPr>
            <w:r>
              <w:rPr>
                <w:rFonts w:ascii="Arial" w:cs="Arial" w:eastAsia="Arial" w:hAnsi="Arial"/>
                <w:sz w:val="16"/>
                <w:szCs w:val="16"/>
                <w:color w:val="auto"/>
              </w:rPr>
              <w:t>(243,745)</w:t>
            </w:r>
          </w:p>
        </w:tc>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980" w:type="dxa"/>
            <w:vAlign w:val="bottom"/>
          </w:tcPr>
          <w:p>
            <w:pPr>
              <w:ind w:left="100"/>
              <w:spacing w:after="0" w:line="179" w:lineRule="exact"/>
              <w:rPr>
                <w:sz w:val="20"/>
                <w:szCs w:val="20"/>
                <w:color w:val="auto"/>
              </w:rPr>
            </w:pPr>
            <w:r>
              <w:rPr>
                <w:rFonts w:ascii="Arial" w:cs="Arial" w:eastAsia="Arial" w:hAnsi="Arial"/>
                <w:sz w:val="16"/>
                <w:szCs w:val="16"/>
                <w:color w:val="auto"/>
              </w:rPr>
              <w:t>Purchase of short-term investments</w:t>
            </w:r>
          </w:p>
        </w:tc>
        <w:tc>
          <w:tcPr>
            <w:tcW w:w="1680" w:type="dxa"/>
            <w:vAlign w:val="bottom"/>
            <w:vMerge w:val="continue"/>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Arial" w:cs="Arial" w:eastAsia="Arial" w:hAnsi="Arial"/>
                <w:sz w:val="16"/>
                <w:szCs w:val="16"/>
                <w:color w:val="auto"/>
              </w:rPr>
              <w:t>(193,481)</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Proceeds from sale and maturity of short-term investment</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226,133</w:t>
            </w:r>
          </w:p>
        </w:tc>
        <w:tc>
          <w:tcPr>
            <w:tcW w:w="1140" w:type="dxa"/>
            <w:vAlign w:val="bottom"/>
          </w:tcPr>
          <w:p>
            <w:pPr>
              <w:jc w:val="right"/>
              <w:spacing w:after="0"/>
              <w:rPr>
                <w:sz w:val="20"/>
                <w:szCs w:val="20"/>
                <w:color w:val="auto"/>
              </w:rPr>
            </w:pPr>
            <w:r>
              <w:rPr>
                <w:rFonts w:ascii="Arial" w:cs="Arial" w:eastAsia="Arial" w:hAnsi="Arial"/>
                <w:sz w:val="16"/>
                <w:szCs w:val="16"/>
                <w:color w:val="auto"/>
              </w:rPr>
              <w:t>50,000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6"/>
                <w:szCs w:val="16"/>
                <w:color w:val="auto"/>
              </w:rPr>
              <w:t>Purchase of long-term investments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(13,930)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rPr>
                <w:sz w:val="20"/>
                <w:szCs w:val="20"/>
                <w:color w:val="auto"/>
              </w:rPr>
            </w:pPr>
            <w:r>
              <w:rPr>
                <w:rFonts w:ascii="Arial" w:cs="Arial" w:eastAsia="Arial" w:hAnsi="Arial"/>
                <w:sz w:val="16"/>
                <w:szCs w:val="16"/>
                <w:color w:val="auto"/>
              </w:rPr>
              <w:t>Purchase of property and equipment</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(1,172)</w:t>
            </w:r>
          </w:p>
        </w:tc>
        <w:tc>
          <w:tcPr>
            <w:tcW w:w="1140" w:type="dxa"/>
            <w:vAlign w:val="bottom"/>
          </w:tcPr>
          <w:p>
            <w:pPr>
              <w:jc w:val="right"/>
              <w:spacing w:after="0"/>
              <w:rPr>
                <w:sz w:val="20"/>
                <w:szCs w:val="20"/>
                <w:color w:val="auto"/>
              </w:rPr>
            </w:pPr>
            <w:r>
              <w:rPr>
                <w:rFonts w:ascii="Arial" w:cs="Arial" w:eastAsia="Arial" w:hAnsi="Arial"/>
                <w:sz w:val="16"/>
                <w:szCs w:val="16"/>
                <w:color w:val="auto"/>
              </w:rPr>
              <w:t>(5,233)</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100"/>
              <w:spacing w:after="0"/>
              <w:rPr>
                <w:sz w:val="20"/>
                <w:szCs w:val="20"/>
                <w:color w:val="auto"/>
              </w:rPr>
            </w:pPr>
            <w:r>
              <w:rPr>
                <w:rFonts w:ascii="Arial" w:cs="Arial" w:eastAsia="Arial" w:hAnsi="Arial"/>
                <w:sz w:val="16"/>
                <w:szCs w:val="16"/>
                <w:color w:val="auto"/>
              </w:rPr>
              <w:t>Cash paid for an acquisition</w:t>
            </w:r>
          </w:p>
        </w:tc>
        <w:tc>
          <w:tcPr>
            <w:tcW w:w="1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6"/>
                <w:szCs w:val="16"/>
                <w:color w:val="auto"/>
              </w:rPr>
              <w:t>Net cash used in investing activities</w:t>
            </w:r>
          </w:p>
        </w:tc>
        <w:tc>
          <w:tcPr>
            <w:tcW w:w="168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color w:val="auto"/>
              </w:rPr>
              <w:t>(32,714)</w:t>
            </w: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(150,298)</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Cash flows from financing activities:</w:t>
            </w: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80" w:type="dxa"/>
            <w:vAlign w:val="bottom"/>
          </w:tcPr>
          <w:p>
            <w:pPr>
              <w:ind w:left="160"/>
              <w:spacing w:after="0"/>
              <w:rPr>
                <w:sz w:val="20"/>
                <w:szCs w:val="20"/>
                <w:color w:val="auto"/>
              </w:rPr>
            </w:pPr>
            <w:r>
              <w:rPr>
                <w:rFonts w:ascii="Arial" w:cs="Arial" w:eastAsia="Arial" w:hAnsi="Arial"/>
                <w:sz w:val="16"/>
                <w:szCs w:val="16"/>
                <w:color w:val="auto"/>
              </w:rPr>
              <w:t>Proceeds from the private placement, net of issuance costs paid</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250,000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980" w:type="dxa"/>
            <w:vAlign w:val="bottom"/>
          </w:tcPr>
          <w:p>
            <w:pPr>
              <w:ind w:left="160"/>
              <w:spacing w:after="0"/>
              <w:rPr>
                <w:sz w:val="20"/>
                <w:szCs w:val="20"/>
                <w:color w:val="auto"/>
              </w:rPr>
            </w:pPr>
            <w:r>
              <w:rPr>
                <w:rFonts w:ascii="Arial" w:cs="Arial" w:eastAsia="Arial" w:hAnsi="Arial"/>
                <w:sz w:val="16"/>
                <w:szCs w:val="16"/>
                <w:color w:val="auto"/>
              </w:rPr>
              <w:t>Proceeds from exercise of employees’ share options</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623</w:t>
            </w:r>
          </w:p>
        </w:tc>
        <w:tc>
          <w:tcPr>
            <w:tcW w:w="1140" w:type="dxa"/>
            <w:vAlign w:val="bottom"/>
          </w:tcPr>
          <w:p>
            <w:pPr>
              <w:jc w:val="right"/>
              <w:spacing w:after="0"/>
              <w:rPr>
                <w:sz w:val="20"/>
                <w:szCs w:val="20"/>
                <w:color w:val="auto"/>
              </w:rPr>
            </w:pPr>
            <w:r>
              <w:rPr>
                <w:rFonts w:ascii="Arial" w:cs="Arial" w:eastAsia="Arial" w:hAnsi="Arial"/>
                <w:sz w:val="16"/>
                <w:szCs w:val="16"/>
                <w:color w:val="auto"/>
              </w:rPr>
              <w:t>1,035</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160"/>
              <w:spacing w:after="0"/>
              <w:rPr>
                <w:sz w:val="20"/>
                <w:szCs w:val="20"/>
                <w:color w:val="auto"/>
              </w:rPr>
            </w:pPr>
            <w:r>
              <w:rPr>
                <w:rFonts w:ascii="Arial" w:cs="Arial" w:eastAsia="Arial" w:hAnsi="Arial"/>
                <w:sz w:val="16"/>
                <w:szCs w:val="16"/>
                <w:color w:val="auto"/>
              </w:rPr>
              <w:t>Repurchase of Class A ordinary shares</w:t>
            </w:r>
          </w:p>
        </w:tc>
        <w:tc>
          <w:tcPr>
            <w:tcW w:w="1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(7,603)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line="181" w:lineRule="exact"/>
              <w:rPr>
                <w:sz w:val="20"/>
                <w:szCs w:val="20"/>
                <w:color w:val="auto"/>
              </w:rPr>
            </w:pPr>
            <w:r>
              <w:rPr>
                <w:rFonts w:ascii="Arial" w:cs="Arial" w:eastAsia="Arial" w:hAnsi="Arial"/>
                <w:sz w:val="16"/>
                <w:szCs w:val="16"/>
                <w:color w:val="auto"/>
              </w:rPr>
              <w:t>Net cash (used in) provided by financing activities</w:t>
            </w:r>
          </w:p>
        </w:tc>
        <w:tc>
          <w:tcPr>
            <w:tcW w:w="168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color w:val="auto"/>
              </w:rPr>
              <w:t>(6,980)</w:t>
            </w: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251,035</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line="160" w:lineRule="exact"/>
              <w:rPr>
                <w:sz w:val="20"/>
                <w:szCs w:val="20"/>
                <w:color w:val="auto"/>
              </w:rPr>
            </w:pPr>
            <w:r>
              <w:rPr>
                <w:rFonts w:ascii="Arial" w:cs="Arial" w:eastAsia="Arial" w:hAnsi="Arial"/>
                <w:sz w:val="16"/>
                <w:szCs w:val="16"/>
                <w:color w:val="auto"/>
                <w:w w:val="98"/>
              </w:rPr>
              <w:t>Effect of foreign exchange rate changes on cash, cash equivalents and</w:t>
            </w:r>
          </w:p>
        </w:tc>
        <w:tc>
          <w:tcPr>
            <w:tcW w:w="1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restricted cash</w:t>
            </w:r>
          </w:p>
        </w:tc>
        <w:tc>
          <w:tcPr>
            <w:tcW w:w="1680" w:type="dxa"/>
            <w:vAlign w:val="bottom"/>
          </w:tcPr>
          <w:p>
            <w:pPr>
              <w:jc w:val="right"/>
              <w:ind w:right="202"/>
              <w:spacing w:after="0"/>
              <w:rPr>
                <w:sz w:val="20"/>
                <w:szCs w:val="20"/>
                <w:color w:val="auto"/>
              </w:rPr>
            </w:pPr>
            <w:r>
              <w:rPr>
                <w:rFonts w:ascii="Arial" w:cs="Arial" w:eastAsia="Arial" w:hAnsi="Arial"/>
                <w:sz w:val="16"/>
                <w:szCs w:val="16"/>
                <w:color w:val="auto"/>
              </w:rPr>
              <w:t>116</w:t>
            </w:r>
          </w:p>
        </w:tc>
        <w:tc>
          <w:tcPr>
            <w:tcW w:w="1140" w:type="dxa"/>
            <w:vAlign w:val="bottom"/>
          </w:tcPr>
          <w:p>
            <w:pPr>
              <w:jc w:val="right"/>
              <w:spacing w:after="0"/>
              <w:rPr>
                <w:sz w:val="20"/>
                <w:szCs w:val="20"/>
                <w:color w:val="auto"/>
              </w:rPr>
            </w:pPr>
            <w:r>
              <w:rPr>
                <w:rFonts w:ascii="Arial" w:cs="Arial" w:eastAsia="Arial" w:hAnsi="Arial"/>
                <w:sz w:val="16"/>
                <w:szCs w:val="16"/>
                <w:color w:val="auto"/>
              </w:rPr>
              <w:t>317</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4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708" w:right="2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Net (decrease) increase in cash, cash equivalents and restricted cash</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cash equivalents and restricted cash at beginning of period *</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cash equivalents and restricted cash at end of period **</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cash flow information:</w:t>
      </w:r>
    </w:p>
    <w:p>
      <w:pPr>
        <w:spacing w:after="0" w:line="22" w:lineRule="exact"/>
        <w:rPr>
          <w:sz w:val="20"/>
          <w:szCs w:val="20"/>
          <w:color w:val="auto"/>
        </w:rPr>
      </w:pPr>
    </w:p>
    <w:p>
      <w:pPr>
        <w:ind w:left="160"/>
        <w:spacing w:after="0" w:line="279" w:lineRule="auto"/>
        <w:rPr>
          <w:sz w:val="20"/>
          <w:szCs w:val="20"/>
          <w:color w:val="auto"/>
        </w:rPr>
      </w:pPr>
      <w:r>
        <w:rPr>
          <w:rFonts w:ascii="Arial" w:cs="Arial" w:eastAsia="Arial" w:hAnsi="Arial"/>
          <w:sz w:val="15"/>
          <w:szCs w:val="15"/>
          <w:color w:val="auto"/>
        </w:rPr>
        <w:t>Cash payments included in the measurement of operating lease liabilities Right-of-use assets obtained in exchange for operating lease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Non-cash financing and investing activities: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Proceeds receivable from exercise of employees’ share options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Deposits utilized for employees’ share option exercises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Payables for deferred financing cost</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Payables for property and equipment</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Payables for treasury shares, at cost</w:t>
      </w:r>
    </w:p>
    <w:p>
      <w:pPr>
        <w:spacing w:after="0" w:line="17" w:lineRule="exact"/>
        <w:rPr>
          <w:sz w:val="20"/>
          <w:szCs w:val="20"/>
          <w:color w:val="auto"/>
        </w:rPr>
      </w:pPr>
    </w:p>
    <w:p>
      <w:pPr>
        <w:ind w:left="160" w:right="1400"/>
        <w:spacing w:after="0" w:line="284" w:lineRule="auto"/>
        <w:rPr>
          <w:sz w:val="20"/>
          <w:szCs w:val="20"/>
          <w:color w:val="auto"/>
        </w:rPr>
      </w:pPr>
      <w:r>
        <w:rPr>
          <w:rFonts w:ascii="Arial" w:cs="Arial" w:eastAsia="Arial" w:hAnsi="Arial"/>
          <w:sz w:val="16"/>
          <w:szCs w:val="16"/>
          <w:color w:val="auto"/>
        </w:rPr>
        <w:t>Payables for issuance costs of the private placement Payables for acquisition</w:t>
      </w:r>
    </w:p>
    <w:p>
      <w:pPr>
        <w:spacing w:after="0" w:line="163" w:lineRule="exact"/>
        <w:rPr>
          <w:sz w:val="20"/>
          <w:szCs w:val="20"/>
          <w:color w:val="auto"/>
        </w:rPr>
      </w:pPr>
    </w:p>
    <w:p>
      <w:pPr>
        <w:jc w:val="both"/>
        <w:ind w:right="2820" w:firstLine="9"/>
        <w:spacing w:after="0" w:line="325" w:lineRule="auto"/>
        <w:tabs>
          <w:tab w:leader="none" w:pos="104"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restricted cash balance ** includes restricted cash balance</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Arial" w:cs="Arial" w:eastAsia="Arial" w:hAnsi="Arial"/>
          <w:sz w:val="15"/>
          <w:szCs w:val="15"/>
          <w:color w:val="auto"/>
        </w:rPr>
        <w:t>(55,439)</w:t>
      </w:r>
      <w:r>
        <w:rPr>
          <w:sz w:val="20"/>
          <w:szCs w:val="20"/>
          <w:color w:val="auto"/>
        </w:rPr>
        <w:tab/>
      </w:r>
      <w:r>
        <w:rPr>
          <w:rFonts w:ascii="Arial" w:cs="Arial" w:eastAsia="Arial" w:hAnsi="Arial"/>
          <w:sz w:val="15"/>
          <w:szCs w:val="15"/>
          <w:color w:val="auto"/>
        </w:rPr>
        <w:t>98,312</w:t>
      </w:r>
    </w:p>
    <w:p>
      <w:pPr>
        <w:spacing w:after="0" w:line="3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3"/>
          <w:szCs w:val="13"/>
          <w:color w:val="auto"/>
        </w:rPr>
        <w:t>285,825</w:t>
      </w:r>
      <w:r>
        <w:rPr>
          <w:sz w:val="20"/>
          <w:szCs w:val="20"/>
          <w:color w:val="auto"/>
        </w:rPr>
        <w:tab/>
      </w:r>
      <w:r>
        <w:rPr>
          <w:rFonts w:ascii="Arial" w:cs="Arial" w:eastAsia="Arial" w:hAnsi="Arial"/>
          <w:sz w:val="13"/>
          <w:szCs w:val="13"/>
          <w:color w:val="auto"/>
        </w:rPr>
        <w:t>111,298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22225</wp:posOffset>
            </wp:positionV>
            <wp:extent cx="16313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315" cy="698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6"/>
          <w:szCs w:val="16"/>
          <w:color w:val="auto"/>
        </w:rPr>
        <w:t>230,386</w:t>
      </w:r>
      <w:r>
        <w:rPr>
          <w:sz w:val="20"/>
          <w:szCs w:val="20"/>
          <w:color w:val="auto"/>
        </w:rPr>
        <w:tab/>
      </w:r>
      <w:r>
        <w:rPr>
          <w:rFonts w:ascii="Arial" w:cs="Arial" w:eastAsia="Arial" w:hAnsi="Arial"/>
          <w:sz w:val="16"/>
          <w:szCs w:val="16"/>
          <w:color w:val="auto"/>
        </w:rPr>
        <w:t>209,610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-5080</wp:posOffset>
            </wp:positionV>
            <wp:extent cx="16313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315" cy="698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8255</wp:posOffset>
            </wp:positionV>
            <wp:extent cx="16313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315" cy="6985"/>
                    </a:xfrm>
                    <a:prstGeom prst="rect">
                      <a:avLst/>
                    </a:prstGeom>
                    <a:noFill/>
                  </pic:spPr>
                </pic:pic>
              </a:graphicData>
            </a:graphic>
          </wp:anchor>
        </w:drawing>
      </w:r>
    </w:p>
    <w:p>
      <w:pPr>
        <w:spacing w:after="0" w:line="218" w:lineRule="exact"/>
        <w:rPr>
          <w:sz w:val="20"/>
          <w:szCs w:val="20"/>
          <w:color w:val="auto"/>
        </w:rPr>
      </w:pPr>
    </w:p>
    <w:p>
      <w:pPr>
        <w:jc w:val="both"/>
        <w:ind w:left="200"/>
        <w:spacing w:after="0"/>
        <w:tabs>
          <w:tab w:leader="none" w:pos="1460" w:val="left"/>
        </w:tabs>
        <w:rPr>
          <w:sz w:val="20"/>
          <w:szCs w:val="20"/>
          <w:color w:val="auto"/>
        </w:rPr>
      </w:pPr>
      <w:r>
        <w:rPr>
          <w:rFonts w:ascii="Arial" w:cs="Arial" w:eastAsia="Arial" w:hAnsi="Arial"/>
          <w:sz w:val="16"/>
          <w:szCs w:val="16"/>
          <w:color w:val="auto"/>
        </w:rPr>
        <w:t>1,370</w:t>
      </w:r>
      <w:r>
        <w:rPr>
          <w:sz w:val="20"/>
          <w:szCs w:val="20"/>
          <w:color w:val="auto"/>
        </w:rPr>
        <w:tab/>
      </w:r>
      <w:r>
        <w:rPr>
          <w:rFonts w:ascii="Arial" w:cs="Arial" w:eastAsia="Arial" w:hAnsi="Arial"/>
          <w:sz w:val="16"/>
          <w:szCs w:val="16"/>
          <w:color w:val="auto"/>
        </w:rPr>
        <w:t>1,027</w:t>
      </w:r>
    </w:p>
    <w:p>
      <w:pPr>
        <w:spacing w:after="0" w:line="22" w:lineRule="exact"/>
        <w:rPr>
          <w:sz w:val="20"/>
          <w:szCs w:val="20"/>
          <w:color w:val="auto"/>
        </w:rPr>
      </w:pPr>
    </w:p>
    <w:p>
      <w:pPr>
        <w:ind w:left="1620" w:hanging="1082"/>
        <w:spacing w:after="0"/>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413</w:t>
      </w:r>
    </w:p>
    <w:p>
      <w:pPr>
        <w:spacing w:after="0" w:line="225" w:lineRule="exact"/>
        <w:rPr>
          <w:sz w:val="20"/>
          <w:szCs w:val="20"/>
          <w:color w:val="auto"/>
        </w:rPr>
      </w:pPr>
    </w:p>
    <w:p>
      <w:pPr>
        <w:jc w:val="both"/>
        <w:ind w:left="320"/>
        <w:spacing w:after="0"/>
        <w:tabs>
          <w:tab w:leader="none" w:pos="160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6"/>
          <w:szCs w:val="16"/>
          <w:color w:val="auto"/>
        </w:rPr>
        <w:t>314</w:t>
      </w:r>
    </w:p>
    <w:p>
      <w:pPr>
        <w:spacing w:after="0" w:line="22" w:lineRule="exact"/>
        <w:rPr>
          <w:sz w:val="20"/>
          <w:szCs w:val="20"/>
          <w:color w:val="auto"/>
        </w:rPr>
      </w:pPr>
    </w:p>
    <w:p>
      <w:pPr>
        <w:ind w:left="1820" w:hanging="1317"/>
        <w:spacing w:after="0"/>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80" w:type="dxa"/>
            <w:vAlign w:val="bottom"/>
          </w:tcPr>
          <w:p>
            <w:pPr>
              <w:jc w:val="right"/>
              <w:ind w:right="342"/>
              <w:spacing w:after="0"/>
              <w:rPr>
                <w:sz w:val="20"/>
                <w:szCs w:val="20"/>
                <w:color w:val="auto"/>
              </w:rPr>
            </w:pPr>
            <w:r>
              <w:rPr>
                <w:rFonts w:ascii="Arial" w:cs="Arial" w:eastAsia="Arial" w:hAnsi="Arial"/>
                <w:sz w:val="16"/>
                <w:szCs w:val="16"/>
                <w:color w:val="auto"/>
                <w:w w:val="89"/>
              </w:rPr>
              <w:t>610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0" w:type="dxa"/>
            <w:vAlign w:val="bottom"/>
          </w:tcPr>
          <w:p>
            <w:pPr>
              <w:jc w:val="right"/>
              <w:ind w:right="342"/>
              <w:spacing w:after="0"/>
              <w:rPr>
                <w:sz w:val="20"/>
                <w:szCs w:val="20"/>
                <w:color w:val="auto"/>
              </w:rPr>
            </w:pPr>
            <w:r>
              <w:rPr>
                <w:rFonts w:ascii="Arial" w:cs="Arial" w:eastAsia="Arial" w:hAnsi="Arial"/>
                <w:sz w:val="16"/>
                <w:szCs w:val="16"/>
                <w:color w:val="auto"/>
                <w:w w:val="89"/>
              </w:rPr>
              <w:t>527</w:t>
            </w:r>
          </w:p>
        </w:tc>
        <w:tc>
          <w:tcPr>
            <w:tcW w:w="88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01"/>
        </w:trPr>
        <w:tc>
          <w:tcPr>
            <w:tcW w:w="680" w:type="dxa"/>
            <w:vAlign w:val="bottom"/>
          </w:tcPr>
          <w:p>
            <w:pPr>
              <w:jc w:val="right"/>
              <w:ind w:right="342"/>
              <w:spacing w:after="0"/>
              <w:rPr>
                <w:sz w:val="20"/>
                <w:szCs w:val="20"/>
                <w:color w:val="auto"/>
              </w:rPr>
            </w:pPr>
            <w:r>
              <w:rPr>
                <w:rFonts w:ascii="Arial" w:cs="Arial" w:eastAsia="Arial" w:hAnsi="Arial"/>
                <w:sz w:val="16"/>
                <w:szCs w:val="16"/>
                <w:color w:val="auto"/>
                <w:w w:val="89"/>
              </w:rPr>
              <w:t>423</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6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53,350</w:t>
            </w:r>
          </w:p>
        </w:tc>
      </w:tr>
    </w:tbl>
    <w:p>
      <w:pPr>
        <w:spacing w:after="0" w:line="197" w:lineRule="exact"/>
        <w:rPr>
          <w:sz w:val="20"/>
          <w:szCs w:val="20"/>
          <w:color w:val="auto"/>
        </w:rPr>
      </w:pPr>
    </w:p>
    <w:p>
      <w:pPr>
        <w:ind w:left="1700" w:hanging="1371"/>
        <w:spacing w:after="0"/>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80</w:t>
      </w:r>
    </w:p>
    <w:p>
      <w:pPr>
        <w:spacing w:after="0" w:line="21" w:lineRule="exact"/>
        <w:rPr>
          <w:rFonts w:ascii="Arial" w:cs="Arial" w:eastAsia="Arial" w:hAnsi="Arial"/>
          <w:sz w:val="16"/>
          <w:szCs w:val="16"/>
          <w:color w:val="auto"/>
        </w:rPr>
      </w:pPr>
    </w:p>
    <w:p>
      <w:pPr>
        <w:ind w:left="1620" w:hanging="1291"/>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505460</wp:posOffset>
            </wp:positionV>
            <wp:extent cx="719582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820" cy="39370"/>
                    </a:xfrm>
                    <a:prstGeom prst="rect">
                      <a:avLst/>
                    </a:prstGeom>
                    <a:noFill/>
                  </pic:spPr>
                </pic:pic>
              </a:graphicData>
            </a:graphic>
          </wp:anchor>
        </w:drawing>
      </w:r>
    </w:p>
    <w:p>
      <w:pPr>
        <w:sectPr>
          <w:pgSz w:w="11900" w:h="16838" w:orient="portrait"/>
          <w:cols w:equalWidth="0" w:num="2">
            <w:col w:w="5220" w:space="700"/>
            <w:col w:w="4239"/>
          </w:cols>
          <w:pgMar w:left="300" w:top="554" w:right="1440"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Agora,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rPr>
          <w:sz w:val="20"/>
          <w:szCs w:val="20"/>
          <w:color w:val="auto"/>
        </w:rPr>
      </w:pPr>
      <w:r>
        <w:rPr>
          <w:rFonts w:ascii="Arial" w:cs="Arial" w:eastAsia="Arial" w:hAnsi="Arial"/>
          <w:sz w:val="16"/>
          <w:szCs w:val="16"/>
          <w:b w:val="1"/>
          <w:bCs w:val="1"/>
          <w:color w:val="auto"/>
        </w:rPr>
        <w:t>(Unaudited, in US$ thousands, except share and per ADS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60" w:type="dxa"/>
            <w:vAlign w:val="bottom"/>
          </w:tcPr>
          <w:p>
            <w:pPr>
              <w:spacing w:after="0"/>
              <w:rPr>
                <w:sz w:val="17"/>
                <w:szCs w:val="17"/>
                <w:color w:val="auto"/>
              </w:rPr>
            </w:pPr>
          </w:p>
        </w:tc>
        <w:tc>
          <w:tcPr>
            <w:tcW w:w="2900" w:type="dxa"/>
            <w:vAlign w:val="bottom"/>
            <w:gridSpan w:val="3"/>
          </w:tcPr>
          <w:p>
            <w:pPr>
              <w:jc w:val="right"/>
              <w:ind w:right="400"/>
              <w:spacing w:after="0"/>
              <w:rPr>
                <w:sz w:val="20"/>
                <w:szCs w:val="20"/>
                <w:color w:val="auto"/>
              </w:rPr>
            </w:pPr>
            <w:r>
              <w:rPr>
                <w:rFonts w:ascii="Arial" w:cs="Arial" w:eastAsia="Arial" w:hAnsi="Arial"/>
                <w:sz w:val="16"/>
                <w:szCs w:val="16"/>
                <w:color w:val="auto"/>
              </w:rPr>
              <w:t>Three Month Ended March 31,</w:t>
            </w:r>
          </w:p>
        </w:tc>
        <w:tc>
          <w:tcPr>
            <w:tcW w:w="0" w:type="dxa"/>
            <w:vAlign w:val="bottom"/>
          </w:tcPr>
          <w:p>
            <w:pPr>
              <w:spacing w:after="0"/>
              <w:rPr>
                <w:sz w:val="1"/>
                <w:szCs w:val="1"/>
                <w:color w:val="auto"/>
              </w:rPr>
            </w:pPr>
          </w:p>
        </w:tc>
      </w:tr>
      <w:tr>
        <w:trPr>
          <w:trHeight w:val="189"/>
        </w:trPr>
        <w:tc>
          <w:tcPr>
            <w:tcW w:w="4960" w:type="dxa"/>
            <w:vAlign w:val="bottom"/>
            <w:vMerge w:val="restart"/>
          </w:tcPr>
          <w:p>
            <w:pPr>
              <w:spacing w:after="0"/>
              <w:rPr>
                <w:sz w:val="20"/>
                <w:szCs w:val="20"/>
                <w:color w:val="auto"/>
              </w:rPr>
            </w:pPr>
            <w:r>
              <w:rPr>
                <w:rFonts w:ascii="Arial" w:cs="Arial" w:eastAsia="Arial" w:hAnsi="Arial"/>
                <w:sz w:val="16"/>
                <w:szCs w:val="16"/>
                <w:color w:val="auto"/>
              </w:rPr>
              <w:t>GAAP net loss</w:t>
            </w:r>
          </w:p>
        </w:tc>
        <w:tc>
          <w:tcPr>
            <w:tcW w:w="17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2022</w:t>
            </w: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60" w:type="dxa"/>
            <w:vAlign w:val="bottom"/>
            <w:vMerge w:val="continue"/>
          </w:tcPr>
          <w:p>
            <w:pPr>
              <w:spacing w:after="0"/>
              <w:rPr>
                <w:sz w:val="16"/>
                <w:szCs w:val="16"/>
                <w:color w:val="auto"/>
              </w:rPr>
            </w:pP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(26,944)</w:t>
            </w:r>
          </w:p>
        </w:tc>
        <w:tc>
          <w:tcPr>
            <w:tcW w:w="1160" w:type="dxa"/>
            <w:vAlign w:val="bottom"/>
          </w:tcPr>
          <w:p>
            <w:pPr>
              <w:jc w:val="right"/>
              <w:spacing w:after="0"/>
              <w:rPr>
                <w:sz w:val="20"/>
                <w:szCs w:val="20"/>
                <w:color w:val="auto"/>
              </w:rPr>
            </w:pPr>
            <w:r>
              <w:rPr>
                <w:rFonts w:ascii="Arial" w:cs="Arial" w:eastAsia="Arial" w:hAnsi="Arial"/>
                <w:sz w:val="16"/>
                <w:szCs w:val="16"/>
                <w:color w:val="auto"/>
              </w:rPr>
              <w:t>(14,691)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Add:</w:t>
            </w:r>
          </w:p>
        </w:tc>
        <w:tc>
          <w:tcPr>
            <w:tcW w:w="1720" w:type="dxa"/>
            <w:vAlign w:val="bottom"/>
            <w:vMerge w:val="restart"/>
          </w:tcPr>
          <w:p>
            <w:pPr>
              <w:jc w:val="right"/>
              <w:ind w:right="202"/>
              <w:spacing w:after="0"/>
              <w:rPr>
                <w:sz w:val="20"/>
                <w:szCs w:val="20"/>
                <w:color w:val="auto"/>
              </w:rPr>
            </w:pPr>
            <w:r>
              <w:rPr>
                <w:rFonts w:ascii="Arial" w:cs="Arial" w:eastAsia="Arial" w:hAnsi="Arial"/>
                <w:sz w:val="16"/>
                <w:szCs w:val="16"/>
                <w:color w:val="auto"/>
              </w:rPr>
              <w:t>9,381</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960" w:type="dxa"/>
            <w:vAlign w:val="bottom"/>
          </w:tcPr>
          <w:p>
            <w:pPr>
              <w:spacing w:after="0" w:line="179" w:lineRule="exact"/>
              <w:rPr>
                <w:sz w:val="20"/>
                <w:szCs w:val="20"/>
                <w:color w:val="auto"/>
              </w:rPr>
            </w:pPr>
            <w:r>
              <w:rPr>
                <w:rFonts w:ascii="Arial" w:cs="Arial" w:eastAsia="Arial" w:hAnsi="Arial"/>
                <w:sz w:val="16"/>
                <w:szCs w:val="16"/>
                <w:color w:val="auto"/>
              </w:rPr>
              <w:t>Share-based compensation expense</w:t>
            </w:r>
          </w:p>
        </w:tc>
        <w:tc>
          <w:tcPr>
            <w:tcW w:w="1720" w:type="dxa"/>
            <w:vAlign w:val="bottom"/>
            <w:vMerge w:val="continue"/>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Arial" w:cs="Arial" w:eastAsia="Arial" w:hAnsi="Arial"/>
                <w:sz w:val="16"/>
                <w:szCs w:val="16"/>
                <w:color w:val="auto"/>
              </w:rPr>
              <w:t>6,075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156</w:t>
            </w:r>
          </w:p>
        </w:tc>
        <w:tc>
          <w:tcPr>
            <w:tcW w:w="1160" w:type="dxa"/>
            <w:vAlign w:val="bottom"/>
          </w:tcPr>
          <w:p>
            <w:pPr>
              <w:jc w:val="right"/>
              <w:spacing w:after="0"/>
              <w:rPr>
                <w:sz w:val="20"/>
                <w:szCs w:val="20"/>
                <w:color w:val="auto"/>
              </w:rPr>
            </w:pPr>
            <w:r>
              <w:rPr>
                <w:rFonts w:ascii="Arial" w:cs="Arial" w:eastAsia="Arial" w:hAnsi="Arial"/>
                <w:sz w:val="16"/>
                <w:szCs w:val="16"/>
                <w:color w:val="auto"/>
              </w:rPr>
              <w:t>4,122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Amortization expense of acquired intangible assets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556</w:t>
            </w:r>
          </w:p>
        </w:tc>
        <w:tc>
          <w:tcPr>
            <w:tcW w:w="1180" w:type="dxa"/>
            <w:vAlign w:val="bottom"/>
            <w:gridSpan w:val="2"/>
          </w:tcPr>
          <w:p>
            <w:pPr>
              <w:jc w:val="center"/>
              <w:ind w:left="822"/>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6"/>
                <w:szCs w:val="16"/>
                <w:color w:val="auto"/>
              </w:rPr>
              <w:t>Income tax related to acquired intangible assets</w:t>
            </w:r>
          </w:p>
        </w:tc>
        <w:tc>
          <w:tcPr>
            <w:tcW w:w="1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(84)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line="181" w:lineRule="exact"/>
              <w:rPr>
                <w:sz w:val="20"/>
                <w:szCs w:val="20"/>
                <w:color w:val="auto"/>
              </w:rPr>
            </w:pPr>
            <w:r>
              <w:rPr>
                <w:rFonts w:ascii="Arial" w:cs="Arial" w:eastAsia="Arial" w:hAnsi="Arial"/>
                <w:sz w:val="16"/>
                <w:szCs w:val="16"/>
                <w:color w:val="auto"/>
              </w:rPr>
              <w:t>Non-GAAP net loss</w:t>
            </w:r>
          </w:p>
        </w:tc>
        <w:tc>
          <w:tcPr>
            <w:tcW w:w="1720" w:type="dxa"/>
            <w:vAlign w:val="bottom"/>
          </w:tcPr>
          <w:p>
            <w:pPr>
              <w:jc w:val="right"/>
              <w:ind w:right="202"/>
              <w:spacing w:after="0" w:line="181" w:lineRule="exact"/>
              <w:rPr>
                <w:sz w:val="20"/>
                <w:szCs w:val="20"/>
                <w:color w:val="auto"/>
              </w:rPr>
            </w:pPr>
            <w:r>
              <w:rPr>
                <w:rFonts w:ascii="Arial" w:cs="Arial" w:eastAsia="Arial" w:hAnsi="Arial"/>
                <w:sz w:val="16"/>
                <w:szCs w:val="16"/>
                <w:color w:val="auto"/>
              </w:rPr>
              <w:t>(16,935)</w:t>
            </w:r>
          </w:p>
        </w:tc>
        <w:tc>
          <w:tcPr>
            <w:tcW w:w="1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405"/>
        </w:trPr>
        <w:tc>
          <w:tcPr>
            <w:tcW w:w="4960" w:type="dxa"/>
            <w:vAlign w:val="bottom"/>
          </w:tcPr>
          <w:p>
            <w:pPr>
              <w:spacing w:after="0"/>
              <w:rPr>
                <w:sz w:val="20"/>
                <w:szCs w:val="20"/>
                <w:color w:val="auto"/>
              </w:rPr>
            </w:pPr>
            <w:r>
              <w:rPr>
                <w:rFonts w:ascii="Arial" w:cs="Arial" w:eastAsia="Arial" w:hAnsi="Arial"/>
                <w:sz w:val="16"/>
                <w:szCs w:val="16"/>
                <w:color w:val="auto"/>
              </w:rPr>
              <w:t>Net loss</w:t>
            </w:r>
          </w:p>
        </w:tc>
        <w:tc>
          <w:tcPr>
            <w:tcW w:w="172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(26,944)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Excluding:</w:t>
            </w:r>
          </w:p>
        </w:tc>
        <w:tc>
          <w:tcPr>
            <w:tcW w:w="1720" w:type="dxa"/>
            <w:vAlign w:val="bottom"/>
            <w:vMerge w:val="restart"/>
          </w:tcPr>
          <w:p>
            <w:pPr>
              <w:jc w:val="right"/>
              <w:ind w:right="202"/>
              <w:spacing w:after="0"/>
              <w:rPr>
                <w:sz w:val="20"/>
                <w:szCs w:val="20"/>
                <w:color w:val="auto"/>
              </w:rPr>
            </w:pPr>
            <w:r>
              <w:rPr>
                <w:rFonts w:ascii="Arial" w:cs="Arial" w:eastAsia="Arial" w:hAnsi="Arial"/>
                <w:sz w:val="16"/>
                <w:szCs w:val="16"/>
                <w:color w:val="auto"/>
              </w:rPr>
              <w:t>266</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960" w:type="dxa"/>
            <w:vAlign w:val="bottom"/>
          </w:tcPr>
          <w:p>
            <w:pPr>
              <w:spacing w:after="0" w:line="179" w:lineRule="exact"/>
              <w:rPr>
                <w:sz w:val="20"/>
                <w:szCs w:val="20"/>
                <w:color w:val="auto"/>
              </w:rPr>
            </w:pPr>
            <w:r>
              <w:rPr>
                <w:rFonts w:ascii="Arial" w:cs="Arial" w:eastAsia="Arial" w:hAnsi="Arial"/>
                <w:sz w:val="16"/>
                <w:szCs w:val="16"/>
                <w:color w:val="auto"/>
              </w:rPr>
              <w:t>Exchange gain (loss)</w:t>
            </w:r>
          </w:p>
        </w:tc>
        <w:tc>
          <w:tcPr>
            <w:tcW w:w="1720" w:type="dxa"/>
            <w:vAlign w:val="bottom"/>
            <w:vMerge w:val="continue"/>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Arial" w:cs="Arial" w:eastAsia="Arial" w:hAnsi="Arial"/>
                <w:sz w:val="16"/>
                <w:szCs w:val="16"/>
                <w:color w:val="auto"/>
              </w:rPr>
              <w:t>(695)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Interest income</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1,836</w:t>
            </w:r>
          </w:p>
        </w:tc>
        <w:tc>
          <w:tcPr>
            <w:tcW w:w="1160" w:type="dxa"/>
            <w:vAlign w:val="bottom"/>
          </w:tcPr>
          <w:p>
            <w:pPr>
              <w:jc w:val="right"/>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Investment loss</w:t>
            </w:r>
          </w:p>
        </w:tc>
        <w:tc>
          <w:tcPr>
            <w:tcW w:w="17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Equity in loss of affiliates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(41)</w:t>
            </w:r>
          </w:p>
        </w:tc>
        <w:tc>
          <w:tcPr>
            <w:tcW w:w="1160" w:type="dxa"/>
            <w:vAlign w:val="bottom"/>
          </w:tcPr>
          <w:p>
            <w:pPr>
              <w:jc w:val="center"/>
              <w:ind w:left="88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Income taxes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3</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Depreciation of property and equipment</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2,473</w:t>
            </w:r>
          </w:p>
        </w:tc>
        <w:tc>
          <w:tcPr>
            <w:tcW w:w="1160" w:type="dxa"/>
            <w:vAlign w:val="bottom"/>
          </w:tcPr>
          <w:p>
            <w:pPr>
              <w:jc w:val="right"/>
              <w:spacing w:after="0"/>
              <w:rPr>
                <w:sz w:val="20"/>
                <w:szCs w:val="20"/>
                <w:color w:val="auto"/>
              </w:rPr>
            </w:pPr>
            <w:r>
              <w:rPr>
                <w:rFonts w:ascii="Arial" w:cs="Arial" w:eastAsia="Arial" w:hAnsi="Arial"/>
                <w:sz w:val="16"/>
                <w:szCs w:val="16"/>
                <w:color w:val="auto"/>
              </w:rPr>
              <w:t>1,899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9,381</w:t>
            </w:r>
          </w:p>
        </w:tc>
        <w:tc>
          <w:tcPr>
            <w:tcW w:w="1160" w:type="dxa"/>
            <w:vAlign w:val="bottom"/>
          </w:tcPr>
          <w:p>
            <w:pPr>
              <w:jc w:val="right"/>
              <w:spacing w:after="0"/>
              <w:rPr>
                <w:sz w:val="20"/>
                <w:szCs w:val="20"/>
                <w:color w:val="auto"/>
              </w:rPr>
            </w:pPr>
            <w:r>
              <w:rPr>
                <w:rFonts w:ascii="Arial" w:cs="Arial" w:eastAsia="Arial" w:hAnsi="Arial"/>
                <w:sz w:val="16"/>
                <w:szCs w:val="16"/>
                <w:color w:val="auto"/>
              </w:rPr>
              <w:t>6,075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156</w:t>
            </w:r>
          </w:p>
        </w:tc>
        <w:tc>
          <w:tcPr>
            <w:tcW w:w="1160" w:type="dxa"/>
            <w:vAlign w:val="bottom"/>
          </w:tcPr>
          <w:p>
            <w:pPr>
              <w:jc w:val="right"/>
              <w:spacing w:after="0"/>
              <w:rPr>
                <w:sz w:val="20"/>
                <w:szCs w:val="20"/>
                <w:color w:val="auto"/>
              </w:rPr>
            </w:pPr>
            <w:r>
              <w:rPr>
                <w:rFonts w:ascii="Arial" w:cs="Arial" w:eastAsia="Arial" w:hAnsi="Arial"/>
                <w:sz w:val="16"/>
                <w:szCs w:val="16"/>
                <w:color w:val="auto"/>
              </w:rPr>
              <w:t>4,122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6"/>
                <w:szCs w:val="16"/>
                <w:color w:val="auto"/>
              </w:rPr>
              <w:t>Amortization expense of acquired intangible assets</w:t>
            </w:r>
          </w:p>
        </w:tc>
        <w:tc>
          <w:tcPr>
            <w:tcW w:w="1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556</w:t>
            </w:r>
          </w:p>
        </w:tc>
        <w:tc>
          <w:tcPr>
            <w:tcW w:w="1180" w:type="dxa"/>
            <w:vAlign w:val="bottom"/>
            <w:tcBorders>
              <w:bottom w:val="single" w:sz="8" w:color="auto"/>
            </w:tcBorders>
            <w:gridSpan w:val="2"/>
          </w:tcPr>
          <w:p>
            <w:pPr>
              <w:jc w:val="center"/>
              <w:ind w:left="822"/>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1"/>
        </w:trPr>
        <w:tc>
          <w:tcPr>
            <w:tcW w:w="4960" w:type="dxa"/>
            <w:vAlign w:val="bottom"/>
          </w:tcPr>
          <w:p>
            <w:pPr>
              <w:spacing w:after="0" w:line="181" w:lineRule="exact"/>
              <w:rPr>
                <w:sz w:val="20"/>
                <w:szCs w:val="20"/>
                <w:color w:val="auto"/>
              </w:rPr>
            </w:pPr>
            <w:r>
              <w:rPr>
                <w:rFonts w:ascii="Arial" w:cs="Arial" w:eastAsia="Arial" w:hAnsi="Arial"/>
                <w:sz w:val="16"/>
                <w:szCs w:val="16"/>
                <w:color w:val="auto"/>
              </w:rPr>
              <w:t>Adjusted EBITDA</w:t>
            </w:r>
          </w:p>
        </w:tc>
        <w:tc>
          <w:tcPr>
            <w:tcW w:w="172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color w:val="auto"/>
              </w:rPr>
              <w:t>(16,442)</w:t>
            </w:r>
          </w:p>
        </w:tc>
        <w:tc>
          <w:tcPr>
            <w:tcW w:w="118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9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(15,861)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(1,172)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Free Cash Flow</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(17,033)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(7,975)</w:t>
            </w:r>
          </w:p>
        </w:tc>
        <w:tc>
          <w:tcPr>
            <w:tcW w:w="0" w:type="dxa"/>
            <w:vAlign w:val="bottom"/>
          </w:tcPr>
          <w:p>
            <w:pPr>
              <w:spacing w:after="0"/>
              <w:rPr>
                <w:sz w:val="1"/>
                <w:szCs w:val="1"/>
                <w:color w:val="auto"/>
              </w:rPr>
            </w:pP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(32,714)</w:t>
            </w:r>
          </w:p>
        </w:tc>
        <w:tc>
          <w:tcPr>
            <w:tcW w:w="1160" w:type="dxa"/>
            <w:vAlign w:val="bottom"/>
          </w:tcPr>
          <w:p>
            <w:pPr>
              <w:jc w:val="right"/>
              <w:spacing w:after="0"/>
              <w:rPr>
                <w:sz w:val="20"/>
                <w:szCs w:val="20"/>
                <w:color w:val="auto"/>
              </w:rPr>
            </w:pPr>
            <w:r>
              <w:rPr>
                <w:rFonts w:ascii="Arial" w:cs="Arial" w:eastAsia="Arial" w:hAnsi="Arial"/>
                <w:sz w:val="16"/>
                <w:szCs w:val="16"/>
                <w:color w:val="auto"/>
              </w:rPr>
              <w:t>(150,298)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Net cash (used in) provided by financing activities</w:t>
            </w:r>
          </w:p>
        </w:tc>
        <w:tc>
          <w:tcPr>
            <w:tcW w:w="1720" w:type="dxa"/>
            <w:vAlign w:val="bottom"/>
          </w:tcPr>
          <w:p>
            <w:pPr>
              <w:jc w:val="right"/>
              <w:ind w:right="202"/>
              <w:spacing w:after="0"/>
              <w:rPr>
                <w:sz w:val="20"/>
                <w:szCs w:val="20"/>
                <w:color w:val="auto"/>
              </w:rPr>
            </w:pPr>
            <w:r>
              <w:rPr>
                <w:rFonts w:ascii="Arial" w:cs="Arial" w:eastAsia="Arial" w:hAnsi="Arial"/>
                <w:sz w:val="16"/>
                <w:szCs w:val="16"/>
                <w:color w:val="auto"/>
              </w:rPr>
              <w:t>(6,980)</w:t>
            </w:r>
          </w:p>
        </w:tc>
        <w:tc>
          <w:tcPr>
            <w:tcW w:w="1160" w:type="dxa"/>
            <w:vAlign w:val="bottom"/>
          </w:tcPr>
          <w:p>
            <w:pPr>
              <w:jc w:val="right"/>
              <w:spacing w:after="0"/>
              <w:rPr>
                <w:sz w:val="20"/>
                <w:szCs w:val="20"/>
                <w:color w:val="auto"/>
              </w:rPr>
            </w:pPr>
            <w:r>
              <w:rPr>
                <w:rFonts w:ascii="Arial" w:cs="Arial" w:eastAsia="Arial" w:hAnsi="Arial"/>
                <w:sz w:val="16"/>
                <w:szCs w:val="16"/>
                <w:color w:val="auto"/>
              </w:rPr>
              <w:t>251,035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59"/>
      </w:cols>
      <w:pgMar w:left="300" w:top="7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7"/>
      <w:numFmt w:val="bullet"/>
      <w:start w:val="1"/>
    </w:lvl>
  </w:abstractNum>
  <w:abstractNum w:abstractNumId="6">
    <w:nsid w:val="79E2A9E3"/>
    <w:multiLevelType w:val="hybridMultilevel"/>
    <w:lvl w:ilvl="0">
      <w:lvlJc w:val="left"/>
      <w:lvlText w:val="%1"/>
      <w:numFmt w:val="decimal"/>
      <w:start w:val="156"/>
    </w:lvl>
  </w:abstractNum>
  <w:abstractNum w:abstractNumId="7">
    <w:nsid w:val="7545E146"/>
    <w:multiLevelType w:val="hybridMultilevel"/>
    <w:lvl w:ilvl="0">
      <w:lvlJc w:val="left"/>
      <w:lvlText w:val="%1"/>
      <w:numFmt w:val="decimal"/>
      <w:start w:val="15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2022-05-24T07:34:04Z</dcterms:created>
  <dcterms:modified xsi:type="dcterms:W3CDTF">2022-05-24T07:34:04Z</dcterms:modified>
</cp:coreProperties>
</file>